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0BD94">
      <w:pPr>
        <w:tabs>
          <w:tab w:val="left" w:pos="2127"/>
        </w:tabs>
        <w:kinsoku/>
        <w:overflowPunct/>
        <w:bidi w:val="0"/>
        <w:spacing w:line="360" w:lineRule="auto"/>
        <w:jc w:val="left"/>
        <w:textAlignment w:val="auto"/>
        <w:rPr>
          <w:rFonts w:ascii="宋体" w:hAnsi="宋体"/>
          <w:b/>
          <w:color w:val="auto"/>
          <w:spacing w:val="20"/>
          <w:sz w:val="28"/>
          <w:szCs w:val="28"/>
          <w:highlight w:val="none"/>
        </w:rPr>
      </w:pPr>
    </w:p>
    <w:p w14:paraId="210722D4">
      <w:pPr>
        <w:tabs>
          <w:tab w:val="left" w:pos="2127"/>
        </w:tabs>
        <w:kinsoku/>
        <w:overflowPunct/>
        <w:bidi w:val="0"/>
        <w:spacing w:line="360" w:lineRule="auto"/>
        <w:textAlignment w:val="auto"/>
        <w:rPr>
          <w:rFonts w:ascii="宋体" w:hAnsi="宋体"/>
          <w:b/>
          <w:color w:val="auto"/>
          <w:spacing w:val="20"/>
          <w:sz w:val="28"/>
          <w:szCs w:val="28"/>
          <w:highlight w:val="none"/>
        </w:rPr>
      </w:pPr>
    </w:p>
    <w:p w14:paraId="52268FC8">
      <w:pPr>
        <w:tabs>
          <w:tab w:val="left" w:pos="2127"/>
        </w:tabs>
        <w:kinsoku/>
        <w:overflowPunct/>
        <w:bidi w:val="0"/>
        <w:spacing w:line="360" w:lineRule="auto"/>
        <w:textAlignment w:val="auto"/>
        <w:rPr>
          <w:rFonts w:ascii="宋体" w:hAnsi="宋体"/>
          <w:b/>
          <w:color w:val="auto"/>
          <w:spacing w:val="20"/>
          <w:sz w:val="28"/>
          <w:szCs w:val="28"/>
          <w:highlight w:val="none"/>
        </w:rPr>
      </w:pPr>
    </w:p>
    <w:p w14:paraId="594D16F1">
      <w:pPr>
        <w:tabs>
          <w:tab w:val="left" w:pos="2127"/>
        </w:tabs>
        <w:kinsoku/>
        <w:overflowPunct/>
        <w:bidi w:val="0"/>
        <w:spacing w:line="360" w:lineRule="auto"/>
        <w:ind w:right="880"/>
        <w:jc w:val="center"/>
        <w:textAlignment w:val="auto"/>
        <w:rPr>
          <w:rFonts w:ascii="宋体" w:hAnsi="宋体"/>
          <w:b/>
          <w:color w:val="auto"/>
          <w:sz w:val="44"/>
          <w:highlight w:val="none"/>
        </w:rPr>
      </w:pPr>
    </w:p>
    <w:p w14:paraId="4595807D">
      <w:pPr>
        <w:tabs>
          <w:tab w:val="left" w:pos="2127"/>
        </w:tabs>
        <w:kinsoku/>
        <w:overflowPunct/>
        <w:bidi w:val="0"/>
        <w:spacing w:line="360" w:lineRule="auto"/>
        <w:jc w:val="center"/>
        <w:textAlignment w:val="auto"/>
        <w:rPr>
          <w:rFonts w:hint="eastAsia" w:ascii="宋体" w:hAnsi="宋体" w:eastAsia="宋体"/>
          <w:b/>
          <w:color w:val="auto"/>
          <w:sz w:val="44"/>
          <w:highlight w:val="none"/>
          <w:u w:val="single"/>
          <w:lang w:val="en-US" w:eastAsia="zh-CN"/>
        </w:rPr>
      </w:pPr>
    </w:p>
    <w:p w14:paraId="15CAA23C">
      <w:pPr>
        <w:tabs>
          <w:tab w:val="left" w:pos="2127"/>
        </w:tabs>
        <w:kinsoku/>
        <w:overflowPunct/>
        <w:bidi w:val="0"/>
        <w:spacing w:line="360" w:lineRule="auto"/>
        <w:jc w:val="center"/>
        <w:textAlignment w:val="auto"/>
        <w:rPr>
          <w:rFonts w:hint="eastAsia" w:ascii="宋体" w:hAnsi="宋体" w:eastAsia="宋体"/>
          <w:b/>
          <w:color w:val="auto"/>
          <w:sz w:val="44"/>
          <w:highlight w:val="none"/>
          <w:lang w:eastAsia="zh-CN"/>
        </w:rPr>
      </w:pPr>
      <w:r>
        <w:rPr>
          <w:rFonts w:hint="eastAsia" w:ascii="宋体" w:hAnsi="宋体" w:eastAsia="宋体"/>
          <w:b/>
          <w:color w:val="auto"/>
          <w:sz w:val="44"/>
          <w:highlight w:val="none"/>
          <w:lang w:eastAsia="zh-CN"/>
        </w:rPr>
        <w:t>500千伏番南输变电工程（变电站建筑）监理服务</w:t>
      </w:r>
    </w:p>
    <w:p w14:paraId="06B2FEAD">
      <w:pPr>
        <w:tabs>
          <w:tab w:val="left" w:pos="2127"/>
        </w:tabs>
        <w:kinsoku/>
        <w:overflowPunct/>
        <w:bidi w:val="0"/>
        <w:spacing w:line="360" w:lineRule="auto"/>
        <w:jc w:val="center"/>
        <w:textAlignment w:val="auto"/>
        <w:rPr>
          <w:rFonts w:ascii="宋体" w:hAnsi="宋体"/>
          <w:b/>
          <w:color w:val="auto"/>
          <w:sz w:val="44"/>
          <w:highlight w:val="none"/>
        </w:rPr>
      </w:pPr>
    </w:p>
    <w:p w14:paraId="2456BAB9">
      <w:pPr>
        <w:tabs>
          <w:tab w:val="left" w:pos="2127"/>
        </w:tabs>
        <w:kinsoku/>
        <w:overflowPunct/>
        <w:bidi w:val="0"/>
        <w:spacing w:line="360" w:lineRule="auto"/>
        <w:jc w:val="center"/>
        <w:textAlignment w:val="auto"/>
        <w:rPr>
          <w:rFonts w:hint="eastAsia" w:ascii="宋体" w:hAnsi="宋体"/>
          <w:b/>
          <w:color w:val="auto"/>
          <w:sz w:val="84"/>
          <w:highlight w:val="none"/>
        </w:rPr>
      </w:pPr>
    </w:p>
    <w:p w14:paraId="02D4A23F">
      <w:pPr>
        <w:tabs>
          <w:tab w:val="left" w:pos="2127"/>
        </w:tabs>
        <w:kinsoku/>
        <w:overflowPunct/>
        <w:bidi w:val="0"/>
        <w:spacing w:line="360" w:lineRule="auto"/>
        <w:jc w:val="center"/>
        <w:textAlignment w:val="auto"/>
        <w:rPr>
          <w:rFonts w:hint="eastAsia" w:ascii="楷体" w:hAnsi="楷体" w:eastAsia="楷体" w:cs="楷体"/>
          <w:b/>
          <w:color w:val="auto"/>
          <w:sz w:val="84"/>
          <w:szCs w:val="84"/>
          <w:highlight w:val="none"/>
          <w:lang w:eastAsia="zh-CN"/>
        </w:rPr>
      </w:pPr>
      <w:r>
        <w:rPr>
          <w:rFonts w:hint="eastAsia" w:ascii="楷体" w:hAnsi="楷体" w:eastAsia="楷体" w:cs="楷体"/>
          <w:b/>
          <w:color w:val="auto"/>
          <w:sz w:val="84"/>
          <w:szCs w:val="84"/>
          <w:highlight w:val="none"/>
          <w:lang w:eastAsia="zh-CN"/>
        </w:rPr>
        <w:t>招标</w:t>
      </w:r>
      <w:r>
        <w:rPr>
          <w:rFonts w:hint="eastAsia" w:ascii="楷体" w:hAnsi="楷体" w:eastAsia="楷体" w:cs="楷体"/>
          <w:b/>
          <w:color w:val="auto"/>
          <w:sz w:val="84"/>
          <w:szCs w:val="84"/>
          <w:highlight w:val="none"/>
          <w:lang w:val="en-US" w:eastAsia="zh-CN"/>
        </w:rPr>
        <w:t>文件</w:t>
      </w:r>
    </w:p>
    <w:p w14:paraId="158C3632">
      <w:pPr>
        <w:tabs>
          <w:tab w:val="left" w:pos="2127"/>
        </w:tabs>
        <w:kinsoku/>
        <w:overflowPunct/>
        <w:bidi w:val="0"/>
        <w:spacing w:line="360" w:lineRule="auto"/>
        <w:jc w:val="center"/>
        <w:textAlignment w:val="auto"/>
        <w:rPr>
          <w:rFonts w:ascii="宋体" w:hAnsi="宋体"/>
          <w:b/>
          <w:color w:val="auto"/>
          <w:sz w:val="44"/>
          <w:highlight w:val="none"/>
        </w:rPr>
      </w:pPr>
    </w:p>
    <w:p w14:paraId="772EEEF5">
      <w:pPr>
        <w:tabs>
          <w:tab w:val="left" w:pos="2127"/>
        </w:tabs>
        <w:kinsoku/>
        <w:overflowPunct/>
        <w:bidi w:val="0"/>
        <w:spacing w:line="360" w:lineRule="auto"/>
        <w:textAlignment w:val="auto"/>
        <w:rPr>
          <w:rFonts w:ascii="宋体" w:hAnsi="宋体"/>
          <w:color w:val="auto"/>
          <w:sz w:val="32"/>
          <w:highlight w:val="none"/>
        </w:rPr>
      </w:pPr>
    </w:p>
    <w:p w14:paraId="66628CDF">
      <w:pPr>
        <w:kinsoku/>
        <w:overflowPunct/>
        <w:bidi w:val="0"/>
        <w:spacing w:line="360" w:lineRule="auto"/>
        <w:jc w:val="center"/>
        <w:textAlignment w:val="auto"/>
        <w:rPr>
          <w:rFonts w:hint="eastAsia" w:ascii="楷体" w:hAnsi="楷体" w:eastAsia="楷体" w:cs="楷体"/>
          <w:b/>
          <w:color w:val="auto"/>
          <w:sz w:val="36"/>
          <w:highlight w:val="none"/>
          <w:lang w:val="en-US" w:eastAsia="zh-CN"/>
        </w:rPr>
      </w:pPr>
    </w:p>
    <w:p w14:paraId="53B35AA8">
      <w:pPr>
        <w:kinsoku/>
        <w:overflowPunct/>
        <w:bidi w:val="0"/>
        <w:spacing w:line="360" w:lineRule="auto"/>
        <w:jc w:val="center"/>
        <w:textAlignment w:val="auto"/>
        <w:rPr>
          <w:rFonts w:hint="eastAsia" w:ascii="楷体" w:hAnsi="楷体" w:eastAsia="楷体" w:cs="楷体"/>
          <w:b/>
          <w:strike/>
          <w:color w:val="auto"/>
          <w:sz w:val="36"/>
          <w:highlight w:val="none"/>
        </w:rPr>
      </w:pPr>
      <w:r>
        <w:rPr>
          <w:rFonts w:hint="eastAsia" w:ascii="楷体" w:hAnsi="楷体" w:eastAsia="楷体" w:cs="楷体"/>
          <w:b/>
          <w:color w:val="auto"/>
          <w:sz w:val="36"/>
          <w:highlight w:val="none"/>
          <w:lang w:val="en-US" w:eastAsia="zh-CN"/>
        </w:rPr>
        <w:t>招标</w:t>
      </w:r>
      <w:r>
        <w:rPr>
          <w:rFonts w:hint="eastAsia" w:ascii="楷体" w:hAnsi="楷体" w:eastAsia="楷体" w:cs="楷体"/>
          <w:b/>
          <w:color w:val="auto"/>
          <w:sz w:val="36"/>
          <w:highlight w:val="none"/>
        </w:rPr>
        <w:t>人：</w:t>
      </w:r>
      <w:r>
        <w:rPr>
          <w:rFonts w:hint="eastAsia" w:ascii="楷体" w:hAnsi="楷体" w:eastAsia="楷体" w:cs="楷体"/>
          <w:b/>
          <w:color w:val="auto"/>
          <w:kern w:val="2"/>
          <w:sz w:val="36"/>
          <w:szCs w:val="22"/>
          <w:highlight w:val="none"/>
          <w:u w:val="none"/>
          <w:lang w:val="en-US" w:eastAsia="zh-CN" w:bidi="ar-SA"/>
        </w:rPr>
        <w:t>广州市番南能源有限公司</w:t>
      </w:r>
    </w:p>
    <w:p w14:paraId="068454D9">
      <w:pPr>
        <w:kinsoku/>
        <w:overflowPunct/>
        <w:bidi w:val="0"/>
        <w:spacing w:line="360" w:lineRule="auto"/>
        <w:jc w:val="center"/>
        <w:textAlignment w:val="auto"/>
        <w:rPr>
          <w:rFonts w:hint="eastAsia" w:ascii="楷体" w:hAnsi="楷体" w:eastAsia="楷体" w:cs="楷体"/>
          <w:b/>
          <w:color w:val="auto"/>
          <w:sz w:val="36"/>
          <w:highlight w:val="none"/>
          <w:lang w:val="en-US" w:eastAsia="zh-CN"/>
        </w:rPr>
      </w:pPr>
    </w:p>
    <w:p w14:paraId="6E575081">
      <w:pPr>
        <w:kinsoku/>
        <w:overflowPunct/>
        <w:bidi w:val="0"/>
        <w:spacing w:line="360" w:lineRule="auto"/>
        <w:jc w:val="center"/>
        <w:textAlignment w:val="auto"/>
        <w:rPr>
          <w:rFonts w:hint="eastAsia" w:ascii="楷体" w:hAnsi="楷体" w:eastAsia="楷体" w:cs="楷体"/>
          <w:b/>
          <w:color w:val="auto"/>
          <w:sz w:val="36"/>
          <w:highlight w:val="none"/>
          <w:u w:val="none"/>
        </w:rPr>
      </w:pPr>
      <w:r>
        <w:rPr>
          <w:rFonts w:hint="eastAsia" w:ascii="楷体" w:hAnsi="楷体" w:eastAsia="楷体" w:cs="楷体"/>
          <w:b/>
          <w:color w:val="auto"/>
          <w:sz w:val="36"/>
          <w:highlight w:val="none"/>
          <w:lang w:val="en-US" w:eastAsia="zh-CN"/>
        </w:rPr>
        <w:t>招标</w:t>
      </w:r>
      <w:r>
        <w:rPr>
          <w:rFonts w:hint="eastAsia" w:ascii="楷体" w:hAnsi="楷体" w:eastAsia="楷体" w:cs="楷体"/>
          <w:b/>
          <w:color w:val="auto"/>
          <w:sz w:val="36"/>
          <w:highlight w:val="none"/>
          <w:u w:val="none"/>
          <w:lang w:eastAsia="zh-CN"/>
        </w:rPr>
        <w:t>服务机构</w:t>
      </w:r>
      <w:r>
        <w:rPr>
          <w:rFonts w:hint="eastAsia" w:ascii="楷体" w:hAnsi="楷体" w:eastAsia="楷体" w:cs="楷体"/>
          <w:b/>
          <w:color w:val="auto"/>
          <w:sz w:val="36"/>
          <w:highlight w:val="none"/>
          <w:u w:val="none"/>
        </w:rPr>
        <w:t>：广州竣盛工程造价咨询有限公司</w:t>
      </w:r>
    </w:p>
    <w:p w14:paraId="4431F73E">
      <w:pPr>
        <w:kinsoku/>
        <w:overflowPunct/>
        <w:bidi w:val="0"/>
        <w:spacing w:line="360" w:lineRule="auto"/>
        <w:jc w:val="center"/>
        <w:textAlignment w:val="auto"/>
        <w:rPr>
          <w:rFonts w:hint="eastAsia" w:ascii="楷体" w:hAnsi="楷体" w:eastAsia="楷体" w:cs="楷体"/>
          <w:b/>
          <w:color w:val="auto"/>
          <w:sz w:val="36"/>
          <w:highlight w:val="none"/>
          <w:u w:val="none"/>
          <w:lang w:val="en-US" w:eastAsia="zh-CN"/>
        </w:rPr>
      </w:pPr>
      <w:r>
        <w:rPr>
          <w:rFonts w:hint="eastAsia" w:ascii="楷体" w:hAnsi="楷体" w:eastAsia="楷体" w:cs="楷体"/>
          <w:b/>
          <w:color w:val="auto"/>
          <w:sz w:val="36"/>
          <w:highlight w:val="none"/>
          <w:u w:val="none"/>
          <w:lang w:val="en-US" w:eastAsia="zh-CN"/>
        </w:rPr>
        <w:t xml:space="preserve">  </w:t>
      </w:r>
    </w:p>
    <w:p w14:paraId="784CD6D6">
      <w:pPr>
        <w:kinsoku/>
        <w:overflowPunct/>
        <w:bidi w:val="0"/>
        <w:spacing w:line="360" w:lineRule="auto"/>
        <w:jc w:val="center"/>
        <w:textAlignment w:val="auto"/>
        <w:rPr>
          <w:rFonts w:hint="eastAsia" w:ascii="楷体" w:hAnsi="楷体" w:eastAsia="楷体" w:cs="楷体"/>
          <w:b/>
          <w:color w:val="auto"/>
          <w:sz w:val="36"/>
          <w:highlight w:val="none"/>
          <w:u w:val="none"/>
        </w:rPr>
      </w:pPr>
      <w:r>
        <w:rPr>
          <w:rFonts w:hint="eastAsia" w:ascii="楷体" w:hAnsi="楷体" w:eastAsia="楷体" w:cs="楷体"/>
          <w:b/>
          <w:color w:val="auto"/>
          <w:sz w:val="36"/>
          <w:highlight w:val="none"/>
          <w:u w:val="none"/>
          <w:lang w:val="en-US" w:eastAsia="zh-CN"/>
        </w:rPr>
        <w:t xml:space="preserve">  </w:t>
      </w:r>
      <w:r>
        <w:rPr>
          <w:rFonts w:hint="eastAsia" w:ascii="楷体" w:hAnsi="楷体" w:eastAsia="楷体" w:cs="楷体"/>
          <w:b/>
          <w:color w:val="auto"/>
          <w:sz w:val="36"/>
          <w:highlight w:val="none"/>
          <w:u w:val="none"/>
        </w:rPr>
        <w:t>招标监督机构：广东电网有限责任公司广州供电局</w:t>
      </w:r>
    </w:p>
    <w:p w14:paraId="05EADAF3">
      <w:pPr>
        <w:kinsoku/>
        <w:overflowPunct/>
        <w:bidi w:val="0"/>
        <w:spacing w:line="360" w:lineRule="auto"/>
        <w:jc w:val="center"/>
        <w:textAlignment w:val="auto"/>
        <w:rPr>
          <w:rFonts w:hint="eastAsia" w:ascii="楷体" w:hAnsi="楷体" w:eastAsia="楷体" w:cs="楷体"/>
          <w:b/>
          <w:color w:val="auto"/>
          <w:sz w:val="36"/>
          <w:highlight w:val="none"/>
          <w:u w:val="none"/>
        </w:rPr>
      </w:pPr>
    </w:p>
    <w:p w14:paraId="454DEDF7">
      <w:pPr>
        <w:kinsoku/>
        <w:overflowPunct/>
        <w:bidi w:val="0"/>
        <w:spacing w:line="360" w:lineRule="auto"/>
        <w:jc w:val="center"/>
        <w:textAlignment w:val="auto"/>
        <w:rPr>
          <w:rFonts w:hint="eastAsia" w:ascii="楷体_GB2312" w:hAnsi="宋体" w:eastAsia="楷体_GB2312"/>
          <w:b/>
          <w:color w:val="auto"/>
          <w:sz w:val="36"/>
          <w:highlight w:val="none"/>
          <w:u w:val="none"/>
        </w:rPr>
      </w:pPr>
      <w:r>
        <w:rPr>
          <w:rFonts w:hint="eastAsia" w:ascii="楷体" w:hAnsi="楷体" w:eastAsia="楷体" w:cs="楷体"/>
          <w:b/>
          <w:color w:val="auto"/>
          <w:kern w:val="2"/>
          <w:sz w:val="36"/>
          <w:szCs w:val="22"/>
          <w:highlight w:val="none"/>
          <w:u w:val="none"/>
          <w:lang w:val="en-US" w:eastAsia="zh-CN" w:bidi="ar-SA"/>
        </w:rPr>
        <w:t>2025年10月</w:t>
      </w:r>
    </w:p>
    <w:p w14:paraId="0A49947B">
      <w:pPr>
        <w:rPr>
          <w:b/>
          <w:color w:val="auto"/>
          <w:highlight w:val="none"/>
          <w:lang w:val="zh-CN"/>
        </w:rPr>
      </w:pPr>
    </w:p>
    <w:p w14:paraId="238B3B71">
      <w:pPr>
        <w:pStyle w:val="17"/>
        <w:rPr>
          <w:color w:val="auto"/>
          <w:highlight w:val="none"/>
          <w:lang w:val="zh-CN"/>
        </w:rPr>
        <w:sectPr>
          <w:footerReference r:id="rId3" w:type="default"/>
          <w:pgSz w:w="11906" w:h="16838"/>
          <w:pgMar w:top="1440" w:right="1080" w:bottom="1440" w:left="1080" w:header="850" w:footer="850" w:gutter="0"/>
          <w:pgBorders>
            <w:top w:val="none" w:sz="0" w:space="0"/>
            <w:left w:val="none" w:sz="0" w:space="0"/>
            <w:bottom w:val="none" w:sz="0" w:space="0"/>
            <w:right w:val="none" w:sz="0" w:space="0"/>
          </w:pgBorders>
          <w:pgNumType w:fmt="decimal" w:start="1"/>
          <w:cols w:space="720" w:num="1"/>
          <w:docGrid w:type="lines" w:linePitch="312" w:charSpace="0"/>
        </w:sectPr>
      </w:pPr>
    </w:p>
    <w:p w14:paraId="0BE6C25F">
      <w:pPr>
        <w:pStyle w:val="144"/>
        <w:kinsoku/>
        <w:overflowPunct/>
        <w:bidi w:val="0"/>
        <w:spacing w:before="0" w:after="0" w:line="360" w:lineRule="auto"/>
        <w:jc w:val="center"/>
        <w:textAlignment w:val="auto"/>
        <w:outlineLvl w:val="0"/>
        <w:rPr>
          <w:b/>
          <w:color w:val="auto"/>
          <w:highlight w:val="none"/>
        </w:rPr>
      </w:pPr>
      <w:bookmarkStart w:id="0" w:name="_Toc24526"/>
      <w:r>
        <w:rPr>
          <w:rFonts w:hint="eastAsia" w:hAnsi="宋体"/>
          <w:b/>
          <w:color w:val="auto"/>
          <w:sz w:val="40"/>
          <w:szCs w:val="28"/>
          <w:highlight w:val="none"/>
        </w:rPr>
        <w:t>目  录</w:t>
      </w:r>
      <w:bookmarkEnd w:id="0"/>
    </w:p>
    <w:p w14:paraId="6D1A0364">
      <w:pPr>
        <w:pStyle w:val="31"/>
        <w:tabs>
          <w:tab w:val="right" w:leader="dot" w:pos="9746"/>
        </w:tabs>
        <w:rPr>
          <w:color w:val="auto"/>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bCs/>
          <w:color w:val="auto"/>
          <w:highlight w:val="none"/>
          <w:lang w:val="zh-CN"/>
        </w:rPr>
        <w:fldChar w:fldCharType="begin"/>
      </w:r>
      <w:r>
        <w:rPr>
          <w:bCs/>
          <w:color w:val="auto"/>
          <w:highlight w:val="none"/>
          <w:lang w:val="zh-CN"/>
        </w:rPr>
        <w:instrText xml:space="preserve"> HYPERLINK \l _Toc28412 </w:instrText>
      </w:r>
      <w:r>
        <w:rPr>
          <w:bCs/>
          <w:color w:val="auto"/>
          <w:highlight w:val="none"/>
          <w:lang w:val="zh-CN"/>
        </w:rPr>
        <w:fldChar w:fldCharType="separate"/>
      </w:r>
      <w:r>
        <w:rPr>
          <w:rFonts w:hint="eastAsia" w:ascii="宋体" w:hAnsi="宋体"/>
          <w:color w:val="auto"/>
          <w:kern w:val="0"/>
          <w:highlight w:val="none"/>
        </w:rPr>
        <w:t>第一卷</w:t>
      </w:r>
      <w:r>
        <w:rPr>
          <w:color w:val="auto"/>
          <w:highlight w:val="none"/>
        </w:rPr>
        <w:tab/>
      </w:r>
      <w:r>
        <w:rPr>
          <w:color w:val="auto"/>
          <w:highlight w:val="none"/>
        </w:rPr>
        <w:fldChar w:fldCharType="begin"/>
      </w:r>
      <w:r>
        <w:rPr>
          <w:color w:val="auto"/>
          <w:highlight w:val="none"/>
        </w:rPr>
        <w:instrText xml:space="preserve"> PAGEREF _Toc28412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081F42A8">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_Toc6436 </w:instrText>
      </w:r>
      <w:r>
        <w:rPr>
          <w:bCs/>
          <w:color w:val="auto"/>
          <w:highlight w:val="none"/>
          <w:lang w:val="zh-CN"/>
        </w:rPr>
        <w:fldChar w:fldCharType="separate"/>
      </w:r>
      <w:r>
        <w:rPr>
          <w:rFonts w:hint="eastAsia"/>
          <w:color w:val="auto"/>
          <w:szCs w:val="32"/>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_Toc6436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557846E5">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_Toc5574 </w:instrText>
      </w:r>
      <w:r>
        <w:rPr>
          <w:bCs/>
          <w:color w:val="auto"/>
          <w:highlight w:val="none"/>
          <w:lang w:val="zh-CN"/>
        </w:rPr>
        <w:fldChar w:fldCharType="separate"/>
      </w:r>
      <w:r>
        <w:rPr>
          <w:rFonts w:hint="eastAsia"/>
          <w:bCs/>
          <w:color w:val="auto"/>
          <w:szCs w:val="32"/>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_Toc5574 \h </w:instrText>
      </w:r>
      <w:r>
        <w:rPr>
          <w:color w:val="auto"/>
          <w:highlight w:val="none"/>
        </w:rPr>
        <w:fldChar w:fldCharType="separate"/>
      </w:r>
      <w:r>
        <w:rPr>
          <w:color w:val="auto"/>
          <w:highlight w:val="none"/>
        </w:rPr>
        <w:t>8</w:t>
      </w:r>
      <w:r>
        <w:rPr>
          <w:color w:val="auto"/>
          <w:highlight w:val="none"/>
        </w:rPr>
        <w:fldChar w:fldCharType="end"/>
      </w:r>
      <w:r>
        <w:rPr>
          <w:bCs/>
          <w:color w:val="auto"/>
          <w:highlight w:val="none"/>
          <w:lang w:val="zh-CN"/>
        </w:rPr>
        <w:fldChar w:fldCharType="end"/>
      </w:r>
    </w:p>
    <w:p w14:paraId="41CD4C35">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_Toc460 </w:instrText>
      </w:r>
      <w:r>
        <w:rPr>
          <w:bCs/>
          <w:color w:val="auto"/>
          <w:highlight w:val="none"/>
          <w:lang w:val="zh-CN"/>
        </w:rPr>
        <w:fldChar w:fldCharType="separate"/>
      </w:r>
      <w:r>
        <w:rPr>
          <w:rFonts w:hint="eastAsia" w:ascii="宋体" w:hAnsi="宋体" w:eastAsia="宋体"/>
          <w:color w:val="auto"/>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_Toc460 \h </w:instrText>
      </w:r>
      <w:r>
        <w:rPr>
          <w:color w:val="auto"/>
          <w:highlight w:val="none"/>
        </w:rPr>
        <w:fldChar w:fldCharType="separate"/>
      </w:r>
      <w:r>
        <w:rPr>
          <w:color w:val="auto"/>
          <w:highlight w:val="none"/>
        </w:rPr>
        <w:t>8</w:t>
      </w:r>
      <w:r>
        <w:rPr>
          <w:color w:val="auto"/>
          <w:highlight w:val="none"/>
        </w:rPr>
        <w:fldChar w:fldCharType="end"/>
      </w:r>
      <w:r>
        <w:rPr>
          <w:bCs/>
          <w:color w:val="auto"/>
          <w:highlight w:val="none"/>
          <w:lang w:val="zh-CN"/>
        </w:rPr>
        <w:fldChar w:fldCharType="end"/>
      </w:r>
    </w:p>
    <w:p w14:paraId="75047B6E">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_Toc7583 </w:instrText>
      </w:r>
      <w:r>
        <w:rPr>
          <w:bCs/>
          <w:color w:val="auto"/>
          <w:highlight w:val="none"/>
          <w:lang w:val="zh-CN"/>
        </w:rPr>
        <w:fldChar w:fldCharType="separate"/>
      </w:r>
      <w:r>
        <w:rPr>
          <w:rFonts w:hint="eastAsia" w:ascii="宋体" w:hAnsi="宋体" w:eastAsia="宋体"/>
          <w:color w:val="auto"/>
          <w:szCs w:val="24"/>
          <w:highlight w:val="none"/>
        </w:rPr>
        <w:t>1. 总则</w:t>
      </w:r>
      <w:r>
        <w:rPr>
          <w:color w:val="auto"/>
          <w:highlight w:val="none"/>
        </w:rPr>
        <w:tab/>
      </w:r>
      <w:r>
        <w:rPr>
          <w:color w:val="auto"/>
          <w:highlight w:val="none"/>
        </w:rPr>
        <w:fldChar w:fldCharType="begin"/>
      </w:r>
      <w:r>
        <w:rPr>
          <w:color w:val="auto"/>
          <w:highlight w:val="none"/>
        </w:rPr>
        <w:instrText xml:space="preserve"> PAGEREF _Toc7583 \h </w:instrText>
      </w:r>
      <w:r>
        <w:rPr>
          <w:color w:val="auto"/>
          <w:highlight w:val="none"/>
        </w:rPr>
        <w:fldChar w:fldCharType="separate"/>
      </w:r>
      <w:r>
        <w:rPr>
          <w:color w:val="auto"/>
          <w:highlight w:val="none"/>
        </w:rPr>
        <w:t>18</w:t>
      </w:r>
      <w:r>
        <w:rPr>
          <w:color w:val="auto"/>
          <w:highlight w:val="none"/>
        </w:rPr>
        <w:fldChar w:fldCharType="end"/>
      </w:r>
      <w:r>
        <w:rPr>
          <w:bCs/>
          <w:color w:val="auto"/>
          <w:highlight w:val="none"/>
          <w:lang w:val="zh-CN"/>
        </w:rPr>
        <w:fldChar w:fldCharType="end"/>
      </w:r>
    </w:p>
    <w:p w14:paraId="7AAE1B9B">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_Toc20498 </w:instrText>
      </w:r>
      <w:r>
        <w:rPr>
          <w:bCs/>
          <w:color w:val="auto"/>
          <w:highlight w:val="none"/>
          <w:lang w:val="zh-CN"/>
        </w:rPr>
        <w:fldChar w:fldCharType="separate"/>
      </w:r>
      <w:r>
        <w:rPr>
          <w:rFonts w:hint="eastAsia" w:ascii="宋体" w:hAnsi="宋体" w:eastAsia="宋体"/>
          <w:color w:val="auto"/>
          <w:szCs w:val="24"/>
          <w:highlight w:val="none"/>
        </w:rPr>
        <w:t>2. 招标文件</w:t>
      </w:r>
      <w:r>
        <w:rPr>
          <w:color w:val="auto"/>
          <w:highlight w:val="none"/>
        </w:rPr>
        <w:tab/>
      </w:r>
      <w:r>
        <w:rPr>
          <w:color w:val="auto"/>
          <w:highlight w:val="none"/>
        </w:rPr>
        <w:fldChar w:fldCharType="begin"/>
      </w:r>
      <w:r>
        <w:rPr>
          <w:color w:val="auto"/>
          <w:highlight w:val="none"/>
        </w:rPr>
        <w:instrText xml:space="preserve"> PAGEREF _Toc20498 \h </w:instrText>
      </w:r>
      <w:r>
        <w:rPr>
          <w:color w:val="auto"/>
          <w:highlight w:val="none"/>
        </w:rPr>
        <w:fldChar w:fldCharType="separate"/>
      </w:r>
      <w:r>
        <w:rPr>
          <w:color w:val="auto"/>
          <w:highlight w:val="none"/>
        </w:rPr>
        <w:t>20</w:t>
      </w:r>
      <w:r>
        <w:rPr>
          <w:color w:val="auto"/>
          <w:highlight w:val="none"/>
        </w:rPr>
        <w:fldChar w:fldCharType="end"/>
      </w:r>
      <w:r>
        <w:rPr>
          <w:bCs/>
          <w:color w:val="auto"/>
          <w:highlight w:val="none"/>
          <w:lang w:val="zh-CN"/>
        </w:rPr>
        <w:fldChar w:fldCharType="end"/>
      </w:r>
    </w:p>
    <w:p w14:paraId="584F80A0">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_Toc7259 </w:instrText>
      </w:r>
      <w:r>
        <w:rPr>
          <w:bCs/>
          <w:color w:val="auto"/>
          <w:highlight w:val="none"/>
          <w:lang w:val="zh-CN"/>
        </w:rPr>
        <w:fldChar w:fldCharType="separate"/>
      </w:r>
      <w:r>
        <w:rPr>
          <w:rFonts w:hint="eastAsia" w:ascii="宋体" w:hAnsi="宋体" w:eastAsia="宋体"/>
          <w:color w:val="auto"/>
          <w:szCs w:val="24"/>
          <w:highlight w:val="none"/>
        </w:rPr>
        <w:t>3. 投标文件</w:t>
      </w:r>
      <w:r>
        <w:rPr>
          <w:rFonts w:hint="eastAsia" w:ascii="宋体" w:hAnsi="宋体"/>
          <w:color w:val="auto"/>
          <w:szCs w:val="24"/>
          <w:highlight w:val="none"/>
          <w:lang w:eastAsia="zh-CN"/>
        </w:rPr>
        <w:t>（含定标文件）</w:t>
      </w:r>
      <w:r>
        <w:rPr>
          <w:color w:val="auto"/>
          <w:highlight w:val="none"/>
        </w:rPr>
        <w:tab/>
      </w:r>
      <w:r>
        <w:rPr>
          <w:color w:val="auto"/>
          <w:highlight w:val="none"/>
        </w:rPr>
        <w:fldChar w:fldCharType="begin"/>
      </w:r>
      <w:r>
        <w:rPr>
          <w:color w:val="auto"/>
          <w:highlight w:val="none"/>
        </w:rPr>
        <w:instrText xml:space="preserve"> PAGEREF _Toc7259 \h </w:instrText>
      </w:r>
      <w:r>
        <w:rPr>
          <w:color w:val="auto"/>
          <w:highlight w:val="none"/>
        </w:rPr>
        <w:fldChar w:fldCharType="separate"/>
      </w:r>
      <w:r>
        <w:rPr>
          <w:color w:val="auto"/>
          <w:highlight w:val="none"/>
        </w:rPr>
        <w:t>21</w:t>
      </w:r>
      <w:r>
        <w:rPr>
          <w:color w:val="auto"/>
          <w:highlight w:val="none"/>
        </w:rPr>
        <w:fldChar w:fldCharType="end"/>
      </w:r>
      <w:r>
        <w:rPr>
          <w:bCs/>
          <w:color w:val="auto"/>
          <w:highlight w:val="none"/>
          <w:lang w:val="zh-CN"/>
        </w:rPr>
        <w:fldChar w:fldCharType="end"/>
      </w:r>
    </w:p>
    <w:p w14:paraId="79C33C4E">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_Toc9388 </w:instrText>
      </w:r>
      <w:r>
        <w:rPr>
          <w:bCs/>
          <w:color w:val="auto"/>
          <w:highlight w:val="none"/>
          <w:lang w:val="zh-CN"/>
        </w:rPr>
        <w:fldChar w:fldCharType="separate"/>
      </w:r>
      <w:r>
        <w:rPr>
          <w:rFonts w:hint="eastAsia" w:ascii="宋体" w:hAnsi="宋体" w:eastAsia="宋体"/>
          <w:color w:val="auto"/>
          <w:szCs w:val="24"/>
          <w:highlight w:val="none"/>
        </w:rPr>
        <w:t>4. 投标</w:t>
      </w:r>
      <w:r>
        <w:rPr>
          <w:color w:val="auto"/>
          <w:highlight w:val="none"/>
        </w:rPr>
        <w:tab/>
      </w:r>
      <w:r>
        <w:rPr>
          <w:color w:val="auto"/>
          <w:highlight w:val="none"/>
        </w:rPr>
        <w:fldChar w:fldCharType="begin"/>
      </w:r>
      <w:r>
        <w:rPr>
          <w:color w:val="auto"/>
          <w:highlight w:val="none"/>
        </w:rPr>
        <w:instrText xml:space="preserve"> PAGEREF _Toc9388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7CDFB519">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_Toc604 </w:instrText>
      </w:r>
      <w:r>
        <w:rPr>
          <w:bCs/>
          <w:color w:val="auto"/>
          <w:highlight w:val="none"/>
          <w:lang w:val="zh-CN"/>
        </w:rPr>
        <w:fldChar w:fldCharType="separate"/>
      </w:r>
      <w:r>
        <w:rPr>
          <w:rFonts w:hint="eastAsia" w:ascii="宋体" w:hAnsi="宋体" w:eastAsia="宋体"/>
          <w:color w:val="auto"/>
          <w:szCs w:val="24"/>
          <w:highlight w:val="none"/>
        </w:rPr>
        <w:t>5. 开标</w:t>
      </w:r>
      <w:r>
        <w:rPr>
          <w:color w:val="auto"/>
          <w:highlight w:val="none"/>
        </w:rPr>
        <w:tab/>
      </w:r>
      <w:r>
        <w:rPr>
          <w:color w:val="auto"/>
          <w:highlight w:val="none"/>
        </w:rPr>
        <w:fldChar w:fldCharType="begin"/>
      </w:r>
      <w:r>
        <w:rPr>
          <w:color w:val="auto"/>
          <w:highlight w:val="none"/>
        </w:rPr>
        <w:instrText xml:space="preserve"> PAGEREF _Toc604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68437E49">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_Toc796 </w:instrText>
      </w:r>
      <w:r>
        <w:rPr>
          <w:bCs/>
          <w:color w:val="auto"/>
          <w:highlight w:val="none"/>
          <w:lang w:val="zh-CN"/>
        </w:rPr>
        <w:fldChar w:fldCharType="separate"/>
      </w:r>
      <w:r>
        <w:rPr>
          <w:rFonts w:hint="eastAsia" w:ascii="宋体" w:hAnsi="宋体" w:eastAsia="宋体"/>
          <w:color w:val="auto"/>
          <w:szCs w:val="24"/>
          <w:highlight w:val="none"/>
        </w:rPr>
        <w:t>6. 评标</w:t>
      </w:r>
      <w:r>
        <w:rPr>
          <w:color w:val="auto"/>
          <w:highlight w:val="none"/>
        </w:rPr>
        <w:tab/>
      </w:r>
      <w:r>
        <w:rPr>
          <w:color w:val="auto"/>
          <w:highlight w:val="none"/>
        </w:rPr>
        <w:fldChar w:fldCharType="begin"/>
      </w:r>
      <w:r>
        <w:rPr>
          <w:color w:val="auto"/>
          <w:highlight w:val="none"/>
        </w:rPr>
        <w:instrText xml:space="preserve"> PAGEREF _Toc796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655AAE3B">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_Toc10553 </w:instrText>
      </w:r>
      <w:r>
        <w:rPr>
          <w:bCs/>
          <w:color w:val="auto"/>
          <w:highlight w:val="none"/>
          <w:lang w:val="zh-CN"/>
        </w:rPr>
        <w:fldChar w:fldCharType="separate"/>
      </w:r>
      <w:r>
        <w:rPr>
          <w:rFonts w:hint="eastAsia" w:ascii="宋体" w:hAnsi="宋体" w:eastAsia="宋体"/>
          <w:color w:val="auto"/>
          <w:szCs w:val="24"/>
          <w:highlight w:val="none"/>
        </w:rPr>
        <w:t>7. 合同授予</w:t>
      </w:r>
      <w:r>
        <w:rPr>
          <w:color w:val="auto"/>
          <w:highlight w:val="none"/>
        </w:rPr>
        <w:tab/>
      </w:r>
      <w:r>
        <w:rPr>
          <w:color w:val="auto"/>
          <w:highlight w:val="none"/>
        </w:rPr>
        <w:fldChar w:fldCharType="begin"/>
      </w:r>
      <w:r>
        <w:rPr>
          <w:color w:val="auto"/>
          <w:highlight w:val="none"/>
        </w:rPr>
        <w:instrText xml:space="preserve"> PAGEREF _Toc10553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14:paraId="1D4BCA3F">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_Toc7745 </w:instrText>
      </w:r>
      <w:r>
        <w:rPr>
          <w:bCs/>
          <w:color w:val="auto"/>
          <w:highlight w:val="none"/>
          <w:lang w:val="zh-CN"/>
        </w:rPr>
        <w:fldChar w:fldCharType="separate"/>
      </w:r>
      <w:r>
        <w:rPr>
          <w:rFonts w:hint="eastAsia" w:ascii="宋体" w:hAnsi="宋体" w:eastAsia="宋体"/>
          <w:color w:val="auto"/>
          <w:szCs w:val="24"/>
          <w:highlight w:val="none"/>
        </w:rPr>
        <w:t>8. 重新招标和不再招标</w:t>
      </w:r>
      <w:r>
        <w:rPr>
          <w:color w:val="auto"/>
          <w:highlight w:val="none"/>
        </w:rPr>
        <w:tab/>
      </w:r>
      <w:r>
        <w:rPr>
          <w:color w:val="auto"/>
          <w:highlight w:val="none"/>
        </w:rPr>
        <w:fldChar w:fldCharType="begin"/>
      </w:r>
      <w:r>
        <w:rPr>
          <w:color w:val="auto"/>
          <w:highlight w:val="none"/>
        </w:rPr>
        <w:instrText xml:space="preserve"> PAGEREF _Toc7745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3DDB3085">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_Toc14945 </w:instrText>
      </w:r>
      <w:r>
        <w:rPr>
          <w:bCs/>
          <w:color w:val="auto"/>
          <w:highlight w:val="none"/>
          <w:lang w:val="zh-CN"/>
        </w:rPr>
        <w:fldChar w:fldCharType="separate"/>
      </w:r>
      <w:r>
        <w:rPr>
          <w:rFonts w:hint="eastAsia" w:ascii="宋体" w:hAnsi="宋体" w:eastAsia="宋体"/>
          <w:color w:val="auto"/>
          <w:szCs w:val="24"/>
          <w:highlight w:val="none"/>
        </w:rPr>
        <w:t>9. 纪律和监督</w:t>
      </w:r>
      <w:r>
        <w:rPr>
          <w:color w:val="auto"/>
          <w:highlight w:val="none"/>
        </w:rPr>
        <w:tab/>
      </w:r>
      <w:r>
        <w:rPr>
          <w:color w:val="auto"/>
          <w:highlight w:val="none"/>
        </w:rPr>
        <w:fldChar w:fldCharType="begin"/>
      </w:r>
      <w:r>
        <w:rPr>
          <w:color w:val="auto"/>
          <w:highlight w:val="none"/>
        </w:rPr>
        <w:instrText xml:space="preserve"> PAGEREF _Toc14945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2D022F75">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_Toc21661 </w:instrText>
      </w:r>
      <w:r>
        <w:rPr>
          <w:bCs/>
          <w:color w:val="auto"/>
          <w:highlight w:val="none"/>
          <w:lang w:val="zh-CN"/>
        </w:rPr>
        <w:fldChar w:fldCharType="separate"/>
      </w:r>
      <w:r>
        <w:rPr>
          <w:rFonts w:hint="eastAsia" w:ascii="宋体" w:hAnsi="宋体" w:eastAsia="宋体"/>
          <w:color w:val="auto"/>
          <w:szCs w:val="24"/>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_Toc21661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52360A6C">
      <w:pPr>
        <w:pStyle w:val="37"/>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_Toc1066 </w:instrText>
      </w:r>
      <w:r>
        <w:rPr>
          <w:bCs/>
          <w:color w:val="auto"/>
          <w:highlight w:val="none"/>
          <w:lang w:val="zh-CN"/>
        </w:rPr>
        <w:fldChar w:fldCharType="separate"/>
      </w:r>
      <w:r>
        <w:rPr>
          <w:rFonts w:hint="eastAsia" w:ascii="宋体" w:hAnsi="宋体" w:eastAsia="宋体"/>
          <w:color w:val="auto"/>
          <w:szCs w:val="24"/>
          <w:highlight w:val="none"/>
        </w:rPr>
        <w:t>11. 招标代理服务费</w:t>
      </w:r>
      <w:r>
        <w:rPr>
          <w:color w:val="auto"/>
          <w:highlight w:val="none"/>
        </w:rPr>
        <w:tab/>
      </w:r>
      <w:r>
        <w:rPr>
          <w:color w:val="auto"/>
          <w:highlight w:val="none"/>
        </w:rPr>
        <w:fldChar w:fldCharType="begin"/>
      </w:r>
      <w:r>
        <w:rPr>
          <w:color w:val="auto"/>
          <w:highlight w:val="none"/>
        </w:rPr>
        <w:instrText xml:space="preserve"> PAGEREF _Toc1066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66791551">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_Toc32462 </w:instrText>
      </w:r>
      <w:r>
        <w:rPr>
          <w:bCs/>
          <w:color w:val="auto"/>
          <w:highlight w:val="none"/>
          <w:lang w:val="zh-CN"/>
        </w:rPr>
        <w:fldChar w:fldCharType="separate"/>
      </w:r>
      <w:r>
        <w:rPr>
          <w:rFonts w:hint="eastAsia" w:ascii="宋体" w:hAnsi="宋体"/>
          <w:color w:val="auto"/>
          <w:kern w:val="0"/>
          <w:szCs w:val="32"/>
          <w:highlight w:val="none"/>
        </w:rPr>
        <w:t xml:space="preserve">第三章 </w:t>
      </w:r>
      <w:r>
        <w:rPr>
          <w:rFonts w:hint="eastAsia" w:ascii="宋体" w:hAnsi="宋体"/>
          <w:color w:val="auto"/>
          <w:kern w:val="0"/>
          <w:szCs w:val="32"/>
          <w:highlight w:val="none"/>
          <w:lang w:val="en-US" w:eastAsia="zh-CN"/>
        </w:rPr>
        <w:t>评标</w:t>
      </w:r>
      <w:r>
        <w:rPr>
          <w:rFonts w:hint="eastAsia" w:ascii="宋体" w:hAnsi="宋体"/>
          <w:color w:val="auto"/>
          <w:kern w:val="0"/>
          <w:szCs w:val="32"/>
          <w:highlight w:val="none"/>
        </w:rPr>
        <w:t>办法（评定分离）</w:t>
      </w:r>
      <w:r>
        <w:rPr>
          <w:color w:val="auto"/>
          <w:highlight w:val="none"/>
        </w:rPr>
        <w:tab/>
      </w:r>
      <w:r>
        <w:rPr>
          <w:color w:val="auto"/>
          <w:highlight w:val="none"/>
        </w:rPr>
        <w:fldChar w:fldCharType="begin"/>
      </w:r>
      <w:r>
        <w:rPr>
          <w:color w:val="auto"/>
          <w:highlight w:val="none"/>
        </w:rPr>
        <w:instrText xml:space="preserve"> PAGEREF _Toc32462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7F51DF8C">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_Toc14551 </w:instrText>
      </w:r>
      <w:r>
        <w:rPr>
          <w:bCs/>
          <w:color w:val="auto"/>
          <w:highlight w:val="none"/>
          <w:lang w:val="zh-CN"/>
        </w:rPr>
        <w:fldChar w:fldCharType="separate"/>
      </w:r>
      <w:r>
        <w:rPr>
          <w:rFonts w:hint="eastAsia" w:ascii="宋体" w:hAnsi="宋体"/>
          <w:color w:val="auto"/>
          <w:kern w:val="0"/>
          <w:szCs w:val="32"/>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46</w:t>
      </w:r>
      <w:r>
        <w:rPr>
          <w:color w:val="auto"/>
          <w:highlight w:val="none"/>
        </w:rPr>
        <w:fldChar w:fldCharType="end"/>
      </w:r>
      <w:r>
        <w:rPr>
          <w:bCs/>
          <w:color w:val="auto"/>
          <w:highlight w:val="none"/>
          <w:lang w:val="zh-CN"/>
        </w:rPr>
        <w:fldChar w:fldCharType="end"/>
      </w:r>
    </w:p>
    <w:p w14:paraId="2909A20B">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_Toc19434 </w:instrText>
      </w:r>
      <w:r>
        <w:rPr>
          <w:bCs/>
          <w:color w:val="auto"/>
          <w:highlight w:val="none"/>
          <w:lang w:val="zh-CN"/>
        </w:rPr>
        <w:fldChar w:fldCharType="separate"/>
      </w:r>
      <w:r>
        <w:rPr>
          <w:rFonts w:hint="eastAsia" w:eastAsia="宋体"/>
          <w:color w:val="auto"/>
          <w:szCs w:val="32"/>
          <w:highlight w:val="none"/>
          <w:lang w:eastAsia="zh-CN"/>
        </w:rPr>
        <w:t xml:space="preserve">第五章 </w:t>
      </w:r>
      <w:r>
        <w:rPr>
          <w:rFonts w:hint="eastAsia"/>
          <w:color w:val="auto"/>
          <w:szCs w:val="32"/>
          <w:highlight w:val="none"/>
          <w:lang w:eastAsia="zh-CN"/>
        </w:rPr>
        <w:t>技术标准、要求</w:t>
      </w:r>
      <w:r>
        <w:rPr>
          <w:color w:val="auto"/>
          <w:highlight w:val="none"/>
        </w:rPr>
        <w:tab/>
      </w:r>
      <w:r>
        <w:rPr>
          <w:color w:val="auto"/>
          <w:highlight w:val="none"/>
        </w:rPr>
        <w:fldChar w:fldCharType="begin"/>
      </w:r>
      <w:r>
        <w:rPr>
          <w:color w:val="auto"/>
          <w:highlight w:val="none"/>
        </w:rPr>
        <w:instrText xml:space="preserve"> PAGEREF _Toc19434 \h </w:instrText>
      </w:r>
      <w:r>
        <w:rPr>
          <w:color w:val="auto"/>
          <w:highlight w:val="none"/>
        </w:rPr>
        <w:fldChar w:fldCharType="separate"/>
      </w:r>
      <w:r>
        <w:rPr>
          <w:color w:val="auto"/>
          <w:highlight w:val="none"/>
        </w:rPr>
        <w:t>48</w:t>
      </w:r>
      <w:r>
        <w:rPr>
          <w:color w:val="auto"/>
          <w:highlight w:val="none"/>
        </w:rPr>
        <w:fldChar w:fldCharType="end"/>
      </w:r>
      <w:r>
        <w:rPr>
          <w:bCs/>
          <w:color w:val="auto"/>
          <w:highlight w:val="none"/>
          <w:lang w:val="zh-CN"/>
        </w:rPr>
        <w:fldChar w:fldCharType="end"/>
      </w:r>
    </w:p>
    <w:p w14:paraId="425F6AE7">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_Toc18469 </w:instrText>
      </w:r>
      <w:r>
        <w:rPr>
          <w:bCs/>
          <w:color w:val="auto"/>
          <w:highlight w:val="none"/>
          <w:lang w:val="zh-CN"/>
        </w:rPr>
        <w:fldChar w:fldCharType="separate"/>
      </w:r>
      <w:r>
        <w:rPr>
          <w:rFonts w:hint="eastAsia" w:ascii="宋体" w:hAnsi="宋体"/>
          <w:color w:val="auto"/>
          <w:kern w:val="0"/>
          <w:highlight w:val="none"/>
        </w:rPr>
        <w:t>第三卷</w:t>
      </w:r>
      <w:r>
        <w:rPr>
          <w:color w:val="auto"/>
          <w:highlight w:val="none"/>
        </w:rPr>
        <w:tab/>
      </w:r>
      <w:r>
        <w:rPr>
          <w:color w:val="auto"/>
          <w:highlight w:val="none"/>
        </w:rPr>
        <w:fldChar w:fldCharType="begin"/>
      </w:r>
      <w:r>
        <w:rPr>
          <w:color w:val="auto"/>
          <w:highlight w:val="none"/>
        </w:rPr>
        <w:instrText xml:space="preserve"> PAGEREF _Toc18469 \h </w:instrText>
      </w:r>
      <w:r>
        <w:rPr>
          <w:color w:val="auto"/>
          <w:highlight w:val="none"/>
        </w:rPr>
        <w:fldChar w:fldCharType="separate"/>
      </w:r>
      <w:r>
        <w:rPr>
          <w:color w:val="auto"/>
          <w:highlight w:val="none"/>
        </w:rPr>
        <w:t>49</w:t>
      </w:r>
      <w:r>
        <w:rPr>
          <w:color w:val="auto"/>
          <w:highlight w:val="none"/>
        </w:rPr>
        <w:fldChar w:fldCharType="end"/>
      </w:r>
      <w:r>
        <w:rPr>
          <w:bCs/>
          <w:color w:val="auto"/>
          <w:highlight w:val="none"/>
          <w:lang w:val="zh-CN"/>
        </w:rPr>
        <w:fldChar w:fldCharType="end"/>
      </w:r>
    </w:p>
    <w:p w14:paraId="5127FD22">
      <w:pPr>
        <w:pStyle w:val="31"/>
        <w:tabs>
          <w:tab w:val="right" w:leader="dot" w:pos="9746"/>
        </w:tabs>
        <w:rPr>
          <w:color w:val="auto"/>
          <w:highlight w:val="none"/>
        </w:rPr>
      </w:pPr>
      <w:r>
        <w:rPr>
          <w:bCs/>
          <w:color w:val="auto"/>
          <w:highlight w:val="none"/>
          <w:lang w:val="zh-CN"/>
        </w:rPr>
        <w:fldChar w:fldCharType="begin"/>
      </w:r>
      <w:r>
        <w:rPr>
          <w:bCs/>
          <w:color w:val="auto"/>
          <w:highlight w:val="none"/>
          <w:lang w:val="zh-CN"/>
        </w:rPr>
        <w:instrText xml:space="preserve"> HYPERLINK \l _Toc30736 </w:instrText>
      </w:r>
      <w:r>
        <w:rPr>
          <w:bCs/>
          <w:color w:val="auto"/>
          <w:highlight w:val="none"/>
          <w:lang w:val="zh-CN"/>
        </w:rPr>
        <w:fldChar w:fldCharType="separate"/>
      </w:r>
      <w:r>
        <w:rPr>
          <w:rFonts w:hint="eastAsia" w:ascii="宋体" w:hAnsi="宋体"/>
          <w:color w:val="auto"/>
          <w:kern w:val="0"/>
          <w:szCs w:val="32"/>
          <w:highlight w:val="none"/>
        </w:rPr>
        <w:t xml:space="preserve">第六章 </w:t>
      </w:r>
      <w:r>
        <w:rPr>
          <w:rFonts w:hint="eastAsia" w:ascii="宋体" w:hAnsi="宋体"/>
          <w:color w:val="auto"/>
          <w:kern w:val="0"/>
          <w:szCs w:val="32"/>
          <w:highlight w:val="none"/>
          <w:lang w:val="en-US" w:eastAsia="zh-CN"/>
        </w:rPr>
        <w:t>投标</w:t>
      </w:r>
      <w:r>
        <w:rPr>
          <w:rFonts w:hint="eastAsia" w:ascii="宋体" w:hAnsi="宋体"/>
          <w:color w:val="auto"/>
          <w:kern w:val="0"/>
          <w:szCs w:val="32"/>
          <w:highlight w:val="none"/>
          <w:lang w:eastAsia="zh-CN"/>
        </w:rPr>
        <w:t>文件（含定标文件）</w:t>
      </w:r>
      <w:r>
        <w:rPr>
          <w:rFonts w:hint="eastAsia" w:ascii="宋体" w:hAnsi="宋体"/>
          <w:color w:val="auto"/>
          <w:kern w:val="0"/>
          <w:szCs w:val="32"/>
          <w:highlight w:val="none"/>
        </w:rPr>
        <w:t>格式</w:t>
      </w:r>
      <w:r>
        <w:rPr>
          <w:color w:val="auto"/>
          <w:highlight w:val="none"/>
        </w:rPr>
        <w:tab/>
      </w:r>
      <w:r>
        <w:rPr>
          <w:color w:val="auto"/>
          <w:highlight w:val="none"/>
        </w:rPr>
        <w:fldChar w:fldCharType="begin"/>
      </w:r>
      <w:r>
        <w:rPr>
          <w:color w:val="auto"/>
          <w:highlight w:val="none"/>
        </w:rPr>
        <w:instrText xml:space="preserve"> PAGEREF _Toc30736 \h </w:instrText>
      </w:r>
      <w:r>
        <w:rPr>
          <w:color w:val="auto"/>
          <w:highlight w:val="none"/>
        </w:rPr>
        <w:fldChar w:fldCharType="separate"/>
      </w:r>
      <w:r>
        <w:rPr>
          <w:color w:val="auto"/>
          <w:highlight w:val="none"/>
        </w:rPr>
        <w:t>50</w:t>
      </w:r>
      <w:r>
        <w:rPr>
          <w:color w:val="auto"/>
          <w:highlight w:val="none"/>
        </w:rPr>
        <w:fldChar w:fldCharType="end"/>
      </w:r>
      <w:r>
        <w:rPr>
          <w:bCs/>
          <w:color w:val="auto"/>
          <w:highlight w:val="none"/>
          <w:lang w:val="zh-CN"/>
        </w:rPr>
        <w:fldChar w:fldCharType="end"/>
      </w:r>
    </w:p>
    <w:p w14:paraId="3F7E47A0">
      <w:pPr>
        <w:pStyle w:val="31"/>
        <w:tabs>
          <w:tab w:val="right" w:leader="dot" w:pos="9746"/>
        </w:tabs>
        <w:spacing w:line="360" w:lineRule="auto"/>
        <w:rPr>
          <w:rFonts w:hint="eastAsia"/>
          <w:color w:val="auto"/>
          <w:sz w:val="18"/>
          <w:szCs w:val="18"/>
          <w:highlight w:val="none"/>
          <w:lang w:val="zh-CN"/>
        </w:rPr>
        <w:sectPr>
          <w:pgSz w:w="11906" w:h="16838"/>
          <w:pgMar w:top="1440" w:right="1080" w:bottom="1440" w:left="1080" w:header="907" w:footer="850"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highlight w:val="none"/>
          <w:lang w:val="zh-CN"/>
        </w:rPr>
        <w:fldChar w:fldCharType="end"/>
      </w:r>
    </w:p>
    <w:p w14:paraId="7C9BD1AF">
      <w:pPr>
        <w:pStyle w:val="3"/>
        <w:pageBreakBefore/>
        <w:widowControl/>
        <w:kinsoku/>
        <w:overflowPunct/>
        <w:bidi w:val="0"/>
        <w:spacing w:before="0" w:beforeLines="0" w:after="0" w:afterLines="0" w:line="360" w:lineRule="auto"/>
        <w:jc w:val="center"/>
        <w:textAlignment w:val="auto"/>
        <w:rPr>
          <w:rFonts w:ascii="宋体" w:hAnsi="宋体"/>
          <w:color w:val="auto"/>
          <w:kern w:val="0"/>
          <w:highlight w:val="none"/>
        </w:rPr>
      </w:pPr>
      <w:bookmarkStart w:id="1" w:name="_Toc25517"/>
      <w:bookmarkStart w:id="2" w:name="_Toc508286539"/>
      <w:bookmarkStart w:id="3" w:name="_Toc28412"/>
      <w:bookmarkStart w:id="4" w:name="_Toc7067"/>
      <w:bookmarkStart w:id="5" w:name="_Toc9521"/>
      <w:r>
        <w:rPr>
          <w:rFonts w:hint="eastAsia" w:ascii="宋体" w:hAnsi="宋体"/>
          <w:color w:val="auto"/>
          <w:kern w:val="0"/>
          <w:highlight w:val="none"/>
        </w:rPr>
        <w:t>第一卷</w:t>
      </w:r>
      <w:bookmarkEnd w:id="1"/>
      <w:bookmarkEnd w:id="2"/>
      <w:bookmarkEnd w:id="3"/>
      <w:bookmarkEnd w:id="4"/>
      <w:bookmarkEnd w:id="5"/>
    </w:p>
    <w:p w14:paraId="613800E3">
      <w:pPr>
        <w:pStyle w:val="3"/>
        <w:pageBreakBefore/>
        <w:widowControl/>
        <w:numPr>
          <w:ilvl w:val="0"/>
          <w:numId w:val="3"/>
        </w:numPr>
        <w:kinsoku/>
        <w:overflowPunct/>
        <w:bidi w:val="0"/>
        <w:spacing w:before="0" w:beforeLines="0" w:after="0" w:afterLines="0" w:line="360" w:lineRule="auto"/>
        <w:jc w:val="center"/>
        <w:textAlignment w:val="auto"/>
        <w:rPr>
          <w:rFonts w:hint="eastAsia" w:ascii="宋体" w:hAnsi="宋体"/>
          <w:color w:val="auto"/>
          <w:kern w:val="0"/>
          <w:sz w:val="30"/>
          <w:szCs w:val="30"/>
          <w:highlight w:val="none"/>
          <w:lang w:eastAsia="zh-CN"/>
        </w:rPr>
        <w:sectPr>
          <w:headerReference r:id="rId4" w:type="default"/>
          <w:footerReference r:id="rId5" w:type="default"/>
          <w:pgSz w:w="11906" w:h="16838"/>
          <w:pgMar w:top="1440" w:right="1080" w:bottom="1440" w:left="1080" w:header="964" w:footer="992" w:gutter="0"/>
          <w:pgNumType w:fmt="decimal" w:start="1"/>
          <w:cols w:space="720" w:num="1"/>
          <w:docGrid w:type="lines" w:linePitch="312" w:charSpace="0"/>
        </w:sectPr>
      </w:pPr>
    </w:p>
    <w:p w14:paraId="57ADFFAF">
      <w:pPr>
        <w:pStyle w:val="3"/>
        <w:numPr>
          <w:ilvl w:val="0"/>
          <w:numId w:val="4"/>
        </w:numPr>
        <w:kinsoku/>
        <w:overflowPunct/>
        <w:bidi w:val="0"/>
        <w:spacing w:before="0" w:after="0" w:line="360" w:lineRule="auto"/>
        <w:jc w:val="center"/>
        <w:textAlignment w:val="auto"/>
        <w:rPr>
          <w:rFonts w:hint="eastAsia"/>
          <w:color w:val="auto"/>
          <w:sz w:val="32"/>
          <w:szCs w:val="32"/>
          <w:highlight w:val="none"/>
        </w:rPr>
      </w:pPr>
      <w:bookmarkStart w:id="6" w:name="_Toc6436"/>
      <w:r>
        <w:rPr>
          <w:rFonts w:hint="eastAsia"/>
          <w:color w:val="auto"/>
          <w:sz w:val="32"/>
          <w:szCs w:val="32"/>
          <w:highlight w:val="none"/>
        </w:rPr>
        <w:t>招标公告</w:t>
      </w:r>
      <w:bookmarkEnd w:id="6"/>
    </w:p>
    <w:p w14:paraId="7126002B">
      <w:pPr>
        <w:keepNext w:val="0"/>
        <w:keepLines w:val="0"/>
        <w:pageBreakBefore w:val="0"/>
        <w:kinsoku/>
        <w:overflowPunct/>
        <w:bidi w:val="0"/>
        <w:snapToGrid/>
        <w:spacing w:line="360" w:lineRule="auto"/>
        <w:ind w:left="432" w:hanging="432"/>
        <w:jc w:val="center"/>
        <w:textAlignment w:val="auto"/>
        <w:outlineLvl w:val="9"/>
        <w:rPr>
          <w:rFonts w:hint="eastAsia" w:ascii="宋体" w:hAnsi="宋体" w:cs="宋体"/>
          <w:b/>
          <w:color w:val="auto"/>
          <w:sz w:val="32"/>
          <w:szCs w:val="32"/>
          <w:highlight w:val="none"/>
          <w:lang w:eastAsia="zh-CN"/>
        </w:rPr>
      </w:pPr>
      <w:bookmarkStart w:id="7" w:name="_Toc22435"/>
      <w:bookmarkStart w:id="8" w:name="_Toc14253"/>
      <w:bookmarkStart w:id="9" w:name="_Toc6995"/>
      <w:bookmarkStart w:id="10" w:name="_Toc6131"/>
      <w:bookmarkStart w:id="11" w:name="_Toc2362"/>
      <w:bookmarkStart w:id="12" w:name="_Toc31603"/>
      <w:bookmarkStart w:id="13" w:name="_Toc503190116"/>
      <w:r>
        <w:rPr>
          <w:rFonts w:hint="eastAsia" w:ascii="宋体" w:hAnsi="宋体" w:cs="宋体"/>
          <w:b/>
          <w:color w:val="auto"/>
          <w:sz w:val="32"/>
          <w:szCs w:val="32"/>
          <w:highlight w:val="none"/>
          <w:lang w:eastAsia="zh-CN"/>
        </w:rPr>
        <w:t>500千伏番南输变电工程（变电站建筑）监理服务</w:t>
      </w:r>
    </w:p>
    <w:p w14:paraId="4038A742">
      <w:pPr>
        <w:keepNext w:val="0"/>
        <w:keepLines w:val="0"/>
        <w:pageBreakBefore w:val="0"/>
        <w:kinsoku/>
        <w:overflowPunct/>
        <w:bidi w:val="0"/>
        <w:snapToGrid/>
        <w:spacing w:line="360" w:lineRule="auto"/>
        <w:ind w:left="432" w:hanging="432"/>
        <w:jc w:val="center"/>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w:t>
      </w:r>
      <w:bookmarkEnd w:id="7"/>
      <w:bookmarkEnd w:id="8"/>
      <w:bookmarkEnd w:id="9"/>
      <w:bookmarkEnd w:id="10"/>
      <w:bookmarkEnd w:id="11"/>
      <w:r>
        <w:rPr>
          <w:rFonts w:hint="eastAsia" w:ascii="宋体" w:hAnsi="宋体" w:eastAsia="宋体" w:cs="宋体"/>
          <w:b/>
          <w:color w:val="auto"/>
          <w:sz w:val="32"/>
          <w:szCs w:val="32"/>
          <w:highlight w:val="none"/>
        </w:rPr>
        <w:t>公告</w:t>
      </w:r>
      <w:bookmarkEnd w:id="12"/>
      <w:bookmarkEnd w:id="13"/>
    </w:p>
    <w:p w14:paraId="1777A58B">
      <w:pPr>
        <w:keepNext w:val="0"/>
        <w:keepLines w:val="0"/>
        <w:pageBreakBefore w:val="0"/>
        <w:tabs>
          <w:tab w:val="left" w:pos="2127"/>
        </w:tabs>
        <w:kinsoku/>
        <w:wordWrap/>
        <w:overflowPunct/>
        <w:topLinePunct w:val="0"/>
        <w:autoSpaceDE/>
        <w:autoSpaceDN/>
        <w:bidi w:val="0"/>
        <w:adjustRightInd/>
        <w:snapToGrid/>
        <w:spacing w:line="312" w:lineRule="auto"/>
        <w:jc w:val="left"/>
        <w:textAlignment w:val="auto"/>
        <w:rPr>
          <w:rFonts w:hint="eastAsia" w:ascii="宋体" w:hAnsi="宋体" w:eastAsia="宋体" w:cs="宋体"/>
          <w:b/>
          <w:bCs/>
          <w:color w:val="auto"/>
          <w:szCs w:val="21"/>
          <w:highlight w:val="none"/>
          <w:shd w:val="clear" w:color="auto" w:fill="FFFFFF"/>
        </w:rPr>
      </w:pPr>
      <w:bookmarkStart w:id="14" w:name="_Toc12437"/>
    </w:p>
    <w:p w14:paraId="58C16F53">
      <w:pPr>
        <w:keepNext w:val="0"/>
        <w:keepLines w:val="0"/>
        <w:pageBreakBefore w:val="0"/>
        <w:tabs>
          <w:tab w:val="left" w:pos="2127"/>
        </w:tabs>
        <w:kinsoku/>
        <w:wordWrap/>
        <w:overflowPunct/>
        <w:topLinePunct w:val="0"/>
        <w:autoSpaceDE/>
        <w:autoSpaceDN/>
        <w:bidi w:val="0"/>
        <w:adjustRightInd/>
        <w:snapToGrid/>
        <w:spacing w:line="312" w:lineRule="auto"/>
        <w:jc w:val="left"/>
        <w:textAlignment w:val="auto"/>
        <w:rPr>
          <w:rFonts w:hint="eastAsia" w:ascii="宋体" w:hAnsi="宋体" w:eastAsia="宋体" w:cs="宋体"/>
          <w:b/>
          <w:bCs/>
          <w:color w:val="auto"/>
          <w:szCs w:val="21"/>
          <w:highlight w:val="none"/>
          <w:shd w:val="clear" w:color="auto" w:fill="FFFFFF"/>
        </w:rPr>
      </w:pPr>
      <w:r>
        <w:rPr>
          <w:rFonts w:hint="eastAsia" w:ascii="宋体" w:hAnsi="宋体" w:eastAsia="宋体" w:cs="宋体"/>
          <w:b/>
          <w:bCs/>
          <w:color w:val="auto"/>
          <w:szCs w:val="21"/>
          <w:highlight w:val="none"/>
          <w:shd w:val="clear" w:color="auto" w:fill="FFFFFF"/>
        </w:rPr>
        <w:t>1.</w:t>
      </w:r>
      <w:r>
        <w:rPr>
          <w:rFonts w:hint="eastAsia" w:ascii="宋体" w:hAnsi="宋体" w:eastAsia="宋体" w:cs="宋体"/>
          <w:b/>
          <w:bCs/>
          <w:color w:val="auto"/>
          <w:szCs w:val="21"/>
          <w:highlight w:val="none"/>
          <w:shd w:val="clear" w:color="auto" w:fill="FFFFFF"/>
          <w:lang w:val="en-US" w:eastAsia="zh-CN"/>
        </w:rPr>
        <w:t>招标</w:t>
      </w:r>
      <w:r>
        <w:rPr>
          <w:rFonts w:hint="eastAsia" w:ascii="宋体" w:hAnsi="宋体" w:eastAsia="宋体" w:cs="宋体"/>
          <w:b/>
          <w:bCs/>
          <w:color w:val="auto"/>
          <w:szCs w:val="21"/>
          <w:highlight w:val="none"/>
          <w:shd w:val="clear" w:color="auto" w:fill="FFFFFF"/>
        </w:rPr>
        <w:t>条件</w:t>
      </w:r>
    </w:p>
    <w:p w14:paraId="2443184C">
      <w:pPr>
        <w:keepNext w:val="0"/>
        <w:keepLines w:val="0"/>
        <w:pageBreakBefore w:val="0"/>
        <w:tabs>
          <w:tab w:val="left" w:pos="2127"/>
        </w:tabs>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本招标</w:t>
      </w:r>
      <w:r>
        <w:rPr>
          <w:rFonts w:hint="eastAsia" w:ascii="宋体" w:hAnsi="宋体" w:eastAsia="宋体" w:cs="宋体"/>
          <w:color w:val="auto"/>
          <w:szCs w:val="21"/>
          <w:highlight w:val="none"/>
        </w:rPr>
        <w:t>项目</w:t>
      </w:r>
      <w:r>
        <w:rPr>
          <w:rFonts w:hint="eastAsia" w:ascii="宋体" w:hAnsi="宋体" w:cs="宋体"/>
          <w:color w:val="auto"/>
          <w:szCs w:val="21"/>
          <w:highlight w:val="none"/>
          <w:u w:val="single"/>
          <w:lang w:eastAsia="zh-CN"/>
        </w:rPr>
        <w:t>500千伏番南输变电工程（变电站建筑）监理服务</w:t>
      </w:r>
      <w:r>
        <w:rPr>
          <w:rFonts w:hint="eastAsia" w:ascii="宋体" w:hAnsi="宋体" w:eastAsia="宋体" w:cs="宋体"/>
          <w:color w:val="auto"/>
          <w:szCs w:val="21"/>
          <w:highlight w:val="none"/>
        </w:rPr>
        <w:t>，招标</w:t>
      </w:r>
      <w:r>
        <w:rPr>
          <w:rFonts w:hint="eastAsia" w:ascii="宋体" w:hAnsi="宋体" w:eastAsia="宋体" w:cs="宋体"/>
          <w:color w:val="auto"/>
          <w:szCs w:val="21"/>
          <w:highlight w:val="none"/>
          <w:lang w:eastAsia="zh-CN"/>
        </w:rPr>
        <w:t>人</w:t>
      </w:r>
      <w:r>
        <w:rPr>
          <w:rFonts w:hint="eastAsia" w:ascii="宋体" w:hAnsi="宋体" w:eastAsia="宋体" w:cs="宋体"/>
          <w:color w:val="auto"/>
          <w:szCs w:val="21"/>
          <w:highlight w:val="none"/>
        </w:rPr>
        <w:t>为</w:t>
      </w:r>
      <w:r>
        <w:rPr>
          <w:rFonts w:hint="eastAsia" w:ascii="宋体" w:hAnsi="宋体" w:cs="宋体"/>
          <w:color w:val="auto"/>
          <w:szCs w:val="21"/>
          <w:highlight w:val="none"/>
          <w:u w:val="single"/>
          <w:lang w:eastAsia="zh-CN"/>
        </w:rPr>
        <w:t>广州市番南能源有限公司</w:t>
      </w:r>
      <w:r>
        <w:rPr>
          <w:rFonts w:hint="eastAsia" w:ascii="宋体" w:hAnsi="宋体" w:cs="宋体"/>
          <w:color w:val="auto"/>
          <w:szCs w:val="21"/>
          <w:highlight w:val="none"/>
          <w:u w:val="none"/>
          <w:lang w:eastAsia="zh-CN"/>
        </w:rPr>
        <w:t>，</w:t>
      </w:r>
      <w:r>
        <w:rPr>
          <w:rFonts w:hint="eastAsia" w:ascii="宋体" w:hAnsi="宋体" w:eastAsia="宋体" w:cs="宋体"/>
          <w:color w:val="auto"/>
          <w:szCs w:val="21"/>
          <w:highlight w:val="none"/>
          <w:lang w:val="en-US" w:eastAsia="zh-CN"/>
        </w:rPr>
        <w:t>资金已落实</w:t>
      </w:r>
      <w:r>
        <w:rPr>
          <w:rFonts w:hint="eastAsia" w:ascii="宋体" w:hAnsi="宋体" w:eastAsia="宋体" w:cs="宋体"/>
          <w:color w:val="auto"/>
          <w:szCs w:val="21"/>
          <w:highlight w:val="none"/>
        </w:rPr>
        <w:t>。项目已具备招标条件，现对该项目进行</w:t>
      </w:r>
      <w:r>
        <w:rPr>
          <w:rFonts w:hint="eastAsia" w:ascii="宋体" w:hAnsi="宋体" w:eastAsia="宋体" w:cs="宋体"/>
          <w:strike w:val="0"/>
          <w:dstrike w:val="0"/>
          <w:color w:val="auto"/>
          <w:szCs w:val="21"/>
          <w:highlight w:val="none"/>
          <w:u w:val="single"/>
          <w:lang w:val="en-US" w:eastAsia="zh-CN"/>
        </w:rPr>
        <w:t>公开招标</w:t>
      </w:r>
      <w:r>
        <w:rPr>
          <w:rFonts w:hint="eastAsia" w:ascii="宋体" w:hAnsi="宋体" w:eastAsia="宋体" w:cs="宋体"/>
          <w:color w:val="auto"/>
          <w:szCs w:val="21"/>
          <w:highlight w:val="none"/>
        </w:rPr>
        <w:t>。</w:t>
      </w:r>
    </w:p>
    <w:bookmarkEnd w:id="14"/>
    <w:p w14:paraId="29186395">
      <w:pPr>
        <w:kinsoku/>
        <w:overflowPunct/>
        <w:bidi w:val="0"/>
        <w:spacing w:line="360" w:lineRule="auto"/>
        <w:outlineLvl w:val="9"/>
        <w:rPr>
          <w:rFonts w:hint="eastAsia" w:ascii="宋体" w:hAnsi="宋体" w:cs="宋体"/>
          <w:b/>
          <w:bCs/>
          <w:color w:val="auto"/>
          <w:szCs w:val="21"/>
          <w:highlight w:val="none"/>
        </w:rPr>
      </w:pPr>
      <w:bookmarkStart w:id="15" w:name="_Toc25946"/>
      <w:r>
        <w:rPr>
          <w:rFonts w:hint="eastAsia" w:ascii="宋体" w:hAnsi="宋体" w:cs="宋体"/>
          <w:b/>
          <w:bCs/>
          <w:color w:val="auto"/>
          <w:szCs w:val="21"/>
          <w:highlight w:val="none"/>
          <w:lang w:val="en-US" w:eastAsia="zh-CN"/>
        </w:rPr>
        <w:t>2.项目概况和招标范围</w:t>
      </w:r>
    </w:p>
    <w:p w14:paraId="35E38304">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2.1项目地点：广州市番禺区</w:t>
      </w:r>
    </w:p>
    <w:p w14:paraId="0AC83985">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2.2合同估算金额（采购预算金额）：500万元，含6%税。</w:t>
      </w:r>
    </w:p>
    <w:p w14:paraId="5E443C73">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2.3项目概况（工程项目规模）：</w:t>
      </w:r>
    </w:p>
    <w:p w14:paraId="6F670D54">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 xml:space="preserve">2.3.1 </w:t>
      </w:r>
      <w:r>
        <w:rPr>
          <w:rFonts w:hint="eastAsia" w:ascii="宋体" w:hAnsi="宋体" w:eastAsia="宋体" w:cs="宋体"/>
          <w:b w:val="0"/>
          <w:bCs w:val="0"/>
          <w:color w:val="auto"/>
          <w:kern w:val="2"/>
          <w:sz w:val="21"/>
          <w:szCs w:val="21"/>
          <w:highlight w:val="none"/>
          <w:lang w:val="en-US" w:eastAsia="zh-CN" w:bidi="ar-SA"/>
        </w:rPr>
        <w:t>工程建设地点：广州市番禺区东南部石楼镇南派村。</w:t>
      </w:r>
    </w:p>
    <w:p w14:paraId="32F72756">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 xml:space="preserve">2.3.2 </w:t>
      </w:r>
      <w:r>
        <w:rPr>
          <w:rFonts w:hint="eastAsia" w:ascii="宋体" w:hAnsi="宋体" w:eastAsia="宋体" w:cs="宋体"/>
          <w:b w:val="0"/>
          <w:bCs w:val="0"/>
          <w:color w:val="auto"/>
          <w:kern w:val="2"/>
          <w:sz w:val="21"/>
          <w:szCs w:val="21"/>
          <w:highlight w:val="none"/>
          <w:lang w:val="en-US" w:eastAsia="zh-CN" w:bidi="ar-SA"/>
        </w:rPr>
        <w:t>500kV番南输变电工程：番南能源科技基地开发用地红线范围内需配套建设500kV傍海（番南）变电站 1 座，用地面积约为34505平方米，总建筑面积约为15889平方米，变电站基底面积约为5390平方米（最终以规划批复文件为准）。本项目为500kV傍海（番南）变电站的建、构筑物土建工程，及开发项目红线内建设的开发项目配套变电站进出线电缆管沟土建工程。具体建设规模以施工图纸为准。</w:t>
      </w:r>
    </w:p>
    <w:p w14:paraId="483116C6">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2.4招标范围（监理范围）：勘察设计（如需）、施工准备（不含三通一平）、施工（含通信）、竣工结算、缺陷责任期、电子化移交的全过程监理，以及初步设计概算（或施工图预算）中监理计费范围以外但与工程相关的监理工作。按照建设单位要求使用工程信息管理系统 。具体项目根据实际工程进度开展监理工作。</w:t>
      </w:r>
    </w:p>
    <w:p w14:paraId="79ECBB25">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2.5监理服务期限：406日（计划开始监理日期： 2025年11月20日 ，计划完成监理日期： 2026年12月30日 ，实际日期按照委托人在开始监理通知中载明的开始监理日期、竣工日期为准）。</w:t>
      </w:r>
    </w:p>
    <w:p w14:paraId="1B5D498F">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2.6资格审查方式：资格后审</w:t>
      </w:r>
    </w:p>
    <w:p w14:paraId="49C3B9FA">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2.7采购类别：</w:t>
      </w:r>
      <w:r>
        <w:rPr>
          <w:rFonts w:hint="eastAsia" w:ascii="宋体" w:hAnsi="宋体" w:cs="宋体"/>
          <w:b w:val="0"/>
          <w:bCs w:val="0"/>
          <w:color w:val="auto"/>
          <w:kern w:val="2"/>
          <w:sz w:val="21"/>
          <w:szCs w:val="21"/>
          <w:highlight w:val="none"/>
          <w:lang w:val="en-US" w:eastAsia="zh-CN" w:bidi="ar-SA"/>
        </w:rPr>
        <w:t>服务</w:t>
      </w:r>
      <w:r>
        <w:rPr>
          <w:rFonts w:hint="eastAsia" w:ascii="宋体" w:hAnsi="宋体" w:eastAsia="宋体" w:cs="宋体"/>
          <w:b w:val="0"/>
          <w:bCs w:val="0"/>
          <w:color w:val="auto"/>
          <w:kern w:val="2"/>
          <w:sz w:val="21"/>
          <w:szCs w:val="21"/>
          <w:highlight w:val="none"/>
          <w:lang w:val="en-US" w:eastAsia="zh-CN" w:bidi="ar-SA"/>
        </w:rPr>
        <w:t>类</w:t>
      </w:r>
    </w:p>
    <w:p w14:paraId="53E7041F">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2.8招标相关要求：</w:t>
      </w:r>
    </w:p>
    <w:p w14:paraId="1D2904AA">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监理目标：</w:t>
      </w:r>
    </w:p>
    <w:p w14:paraId="5AC0F5FC">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质量控制目标:规范达标、绿色可靠、文档齐全、零缺陷作为质量总体目标。杜绝重大设备一般及以上质量事故，确保工程无永久性缺陷。满足国家、行业、中国南方电网有限责任公司质量标准、控制标准和验收规范，在质量管理过程中达到或超过质量标准，通过各级验收合格并完成启动投产。</w:t>
      </w:r>
    </w:p>
    <w:p w14:paraId="69CDD6DE">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安全控制目标：杜绝人身死亡事故、杜绝人身重伤事故。杜绝重大设备、一般及以上质量事故，确保工程“零缺陷”投运。</w:t>
      </w:r>
    </w:p>
    <w:p w14:paraId="3B4722E9">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现场文明施工目标：按照《中国南方电网有限责任公司基建安全管理业务指导书》的要求和标准布置施工现场的文明施工设施，根据《广东电网有限责任公司作业现场智慧安全监督办法》的要求开展作业现场智慧安全监督工作，创造良好和规范的安全文明施工环境。按中国南方电网有限责任公司及工程所在地电网公司有关要求和标准。</w:t>
      </w:r>
    </w:p>
    <w:p w14:paraId="2736F2E8">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造价控制目标：工程总投资控制在批准的预算之内。满足南方电网公司标准设计和典型造价、绿色电网建设行动指南要求。</w:t>
      </w:r>
    </w:p>
    <w:p w14:paraId="3FC2E2EB">
      <w:pPr>
        <w:pStyle w:val="43"/>
        <w:keepNext w:val="0"/>
        <w:keepLines w:val="0"/>
        <w:pageBreakBefore w:val="0"/>
        <w:widowControl w:val="0"/>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2.9标段划分：划分为1个标段，详见下表。</w:t>
      </w:r>
    </w:p>
    <w:bookmarkEnd w:id="15"/>
    <w:tbl>
      <w:tblPr>
        <w:tblStyle w:val="46"/>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2"/>
        <w:gridCol w:w="998"/>
        <w:gridCol w:w="752"/>
        <w:gridCol w:w="752"/>
        <w:gridCol w:w="728"/>
        <w:gridCol w:w="708"/>
        <w:gridCol w:w="1050"/>
        <w:gridCol w:w="3510"/>
        <w:gridCol w:w="979"/>
      </w:tblGrid>
      <w:tr w14:paraId="35A1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tblHeader/>
          <w:jc w:val="center"/>
        </w:trPr>
        <w:tc>
          <w:tcPr>
            <w:tcW w:w="323" w:type="dxa"/>
            <w:noWrap w:val="0"/>
            <w:vAlign w:val="center"/>
          </w:tcPr>
          <w:p w14:paraId="3737605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rPr>
            </w:pPr>
            <w:bookmarkStart w:id="16" w:name="_Toc32043"/>
            <w:r>
              <w:rPr>
                <w:rFonts w:hint="eastAsia" w:ascii="宋体" w:hAnsi="宋体" w:eastAsia="宋体" w:cs="宋体"/>
                <w:b/>
                <w:bCs/>
                <w:color w:val="auto"/>
                <w:sz w:val="21"/>
                <w:szCs w:val="21"/>
                <w:highlight w:val="none"/>
                <w:u w:val="none"/>
              </w:rPr>
              <w:t>序号</w:t>
            </w:r>
          </w:p>
        </w:tc>
        <w:tc>
          <w:tcPr>
            <w:tcW w:w="997" w:type="dxa"/>
            <w:noWrap w:val="0"/>
            <w:vAlign w:val="center"/>
          </w:tcPr>
          <w:p w14:paraId="340533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标段名称</w:t>
            </w:r>
          </w:p>
        </w:tc>
        <w:tc>
          <w:tcPr>
            <w:tcW w:w="751" w:type="dxa"/>
            <w:noWrap w:val="0"/>
            <w:vAlign w:val="center"/>
          </w:tcPr>
          <w:p w14:paraId="207021C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rPr>
            </w:pPr>
            <w:r>
              <w:rPr>
                <w:rFonts w:hint="eastAsia" w:ascii="宋体" w:hAnsi="宋体" w:cs="宋体"/>
                <w:b/>
                <w:bCs/>
                <w:color w:val="auto"/>
                <w:sz w:val="21"/>
                <w:szCs w:val="21"/>
                <w:highlight w:val="none"/>
                <w:u w:val="none"/>
                <w:lang w:val="en-US" w:eastAsia="zh-CN"/>
              </w:rPr>
              <w:t>合同估算金额</w:t>
            </w:r>
            <w:r>
              <w:rPr>
                <w:rFonts w:hint="eastAsia" w:ascii="宋体" w:hAnsi="宋体" w:eastAsia="宋体" w:cs="宋体"/>
                <w:b/>
                <w:bCs/>
                <w:color w:val="auto"/>
                <w:sz w:val="21"/>
                <w:szCs w:val="21"/>
                <w:highlight w:val="none"/>
                <w:u w:val="none"/>
              </w:rPr>
              <w:t>（万元）</w:t>
            </w:r>
          </w:p>
        </w:tc>
        <w:tc>
          <w:tcPr>
            <w:tcW w:w="751" w:type="dxa"/>
            <w:noWrap w:val="0"/>
            <w:vAlign w:val="center"/>
          </w:tcPr>
          <w:p w14:paraId="452CF41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最高限价</w:t>
            </w:r>
          </w:p>
          <w:p w14:paraId="46FD5FE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rPr>
              <w:t>（万元）</w:t>
            </w:r>
          </w:p>
        </w:tc>
        <w:tc>
          <w:tcPr>
            <w:tcW w:w="727" w:type="dxa"/>
            <w:noWrap w:val="0"/>
            <w:vAlign w:val="center"/>
          </w:tcPr>
          <w:p w14:paraId="07BC4E1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b/>
                <w:bCs/>
                <w:color w:val="auto"/>
                <w:sz w:val="21"/>
                <w:szCs w:val="21"/>
                <w:highlight w:val="none"/>
                <w:u w:val="none"/>
                <w:lang w:val="en-US" w:eastAsia="zh-CN"/>
              </w:rPr>
              <w:t>中标人</w:t>
            </w:r>
            <w:r>
              <w:rPr>
                <w:rFonts w:hint="eastAsia" w:ascii="宋体" w:hAnsi="宋体" w:eastAsia="宋体" w:cs="宋体"/>
                <w:b/>
                <w:bCs/>
                <w:color w:val="auto"/>
                <w:sz w:val="21"/>
                <w:szCs w:val="21"/>
                <w:highlight w:val="none"/>
                <w:u w:val="none"/>
              </w:rPr>
              <w:t>数量</w:t>
            </w:r>
            <w:r>
              <w:rPr>
                <w:rFonts w:hint="eastAsia" w:ascii="宋体" w:hAnsi="宋体" w:eastAsia="宋体" w:cs="宋体"/>
                <w:b/>
                <w:bCs/>
                <w:color w:val="auto"/>
                <w:sz w:val="21"/>
                <w:szCs w:val="21"/>
                <w:highlight w:val="none"/>
                <w:u w:val="none"/>
                <w:lang w:val="en-US" w:eastAsia="zh-CN"/>
              </w:rPr>
              <w:t>N</w:t>
            </w:r>
          </w:p>
        </w:tc>
        <w:tc>
          <w:tcPr>
            <w:tcW w:w="707" w:type="dxa"/>
            <w:noWrap w:val="0"/>
            <w:vAlign w:val="center"/>
          </w:tcPr>
          <w:p w14:paraId="0A5F7A4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eastAsia="zh-CN"/>
              </w:rPr>
            </w:pPr>
            <w:r>
              <w:rPr>
                <w:rFonts w:hint="eastAsia" w:ascii="宋体" w:hAnsi="宋体" w:cs="宋体"/>
                <w:b/>
                <w:bCs/>
                <w:color w:val="auto"/>
                <w:sz w:val="21"/>
                <w:szCs w:val="21"/>
                <w:highlight w:val="none"/>
                <w:u w:val="none"/>
                <w:lang w:val="en-US" w:eastAsia="zh-CN"/>
              </w:rPr>
              <w:t>中标比例</w:t>
            </w:r>
          </w:p>
        </w:tc>
        <w:tc>
          <w:tcPr>
            <w:tcW w:w="1049" w:type="dxa"/>
            <w:noWrap w:val="0"/>
            <w:vAlign w:val="center"/>
          </w:tcPr>
          <w:p w14:paraId="49912C1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报价方式</w:t>
            </w:r>
          </w:p>
        </w:tc>
        <w:tc>
          <w:tcPr>
            <w:tcW w:w="3506" w:type="dxa"/>
            <w:noWrap w:val="0"/>
            <w:vAlign w:val="center"/>
          </w:tcPr>
          <w:p w14:paraId="0666F7E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结算方式</w:t>
            </w:r>
          </w:p>
        </w:tc>
        <w:tc>
          <w:tcPr>
            <w:tcW w:w="978" w:type="dxa"/>
            <w:noWrap w:val="0"/>
            <w:vAlign w:val="center"/>
          </w:tcPr>
          <w:p w14:paraId="38D779C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color w:val="auto"/>
                <w:sz w:val="21"/>
                <w:szCs w:val="21"/>
                <w:highlight w:val="none"/>
                <w:u w:val="none"/>
              </w:rPr>
            </w:pPr>
            <w:r>
              <w:rPr>
                <w:rFonts w:hint="eastAsia" w:ascii="宋体" w:hAnsi="宋体" w:eastAsia="宋体" w:cs="宋体"/>
                <w:b/>
                <w:color w:val="auto"/>
                <w:sz w:val="21"/>
                <w:szCs w:val="21"/>
                <w:highlight w:val="none"/>
                <w:u w:val="none"/>
              </w:rPr>
              <w:t>备注</w:t>
            </w:r>
          </w:p>
        </w:tc>
      </w:tr>
      <w:tr w14:paraId="21EB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5" w:hRule="atLeast"/>
          <w:jc w:val="center"/>
        </w:trPr>
        <w:tc>
          <w:tcPr>
            <w:tcW w:w="323" w:type="dxa"/>
            <w:noWrap w:val="0"/>
            <w:vAlign w:val="center"/>
          </w:tcPr>
          <w:p w14:paraId="42910AA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997" w:type="dxa"/>
            <w:noWrap w:val="0"/>
            <w:vAlign w:val="center"/>
          </w:tcPr>
          <w:p w14:paraId="4039806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500千伏番南输变电工程（变电站建筑）监理服务</w:t>
            </w:r>
          </w:p>
        </w:tc>
        <w:tc>
          <w:tcPr>
            <w:tcW w:w="751" w:type="dxa"/>
            <w:noWrap w:val="0"/>
            <w:vAlign w:val="center"/>
          </w:tcPr>
          <w:p w14:paraId="7D93A1E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751" w:type="dxa"/>
            <w:noWrap w:val="0"/>
            <w:vAlign w:val="center"/>
          </w:tcPr>
          <w:p w14:paraId="3B3E918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12" w:lineRule="auto"/>
              <w:ind w:left="0" w:leftChars="0" w:right="0" w:right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w:t>
            </w:r>
          </w:p>
        </w:tc>
        <w:tc>
          <w:tcPr>
            <w:tcW w:w="727" w:type="dxa"/>
            <w:noWrap w:val="0"/>
            <w:vAlign w:val="center"/>
          </w:tcPr>
          <w:p w14:paraId="0A4727B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1</w:t>
            </w:r>
          </w:p>
        </w:tc>
        <w:tc>
          <w:tcPr>
            <w:tcW w:w="707" w:type="dxa"/>
            <w:noWrap w:val="0"/>
            <w:vAlign w:val="center"/>
          </w:tcPr>
          <w:p w14:paraId="2217BE4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第1</w:t>
            </w:r>
            <w:r>
              <w:rPr>
                <w:rFonts w:hint="eastAsia" w:ascii="宋体" w:hAnsi="宋体" w:cs="宋体"/>
                <w:color w:val="auto"/>
                <w:sz w:val="21"/>
                <w:szCs w:val="21"/>
                <w:highlight w:val="none"/>
                <w:u w:val="none"/>
                <w:lang w:val="en-US" w:eastAsia="zh-CN"/>
              </w:rPr>
              <w:t>中标人：中标比例100</w:t>
            </w:r>
            <w:r>
              <w:rPr>
                <w:rFonts w:hint="eastAsia" w:ascii="宋体" w:hAnsi="宋体" w:eastAsia="宋体" w:cs="宋体"/>
                <w:color w:val="auto"/>
                <w:sz w:val="21"/>
                <w:szCs w:val="21"/>
                <w:highlight w:val="none"/>
                <w:u w:val="none"/>
              </w:rPr>
              <w:t>%</w:t>
            </w:r>
          </w:p>
        </w:tc>
        <w:tc>
          <w:tcPr>
            <w:tcW w:w="1049" w:type="dxa"/>
            <w:noWrap w:val="0"/>
            <w:vAlign w:val="center"/>
          </w:tcPr>
          <w:p w14:paraId="0DAA002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eastAsia="zh-CN"/>
              </w:rPr>
            </w:pPr>
            <w:r>
              <w:rPr>
                <w:rFonts w:hint="eastAsia" w:ascii="宋体" w:hAnsi="宋体" w:cs="宋体"/>
                <w:b w:val="0"/>
                <w:bCs/>
                <w:color w:val="auto"/>
                <w:kern w:val="0"/>
                <w:sz w:val="21"/>
                <w:szCs w:val="21"/>
                <w:highlight w:val="none"/>
                <w:u w:val="none"/>
                <w:lang w:val="en-US" w:eastAsia="zh-CN" w:bidi="ar-SA"/>
              </w:rPr>
              <w:t>投标人按费率（%）报价。报价如有小数，最多保留两位小数。</w:t>
            </w:r>
          </w:p>
        </w:tc>
        <w:tc>
          <w:tcPr>
            <w:tcW w:w="3506" w:type="dxa"/>
            <w:noWrap w:val="0"/>
            <w:vAlign w:val="center"/>
          </w:tcPr>
          <w:p w14:paraId="10D8012F">
            <w:pPr>
              <w:pStyle w:val="23"/>
              <w:tabs>
                <w:tab w:val="left" w:pos="2127"/>
              </w:tabs>
              <w:spacing w:line="360" w:lineRule="auto"/>
              <w:rPr>
                <w:rFonts w:hint="eastAsia" w:ascii="宋体" w:hAnsi="宋体" w:eastAsia="宋体" w:cs="宋体"/>
                <w:color w:val="auto"/>
                <w:sz w:val="21"/>
                <w:szCs w:val="21"/>
                <w:highlight w:val="none"/>
                <w:u w:val="none"/>
                <w:lang w:val="en-US" w:eastAsia="zh-CN"/>
              </w:rPr>
            </w:pPr>
            <w:r>
              <w:rPr>
                <w:rFonts w:hint="eastAsia" w:hAnsi="宋体" w:cs="宋体"/>
                <w:color w:val="auto"/>
                <w:sz w:val="21"/>
                <w:szCs w:val="21"/>
                <w:highlight w:val="none"/>
                <w:lang w:eastAsia="zh-CN"/>
              </w:rPr>
              <w:t>本项目</w:t>
            </w:r>
            <w:r>
              <w:rPr>
                <w:rFonts w:ascii="宋体" w:hAnsi="宋体" w:eastAsia="宋体" w:cs="宋体"/>
                <w:color w:val="auto"/>
                <w:sz w:val="21"/>
                <w:szCs w:val="21"/>
                <w:highlight w:val="none"/>
              </w:rPr>
              <w:t>最终监理费以经广东电网有限责任公司广州供电局审定后的（建筑工程费+安装工程费+编制基准期价差）结算造价作为监理费计费基础，监理费费率及计算方法遵照电网工程建设预算编制与计算规定（2018年版）（即</w:t>
            </w:r>
            <w:r>
              <w:rPr>
                <w:rFonts w:hint="eastAsia" w:hAnsi="宋体" w:cs="宋体"/>
                <w:color w:val="auto"/>
                <w:sz w:val="21"/>
                <w:szCs w:val="21"/>
                <w:highlight w:val="none"/>
                <w:lang w:val="en-US" w:eastAsia="zh-CN"/>
              </w:rPr>
              <w:t>3.32</w:t>
            </w:r>
            <w:r>
              <w:rPr>
                <w:rFonts w:ascii="宋体" w:hAnsi="宋体" w:eastAsia="宋体" w:cs="宋体"/>
                <w:color w:val="auto"/>
                <w:sz w:val="21"/>
                <w:szCs w:val="21"/>
                <w:highlight w:val="none"/>
              </w:rPr>
              <w:t>%）及中标费率（</w:t>
            </w:r>
            <w:r>
              <w:rPr>
                <w:rFonts w:hint="eastAsia" w:ascii="宋体" w:hAnsi="宋体" w:eastAsia="宋体" w:cs="宋体"/>
                <w:color w:val="auto"/>
                <w:sz w:val="21"/>
                <w:szCs w:val="21"/>
                <w:highlight w:val="none"/>
                <w:u w:val="single"/>
                <w:lang w:val="en-US" w:eastAsia="zh-CN"/>
              </w:rPr>
              <w:t xml:space="preserve">   </w:t>
            </w:r>
            <w:r>
              <w:rPr>
                <w:rFonts w:ascii="宋体" w:hAnsi="宋体" w:eastAsia="宋体" w:cs="宋体"/>
                <w:color w:val="auto"/>
                <w:sz w:val="21"/>
                <w:szCs w:val="21"/>
                <w:highlight w:val="none"/>
              </w:rPr>
              <w:t>%）来计取，并按广东电网有限责任公司广州供电局委托的审核机构审核并认可回购的金额为最终监理费。</w:t>
            </w:r>
          </w:p>
        </w:tc>
        <w:tc>
          <w:tcPr>
            <w:tcW w:w="978" w:type="dxa"/>
            <w:noWrap w:val="0"/>
            <w:vAlign w:val="center"/>
          </w:tcPr>
          <w:p w14:paraId="3913978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color w:val="auto"/>
                <w:sz w:val="21"/>
                <w:szCs w:val="21"/>
                <w:highlight w:val="none"/>
                <w:u w:val="none"/>
                <w:lang w:val="en-US" w:eastAsia="zh-CN"/>
              </w:rPr>
            </w:pPr>
          </w:p>
        </w:tc>
      </w:tr>
      <w:tr w14:paraId="7A8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320" w:type="dxa"/>
            <w:gridSpan w:val="2"/>
            <w:noWrap w:val="0"/>
            <w:vAlign w:val="center"/>
          </w:tcPr>
          <w:p w14:paraId="54FD93E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合计</w:t>
            </w:r>
          </w:p>
        </w:tc>
        <w:tc>
          <w:tcPr>
            <w:tcW w:w="751" w:type="dxa"/>
            <w:noWrap w:val="0"/>
            <w:vAlign w:val="center"/>
          </w:tcPr>
          <w:p w14:paraId="2126A8E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500</w:t>
            </w:r>
          </w:p>
        </w:tc>
        <w:tc>
          <w:tcPr>
            <w:tcW w:w="751" w:type="dxa"/>
            <w:noWrap w:val="0"/>
            <w:vAlign w:val="center"/>
          </w:tcPr>
          <w:p w14:paraId="6EC2B9E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val="en-US" w:eastAsia="zh-CN"/>
              </w:rPr>
            </w:pPr>
          </w:p>
        </w:tc>
        <w:tc>
          <w:tcPr>
            <w:tcW w:w="727" w:type="dxa"/>
            <w:noWrap w:val="0"/>
            <w:vAlign w:val="center"/>
          </w:tcPr>
          <w:p w14:paraId="6D291B9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lang w:eastAsia="zh-CN"/>
              </w:rPr>
            </w:pPr>
          </w:p>
        </w:tc>
        <w:tc>
          <w:tcPr>
            <w:tcW w:w="707" w:type="dxa"/>
            <w:noWrap w:val="0"/>
            <w:vAlign w:val="center"/>
          </w:tcPr>
          <w:p w14:paraId="371A28F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rPr>
            </w:pPr>
          </w:p>
        </w:tc>
        <w:tc>
          <w:tcPr>
            <w:tcW w:w="1049" w:type="dxa"/>
            <w:noWrap w:val="0"/>
            <w:vAlign w:val="center"/>
          </w:tcPr>
          <w:p w14:paraId="596A329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1"/>
                <w:szCs w:val="21"/>
                <w:highlight w:val="none"/>
                <w:u w:val="none"/>
              </w:rPr>
            </w:pPr>
          </w:p>
        </w:tc>
        <w:tc>
          <w:tcPr>
            <w:tcW w:w="3506" w:type="dxa"/>
            <w:noWrap w:val="0"/>
            <w:vAlign w:val="center"/>
          </w:tcPr>
          <w:p w14:paraId="1B6C716E">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rPr>
            </w:pPr>
          </w:p>
        </w:tc>
        <w:tc>
          <w:tcPr>
            <w:tcW w:w="978" w:type="dxa"/>
            <w:noWrap w:val="0"/>
            <w:vAlign w:val="center"/>
          </w:tcPr>
          <w:p w14:paraId="5F012517">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highlight w:val="none"/>
                <w:u w:val="none"/>
              </w:rPr>
            </w:pPr>
          </w:p>
        </w:tc>
      </w:tr>
    </w:tbl>
    <w:p w14:paraId="672DE1E0">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514C62F5">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3.投标人资格要求</w:t>
      </w:r>
    </w:p>
    <w:bookmarkEnd w:id="16"/>
    <w:tbl>
      <w:tblPr>
        <w:tblStyle w:val="4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832"/>
        <w:gridCol w:w="6923"/>
      </w:tblGrid>
      <w:tr w14:paraId="3D93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noWrap w:val="0"/>
            <w:vAlign w:val="center"/>
          </w:tcPr>
          <w:p w14:paraId="562D8111">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标段名称</w:t>
            </w:r>
          </w:p>
        </w:tc>
        <w:tc>
          <w:tcPr>
            <w:tcW w:w="832" w:type="dxa"/>
            <w:noWrap w:val="0"/>
            <w:vAlign w:val="center"/>
          </w:tcPr>
          <w:p w14:paraId="662AAC18">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6923" w:type="dxa"/>
            <w:noWrap w:val="0"/>
            <w:vAlign w:val="center"/>
          </w:tcPr>
          <w:p w14:paraId="27AA833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bCs/>
                <w:color w:val="auto"/>
                <w:sz w:val="21"/>
                <w:szCs w:val="21"/>
                <w:highlight w:val="none"/>
                <w:vertAlign w:val="baseline"/>
                <w:lang w:eastAsia="zh-CN"/>
              </w:rPr>
            </w:pPr>
            <w:r>
              <w:rPr>
                <w:rFonts w:hint="eastAsia" w:ascii="宋体" w:hAnsi="宋体" w:cs="宋体"/>
                <w:b/>
                <w:bCs/>
                <w:color w:val="auto"/>
                <w:sz w:val="21"/>
                <w:szCs w:val="21"/>
                <w:highlight w:val="none"/>
                <w:vertAlign w:val="baseline"/>
                <w:lang w:eastAsia="zh-CN"/>
              </w:rPr>
              <w:t>通用资格</w:t>
            </w:r>
          </w:p>
        </w:tc>
      </w:tr>
      <w:tr w14:paraId="5CDD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restart"/>
            <w:noWrap w:val="0"/>
            <w:vAlign w:val="center"/>
          </w:tcPr>
          <w:p w14:paraId="41706951">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r>
              <w:rPr>
                <w:rFonts w:hint="eastAsia" w:ascii="宋体" w:hAnsi="宋体" w:eastAsia="宋体" w:cs="宋体"/>
                <w:color w:val="auto"/>
                <w:sz w:val="21"/>
                <w:szCs w:val="21"/>
                <w:highlight w:val="none"/>
                <w:u w:val="none"/>
                <w:lang w:val="en-US" w:eastAsia="zh-CN"/>
              </w:rPr>
              <w:t>500千伏番南输变电工程（变电站建筑）监理服务</w:t>
            </w:r>
          </w:p>
        </w:tc>
        <w:tc>
          <w:tcPr>
            <w:tcW w:w="832" w:type="dxa"/>
            <w:noWrap w:val="0"/>
            <w:vAlign w:val="center"/>
          </w:tcPr>
          <w:p w14:paraId="73F87C41">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1</w:t>
            </w:r>
          </w:p>
        </w:tc>
        <w:tc>
          <w:tcPr>
            <w:tcW w:w="6923" w:type="dxa"/>
            <w:noWrap w:val="0"/>
            <w:vAlign w:val="center"/>
          </w:tcPr>
          <w:p w14:paraId="7CD91F47">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color w:val="auto"/>
                <w:sz w:val="21"/>
                <w:szCs w:val="21"/>
                <w:highlight w:val="none"/>
                <w:u w:val="none"/>
                <w:vertAlign w:val="baseline"/>
              </w:rPr>
            </w:pPr>
            <w:r>
              <w:rPr>
                <w:rFonts w:hint="eastAsia" w:ascii="宋体" w:hAnsi="宋体" w:eastAsia="宋体" w:cs="宋体"/>
                <w:b w:val="0"/>
                <w:bCs w:val="0"/>
                <w:color w:val="auto"/>
                <w:sz w:val="21"/>
                <w:szCs w:val="21"/>
                <w:highlight w:val="none"/>
                <w:u w:val="none"/>
                <w:vertAlign w:val="baseline"/>
              </w:rPr>
              <w:t>投标人具有独立法人资格，持有合法有效的法人营业执照。</w:t>
            </w:r>
          </w:p>
        </w:tc>
      </w:tr>
      <w:tr w14:paraId="0B71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7D42DAF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0B8E789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val="0"/>
                <w:bCs w:val="0"/>
                <w:color w:val="auto"/>
                <w:sz w:val="21"/>
                <w:szCs w:val="21"/>
                <w:highlight w:val="none"/>
                <w:u w:val="none"/>
                <w:vertAlign w:val="baseline"/>
                <w:lang w:val="en-US" w:eastAsia="zh-CN"/>
              </w:rPr>
              <w:t>2</w:t>
            </w:r>
          </w:p>
        </w:tc>
        <w:tc>
          <w:tcPr>
            <w:tcW w:w="6923" w:type="dxa"/>
            <w:noWrap w:val="0"/>
            <w:vAlign w:val="center"/>
          </w:tcPr>
          <w:p w14:paraId="4439DC3F">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投标人</w:t>
            </w:r>
            <w:r>
              <w:rPr>
                <w:rFonts w:hint="eastAsia" w:ascii="宋体" w:hAnsi="宋体" w:eastAsia="宋体" w:cs="宋体"/>
                <w:color w:val="auto"/>
                <w:highlight w:val="none"/>
                <w:lang w:eastAsia="zh-CN"/>
              </w:rPr>
              <w:t>没有在</w:t>
            </w:r>
            <w:r>
              <w:rPr>
                <w:rFonts w:hint="eastAsia" w:asciiTheme="minorEastAsia" w:hAnsiTheme="minorEastAsia" w:eastAsiaTheme="minorEastAsia" w:cstheme="minorEastAsia"/>
                <w:color w:val="auto"/>
                <w:sz w:val="21"/>
                <w:szCs w:val="21"/>
                <w:highlight w:val="none"/>
                <w:lang w:val="en-US" w:eastAsia="zh-CN"/>
              </w:rPr>
              <w:t>广州市城市建设投资集团有限公司、</w:t>
            </w:r>
            <w:r>
              <w:rPr>
                <w:rFonts w:hint="eastAsia" w:ascii="宋体" w:hAnsi="宋体" w:eastAsia="宋体" w:cs="宋体"/>
                <w:color w:val="auto"/>
                <w:highlight w:val="none"/>
                <w:lang w:eastAsia="zh-CN"/>
              </w:rPr>
              <w:t>中国南方电网有限责任公司</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广州南方投资集团有限公司</w:t>
            </w:r>
            <w:r>
              <w:rPr>
                <w:rFonts w:hint="eastAsia" w:ascii="宋体" w:hAnsi="宋体" w:cs="宋体"/>
                <w:color w:val="auto"/>
                <w:highlight w:val="none"/>
                <w:lang w:eastAsia="zh-CN"/>
              </w:rPr>
              <w:t>及</w:t>
            </w:r>
            <w:r>
              <w:rPr>
                <w:rFonts w:hint="eastAsia" w:ascii="宋体" w:hAnsi="宋体" w:eastAsia="宋体" w:cs="宋体"/>
                <w:color w:val="auto"/>
                <w:highlight w:val="none"/>
                <w:lang w:eastAsia="zh-CN"/>
              </w:rPr>
              <w:t>项目所在地政府暂停投标资格、取消投标资格、不接受投标、市场禁入，且未解除的。</w:t>
            </w:r>
          </w:p>
          <w:p w14:paraId="58A2497F">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default" w:ascii="宋体" w:hAnsi="宋体" w:eastAsia="宋体" w:cs="宋体"/>
                <w:b w:val="0"/>
                <w:bCs w:val="0"/>
                <w:color w:val="auto"/>
                <w:sz w:val="21"/>
                <w:szCs w:val="21"/>
                <w:highlight w:val="none"/>
                <w:u w:val="none"/>
                <w:vertAlign w:val="baseline"/>
                <w:lang w:val="en-US" w:eastAsia="zh-CN"/>
              </w:rPr>
              <w:t>注：暂停投标资格、取消投标资格、不接受投标、市场禁入按品类实施处理的，指供应商没有在采购标的物对应品类被实施暂停投标资格、取消投标资格、不接受投标、市场禁入，且未解除的。</w:t>
            </w:r>
          </w:p>
        </w:tc>
      </w:tr>
      <w:tr w14:paraId="4436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06127B3E">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31E49782">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kern w:val="2"/>
                <w:sz w:val="21"/>
                <w:szCs w:val="21"/>
                <w:highlight w:val="none"/>
                <w:u w:val="none"/>
                <w:vertAlign w:val="baseline"/>
                <w:lang w:val="en-US" w:eastAsia="zh-CN" w:bidi="ar-SA"/>
              </w:rPr>
            </w:pPr>
            <w:r>
              <w:rPr>
                <w:rFonts w:hint="eastAsia" w:ascii="宋体" w:hAnsi="宋体" w:cs="宋体"/>
                <w:b w:val="0"/>
                <w:bCs w:val="0"/>
                <w:color w:val="auto"/>
                <w:sz w:val="21"/>
                <w:szCs w:val="21"/>
                <w:highlight w:val="none"/>
                <w:u w:val="none"/>
                <w:vertAlign w:val="baseline"/>
                <w:lang w:val="en-US" w:eastAsia="zh-CN"/>
              </w:rPr>
              <w:t>3</w:t>
            </w:r>
          </w:p>
        </w:tc>
        <w:tc>
          <w:tcPr>
            <w:tcW w:w="6923" w:type="dxa"/>
            <w:noWrap w:val="0"/>
            <w:vAlign w:val="center"/>
          </w:tcPr>
          <w:p w14:paraId="188DDEFA">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color w:val="auto"/>
                <w:sz w:val="21"/>
                <w:szCs w:val="21"/>
                <w:highlight w:val="none"/>
                <w:u w:val="none"/>
                <w:vertAlign w:val="baseline"/>
                <w:lang w:eastAsia="zh-CN"/>
              </w:rPr>
            </w:pPr>
            <w:r>
              <w:rPr>
                <w:rFonts w:hint="eastAsia" w:ascii="宋体" w:hAnsi="宋体" w:eastAsia="宋体" w:cs="宋体"/>
                <w:b w:val="0"/>
                <w:bCs w:val="0"/>
                <w:color w:val="auto"/>
                <w:sz w:val="21"/>
                <w:szCs w:val="21"/>
                <w:highlight w:val="none"/>
                <w:u w:val="none"/>
                <w:vertAlign w:val="baseline"/>
                <w:lang w:eastAsia="zh-CN"/>
              </w:rPr>
              <w:t>不接受联合体。</w:t>
            </w:r>
          </w:p>
        </w:tc>
      </w:tr>
      <w:tr w14:paraId="18C1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14E2426F">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61C003C2">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default" w:ascii="宋体" w:hAnsi="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4</w:t>
            </w:r>
          </w:p>
        </w:tc>
        <w:tc>
          <w:tcPr>
            <w:tcW w:w="6923" w:type="dxa"/>
            <w:noWrap w:val="0"/>
            <w:vAlign w:val="center"/>
          </w:tcPr>
          <w:p w14:paraId="73563023">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color w:val="auto"/>
                <w:sz w:val="21"/>
                <w:szCs w:val="21"/>
                <w:highlight w:val="none"/>
                <w:u w:val="none"/>
                <w:vertAlign w:val="baseline"/>
                <w:lang w:eastAsia="zh-CN"/>
              </w:rPr>
            </w:pPr>
            <w:r>
              <w:rPr>
                <w:rFonts w:hint="eastAsia" w:ascii="宋体" w:hAnsi="宋体" w:cs="宋体"/>
                <w:b w:val="0"/>
                <w:bCs w:val="0"/>
                <w:color w:val="auto"/>
                <w:sz w:val="21"/>
                <w:szCs w:val="21"/>
                <w:highlight w:val="none"/>
                <w:u w:val="none"/>
                <w:lang w:val="en-US" w:eastAsia="zh-CN"/>
              </w:rPr>
              <w:t>投标人</w:t>
            </w:r>
            <w:r>
              <w:rPr>
                <w:rFonts w:hint="eastAsia" w:ascii="宋体" w:hAnsi="宋体" w:eastAsia="宋体" w:cs="宋体"/>
                <w:b w:val="0"/>
                <w:bCs w:val="0"/>
                <w:color w:val="auto"/>
                <w:sz w:val="21"/>
                <w:szCs w:val="21"/>
                <w:highlight w:val="none"/>
                <w:u w:val="none"/>
                <w:lang w:val="en-US" w:eastAsia="zh-CN"/>
              </w:rPr>
              <w:t>应保证在</w:t>
            </w:r>
            <w:r>
              <w:rPr>
                <w:rFonts w:hint="eastAsia" w:ascii="宋体" w:hAnsi="宋体" w:cs="宋体"/>
                <w:b w:val="0"/>
                <w:bCs w:val="0"/>
                <w:color w:val="auto"/>
                <w:sz w:val="21"/>
                <w:szCs w:val="21"/>
                <w:highlight w:val="none"/>
                <w:u w:val="none"/>
                <w:lang w:val="en-US" w:eastAsia="zh-CN"/>
              </w:rPr>
              <w:t>招标</w:t>
            </w:r>
            <w:r>
              <w:rPr>
                <w:rFonts w:hint="eastAsia" w:ascii="宋体" w:hAnsi="宋体" w:eastAsia="宋体" w:cs="宋体"/>
                <w:b w:val="0"/>
                <w:bCs w:val="0"/>
                <w:color w:val="auto"/>
                <w:sz w:val="21"/>
                <w:szCs w:val="21"/>
                <w:highlight w:val="none"/>
                <w:u w:val="none"/>
                <w:lang w:val="en-US" w:eastAsia="zh-CN"/>
              </w:rPr>
              <w:t>过程中所提供的一切材料都是真实的，不存在伪造、变造、涂改等弄虚作假、违法违规行为。（按标准格式提供“</w:t>
            </w:r>
            <w:r>
              <w:rPr>
                <w:rFonts w:hint="eastAsia" w:ascii="宋体" w:hAnsi="宋体" w:cs="宋体"/>
                <w:b w:val="0"/>
                <w:bCs w:val="0"/>
                <w:color w:val="auto"/>
                <w:sz w:val="21"/>
                <w:szCs w:val="21"/>
                <w:highlight w:val="none"/>
                <w:u w:val="none"/>
                <w:lang w:val="en-US" w:eastAsia="zh-CN"/>
              </w:rPr>
              <w:t>投标</w:t>
            </w:r>
            <w:r>
              <w:rPr>
                <w:rFonts w:hint="eastAsia" w:ascii="宋体" w:hAnsi="宋体" w:eastAsia="宋体" w:cs="宋体"/>
                <w:b w:val="0"/>
                <w:bCs w:val="0"/>
                <w:color w:val="auto"/>
                <w:sz w:val="21"/>
                <w:szCs w:val="21"/>
                <w:highlight w:val="none"/>
                <w:u w:val="none"/>
                <w:lang w:val="en-US" w:eastAsia="zh-CN"/>
              </w:rPr>
              <w:t>行为承诺函”）</w:t>
            </w:r>
          </w:p>
        </w:tc>
      </w:tr>
      <w:tr w14:paraId="6FB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0104B4B1">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0660955D">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default" w:ascii="宋体" w:hAnsi="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5</w:t>
            </w:r>
          </w:p>
        </w:tc>
        <w:tc>
          <w:tcPr>
            <w:tcW w:w="6923" w:type="dxa"/>
            <w:noWrap w:val="0"/>
            <w:vAlign w:val="center"/>
          </w:tcPr>
          <w:p w14:paraId="6196CEFF">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投标人</w:t>
            </w:r>
            <w:r>
              <w:rPr>
                <w:rFonts w:hint="eastAsia" w:ascii="宋体" w:hAnsi="宋体" w:eastAsia="宋体" w:cs="宋体"/>
                <w:color w:val="auto"/>
                <w:highlight w:val="none"/>
                <w:lang w:val="en-US" w:eastAsia="zh-CN"/>
              </w:rPr>
              <w:t>未在国家企业信用信息公示系统（www.gsxt.gov.cn)中列入严重违法失信企业名单，且未在“信用中国”网站（www.creditchina.gov.cn）中列入失信被执行人名单。</w:t>
            </w:r>
          </w:p>
          <w:p w14:paraId="4B383128">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b w:val="0"/>
                <w:bCs w:val="0"/>
                <w:color w:val="auto"/>
                <w:sz w:val="21"/>
                <w:szCs w:val="21"/>
                <w:highlight w:val="none"/>
                <w:u w:val="none"/>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注：对于未在“国家企业信用信息公示系统”进行相关信息公示的事业单位或涉密性质单位（例如：事业单位、机关单位、民办非企业单位、执业律师事务所等非市场主体，若有最新规定的，从其规定），暂无法提供相关信息内容查询结果的，投标时无需提供查询资料，但在本项目投标文件中需就该情况进行特别说明，并提供相关证明材料。</w:t>
            </w:r>
          </w:p>
        </w:tc>
      </w:tr>
      <w:tr w14:paraId="0730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508A764E">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709C7578">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6923" w:type="dxa"/>
            <w:noWrap w:val="0"/>
            <w:vAlign w:val="center"/>
          </w:tcPr>
          <w:p w14:paraId="2DD65678">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cs="宋体"/>
                <w:color w:val="auto"/>
                <w:highlight w:val="none"/>
                <w:lang w:val="en-US" w:eastAsia="zh-CN"/>
              </w:rPr>
            </w:pPr>
            <w:r>
              <w:rPr>
                <w:rFonts w:hint="eastAsia" w:ascii="宋体" w:hAnsi="宋体" w:cs="宋体"/>
                <w:b/>
                <w:bCs/>
                <w:color w:val="auto"/>
                <w:sz w:val="21"/>
                <w:szCs w:val="21"/>
                <w:highlight w:val="none"/>
                <w:vertAlign w:val="baseline"/>
                <w:lang w:eastAsia="zh-CN"/>
              </w:rPr>
              <w:t>专用资格</w:t>
            </w:r>
          </w:p>
        </w:tc>
      </w:tr>
      <w:tr w14:paraId="43A5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784465E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40C1B6F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1</w:t>
            </w:r>
          </w:p>
        </w:tc>
        <w:tc>
          <w:tcPr>
            <w:tcW w:w="6923" w:type="dxa"/>
            <w:noWrap w:val="0"/>
            <w:vAlign w:val="center"/>
          </w:tcPr>
          <w:p w14:paraId="3FE4930A">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具备有效的工程监理综合资质，或电力工程监理甲级资质。香港企业参加投标的，须在广东省住房和城乡建设主管部门备案且备案的业务范围满足本项目招标文件要求。</w:t>
            </w:r>
          </w:p>
        </w:tc>
      </w:tr>
      <w:tr w14:paraId="441F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41818E6A">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5422A25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2</w:t>
            </w:r>
          </w:p>
        </w:tc>
        <w:tc>
          <w:tcPr>
            <w:tcW w:w="6923" w:type="dxa"/>
            <w:noWrap w:val="0"/>
            <w:vAlign w:val="center"/>
          </w:tcPr>
          <w:p w14:paraId="419366B2">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拟派项目总监理工程师须具有建设部2006年4月1日后颁发的中华人民共和国注册监理工程师注册执业证书，且其注册专业为电力工程，注册执业单位为本公司（注册企业以注册监理工程师注册执业证书上的注册单位为准, 拟派总监理工程师注册执业专业以注册执业证书上的注册专业为准），并具备本科或以上学历。或在广东省住房和城乡建设主管部门备案且备案的资格满足本项目总监理工程师的资格要求的香港专业人士。</w:t>
            </w:r>
          </w:p>
        </w:tc>
      </w:tr>
      <w:tr w14:paraId="436C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9" w:type="dxa"/>
            <w:vMerge w:val="continue"/>
            <w:noWrap w:val="0"/>
            <w:vAlign w:val="center"/>
          </w:tcPr>
          <w:p w14:paraId="2EB8227D">
            <w:pPr>
              <w:keepNext w:val="0"/>
              <w:keepLines w:val="0"/>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宋体" w:hAnsi="宋体" w:eastAsia="宋体" w:cs="宋体"/>
                <w:b w:val="0"/>
                <w:bCs w:val="0"/>
                <w:color w:val="auto"/>
                <w:sz w:val="21"/>
                <w:szCs w:val="21"/>
                <w:highlight w:val="none"/>
                <w:u w:val="single"/>
                <w:vertAlign w:val="baseline"/>
                <w:lang w:val="en-US" w:eastAsia="zh-CN"/>
              </w:rPr>
            </w:pPr>
          </w:p>
        </w:tc>
        <w:tc>
          <w:tcPr>
            <w:tcW w:w="832" w:type="dxa"/>
            <w:noWrap w:val="0"/>
            <w:vAlign w:val="center"/>
          </w:tcPr>
          <w:p w14:paraId="1FAC790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3</w:t>
            </w:r>
          </w:p>
        </w:tc>
        <w:tc>
          <w:tcPr>
            <w:tcW w:w="6923" w:type="dxa"/>
            <w:noWrap w:val="0"/>
            <w:vAlign w:val="center"/>
          </w:tcPr>
          <w:p w14:paraId="029F50AE">
            <w:pPr>
              <w:keepNext w:val="0"/>
              <w:keepLines w:val="0"/>
              <w:pageBreakBefore w:val="0"/>
              <w:widowControl w:val="0"/>
              <w:kinsoku/>
              <w:wordWrap/>
              <w:overflowPunct/>
              <w:topLinePunct w:val="0"/>
              <w:autoSpaceDE/>
              <w:autoSpaceDN/>
              <w:bidi w:val="0"/>
              <w:adjustRightInd/>
              <w:snapToGrid/>
              <w:spacing w:before="0" w:after="0" w:line="312"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已在广州公共资源交易中心办理企业信息登记（提供已在广州公共资源交易中心办理企业信息登记的网页截图），且拟担任本工程项目总监理工程师须是本企业在广州公共资源交易中心的企业信息登记在册人员（提供拟担任本工程项目总监理工程师须是本企业在广州公共资源交易中心的企业信息登记在册人员的网页截图）。</w:t>
            </w:r>
          </w:p>
        </w:tc>
      </w:tr>
      <w:tr w14:paraId="3429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4" w:type="dxa"/>
            <w:gridSpan w:val="3"/>
            <w:noWrap w:val="0"/>
            <w:vAlign w:val="center"/>
          </w:tcPr>
          <w:p w14:paraId="71D21F43">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一、企业诚信行为要求：</w:t>
            </w:r>
          </w:p>
          <w:p w14:paraId="5E0C5B9D">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人被纳入南方电网、广东电网公司、广州供电局廉情（黑名单）预警名单范围内，未完成评标的，由评标委员在初评环节予以否决；未定标的，由原评标委员会重新评议,对被纳入南方电网、广东电网公司、广州供电局廉情（黑名单）预警名单范围内的投标人作否决投标处理。</w:t>
            </w:r>
          </w:p>
          <w:p w14:paraId="217D861E">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根据《中国南方电网有限责任公司供货商扣分处罚实施细则》和《南方电网公司供应商行贿行为记录及处置办法》，被南方电网公司实施不接受投标或市场禁入处理的投标人，在处理期限内尚未完成评标的，作否决投标处理，尚未发出中标通知书或成交通知书的，作取消中标或成交资格处理。</w:t>
            </w:r>
          </w:p>
          <w:p w14:paraId="18C2F41F">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3.被广东电网公司、广州南方投资集团有限公司暂停投标资格的投标人，在处理期限内尚未完成评标的，作否决投标处理，尚未发出中标通知书或成交通知书的，作取消中标或成交资格处理。</w:t>
            </w:r>
          </w:p>
          <w:p w14:paraId="56BBF359">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4.市场禁入对象范围</w:t>
            </w:r>
          </w:p>
          <w:p w14:paraId="0FDF9938">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（1）投标人因行贿行为被实施市场禁入的，市场禁入范围包括法定代表人（首席合伙人、执行事务合伙人、负责人、投资人或经营者，下同）与该投标人法定代表人相同的其他所有法人和其他组织。</w:t>
            </w:r>
          </w:p>
          <w:p w14:paraId="06841814">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人因行贿行为被实施市场禁入的，市场禁入范围包括其下属所有分公司（分所等）；投标人为分公司（分所等）的，因行贿行为被实施市场禁入的，市场禁入范围包括其总公司（总所等）和其总公司（总所等）的其它分公司；</w:t>
            </w:r>
          </w:p>
          <w:p w14:paraId="48FECA5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（3）投标人因行贿行为被实施市场禁入的，市场禁入范围不包括其子公司、其母公司和其母公司的其它子公司，但以上公司法定代表人与该投标人法定代表人相同的除外。</w:t>
            </w:r>
          </w:p>
          <w:p w14:paraId="149740F2">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二、资质证书要求：</w:t>
            </w:r>
          </w:p>
          <w:p w14:paraId="1667A0AF">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香港企业备案的业务范围、香港专业人士的备案业务范围依据《广东省住房和城乡建设厅关于印发香港工程建设咨询企业和专业人士在粤港澳大湾区内地城市开业执业试点管理暂行办法的通知》（粤建规范〔2020〕1号规定。</w:t>
            </w:r>
          </w:p>
          <w:p w14:paraId="14D0233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工程监理企业资质证书有效期按《住房和城乡建设部办公厅关于建设工程企业资质统一延续有关事项的通知》（建办市函[2021]510号）、《广东省住房和城乡建设厅关于建设工程企业资质有效期延期的通知》（粤建许函〔2021〕849号）、《住房和城乡建设部办公厅关于建设工程企业资质延续有关事项的通知》（建办市函〔2020〕334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住建部做好企业资质证书换领和延续工作的通知》（建办市〔2023〕47号）、《广东省住房和城乡建设厅关于建设工程企业资质延续有关事项的通知》（粤建许函〔2023〕820号）、《广东省住房和城乡建设厅关于做好有关建设工程企业资质证书换领工作的通知》（粤建许函〔2024〕124号）等相关规定执行。根据上述文件的要求，投标人需办理企业资质有效期延续的，应当按照相关规定及时办理。注意事项如下：</w:t>
            </w:r>
          </w:p>
          <w:p w14:paraId="3BAEC821">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1）投标人按照上述规定办理了资质延期或换领新证，在投标截止前已取得新证的，投标人须在投标文件中提供经核准延期后的新资质证书。</w:t>
            </w:r>
          </w:p>
          <w:p w14:paraId="4BB0C627">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highlight w:val="none"/>
                <w:lang w:val="en-US" w:eastAsia="zh-CN"/>
              </w:rPr>
              <w:t>2）投标人按照上述规定办理了资质延期或换领新证，在投标截止前未取得新证的，以中华人民共和国住房和城乡建设部或相关主管行政部门发布的核准建设工程企业资质延续名单公告或通知、或全国建筑市场监管公共服务平台（简称四库一平台）、或广东省住房和城乡建设厅三库一平台管理信息服务系统（简称三库一平台）中企业资质信息为准，并提供资质信息网页截图或相关证明资料，否则视为资质证书不在有效期内，作否决投标处理。</w:t>
            </w:r>
          </w:p>
        </w:tc>
      </w:tr>
    </w:tbl>
    <w:p w14:paraId="622921FD">
      <w:pPr>
        <w:keepNext w:val="0"/>
        <w:keepLines w:val="0"/>
        <w:pageBreakBefore w:val="0"/>
        <w:widowControl w:val="0"/>
        <w:kinsoku/>
        <w:wordWrap/>
        <w:overflowPunct/>
        <w:topLinePunct w:val="0"/>
        <w:autoSpaceDE/>
        <w:autoSpaceDN/>
        <w:bidi w:val="0"/>
        <w:adjustRightInd/>
        <w:snapToGrid w:val="0"/>
        <w:spacing w:line="312" w:lineRule="auto"/>
        <w:ind w:firstLine="420" w:firstLineChars="200"/>
        <w:textAlignment w:val="auto"/>
        <w:rPr>
          <w:rFonts w:hint="default"/>
          <w:color w:val="auto"/>
          <w:highlight w:val="none"/>
          <w:lang w:val="en-US" w:eastAsia="zh-CN"/>
        </w:rPr>
      </w:pPr>
    </w:p>
    <w:p w14:paraId="2824FF73">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5ED707C3">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4.公告发布、递交</w:t>
      </w:r>
      <w:r>
        <w:rPr>
          <w:rFonts w:hint="eastAsia" w:ascii="宋体" w:hAnsi="宋体" w:cs="宋体"/>
          <w:b/>
          <w:bCs/>
          <w:color w:val="auto"/>
          <w:szCs w:val="21"/>
          <w:highlight w:val="none"/>
          <w:lang w:val="en-US" w:eastAsia="zh-CN"/>
        </w:rPr>
        <w:t>投标文件（含定标文件）</w:t>
      </w:r>
      <w:r>
        <w:rPr>
          <w:rFonts w:hint="eastAsia" w:ascii="宋体" w:hAnsi="宋体" w:eastAsia="宋体" w:cs="宋体"/>
          <w:b/>
          <w:bCs/>
          <w:color w:val="auto"/>
          <w:szCs w:val="21"/>
          <w:highlight w:val="none"/>
          <w:lang w:val="en-US" w:eastAsia="zh-CN"/>
        </w:rPr>
        <w:t>时间与开标时间</w:t>
      </w:r>
    </w:p>
    <w:p w14:paraId="76A8A383">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highlight w:val="none"/>
        </w:rPr>
      </w:pPr>
      <w:r>
        <w:rPr>
          <w:rFonts w:hint="eastAsia" w:ascii="宋体" w:hAnsi="宋体" w:eastAsia="宋体" w:cs="宋体"/>
          <w:b w:val="0"/>
          <w:bCs w:val="0"/>
          <w:color w:val="auto"/>
          <w:szCs w:val="21"/>
          <w:highlight w:val="none"/>
          <w:shd w:val="clear" w:color="auto" w:fill="auto"/>
          <w:lang w:val="en-US" w:eastAsia="zh-CN"/>
        </w:rPr>
        <w:t>4.1公告发布（含本日）：</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i w:val="0"/>
          <w:iCs w:val="0"/>
          <w:caps w:val="0"/>
          <w:color w:val="auto"/>
          <w:spacing w:val="0"/>
          <w:sz w:val="21"/>
          <w:szCs w:val="21"/>
          <w:highlight w:val="none"/>
          <w:u w:val="single"/>
          <w:lang w:eastAsia="zh-CN"/>
        </w:rPr>
        <w:t>；</w:t>
      </w:r>
      <w:bookmarkStart w:id="17" w:name="_Toc2442"/>
      <w:r>
        <w:rPr>
          <w:rFonts w:hint="eastAsia" w:ascii="宋体" w:hAnsi="宋体" w:eastAsia="宋体" w:cs="宋体"/>
          <w:b w:val="0"/>
          <w:bCs w:val="0"/>
          <w:color w:val="auto"/>
          <w:highlight w:val="none"/>
        </w:rPr>
        <w:t>凡有意参加投标者，请登录广州交易集团有限公司（广州公共资源交易中心）交易平台网站下载电子招标文件。</w:t>
      </w:r>
    </w:p>
    <w:bookmarkEnd w:id="17"/>
    <w:p w14:paraId="6039F60A">
      <w:pPr>
        <w:kinsoku/>
        <w:overflowPunct/>
        <w:bidi w:val="0"/>
        <w:spacing w:line="360" w:lineRule="auto"/>
        <w:outlineLvl w:val="9"/>
        <w:rPr>
          <w:rFonts w:hint="eastAsia" w:ascii="宋体" w:hAnsi="宋体" w:eastAsia="宋体" w:cs="宋体"/>
          <w:b/>
          <w:bCs/>
          <w:color w:val="auto"/>
          <w:szCs w:val="21"/>
          <w:highlight w:val="none"/>
          <w:lang w:val="en-US" w:eastAsia="zh-CN"/>
        </w:rPr>
      </w:pPr>
      <w:bookmarkStart w:id="18" w:name="_Toc2450"/>
      <w:r>
        <w:rPr>
          <w:rFonts w:hint="eastAsia" w:ascii="宋体" w:hAnsi="宋体" w:eastAsia="宋体" w:cs="宋体"/>
          <w:b/>
          <w:bCs/>
          <w:color w:val="auto"/>
          <w:szCs w:val="21"/>
          <w:highlight w:val="none"/>
          <w:lang w:val="en-US" w:eastAsia="zh-CN"/>
        </w:rPr>
        <w:t xml:space="preserve"> 注：发布招标公告的时间为招标公告发出之日起至投标截止时间止。</w:t>
      </w:r>
    </w:p>
    <w:p w14:paraId="7A3175EE">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4.2递交</w:t>
      </w:r>
      <w:r>
        <w:rPr>
          <w:rFonts w:hint="eastAsia" w:ascii="宋体" w:hAnsi="宋体" w:cs="宋体"/>
          <w:b w:val="0"/>
          <w:bCs w:val="0"/>
          <w:color w:val="auto"/>
          <w:szCs w:val="21"/>
          <w:highlight w:val="none"/>
          <w:shd w:val="clear" w:color="auto" w:fill="auto"/>
          <w:lang w:val="en-US" w:eastAsia="zh-CN"/>
        </w:rPr>
        <w:t>投标文件（含定标文件）</w:t>
      </w:r>
      <w:r>
        <w:rPr>
          <w:rFonts w:hint="eastAsia" w:ascii="宋体" w:hAnsi="宋体" w:eastAsia="宋体" w:cs="宋体"/>
          <w:b w:val="0"/>
          <w:bCs w:val="0"/>
          <w:color w:val="auto"/>
          <w:szCs w:val="21"/>
          <w:highlight w:val="none"/>
          <w:shd w:val="clear" w:color="auto" w:fill="auto"/>
          <w:lang w:val="en-US" w:eastAsia="zh-CN"/>
        </w:rPr>
        <w:t>起始时间：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 截止时间：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eastAsia="宋体" w:cs="宋体"/>
          <w:b w:val="0"/>
          <w:bCs w:val="0"/>
          <w:color w:val="auto"/>
          <w:szCs w:val="21"/>
          <w:highlight w:val="none"/>
          <w:shd w:val="clear" w:color="auto" w:fill="auto"/>
          <w:lang w:val="en-US" w:eastAsia="zh-CN"/>
        </w:rPr>
        <w:t>。</w:t>
      </w:r>
    </w:p>
    <w:p w14:paraId="5C36C60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3递交投标文件（含定标文件）备用光盘（或U盘）时间：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w:t>
      </w:r>
    </w:p>
    <w:p w14:paraId="659C7FA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递交投标文件（含定标文件）备用光盘（或U盘）地点：广州交易集团有限公司（广州公共资源交易中心）（广州市天河区天润路333号）第</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cs="宋体"/>
          <w:b w:val="0"/>
          <w:bCs w:val="0"/>
          <w:color w:val="auto"/>
          <w:szCs w:val="21"/>
          <w:highlight w:val="none"/>
          <w:shd w:val="clear" w:color="auto" w:fill="auto"/>
          <w:lang w:val="en-US" w:eastAsia="zh-CN"/>
        </w:rPr>
        <w:t>开标室。投标人递交的电子光盘（或U盘）需按规定封装，且将数据刻录到电子光盘（或U盘）之后，投标前应自行检查文件是否可以读取。</w:t>
      </w:r>
    </w:p>
    <w:p w14:paraId="05A2EE12">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4逾期送达的投标文件（含定标文件），电子招标投标交易平台将予以拒收。逾期或未在指定地点递交投标文件（含定标文件）光盘（或U盘）的，招标人拒绝接收其投标文件（含定标文件）光盘（或U盘）。</w:t>
      </w:r>
    </w:p>
    <w:p w14:paraId="1C8C169C">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4.5开标开始时间：</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w:t>
      </w:r>
    </w:p>
    <w:p w14:paraId="47DA6398">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cs="宋体"/>
          <w:b w:val="0"/>
          <w:bCs w:val="0"/>
          <w:color w:val="auto"/>
          <w:szCs w:val="21"/>
          <w:highlight w:val="none"/>
          <w:shd w:val="clear" w:color="auto" w:fill="auto"/>
          <w:lang w:val="en-US" w:eastAsia="zh-CN"/>
        </w:rPr>
        <w:t>4.6投标文件（含定标文件）解密时间为</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至</w:t>
      </w:r>
      <w:r>
        <w:rPr>
          <w:rFonts w:hint="eastAsia" w:ascii="宋体" w:hAnsi="宋体" w:eastAsia="宋体" w:cs="宋体"/>
          <w:b w:val="0"/>
          <w:bCs w:val="0"/>
          <w:color w:val="auto"/>
          <w:szCs w:val="21"/>
          <w:highlight w:val="none"/>
          <w:u w:val="single"/>
          <w:shd w:val="clear" w:color="auto" w:fill="auto"/>
          <w:lang w:val="en-US" w:eastAsia="zh-CN"/>
        </w:rPr>
        <w:t>2025</w:t>
      </w:r>
      <w:r>
        <w:rPr>
          <w:rFonts w:hint="eastAsia" w:ascii="宋体" w:hAnsi="宋体" w:eastAsia="宋体" w:cs="宋体"/>
          <w:b w:val="0"/>
          <w:bCs w:val="0"/>
          <w:color w:val="auto"/>
          <w:szCs w:val="21"/>
          <w:highlight w:val="none"/>
          <w:u w:val="none"/>
          <w:shd w:val="clear" w:color="auto" w:fill="auto"/>
          <w:lang w:val="en-US" w:eastAsia="zh-CN"/>
        </w:rPr>
        <w:t>年</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月</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日</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时</w:t>
      </w:r>
      <w:r>
        <w:rPr>
          <w:rFonts w:hint="eastAsia" w:ascii="宋体" w:hAnsi="宋体" w:cs="宋体"/>
          <w:b w:val="0"/>
          <w:bCs w:val="0"/>
          <w:color w:val="auto"/>
          <w:szCs w:val="21"/>
          <w:highlight w:val="none"/>
          <w:u w:val="single"/>
          <w:shd w:val="clear" w:color="auto" w:fill="auto"/>
          <w:lang w:val="en-US" w:eastAsia="zh-CN"/>
        </w:rPr>
        <w:t xml:space="preserve">  </w:t>
      </w:r>
      <w:r>
        <w:rPr>
          <w:rFonts w:hint="eastAsia" w:ascii="宋体" w:hAnsi="宋体" w:eastAsia="宋体" w:cs="宋体"/>
          <w:b w:val="0"/>
          <w:bCs w:val="0"/>
          <w:color w:val="auto"/>
          <w:szCs w:val="21"/>
          <w:highlight w:val="none"/>
          <w:u w:val="none"/>
          <w:shd w:val="clear" w:color="auto" w:fill="auto"/>
          <w:lang w:val="en-US" w:eastAsia="zh-CN"/>
        </w:rPr>
        <w:t>分</w:t>
      </w:r>
      <w:r>
        <w:rPr>
          <w:rFonts w:hint="eastAsia" w:ascii="宋体" w:hAnsi="宋体" w:eastAsia="宋体" w:cs="宋体"/>
          <w:b w:val="0"/>
          <w:bCs w:val="0"/>
          <w:i w:val="0"/>
          <w:iCs w:val="0"/>
          <w:caps w:val="0"/>
          <w:color w:val="auto"/>
          <w:spacing w:val="0"/>
          <w:sz w:val="21"/>
          <w:szCs w:val="21"/>
          <w:highlight w:val="none"/>
          <w:u w:val="single"/>
          <w:lang w:val="en-US" w:eastAsia="zh-CN"/>
        </w:rPr>
        <w:t xml:space="preserve">  </w:t>
      </w:r>
      <w:r>
        <w:rPr>
          <w:rFonts w:hint="eastAsia" w:ascii="宋体" w:hAnsi="宋体" w:eastAsia="宋体" w:cs="宋体"/>
          <w:b w:val="0"/>
          <w:bCs w:val="0"/>
          <w:i w:val="0"/>
          <w:iCs w:val="0"/>
          <w:caps w:val="0"/>
          <w:color w:val="auto"/>
          <w:spacing w:val="0"/>
          <w:sz w:val="21"/>
          <w:szCs w:val="21"/>
          <w:highlight w:val="none"/>
          <w:u w:val="none"/>
        </w:rPr>
        <w:t>秒</w:t>
      </w:r>
      <w:r>
        <w:rPr>
          <w:rFonts w:hint="eastAsia" w:ascii="宋体" w:hAnsi="宋体" w:cs="宋体"/>
          <w:b w:val="0"/>
          <w:bCs w:val="0"/>
          <w:color w:val="auto"/>
          <w:szCs w:val="21"/>
          <w:highlight w:val="none"/>
          <w:shd w:val="clear" w:color="auto" w:fill="auto"/>
          <w:lang w:val="en-US" w:eastAsia="zh-CN"/>
        </w:rPr>
        <w:t>，投标人应在截止时间前通过广州交易集团有限公司（广州公共资源交易中心）网站交易平台对电子投标文件（含定标文件）进行文件解密。</w:t>
      </w:r>
    </w:p>
    <w:p w14:paraId="18F6C056">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7投标人通过广州交易集团有限公司（广州公共资源交易中心）交易平台递交电子投标文件（含定标文件）。投标人应在递交投标文件（含定标文件）截止时间前，登录广州交易集团有限公司（广州公共资源交易中心）交易平台网站办理网上投标登记手续。按照交易平台关于全流程电子化项目的相关指南进行操作。详见：广州交易集团有限公司（广州公共资源交易中心网站http:// www.gzggzy.cn）《【通用版】新电子招投标系统通用版操作指引（适用于建设工程不使用范本的各类电子标项目）》。投标人完成电子投标文件（含定标文件）上传后，广州交易集团有限公司（广州公共资源交易中心）数字交易平台即时向投标人发出递交回执通知。递交时间以递交回执通知载明的传输时间为准。</w:t>
      </w:r>
    </w:p>
    <w:p w14:paraId="60BE2AAA">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4.</w:t>
      </w:r>
      <w:r>
        <w:rPr>
          <w:rFonts w:hint="eastAsia" w:ascii="宋体" w:hAnsi="宋体" w:cs="宋体"/>
          <w:b w:val="0"/>
          <w:bCs w:val="0"/>
          <w:color w:val="auto"/>
          <w:szCs w:val="21"/>
          <w:highlight w:val="none"/>
          <w:shd w:val="clear" w:color="auto" w:fill="auto"/>
          <w:lang w:val="en-US" w:eastAsia="zh-CN"/>
        </w:rPr>
        <w:t>8本项目各项投标活动具体可通过广州交易集团有限公司（广州公共资源交易中心）网站查询具体的时间和场地安排。投标人可登录广州交易集团有限公司（广州公共资源交易中心）网站首页，点击“交易业务-建设工程”专栏中的“项目查询（日程安排、答疑纪要）”，输入项目编号或项目名称查询最新信息。递交投标文件（含定标文件）截止时间及开标时间是否有变化，请密切留意广州交易集团有限公司（广州公共资源交易中心）网站的相关信息。</w:t>
      </w:r>
    </w:p>
    <w:p w14:paraId="18D135D9">
      <w:pPr>
        <w:kinsoku/>
        <w:overflowPunct/>
        <w:bidi w:val="0"/>
        <w:spacing w:line="360" w:lineRule="auto"/>
        <w:outlineLvl w:val="9"/>
        <w:rPr>
          <w:rFonts w:hint="eastAsia" w:ascii="宋体" w:hAnsi="宋体" w:cs="宋体"/>
          <w:b/>
          <w:bCs/>
          <w:color w:val="auto"/>
          <w:szCs w:val="21"/>
          <w:highlight w:val="none"/>
          <w:lang w:val="en-US" w:eastAsia="zh-CN"/>
        </w:rPr>
      </w:pPr>
    </w:p>
    <w:p w14:paraId="152E614C">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5</w:t>
      </w:r>
      <w:r>
        <w:rPr>
          <w:rFonts w:hint="eastAsia" w:ascii="宋体" w:hAnsi="宋体" w:eastAsia="宋体" w:cs="宋体"/>
          <w:b/>
          <w:bCs/>
          <w:color w:val="auto"/>
          <w:szCs w:val="21"/>
          <w:highlight w:val="none"/>
          <w:lang w:val="en-US" w:eastAsia="zh-CN"/>
        </w:rPr>
        <w:t>.招标文件获取方式</w:t>
      </w:r>
    </w:p>
    <w:p w14:paraId="034BD014">
      <w:pPr>
        <w:keepNext w:val="0"/>
        <w:keepLines w:val="0"/>
        <w:pageBreakBefore w:val="0"/>
        <w:tabs>
          <w:tab w:val="left" w:pos="360"/>
        </w:tabs>
        <w:kinsoku/>
        <w:overflowPunct/>
        <w:bidi w:val="0"/>
        <w:snapToGrid/>
        <w:spacing w:line="360" w:lineRule="auto"/>
        <w:ind w:firstLine="420" w:firstLineChars="200"/>
        <w:textAlignment w:val="auto"/>
        <w:outlineLvl w:val="9"/>
        <w:rPr>
          <w:rFonts w:hint="eastAsia" w:ascii="宋体" w:hAnsi="宋体" w:eastAsia="宋体" w:cs="宋体"/>
          <w:b w:val="0"/>
          <w:bCs w:val="0"/>
          <w:color w:val="auto"/>
          <w:szCs w:val="21"/>
          <w:highlight w:val="none"/>
          <w:shd w:val="clear" w:color="auto" w:fill="auto"/>
          <w:lang w:val="en-US" w:eastAsia="zh-CN"/>
        </w:rPr>
      </w:pPr>
      <w:r>
        <w:rPr>
          <w:rFonts w:hint="eastAsia" w:ascii="宋体" w:hAnsi="宋体" w:eastAsia="宋体" w:cs="宋体"/>
          <w:b w:val="0"/>
          <w:bCs w:val="0"/>
          <w:color w:val="auto"/>
          <w:szCs w:val="21"/>
          <w:highlight w:val="none"/>
          <w:shd w:val="clear" w:color="auto" w:fill="auto"/>
          <w:lang w:val="en-US" w:eastAsia="zh-CN"/>
        </w:rPr>
        <w:t>本项目招标文件随招标公告一并在广州交易集团有限公司（广州公共资源交易中心）交易平台网站发布。招标文件一经在广州交易集团有限公司（广州公共资源交易中心）交易平台发布，视为送达给所有投标人，招标文件由投标人自行在广州交易集团有限公司（广州公共资源交易中心）交易平台网站下载。</w:t>
      </w:r>
    </w:p>
    <w:bookmarkEnd w:id="18"/>
    <w:p w14:paraId="1212E2EB">
      <w:pPr>
        <w:kinsoku/>
        <w:overflowPunct/>
        <w:bidi w:val="0"/>
        <w:spacing w:line="360" w:lineRule="auto"/>
        <w:outlineLvl w:val="9"/>
        <w:rPr>
          <w:rFonts w:hint="eastAsia" w:ascii="宋体" w:hAnsi="宋体" w:cs="宋体"/>
          <w:b/>
          <w:bCs/>
          <w:color w:val="auto"/>
          <w:szCs w:val="21"/>
          <w:highlight w:val="none"/>
          <w:lang w:val="en-US" w:eastAsia="zh-CN"/>
        </w:rPr>
      </w:pPr>
    </w:p>
    <w:p w14:paraId="771A31CB">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r>
        <w:rPr>
          <w:rFonts w:hint="eastAsia" w:ascii="宋体" w:hAnsi="宋体" w:eastAsia="宋体" w:cs="宋体"/>
          <w:b/>
          <w:bCs/>
          <w:color w:val="auto"/>
          <w:szCs w:val="21"/>
          <w:highlight w:val="none"/>
          <w:lang w:val="en-US" w:eastAsia="zh-CN"/>
        </w:rPr>
        <w:t>.发布公告的媒介</w:t>
      </w:r>
    </w:p>
    <w:p w14:paraId="6D6ED9A2">
      <w:pPr>
        <w:keepNext w:val="0"/>
        <w:keepLines w:val="0"/>
        <w:pageBreakBefore w:val="0"/>
        <w:kinsoku/>
        <w:wordWrap/>
        <w:overflowPunct/>
        <w:topLinePunct w:val="0"/>
        <w:autoSpaceDE/>
        <w:autoSpaceDN/>
        <w:bidi w:val="0"/>
        <w:adjustRightInd/>
        <w:spacing w:line="360" w:lineRule="auto"/>
        <w:ind w:firstLine="420" w:firstLineChars="200"/>
        <w:rPr>
          <w:rFonts w:hint="eastAsia" w:ascii="宋体" w:hAnsi="宋体"/>
          <w:b w:val="0"/>
          <w:bCs w:val="0"/>
          <w:color w:val="auto"/>
          <w:szCs w:val="21"/>
          <w:highlight w:val="none"/>
        </w:rPr>
      </w:pPr>
      <w:r>
        <w:rPr>
          <w:rFonts w:hint="eastAsia" w:ascii="宋体" w:hAnsi="宋体" w:eastAsia="宋体" w:cs="宋体"/>
          <w:color w:val="auto"/>
          <w:sz w:val="21"/>
          <w:szCs w:val="21"/>
          <w:highlight w:val="none"/>
        </w:rPr>
        <w:t>本次</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rPr>
        <w:t>公告在广州交易集团有限公司(广州公共资源交易中心)网站(www.gzggzy.cn)、广东省招标投标监管网( zbtb.gd.gov.cn)</w:t>
      </w:r>
      <w:r>
        <w:rPr>
          <w:rFonts w:hint="eastAsia" w:ascii="宋体" w:hAnsi="宋体" w:eastAsia="宋体" w:cs="宋体"/>
          <w:b w:val="0"/>
          <w:bCs w:val="0"/>
          <w:color w:val="auto"/>
          <w:szCs w:val="21"/>
          <w:highlight w:val="none"/>
          <w:shd w:val="clear" w:color="auto" w:fill="auto"/>
          <w:lang w:val="en-US" w:eastAsia="zh-CN"/>
        </w:rPr>
        <w:t>、</w:t>
      </w:r>
      <w:r>
        <w:rPr>
          <w:rFonts w:hint="eastAsia" w:ascii="宋体" w:hAnsi="宋体" w:eastAsia="宋体" w:cs="宋体"/>
          <w:color w:val="auto"/>
          <w:sz w:val="21"/>
          <w:szCs w:val="21"/>
          <w:highlight w:val="none"/>
        </w:rPr>
        <w:t>中国招标投标公共服务平台（www.cebpubservice.com）</w:t>
      </w:r>
      <w:r>
        <w:rPr>
          <w:rFonts w:hint="eastAsia" w:ascii="宋体" w:hAnsi="宋体" w:eastAsia="宋体" w:cs="宋体"/>
          <w:color w:val="auto"/>
          <w:sz w:val="21"/>
          <w:szCs w:val="21"/>
          <w:highlight w:val="none"/>
          <w:lang w:eastAsia="zh-CN"/>
        </w:rPr>
        <w:t>、广州国企阳光采购信息发布平台（https://ygcg.gzggzy.cn）</w:t>
      </w:r>
      <w:r>
        <w:rPr>
          <w:rFonts w:hint="eastAsia" w:ascii="宋体" w:hAnsi="宋体" w:eastAsia="宋体" w:cs="宋体"/>
          <w:color w:val="auto"/>
          <w:sz w:val="21"/>
          <w:szCs w:val="21"/>
          <w:highlight w:val="none"/>
        </w:rPr>
        <w:t>上发布。本公告的修改、补充，在广州交易集团有限公司（广州公共资源交易中心）官网发布。本公告在各平台发布的文本如有不同之处，以在广东省招标投标监管网发布的文本为准。本项目相关附件具体详见广州交易集团有限公司（广州公共资源交易中心）网站。</w:t>
      </w:r>
    </w:p>
    <w:p w14:paraId="4FECF08D">
      <w:pPr>
        <w:kinsoku/>
        <w:overflowPunct/>
        <w:bidi w:val="0"/>
        <w:spacing w:line="360" w:lineRule="auto"/>
        <w:outlineLvl w:val="9"/>
        <w:rPr>
          <w:rFonts w:hint="eastAsia" w:ascii="宋体" w:hAnsi="宋体" w:cs="宋体"/>
          <w:b/>
          <w:bCs/>
          <w:color w:val="auto"/>
          <w:szCs w:val="21"/>
          <w:highlight w:val="none"/>
          <w:lang w:val="en-US" w:eastAsia="zh-CN"/>
        </w:rPr>
      </w:pPr>
      <w:bookmarkStart w:id="19" w:name="_Toc20761"/>
    </w:p>
    <w:p w14:paraId="3FCB08F3">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.联系方式</w:t>
      </w:r>
    </w:p>
    <w:p w14:paraId="7EED8CAD">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招标</w:t>
      </w:r>
      <w:r>
        <w:rPr>
          <w:rFonts w:hint="eastAsia" w:ascii="宋体" w:hAnsi="宋体" w:eastAsia="宋体" w:cs="宋体"/>
          <w:color w:val="auto"/>
          <w:highlight w:val="none"/>
          <w:u w:val="none"/>
        </w:rPr>
        <w:t>人：</w:t>
      </w:r>
      <w:r>
        <w:rPr>
          <w:rFonts w:hint="eastAsia" w:ascii="宋体" w:hAnsi="宋体" w:cs="宋体"/>
          <w:color w:val="auto"/>
          <w:highlight w:val="none"/>
          <w:u w:val="none"/>
          <w:lang w:eastAsia="zh-CN"/>
        </w:rPr>
        <w:t>广州市番南能源有限公司</w:t>
      </w:r>
    </w:p>
    <w:p w14:paraId="54AD627A">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rPr>
        <w:t>地    址：</w:t>
      </w:r>
      <w:r>
        <w:rPr>
          <w:rFonts w:hint="eastAsia"/>
          <w:color w:val="auto"/>
          <w:szCs w:val="21"/>
          <w:highlight w:val="none"/>
        </w:rPr>
        <w:t>广州市海珠区琶洲大道188号南方投资大厦1</w:t>
      </w:r>
      <w:r>
        <w:rPr>
          <w:rFonts w:hint="eastAsia"/>
          <w:color w:val="auto"/>
          <w:szCs w:val="21"/>
          <w:highlight w:val="none"/>
          <w:lang w:val="en-US" w:eastAsia="zh-CN"/>
        </w:rPr>
        <w:t>5</w:t>
      </w:r>
      <w:r>
        <w:rPr>
          <w:rFonts w:hint="eastAsia"/>
          <w:color w:val="auto"/>
          <w:szCs w:val="21"/>
          <w:highlight w:val="none"/>
        </w:rPr>
        <w:t>层</w:t>
      </w:r>
    </w:p>
    <w:p w14:paraId="4C92C3AE">
      <w:pPr>
        <w:kinsoku/>
        <w:overflowPunct/>
        <w:bidi w:val="0"/>
        <w:spacing w:line="360" w:lineRule="auto"/>
        <w:ind w:left="0" w:leftChars="0" w:firstLine="420" w:firstLineChars="200"/>
        <w:outlineLvl w:val="9"/>
        <w:rPr>
          <w:rFonts w:hint="eastAsia" w:ascii="宋体" w:hAnsi="宋体" w:eastAsia="宋体" w:cs="宋体"/>
          <w:color w:val="auto"/>
          <w:highlight w:val="none"/>
          <w:u w:val="none"/>
        </w:rPr>
      </w:pPr>
      <w:r>
        <w:rPr>
          <w:rFonts w:hint="eastAsia" w:ascii="宋体" w:hAnsi="宋体" w:eastAsia="宋体" w:cs="宋体"/>
          <w:color w:val="auto"/>
          <w:highlight w:val="none"/>
          <w:u w:val="none"/>
        </w:rPr>
        <w:t>联 系 人：</w:t>
      </w:r>
      <w:r>
        <w:rPr>
          <w:rFonts w:hint="eastAsia" w:ascii="宋体" w:hAnsi="宋体" w:cs="宋体"/>
          <w:color w:val="auto"/>
          <w:highlight w:val="none"/>
          <w:u w:val="none"/>
          <w:lang w:eastAsia="zh-CN"/>
        </w:rPr>
        <w:t>吕</w:t>
      </w:r>
      <w:r>
        <w:rPr>
          <w:rFonts w:hint="eastAsia"/>
          <w:color w:val="auto"/>
          <w:szCs w:val="21"/>
          <w:highlight w:val="none"/>
        </w:rPr>
        <w:t>工</w:t>
      </w:r>
    </w:p>
    <w:p w14:paraId="1F9DFF1D">
      <w:pPr>
        <w:kinsoku/>
        <w:overflowPunct/>
        <w:bidi w:val="0"/>
        <w:spacing w:line="360" w:lineRule="auto"/>
        <w:ind w:left="0" w:leftChars="0"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highlight w:val="none"/>
          <w:u w:val="none"/>
        </w:rPr>
        <w:t>电    话：</w:t>
      </w:r>
      <w:r>
        <w:rPr>
          <w:rFonts w:hint="eastAsia"/>
          <w:color w:val="auto"/>
          <w:szCs w:val="21"/>
          <w:highlight w:val="none"/>
        </w:rPr>
        <w:t>020-62316005</w:t>
      </w:r>
    </w:p>
    <w:p w14:paraId="31886699">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highlight w:val="none"/>
          <w:u w:val="none"/>
          <w:lang w:val="en-US" w:eastAsia="zh-CN"/>
        </w:rPr>
        <w:t>招标</w:t>
      </w:r>
      <w:r>
        <w:rPr>
          <w:rFonts w:hint="eastAsia" w:ascii="宋体" w:hAnsi="宋体" w:eastAsia="宋体" w:cs="宋体"/>
          <w:color w:val="auto"/>
          <w:szCs w:val="21"/>
          <w:highlight w:val="none"/>
        </w:rPr>
        <w:t>服务机构：广州竣盛工程造价咨询有限公司</w:t>
      </w:r>
    </w:p>
    <w:p w14:paraId="7F24FFA6">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shd w:val="clear" w:color="auto" w:fill="FFFFFF"/>
        </w:rPr>
        <w:t>广州市海珠区琶洲大道188号南方投资大厦12层</w:t>
      </w:r>
    </w:p>
    <w:p w14:paraId="5F3181E3">
      <w:pPr>
        <w:tabs>
          <w:tab w:val="left" w:pos="2127"/>
        </w:tabs>
        <w:kinsoku/>
        <w:topLinePunct/>
        <w:bidi w:val="0"/>
        <w:spacing w:before="10" w:after="10" w:line="360" w:lineRule="auto"/>
        <w:ind w:firstLine="420" w:firstLineChars="200"/>
        <w:outlineLvl w:val="9"/>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 系 人：</w:t>
      </w:r>
      <w:r>
        <w:rPr>
          <w:rFonts w:hint="eastAsia" w:ascii="宋体" w:hAnsi="宋体" w:cs="宋体"/>
          <w:color w:val="auto"/>
          <w:szCs w:val="21"/>
          <w:highlight w:val="none"/>
          <w:lang w:val="en-US" w:eastAsia="zh-CN"/>
        </w:rPr>
        <w:t>黄</w:t>
      </w:r>
      <w:r>
        <w:rPr>
          <w:rFonts w:hint="eastAsia" w:ascii="宋体" w:hAnsi="宋体" w:cs="宋体"/>
          <w:color w:val="auto"/>
          <w:szCs w:val="21"/>
          <w:highlight w:val="none"/>
          <w:lang w:eastAsia="zh-CN"/>
        </w:rPr>
        <w:t>工</w:t>
      </w:r>
    </w:p>
    <w:p w14:paraId="39EDBE71">
      <w:pPr>
        <w:tabs>
          <w:tab w:val="left" w:pos="2127"/>
        </w:tabs>
        <w:kinsoku/>
        <w:topLinePunct/>
        <w:bidi w:val="0"/>
        <w:spacing w:before="10" w:after="10" w:line="360" w:lineRule="auto"/>
        <w:ind w:firstLine="420" w:firstLineChars="200"/>
        <w:outlineLvl w:val="9"/>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    话：</w:t>
      </w:r>
      <w:r>
        <w:rPr>
          <w:rFonts w:hint="eastAsia"/>
          <w:color w:val="auto"/>
          <w:szCs w:val="21"/>
          <w:highlight w:val="none"/>
          <w:lang w:val="en-US" w:eastAsia="zh-CN"/>
        </w:rPr>
        <w:t>15013049870</w:t>
      </w:r>
    </w:p>
    <w:p w14:paraId="722F4CD7">
      <w:pPr>
        <w:widowControl/>
        <w:kinsoku/>
        <w:bidi w:val="0"/>
        <w:spacing w:before="10" w:after="10" w:line="360" w:lineRule="auto"/>
        <w:ind w:firstLine="426"/>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w:t>
      </w:r>
      <w:r>
        <w:rPr>
          <w:rFonts w:hint="eastAsia" w:ascii="宋体" w:hAnsi="宋体" w:eastAsia="宋体" w:cs="宋体"/>
          <w:color w:val="auto"/>
          <w:szCs w:val="21"/>
          <w:highlight w:val="none"/>
          <w:lang w:val="en-US" w:eastAsia="zh-CN"/>
        </w:rPr>
        <w:t>邮箱</w:t>
      </w:r>
      <w:r>
        <w:rPr>
          <w:rFonts w:hint="eastAsia" w:ascii="宋体" w:hAnsi="宋体" w:eastAsia="宋体" w:cs="宋体"/>
          <w:color w:val="auto"/>
          <w:szCs w:val="21"/>
          <w:highlight w:val="none"/>
        </w:rPr>
        <w:t>：junshengzb@126.com</w:t>
      </w:r>
    </w:p>
    <w:bookmarkEnd w:id="19"/>
    <w:p w14:paraId="37B651B6">
      <w:pPr>
        <w:kinsoku/>
        <w:overflowPunct/>
        <w:bidi w:val="0"/>
        <w:spacing w:line="360" w:lineRule="auto"/>
        <w:outlineLvl w:val="9"/>
        <w:rPr>
          <w:rFonts w:hint="eastAsia" w:ascii="宋体" w:hAnsi="宋体" w:eastAsia="宋体" w:cs="宋体"/>
          <w:b/>
          <w:bCs/>
          <w:color w:val="auto"/>
          <w:szCs w:val="21"/>
          <w:highlight w:val="none"/>
          <w:lang w:val="en-US" w:eastAsia="zh-CN"/>
        </w:rPr>
      </w:pPr>
    </w:p>
    <w:p w14:paraId="668D9DBA">
      <w:pPr>
        <w:kinsoku/>
        <w:overflowPunct/>
        <w:bidi w:val="0"/>
        <w:spacing w:line="360" w:lineRule="auto"/>
        <w:outlineLvl w:val="9"/>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8</w:t>
      </w:r>
      <w:r>
        <w:rPr>
          <w:rFonts w:hint="eastAsia" w:ascii="宋体" w:hAnsi="宋体" w:eastAsia="宋体" w:cs="宋体"/>
          <w:b/>
          <w:bCs/>
          <w:color w:val="auto"/>
          <w:szCs w:val="21"/>
          <w:highlight w:val="none"/>
          <w:lang w:val="en-US" w:eastAsia="zh-CN"/>
        </w:rPr>
        <w:t>.其他</w:t>
      </w:r>
    </w:p>
    <w:p w14:paraId="7F2BF4BA">
      <w:pPr>
        <w:kinsoku/>
        <w:overflowPunct/>
        <w:bidi w:val="0"/>
        <w:spacing w:line="360" w:lineRule="auto"/>
        <w:ind w:firstLine="420" w:firstLineChars="200"/>
        <w:outlineLvl w:val="9"/>
        <w:rPr>
          <w:rFonts w:hint="eastAsia" w:ascii="宋体" w:hAnsi="宋体" w:cs="宋体"/>
          <w:b w:val="0"/>
          <w:bCs/>
          <w:color w:val="auto"/>
          <w:szCs w:val="21"/>
          <w:highlight w:val="none"/>
        </w:rPr>
      </w:pPr>
      <w:r>
        <w:rPr>
          <w:rStyle w:val="55"/>
          <w:rFonts w:hint="eastAsia" w:ascii="宋体" w:hAnsi="宋体" w:cs="宋体"/>
          <w:b w:val="0"/>
          <w:bCs/>
          <w:color w:val="auto"/>
          <w:szCs w:val="21"/>
          <w:highlight w:val="none"/>
          <w:u w:val="none"/>
        </w:rPr>
        <w:t>若举报违法违规行为，应书面（签字或盖章）提出，向广东电网有限责任公司广州供电局举报。通讯地址：广东省广州市天河区天河南二路2号，邮政编码：510000；监督电话：（020）87120056。</w:t>
      </w:r>
    </w:p>
    <w:p w14:paraId="771A7288">
      <w:pPr>
        <w:keepNext w:val="0"/>
        <w:keepLines w:val="0"/>
        <w:pageBreakBefore w:val="0"/>
        <w:widowControl w:val="0"/>
        <w:kinsoku/>
        <w:wordWrap w:val="0"/>
        <w:overflowPunct/>
        <w:topLinePunct w:val="0"/>
        <w:autoSpaceDE/>
        <w:autoSpaceDN/>
        <w:bidi w:val="0"/>
        <w:adjustRightInd/>
        <w:snapToGrid/>
        <w:spacing w:line="480" w:lineRule="auto"/>
        <w:ind w:right="140"/>
        <w:jc w:val="right"/>
        <w:textAlignment w:val="auto"/>
        <w:outlineLvl w:val="9"/>
        <w:rPr>
          <w:rFonts w:hint="eastAsia" w:ascii="宋体" w:hAnsi="宋体" w:cs="宋体"/>
          <w:b w:val="0"/>
          <w:bCs/>
          <w:color w:val="auto"/>
          <w:szCs w:val="21"/>
          <w:highlight w:val="none"/>
          <w:lang w:val="en-US" w:eastAsia="zh-CN"/>
        </w:rPr>
      </w:pPr>
    </w:p>
    <w:p w14:paraId="2EDD433E">
      <w:pPr>
        <w:keepNext w:val="0"/>
        <w:keepLines w:val="0"/>
        <w:pageBreakBefore w:val="0"/>
        <w:widowControl w:val="0"/>
        <w:kinsoku/>
        <w:wordWrap w:val="0"/>
        <w:overflowPunct/>
        <w:topLinePunct w:val="0"/>
        <w:autoSpaceDE/>
        <w:autoSpaceDN/>
        <w:bidi w:val="0"/>
        <w:adjustRightInd/>
        <w:snapToGrid/>
        <w:spacing w:line="480" w:lineRule="auto"/>
        <w:ind w:right="140"/>
        <w:jc w:val="right"/>
        <w:textAlignment w:val="auto"/>
        <w:outlineLvl w:val="9"/>
        <w:rPr>
          <w:rFonts w:hint="eastAsia" w:ascii="宋体" w:hAnsi="宋体" w:eastAsia="宋体" w:cs="宋体"/>
          <w:b w:val="0"/>
          <w:bCs/>
          <w:color w:val="auto"/>
          <w:szCs w:val="21"/>
          <w:highlight w:val="none"/>
          <w:lang w:eastAsia="zh-CN"/>
        </w:rPr>
      </w:pPr>
      <w:r>
        <w:rPr>
          <w:rFonts w:hint="eastAsia" w:ascii="宋体" w:hAnsi="宋体" w:cs="宋体"/>
          <w:b w:val="0"/>
          <w:bCs/>
          <w:color w:val="auto"/>
          <w:szCs w:val="21"/>
          <w:highlight w:val="none"/>
          <w:lang w:val="en-US" w:eastAsia="zh-CN"/>
        </w:rPr>
        <w:t>招标</w:t>
      </w:r>
      <w:r>
        <w:rPr>
          <w:rFonts w:hint="eastAsia" w:ascii="宋体" w:hAnsi="宋体" w:cs="宋体"/>
          <w:b w:val="0"/>
          <w:bCs/>
          <w:color w:val="auto"/>
          <w:szCs w:val="21"/>
          <w:highlight w:val="none"/>
        </w:rPr>
        <w:t>人：</w:t>
      </w:r>
      <w:r>
        <w:rPr>
          <w:rFonts w:hint="eastAsia" w:ascii="宋体" w:hAnsi="宋体" w:cs="宋体"/>
          <w:b w:val="0"/>
          <w:bCs/>
          <w:color w:val="auto"/>
          <w:szCs w:val="21"/>
          <w:highlight w:val="none"/>
          <w:lang w:eastAsia="zh-CN"/>
        </w:rPr>
        <w:t>广州市番南能源有限公司</w:t>
      </w:r>
    </w:p>
    <w:p w14:paraId="55432EFC">
      <w:pPr>
        <w:keepNext w:val="0"/>
        <w:keepLines w:val="0"/>
        <w:pageBreakBefore w:val="0"/>
        <w:widowControl w:val="0"/>
        <w:kinsoku/>
        <w:wordWrap w:val="0"/>
        <w:overflowPunct/>
        <w:topLinePunct w:val="0"/>
        <w:autoSpaceDE/>
        <w:autoSpaceDN/>
        <w:bidi w:val="0"/>
        <w:adjustRightInd/>
        <w:snapToGrid/>
        <w:spacing w:line="480" w:lineRule="auto"/>
        <w:ind w:right="90"/>
        <w:jc w:val="right"/>
        <w:textAlignment w:val="auto"/>
        <w:outlineLvl w:val="9"/>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招标</w:t>
      </w:r>
      <w:r>
        <w:rPr>
          <w:rFonts w:hint="eastAsia" w:ascii="宋体" w:hAnsi="宋体" w:eastAsia="宋体" w:cs="宋体"/>
          <w:color w:val="auto"/>
          <w:szCs w:val="21"/>
          <w:highlight w:val="none"/>
        </w:rPr>
        <w:t>服务机构</w:t>
      </w:r>
      <w:r>
        <w:rPr>
          <w:rFonts w:hint="eastAsia" w:ascii="宋体" w:hAnsi="宋体" w:cs="宋体"/>
          <w:b w:val="0"/>
          <w:bCs/>
          <w:color w:val="auto"/>
          <w:szCs w:val="21"/>
          <w:highlight w:val="none"/>
        </w:rPr>
        <w:t>：广州竣盛工程造价咨询有限公司</w:t>
      </w:r>
    </w:p>
    <w:p w14:paraId="2E3E29D2">
      <w:pPr>
        <w:keepNext w:val="0"/>
        <w:keepLines w:val="0"/>
        <w:pageBreakBefore w:val="0"/>
        <w:widowControl w:val="0"/>
        <w:kinsoku/>
        <w:wordWrap w:val="0"/>
        <w:overflowPunct/>
        <w:topLinePunct w:val="0"/>
        <w:autoSpaceDE/>
        <w:autoSpaceDN/>
        <w:bidi w:val="0"/>
        <w:adjustRightInd/>
        <w:snapToGrid/>
        <w:spacing w:line="480" w:lineRule="auto"/>
        <w:ind w:right="90"/>
        <w:jc w:val="right"/>
        <w:textAlignment w:val="auto"/>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2025年  月  日</w:t>
      </w:r>
    </w:p>
    <w:p w14:paraId="64AFC407">
      <w:pPr>
        <w:numPr>
          <w:ilvl w:val="0"/>
          <w:numId w:val="0"/>
        </w:numPr>
        <w:rPr>
          <w:rFonts w:hint="eastAsia"/>
          <w:color w:val="auto"/>
          <w:highlight w:val="none"/>
        </w:rPr>
      </w:pPr>
    </w:p>
    <w:p w14:paraId="3BB08213">
      <w:pPr>
        <w:pStyle w:val="3"/>
        <w:pageBreakBefore/>
        <w:widowControl/>
        <w:numPr>
          <w:ilvl w:val="0"/>
          <w:numId w:val="5"/>
        </w:numPr>
        <w:tabs>
          <w:tab w:val="left" w:pos="2127"/>
        </w:tabs>
        <w:kinsoku/>
        <w:overflowPunct/>
        <w:bidi w:val="0"/>
        <w:spacing w:before="0" w:after="0" w:line="360" w:lineRule="auto"/>
        <w:jc w:val="center"/>
        <w:textAlignment w:val="auto"/>
        <w:rPr>
          <w:b/>
          <w:bCs/>
          <w:color w:val="auto"/>
          <w:sz w:val="32"/>
          <w:szCs w:val="32"/>
          <w:highlight w:val="none"/>
        </w:rPr>
      </w:pPr>
      <w:r>
        <w:rPr>
          <w:rFonts w:hint="eastAsia"/>
          <w:b/>
          <w:bCs/>
          <w:color w:val="auto"/>
          <w:sz w:val="32"/>
          <w:szCs w:val="32"/>
          <w:highlight w:val="none"/>
          <w:lang w:val="en-US" w:eastAsia="zh-CN"/>
        </w:rPr>
        <w:t xml:space="preserve"> </w:t>
      </w:r>
      <w:bookmarkStart w:id="20" w:name="_Toc5574"/>
      <w:r>
        <w:rPr>
          <w:rFonts w:hint="eastAsia"/>
          <w:b/>
          <w:bCs/>
          <w:color w:val="auto"/>
          <w:sz w:val="32"/>
          <w:szCs w:val="32"/>
          <w:highlight w:val="none"/>
        </w:rPr>
        <w:t>投标人须知</w:t>
      </w:r>
      <w:bookmarkEnd w:id="20"/>
    </w:p>
    <w:p w14:paraId="67A57C60">
      <w:pPr>
        <w:pStyle w:val="4"/>
        <w:keepNext w:val="0"/>
        <w:keepLines w:val="0"/>
        <w:tabs>
          <w:tab w:val="left" w:pos="2127"/>
        </w:tabs>
        <w:kinsoku/>
        <w:overflowPunct/>
        <w:bidi w:val="0"/>
        <w:spacing w:before="0" w:after="0" w:line="360" w:lineRule="auto"/>
        <w:ind w:firstLine="120" w:firstLineChars="50"/>
        <w:jc w:val="center"/>
        <w:textAlignment w:val="auto"/>
        <w:rPr>
          <w:rFonts w:hint="eastAsia" w:ascii="宋体" w:hAnsi="宋体" w:eastAsia="宋体"/>
          <w:color w:val="auto"/>
          <w:sz w:val="24"/>
          <w:szCs w:val="24"/>
          <w:highlight w:val="none"/>
          <w:lang w:eastAsia="zh-CN"/>
        </w:rPr>
      </w:pPr>
      <w:bookmarkStart w:id="21" w:name="_Toc30128"/>
      <w:bookmarkStart w:id="22" w:name="_Toc22182"/>
      <w:bookmarkStart w:id="23" w:name="_Toc7963"/>
      <w:bookmarkStart w:id="24" w:name="_Toc20409"/>
      <w:bookmarkStart w:id="25" w:name="_Toc17332"/>
      <w:bookmarkStart w:id="26" w:name="_Toc19512"/>
      <w:bookmarkStart w:id="27" w:name="_Toc12682"/>
      <w:bookmarkStart w:id="28" w:name="_Toc21480"/>
      <w:bookmarkStart w:id="29" w:name="_Toc21541"/>
      <w:bookmarkStart w:id="30" w:name="_Toc31089"/>
      <w:bookmarkStart w:id="31" w:name="_Toc1145"/>
      <w:bookmarkStart w:id="32" w:name="_Toc460"/>
      <w:bookmarkStart w:id="33" w:name="_Toc3546"/>
      <w:bookmarkStart w:id="34" w:name="_Toc2"/>
      <w:bookmarkStart w:id="35" w:name="_Toc19103"/>
      <w:bookmarkStart w:id="36" w:name="_Toc363"/>
      <w:r>
        <w:rPr>
          <w:rFonts w:hint="eastAsia" w:ascii="宋体" w:hAnsi="宋体" w:eastAsia="宋体"/>
          <w:color w:val="auto"/>
          <w:sz w:val="24"/>
          <w:szCs w:val="24"/>
          <w:highlight w:val="none"/>
        </w:rPr>
        <w:t>投标人须知前附表</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FA15E1F">
      <w:pPr>
        <w:kinsoku/>
        <w:overflowPunct/>
        <w:bidi w:val="0"/>
        <w:spacing w:line="360" w:lineRule="auto"/>
        <w:textAlignment w:val="auto"/>
        <w:rPr>
          <w:color w:val="auto"/>
          <w:highlight w:val="none"/>
        </w:rPr>
      </w:pPr>
    </w:p>
    <w:tbl>
      <w:tblPr>
        <w:tblStyle w:val="4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28"/>
        <w:gridCol w:w="7016"/>
      </w:tblGrid>
      <w:tr w14:paraId="614C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46" w:type="dxa"/>
            <w:vAlign w:val="center"/>
          </w:tcPr>
          <w:p w14:paraId="5ACA3123">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728" w:type="dxa"/>
            <w:vAlign w:val="center"/>
          </w:tcPr>
          <w:p w14:paraId="3C76C7A8">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条款名称</w:t>
            </w:r>
          </w:p>
        </w:tc>
        <w:tc>
          <w:tcPr>
            <w:tcW w:w="7016" w:type="dxa"/>
            <w:vAlign w:val="center"/>
          </w:tcPr>
          <w:p w14:paraId="4D25822C">
            <w:pPr>
              <w:pStyle w:val="23"/>
              <w:tabs>
                <w:tab w:val="left" w:pos="2127"/>
              </w:tabs>
              <w:kinsoku/>
              <w:overflowPunct/>
              <w:bidi w:val="0"/>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编列内容</w:t>
            </w:r>
          </w:p>
        </w:tc>
      </w:tr>
      <w:tr w14:paraId="428C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19A588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1.1.2</w:t>
            </w:r>
          </w:p>
        </w:tc>
        <w:tc>
          <w:tcPr>
            <w:tcW w:w="1728" w:type="dxa"/>
            <w:vAlign w:val="center"/>
          </w:tcPr>
          <w:p w14:paraId="7D892BE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lang w:eastAsia="zh-CN"/>
              </w:rPr>
              <w:t>人</w:t>
            </w:r>
          </w:p>
        </w:tc>
        <w:tc>
          <w:tcPr>
            <w:tcW w:w="7016" w:type="dxa"/>
            <w:vAlign w:val="center"/>
          </w:tcPr>
          <w:p w14:paraId="1948A9C9">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42F3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22124D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1.1.3</w:t>
            </w:r>
          </w:p>
        </w:tc>
        <w:tc>
          <w:tcPr>
            <w:tcW w:w="1728" w:type="dxa"/>
            <w:vAlign w:val="center"/>
          </w:tcPr>
          <w:p w14:paraId="48758D73">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rPr>
              <w:t>服务机构</w:t>
            </w:r>
          </w:p>
        </w:tc>
        <w:tc>
          <w:tcPr>
            <w:tcW w:w="7016" w:type="dxa"/>
            <w:vAlign w:val="center"/>
          </w:tcPr>
          <w:p w14:paraId="5870846E">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728C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ECBF2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1.1.4</w:t>
            </w:r>
          </w:p>
        </w:tc>
        <w:tc>
          <w:tcPr>
            <w:tcW w:w="1728" w:type="dxa"/>
            <w:vAlign w:val="center"/>
          </w:tcPr>
          <w:p w14:paraId="71A9ADD9">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0"/>
                <w:highlight w:val="none"/>
                <w:lang w:eastAsia="zh-CN"/>
              </w:rPr>
              <w:t>项目/标段名称</w:t>
            </w:r>
          </w:p>
        </w:tc>
        <w:tc>
          <w:tcPr>
            <w:tcW w:w="7016" w:type="dxa"/>
            <w:vAlign w:val="center"/>
          </w:tcPr>
          <w:p w14:paraId="7C96B555">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0"/>
                <w:highlight w:val="none"/>
                <w:u w:val="none"/>
                <w:lang w:val="en-US" w:eastAsia="zh-CN"/>
              </w:rPr>
            </w:pPr>
            <w:r>
              <w:rPr>
                <w:rFonts w:hint="eastAsia" w:ascii="宋体" w:hAnsi="宋体" w:eastAsia="宋体" w:cs="宋体"/>
                <w:color w:val="auto"/>
                <w:szCs w:val="20"/>
                <w:highlight w:val="none"/>
                <w:u w:val="none"/>
                <w:lang w:eastAsia="zh-CN"/>
              </w:rPr>
              <w:t>项目名称</w:t>
            </w:r>
            <w:r>
              <w:rPr>
                <w:rFonts w:hint="eastAsia" w:ascii="宋体" w:hAnsi="宋体" w:eastAsia="宋体" w:cs="宋体"/>
                <w:color w:val="auto"/>
                <w:szCs w:val="20"/>
                <w:highlight w:val="none"/>
                <w:u w:val="none"/>
                <w:lang w:val="en-US" w:eastAsia="zh-CN"/>
              </w:rPr>
              <w:t>：</w:t>
            </w: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p w14:paraId="356118A4">
            <w:pPr>
              <w:pStyle w:val="23"/>
              <w:tabs>
                <w:tab w:val="left" w:pos="2127"/>
              </w:tabs>
              <w:kinsoku/>
              <w:overflowPunct/>
              <w:bidi w:val="0"/>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Cs w:val="20"/>
                <w:highlight w:val="none"/>
                <w:u w:val="none"/>
                <w:lang w:eastAsia="zh-CN"/>
              </w:rPr>
              <w:t>标段名称</w:t>
            </w:r>
            <w:r>
              <w:rPr>
                <w:rFonts w:hint="eastAsia" w:ascii="宋体" w:hAnsi="宋体" w:eastAsia="宋体" w:cs="宋体"/>
                <w:color w:val="auto"/>
                <w:szCs w:val="20"/>
                <w:highlight w:val="none"/>
                <w:u w:val="none"/>
                <w:lang w:val="en-US" w:eastAsia="zh-CN"/>
              </w:rPr>
              <w:t>：</w:t>
            </w: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375B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D846326">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1.1.5</w:t>
            </w:r>
          </w:p>
        </w:tc>
        <w:tc>
          <w:tcPr>
            <w:tcW w:w="1728" w:type="dxa"/>
            <w:vAlign w:val="center"/>
          </w:tcPr>
          <w:p w14:paraId="193E664F">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项目地点</w:t>
            </w:r>
          </w:p>
        </w:tc>
        <w:tc>
          <w:tcPr>
            <w:tcW w:w="7016" w:type="dxa"/>
            <w:vAlign w:val="center"/>
          </w:tcPr>
          <w:p w14:paraId="715F0574">
            <w:pPr>
              <w:kinsoku/>
              <w:overflowPunct/>
              <w:bidi w:val="0"/>
              <w:spacing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54A0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7222F41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1.1.6</w:t>
            </w:r>
          </w:p>
        </w:tc>
        <w:tc>
          <w:tcPr>
            <w:tcW w:w="1728" w:type="dxa"/>
            <w:vAlign w:val="center"/>
          </w:tcPr>
          <w:p w14:paraId="5F499943">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eastAsia="zh-CN"/>
              </w:rPr>
              <w:t>项目概况（工程项目规模）</w:t>
            </w:r>
          </w:p>
        </w:tc>
        <w:tc>
          <w:tcPr>
            <w:tcW w:w="7016" w:type="dxa"/>
            <w:vAlign w:val="center"/>
          </w:tcPr>
          <w:p w14:paraId="2AB37B89">
            <w:pPr>
              <w:kinsoku/>
              <w:overflowPunct/>
              <w:bidi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6969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3DCC8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1.1.7</w:t>
            </w:r>
          </w:p>
        </w:tc>
        <w:tc>
          <w:tcPr>
            <w:tcW w:w="1728" w:type="dxa"/>
            <w:vAlign w:val="center"/>
          </w:tcPr>
          <w:p w14:paraId="501539C0">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标段划分</w:t>
            </w:r>
          </w:p>
        </w:tc>
        <w:tc>
          <w:tcPr>
            <w:tcW w:w="7016" w:type="dxa"/>
            <w:vAlign w:val="center"/>
          </w:tcPr>
          <w:p w14:paraId="3ABDA41F">
            <w:pPr>
              <w:kinsoku/>
              <w:overflowPunct/>
              <w:bidi w:val="0"/>
              <w:adjustRightInd w:val="0"/>
              <w:snapToGrid w:val="0"/>
              <w:spacing w:line="360" w:lineRule="auto"/>
              <w:ind w:left="0" w:leftChars="0" w:firstLine="0" w:firstLineChars="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03F3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8638DD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1.2.2</w:t>
            </w:r>
          </w:p>
        </w:tc>
        <w:tc>
          <w:tcPr>
            <w:tcW w:w="1728" w:type="dxa"/>
            <w:vAlign w:val="center"/>
          </w:tcPr>
          <w:p w14:paraId="74A0E4CC">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rPr>
              <w:t>资金落实情况</w:t>
            </w:r>
          </w:p>
        </w:tc>
        <w:tc>
          <w:tcPr>
            <w:tcW w:w="7016" w:type="dxa"/>
            <w:vAlign w:val="center"/>
          </w:tcPr>
          <w:p w14:paraId="7B60D91C">
            <w:pPr>
              <w:kinsoku/>
              <w:overflowPunct/>
              <w:bidi w:val="0"/>
              <w:spacing w:line="360" w:lineRule="auto"/>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0787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1D2C661">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1.3.1</w:t>
            </w:r>
          </w:p>
        </w:tc>
        <w:tc>
          <w:tcPr>
            <w:tcW w:w="1728" w:type="dxa"/>
            <w:vAlign w:val="center"/>
          </w:tcPr>
          <w:p w14:paraId="7D5ABF2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color w:val="auto"/>
                <w:sz w:val="21"/>
                <w:szCs w:val="21"/>
                <w:highlight w:val="none"/>
                <w:u w:val="none"/>
              </w:rPr>
              <w:t>范围（监理范围）</w:t>
            </w:r>
          </w:p>
        </w:tc>
        <w:tc>
          <w:tcPr>
            <w:tcW w:w="7016" w:type="dxa"/>
            <w:vAlign w:val="center"/>
          </w:tcPr>
          <w:p w14:paraId="63D9ED8A">
            <w:pPr>
              <w:kinsoku/>
              <w:overflowPunct/>
              <w:bidi w:val="0"/>
              <w:spacing w:line="360" w:lineRule="auto"/>
              <w:jc w:val="both"/>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2941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40AD6F9">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1.3.2</w:t>
            </w:r>
          </w:p>
        </w:tc>
        <w:tc>
          <w:tcPr>
            <w:tcW w:w="1728" w:type="dxa"/>
            <w:vAlign w:val="center"/>
          </w:tcPr>
          <w:p w14:paraId="38A0769F">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hAnsi="宋体" w:cs="宋体"/>
                <w:color w:val="auto"/>
                <w:sz w:val="21"/>
                <w:szCs w:val="21"/>
                <w:highlight w:val="none"/>
                <w:u w:val="none"/>
                <w:lang w:eastAsia="zh-CN"/>
              </w:rPr>
              <w:t>监理服务期限</w:t>
            </w:r>
          </w:p>
        </w:tc>
        <w:tc>
          <w:tcPr>
            <w:tcW w:w="7016" w:type="dxa"/>
            <w:vAlign w:val="center"/>
          </w:tcPr>
          <w:p w14:paraId="2087FBF0">
            <w:pPr>
              <w:kinsoku/>
              <w:overflowPunct/>
              <w:bidi w:val="0"/>
              <w:spacing w:line="360" w:lineRule="auto"/>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605C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B10BC85">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1.3.3</w:t>
            </w:r>
          </w:p>
        </w:tc>
        <w:tc>
          <w:tcPr>
            <w:tcW w:w="1728" w:type="dxa"/>
            <w:vAlign w:val="center"/>
          </w:tcPr>
          <w:p w14:paraId="4E411863">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u w:val="none"/>
                <w:lang w:val="en-US" w:eastAsia="zh-CN"/>
              </w:rPr>
              <w:t>招标相关要求</w:t>
            </w:r>
          </w:p>
        </w:tc>
        <w:tc>
          <w:tcPr>
            <w:tcW w:w="7016" w:type="dxa"/>
            <w:vAlign w:val="center"/>
          </w:tcPr>
          <w:p w14:paraId="0724E13B">
            <w:pPr>
              <w:kinsoku/>
              <w:overflowPunct/>
              <w:bidi w:val="0"/>
              <w:spacing w:line="360" w:lineRule="auto"/>
              <w:jc w:val="both"/>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22D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C4E2DD7">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1.4.1</w:t>
            </w:r>
          </w:p>
        </w:tc>
        <w:tc>
          <w:tcPr>
            <w:tcW w:w="1728" w:type="dxa"/>
            <w:vAlign w:val="center"/>
          </w:tcPr>
          <w:p w14:paraId="3C744BF5">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资格要求</w:t>
            </w:r>
          </w:p>
        </w:tc>
        <w:tc>
          <w:tcPr>
            <w:tcW w:w="7016" w:type="dxa"/>
            <w:vAlign w:val="center"/>
          </w:tcPr>
          <w:p w14:paraId="20253B60">
            <w:pPr>
              <w:kinsoku/>
              <w:overflowPunct/>
              <w:bidi w:val="0"/>
              <w:spacing w:line="360" w:lineRule="auto"/>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u w:val="none"/>
                <w:lang w:val="en-US" w:eastAsia="zh-CN"/>
              </w:rPr>
              <w:t>详见</w:t>
            </w:r>
            <w:r>
              <w:rPr>
                <w:rFonts w:hint="eastAsia" w:ascii="宋体" w:hAnsi="宋体" w:eastAsia="宋体" w:cs="宋体"/>
                <w:color w:val="auto"/>
                <w:sz w:val="21"/>
                <w:szCs w:val="21"/>
                <w:highlight w:val="none"/>
                <w:u w:val="none"/>
                <w:lang w:val="en-US" w:eastAsia="zh-CN"/>
              </w:rPr>
              <w:t>招标</w:t>
            </w:r>
            <w:r>
              <w:rPr>
                <w:rFonts w:hint="eastAsia" w:ascii="宋体" w:hAnsi="宋体" w:eastAsia="宋体" w:cs="宋体"/>
                <w:bCs/>
                <w:color w:val="auto"/>
                <w:sz w:val="21"/>
                <w:szCs w:val="21"/>
                <w:highlight w:val="none"/>
                <w:u w:val="none"/>
                <w:lang w:val="en-US" w:eastAsia="zh-CN"/>
              </w:rPr>
              <w:t>公告</w:t>
            </w:r>
          </w:p>
        </w:tc>
      </w:tr>
      <w:tr w14:paraId="435C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6A47BD7">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1.4.2</w:t>
            </w:r>
          </w:p>
        </w:tc>
        <w:tc>
          <w:tcPr>
            <w:tcW w:w="1728" w:type="dxa"/>
            <w:vAlign w:val="center"/>
          </w:tcPr>
          <w:p w14:paraId="6FB2AA5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是否接受联合体投标</w:t>
            </w:r>
          </w:p>
        </w:tc>
        <w:tc>
          <w:tcPr>
            <w:tcW w:w="7016" w:type="dxa"/>
            <w:vAlign w:val="center"/>
          </w:tcPr>
          <w:p w14:paraId="0FBC0FCC">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rPr>
            </w:pPr>
            <w:r>
              <w:rPr>
                <w:rFonts w:hint="eastAsia" w:ascii="宋体" w:hAnsi="宋体" w:eastAsia="宋体" w:cs="宋体"/>
                <w:color w:val="auto"/>
                <w:szCs w:val="21"/>
                <w:highlight w:val="none"/>
                <w:lang w:eastAsia="zh-CN"/>
              </w:rPr>
              <w:t>☑</w:t>
            </w:r>
            <w:r>
              <w:rPr>
                <w:rFonts w:hint="eastAsia" w:ascii="宋体" w:hAnsi="宋体" w:eastAsia="宋体" w:cs="宋体"/>
                <w:bCs/>
                <w:color w:val="auto"/>
                <w:szCs w:val="20"/>
                <w:highlight w:val="none"/>
              </w:rPr>
              <w:t>不接受</w:t>
            </w:r>
          </w:p>
          <w:p w14:paraId="78298257">
            <w:pPr>
              <w:pStyle w:val="23"/>
              <w:tabs>
                <w:tab w:val="left" w:pos="2127"/>
              </w:tabs>
              <w:kinsoku/>
              <w:overflowPunct/>
              <w:bidi w:val="0"/>
              <w:spacing w:line="360" w:lineRule="auto"/>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bCs/>
                <w:color w:val="auto"/>
                <w:szCs w:val="20"/>
                <w:highlight w:val="none"/>
              </w:rPr>
              <w:t>接受，应满足下列要求：</w:t>
            </w:r>
          </w:p>
        </w:tc>
      </w:tr>
      <w:tr w14:paraId="4745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74182F">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1.9.1</w:t>
            </w:r>
          </w:p>
        </w:tc>
        <w:tc>
          <w:tcPr>
            <w:tcW w:w="1728" w:type="dxa"/>
            <w:vAlign w:val="center"/>
          </w:tcPr>
          <w:p w14:paraId="3CA4CC3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Cs w:val="21"/>
                <w:highlight w:val="none"/>
              </w:rPr>
              <w:t>踏勘现场</w:t>
            </w:r>
          </w:p>
        </w:tc>
        <w:tc>
          <w:tcPr>
            <w:tcW w:w="7016" w:type="dxa"/>
            <w:vAlign w:val="center"/>
          </w:tcPr>
          <w:p w14:paraId="4F46217F">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不组织</w:t>
            </w:r>
          </w:p>
          <w:p w14:paraId="787A089D">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□组织，踏勘时间：</w:t>
            </w:r>
          </w:p>
          <w:p w14:paraId="608B9B08">
            <w:pPr>
              <w:pStyle w:val="23"/>
              <w:tabs>
                <w:tab w:val="left" w:pos="2127"/>
              </w:tabs>
              <w:kinsoku/>
              <w:overflowPunct/>
              <w:bidi w:val="0"/>
              <w:spacing w:line="360" w:lineRule="auto"/>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Cs w:val="21"/>
                <w:highlight w:val="none"/>
              </w:rPr>
              <w:t>踏勘集中地点：</w:t>
            </w:r>
          </w:p>
        </w:tc>
      </w:tr>
      <w:tr w14:paraId="471E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990A6DC">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1.10.1</w:t>
            </w:r>
          </w:p>
        </w:tc>
        <w:tc>
          <w:tcPr>
            <w:tcW w:w="1728" w:type="dxa"/>
            <w:vAlign w:val="center"/>
          </w:tcPr>
          <w:p w14:paraId="6AB85E78">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投标预备会</w:t>
            </w:r>
          </w:p>
        </w:tc>
        <w:tc>
          <w:tcPr>
            <w:tcW w:w="7016" w:type="dxa"/>
            <w:vAlign w:val="center"/>
          </w:tcPr>
          <w:p w14:paraId="62A21BF8">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不召开</w:t>
            </w:r>
          </w:p>
          <w:p w14:paraId="4DFD5BA1">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shd w:val="clear" w:color="auto" w:fill="auto"/>
                <w:lang w:eastAsia="zh-CN"/>
              </w:rPr>
              <w:t>□</w:t>
            </w:r>
            <w:r>
              <w:rPr>
                <w:rFonts w:hint="eastAsia" w:ascii="宋体" w:hAnsi="宋体" w:eastAsia="宋体" w:cs="宋体"/>
                <w:color w:val="auto"/>
                <w:szCs w:val="21"/>
                <w:highlight w:val="none"/>
              </w:rPr>
              <w:t>召开，召开时间：</w:t>
            </w:r>
          </w:p>
          <w:p w14:paraId="055A8476">
            <w:pPr>
              <w:pStyle w:val="23"/>
              <w:tabs>
                <w:tab w:val="left" w:pos="2127"/>
              </w:tabs>
              <w:kinsoku/>
              <w:overflowPunct/>
              <w:bidi w:val="0"/>
              <w:spacing w:line="360" w:lineRule="auto"/>
              <w:jc w:val="both"/>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召开地点：</w:t>
            </w:r>
          </w:p>
          <w:p w14:paraId="26E77D21">
            <w:pPr>
              <w:pStyle w:val="23"/>
              <w:tabs>
                <w:tab w:val="left" w:pos="2127"/>
              </w:tabs>
              <w:kinsoku/>
              <w:overflowPunct/>
              <w:bidi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eastAsia="zh-CN"/>
              </w:rPr>
              <w:t>☑</w:t>
            </w:r>
            <w:r>
              <w:rPr>
                <w:rFonts w:hint="eastAsia"/>
                <w:color w:val="auto"/>
                <w:highlight w:val="none"/>
              </w:rPr>
              <w:t>招标人接受网上提问并答疑。</w:t>
            </w:r>
          </w:p>
        </w:tc>
      </w:tr>
      <w:tr w14:paraId="52EC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46" w:type="dxa"/>
            <w:vAlign w:val="center"/>
          </w:tcPr>
          <w:p w14:paraId="595A201E">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lang w:val="en-US" w:eastAsia="zh-CN"/>
              </w:rPr>
              <w:t>1.11.1</w:t>
            </w:r>
          </w:p>
        </w:tc>
        <w:tc>
          <w:tcPr>
            <w:tcW w:w="1728" w:type="dxa"/>
            <w:vAlign w:val="center"/>
          </w:tcPr>
          <w:p w14:paraId="47543777">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u w:val="none"/>
                <w:lang w:val="en-US" w:eastAsia="zh-CN"/>
              </w:rPr>
              <w:t>分包</w:t>
            </w:r>
          </w:p>
        </w:tc>
        <w:tc>
          <w:tcPr>
            <w:tcW w:w="7016" w:type="dxa"/>
            <w:vAlign w:val="center"/>
          </w:tcPr>
          <w:p w14:paraId="592810E9">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□允许投标人在国家法律、法规允许的范围内进行分包</w:t>
            </w:r>
          </w:p>
          <w:p w14:paraId="5499561E">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Courier New" w:eastAsia="宋体" w:cs="Times New Roman"/>
                <w:color w:val="auto"/>
                <w:kern w:val="2"/>
                <w:sz w:val="21"/>
                <w:highlight w:val="none"/>
                <w:u w:val="none"/>
                <w:lang w:val="en-US" w:eastAsia="zh-CN" w:bidi="ar-SA"/>
              </w:rPr>
              <w:t>☑不允许分包</w:t>
            </w:r>
          </w:p>
        </w:tc>
      </w:tr>
      <w:tr w14:paraId="73C4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EBC7A4B">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2.1</w:t>
            </w:r>
          </w:p>
        </w:tc>
        <w:tc>
          <w:tcPr>
            <w:tcW w:w="1728" w:type="dxa"/>
            <w:vAlign w:val="center"/>
          </w:tcPr>
          <w:p w14:paraId="261C9A6D">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构成招标文件的其他材料</w:t>
            </w:r>
          </w:p>
        </w:tc>
        <w:tc>
          <w:tcPr>
            <w:tcW w:w="7016" w:type="dxa"/>
            <w:vAlign w:val="center"/>
          </w:tcPr>
          <w:p w14:paraId="0BC8927A">
            <w:pPr>
              <w:pStyle w:val="23"/>
              <w:tabs>
                <w:tab w:val="left" w:pos="2127"/>
              </w:tabs>
              <w:kinsoku/>
              <w:overflowPunct/>
              <w:bidi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补充公告、答疑纪要、澄清文件等（如有）</w:t>
            </w:r>
          </w:p>
        </w:tc>
      </w:tr>
      <w:tr w14:paraId="2A0D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Merge w:val="restart"/>
            <w:vAlign w:val="center"/>
          </w:tcPr>
          <w:p w14:paraId="7BAADFEF">
            <w:pPr>
              <w:pStyle w:val="23"/>
              <w:numPr>
                <w:ilvl w:val="0"/>
                <w:numId w:val="0"/>
              </w:numPr>
              <w:tabs>
                <w:tab w:val="left" w:pos="2127"/>
              </w:tabs>
              <w:kinsoku/>
              <w:overflowPunct/>
              <w:bidi w:val="0"/>
              <w:spacing w:line="360" w:lineRule="auto"/>
              <w:ind w:leftChars="0"/>
              <w:jc w:val="both"/>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2.2.1</w:t>
            </w:r>
          </w:p>
        </w:tc>
        <w:tc>
          <w:tcPr>
            <w:tcW w:w="1728" w:type="dxa"/>
            <w:vMerge w:val="restart"/>
            <w:vAlign w:val="center"/>
          </w:tcPr>
          <w:p w14:paraId="6172DB26">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投标人要求澄清招标文件</w:t>
            </w:r>
          </w:p>
        </w:tc>
        <w:tc>
          <w:tcPr>
            <w:tcW w:w="7016" w:type="dxa"/>
            <w:vAlign w:val="center"/>
          </w:tcPr>
          <w:p w14:paraId="5D434BCA">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hAnsi="宋体"/>
                <w:color w:val="auto"/>
                <w:szCs w:val="21"/>
                <w:highlight w:val="none"/>
              </w:rPr>
              <w:t>投标人提出问题的截止时间：</w:t>
            </w:r>
            <w:r>
              <w:rPr>
                <w:rFonts w:hint="eastAsia" w:hAnsi="宋体"/>
                <w:color w:val="auto"/>
                <w:szCs w:val="21"/>
                <w:highlight w:val="none"/>
                <w:u w:val="single"/>
              </w:rPr>
              <w:t>202</w:t>
            </w:r>
            <w:r>
              <w:rPr>
                <w:rFonts w:hint="eastAsia" w:hAnsi="宋体"/>
                <w:color w:val="auto"/>
                <w:szCs w:val="21"/>
                <w:highlight w:val="none"/>
                <w:u w:val="single"/>
                <w:lang w:val="en-US" w:eastAsia="zh-CN"/>
              </w:rPr>
              <w:t>5</w:t>
            </w:r>
            <w:r>
              <w:rPr>
                <w:rFonts w:hint="eastAsia" w:hAnsi="宋体"/>
                <w:color w:val="auto"/>
                <w:szCs w:val="21"/>
                <w:highlight w:val="none"/>
              </w:rPr>
              <w:t>年</w:t>
            </w:r>
            <w:r>
              <w:rPr>
                <w:rFonts w:hint="eastAsia" w:hAnsi="宋体"/>
                <w:color w:val="auto"/>
                <w:szCs w:val="21"/>
                <w:highlight w:val="none"/>
                <w:u w:val="single"/>
                <w:lang w:val="en-US" w:eastAsia="zh-CN"/>
              </w:rPr>
              <w:t xml:space="preserve">  </w:t>
            </w:r>
            <w:r>
              <w:rPr>
                <w:rFonts w:hint="eastAsia" w:hAnsi="宋体"/>
                <w:color w:val="auto"/>
                <w:szCs w:val="21"/>
                <w:highlight w:val="none"/>
              </w:rPr>
              <w:t>月</w:t>
            </w:r>
            <w:r>
              <w:rPr>
                <w:rFonts w:hint="eastAsia" w:hAnsi="宋体"/>
                <w:color w:val="auto"/>
                <w:szCs w:val="21"/>
                <w:highlight w:val="none"/>
                <w:u w:val="single"/>
                <w:lang w:val="en-US" w:eastAsia="zh-CN"/>
              </w:rPr>
              <w:t xml:space="preserve">  </w:t>
            </w:r>
            <w:r>
              <w:rPr>
                <w:rFonts w:hint="eastAsia" w:hAnsi="宋体"/>
                <w:color w:val="auto"/>
                <w:szCs w:val="21"/>
                <w:highlight w:val="none"/>
              </w:rPr>
              <w:t>日</w:t>
            </w:r>
            <w:r>
              <w:rPr>
                <w:rFonts w:hint="eastAsia" w:hAnsi="宋体"/>
                <w:color w:val="auto"/>
                <w:szCs w:val="21"/>
                <w:highlight w:val="none"/>
                <w:u w:val="single"/>
                <w:lang w:val="en-US" w:eastAsia="zh-CN"/>
              </w:rPr>
              <w:t xml:space="preserve">  </w:t>
            </w:r>
            <w:r>
              <w:rPr>
                <w:rFonts w:hint="eastAsia" w:hAnsi="宋体"/>
                <w:color w:val="auto"/>
                <w:szCs w:val="21"/>
                <w:highlight w:val="none"/>
              </w:rPr>
              <w:t>时</w:t>
            </w:r>
            <w:r>
              <w:rPr>
                <w:rFonts w:hint="eastAsia" w:hAnsi="宋体"/>
                <w:color w:val="auto"/>
                <w:szCs w:val="21"/>
                <w:highlight w:val="none"/>
                <w:u w:val="single"/>
                <w:lang w:val="en-US" w:eastAsia="zh-CN"/>
              </w:rPr>
              <w:t xml:space="preserve">  </w:t>
            </w:r>
            <w:r>
              <w:rPr>
                <w:rFonts w:hint="eastAsia" w:hAnsi="宋体"/>
                <w:color w:val="auto"/>
                <w:szCs w:val="21"/>
                <w:highlight w:val="none"/>
              </w:rPr>
              <w:t>分</w:t>
            </w:r>
            <w:r>
              <w:rPr>
                <w:rFonts w:hint="eastAsia" w:hAnsi="宋体"/>
                <w:color w:val="auto"/>
                <w:szCs w:val="21"/>
                <w:highlight w:val="none"/>
                <w:u w:val="single"/>
                <w:lang w:val="en-US" w:eastAsia="zh-CN"/>
              </w:rPr>
              <w:t xml:space="preserve">  </w:t>
            </w:r>
            <w:r>
              <w:rPr>
                <w:rFonts w:hint="eastAsia" w:hAnsi="宋体"/>
                <w:color w:val="auto"/>
                <w:szCs w:val="21"/>
                <w:highlight w:val="none"/>
                <w:lang w:val="en-US" w:eastAsia="zh-CN"/>
              </w:rPr>
              <w:t>秒</w:t>
            </w:r>
            <w:r>
              <w:rPr>
                <w:rFonts w:hint="eastAsia" w:hAnsi="宋体"/>
                <w:color w:val="auto"/>
                <w:szCs w:val="21"/>
                <w:highlight w:val="none"/>
              </w:rPr>
              <w:t>前</w:t>
            </w:r>
          </w:p>
        </w:tc>
      </w:tr>
      <w:tr w14:paraId="2462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Merge w:val="continue"/>
            <w:vAlign w:val="center"/>
          </w:tcPr>
          <w:p w14:paraId="5A39459A">
            <w:pPr>
              <w:pStyle w:val="23"/>
              <w:numPr>
                <w:ilvl w:val="0"/>
                <w:numId w:val="0"/>
              </w:numPr>
              <w:tabs>
                <w:tab w:val="left" w:pos="2127"/>
              </w:tabs>
              <w:kinsoku/>
              <w:overflowPunct/>
              <w:bidi w:val="0"/>
              <w:spacing w:line="360" w:lineRule="auto"/>
              <w:ind w:leftChars="0"/>
              <w:jc w:val="both"/>
              <w:textAlignment w:val="auto"/>
              <w:rPr>
                <w:rFonts w:hint="default" w:ascii="宋体" w:hAnsi="宋体" w:eastAsia="宋体" w:cs="宋体"/>
                <w:color w:val="auto"/>
                <w:sz w:val="21"/>
                <w:szCs w:val="21"/>
                <w:highlight w:val="none"/>
                <w:lang w:val="en-US" w:eastAsia="zh-CN"/>
              </w:rPr>
            </w:pPr>
          </w:p>
        </w:tc>
        <w:tc>
          <w:tcPr>
            <w:tcW w:w="1728" w:type="dxa"/>
            <w:vMerge w:val="continue"/>
            <w:vAlign w:val="center"/>
          </w:tcPr>
          <w:p w14:paraId="17A73F53">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p>
        </w:tc>
        <w:tc>
          <w:tcPr>
            <w:tcW w:w="7016" w:type="dxa"/>
            <w:vAlign w:val="center"/>
          </w:tcPr>
          <w:p w14:paraId="318C6851">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投标人的疑问通过广州交易集团有限公司（广州公共资源交易中心）数字交易平台提交。按照广州交易集团有限公司（广州公共资源交易中心）数字交易平台关于全流程电子化项目的相关指南进行操作。提问一律不得署名。</w:t>
            </w:r>
          </w:p>
        </w:tc>
      </w:tr>
      <w:tr w14:paraId="4842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D0EF6FB">
            <w:pPr>
              <w:pStyle w:val="23"/>
              <w:kinsoku/>
              <w:overflowPunct/>
              <w:bidi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2.2.2</w:t>
            </w:r>
          </w:p>
        </w:tc>
        <w:tc>
          <w:tcPr>
            <w:tcW w:w="1728" w:type="dxa"/>
            <w:vAlign w:val="center"/>
          </w:tcPr>
          <w:p w14:paraId="6409134E">
            <w:pPr>
              <w:pStyle w:val="23"/>
              <w:tabs>
                <w:tab w:val="left" w:pos="2127"/>
              </w:tabs>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招标文件澄清发出的形式</w:t>
            </w:r>
          </w:p>
        </w:tc>
        <w:tc>
          <w:tcPr>
            <w:tcW w:w="7016" w:type="dxa"/>
            <w:vAlign w:val="center"/>
          </w:tcPr>
          <w:p w14:paraId="00067E6A">
            <w:pPr>
              <w:pStyle w:val="23"/>
              <w:tabs>
                <w:tab w:val="left" w:pos="2127"/>
              </w:tabs>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在广州交易集团有限公司（广州公共资源交易中心）网站答疑专区发布。</w:t>
            </w:r>
          </w:p>
        </w:tc>
      </w:tr>
      <w:tr w14:paraId="3BA8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Merge w:val="restart"/>
            <w:vAlign w:val="center"/>
          </w:tcPr>
          <w:p w14:paraId="4C5EC4C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lang w:val="en-US" w:eastAsia="zh-CN"/>
              </w:rPr>
              <w:t>2.2.3</w:t>
            </w:r>
          </w:p>
        </w:tc>
        <w:tc>
          <w:tcPr>
            <w:tcW w:w="1728" w:type="dxa"/>
            <w:vMerge w:val="restart"/>
            <w:vAlign w:val="center"/>
          </w:tcPr>
          <w:p w14:paraId="60E3D59A">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投标人确认收到招标文件澄清</w:t>
            </w:r>
          </w:p>
        </w:tc>
        <w:tc>
          <w:tcPr>
            <w:tcW w:w="7016" w:type="dxa"/>
            <w:vAlign w:val="center"/>
          </w:tcPr>
          <w:p w14:paraId="320149F9">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时间：发出即视作收到。</w:t>
            </w:r>
          </w:p>
        </w:tc>
      </w:tr>
      <w:tr w14:paraId="0165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846" w:type="dxa"/>
            <w:vMerge w:val="continue"/>
            <w:vAlign w:val="center"/>
          </w:tcPr>
          <w:p w14:paraId="1872C5FD">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Cs w:val="20"/>
                <w:highlight w:val="none"/>
                <w:lang w:val="en-US" w:eastAsia="zh-CN"/>
              </w:rPr>
            </w:pPr>
          </w:p>
        </w:tc>
        <w:tc>
          <w:tcPr>
            <w:tcW w:w="1728" w:type="dxa"/>
            <w:vMerge w:val="continue"/>
            <w:vAlign w:val="center"/>
          </w:tcPr>
          <w:p w14:paraId="68559011">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p>
        </w:tc>
        <w:tc>
          <w:tcPr>
            <w:tcW w:w="7016" w:type="dxa"/>
            <w:vAlign w:val="center"/>
          </w:tcPr>
          <w:p w14:paraId="0A52CB30">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招标文件的澄清或修改在广州交易集团有限公司（广州公共资源交易中心）网站答疑专区网上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538F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1B7A175">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szCs w:val="20"/>
                <w:highlight w:val="none"/>
              </w:rPr>
              <w:t>2.3.1</w:t>
            </w:r>
          </w:p>
        </w:tc>
        <w:tc>
          <w:tcPr>
            <w:tcW w:w="1728" w:type="dxa"/>
            <w:vAlign w:val="center"/>
          </w:tcPr>
          <w:p w14:paraId="706709C2">
            <w:pPr>
              <w:pStyle w:val="23"/>
              <w:tabs>
                <w:tab w:val="left" w:pos="2127"/>
              </w:tabs>
              <w:spacing w:line="360" w:lineRule="auto"/>
              <w:jc w:val="center"/>
              <w:rPr>
                <w:rFonts w:hint="eastAsia" w:ascii="宋体" w:hAnsi="宋体" w:eastAsia="宋体" w:cs="宋体"/>
                <w:color w:val="auto"/>
                <w:kern w:val="0"/>
                <w:sz w:val="21"/>
                <w:szCs w:val="21"/>
                <w:highlight w:val="none"/>
                <w:u w:val="none"/>
                <w:lang w:val="en-US" w:eastAsia="zh-CN" w:bidi="ar-SA"/>
              </w:rPr>
            </w:pPr>
            <w:r>
              <w:rPr>
                <w:rFonts w:hint="eastAsia" w:hAnsi="宋体"/>
                <w:color w:val="auto"/>
                <w:szCs w:val="21"/>
                <w:highlight w:val="none"/>
              </w:rPr>
              <w:t>招标文件修改发出的形式</w:t>
            </w:r>
          </w:p>
        </w:tc>
        <w:tc>
          <w:tcPr>
            <w:tcW w:w="7016" w:type="dxa"/>
            <w:vAlign w:val="center"/>
          </w:tcPr>
          <w:p w14:paraId="45F2208C">
            <w:pPr>
              <w:pStyle w:val="23"/>
              <w:tabs>
                <w:tab w:val="left" w:pos="2127"/>
              </w:tabs>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以补充公告或项目答疑澄清的方式在广州交易集团有限公司（广州公共资源交易中心）网站发布。</w:t>
            </w:r>
          </w:p>
        </w:tc>
      </w:tr>
      <w:tr w14:paraId="3710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846" w:type="dxa"/>
            <w:vMerge w:val="restart"/>
            <w:vAlign w:val="center"/>
          </w:tcPr>
          <w:p w14:paraId="31803A5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0"/>
                <w:highlight w:val="none"/>
              </w:rPr>
              <w:t>2.3.</w:t>
            </w:r>
            <w:r>
              <w:rPr>
                <w:rFonts w:hint="eastAsia" w:ascii="宋体" w:hAnsi="宋体" w:eastAsia="宋体" w:cs="宋体"/>
                <w:color w:val="auto"/>
                <w:szCs w:val="20"/>
                <w:highlight w:val="none"/>
                <w:lang w:val="en-US" w:eastAsia="zh-CN"/>
              </w:rPr>
              <w:t>2</w:t>
            </w:r>
          </w:p>
        </w:tc>
        <w:tc>
          <w:tcPr>
            <w:tcW w:w="1728" w:type="dxa"/>
            <w:vMerge w:val="restart"/>
            <w:vAlign w:val="center"/>
          </w:tcPr>
          <w:p w14:paraId="4A8E7766">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rFonts w:hint="eastAsia" w:hAnsi="宋体"/>
                <w:color w:val="auto"/>
                <w:szCs w:val="21"/>
                <w:highlight w:val="none"/>
              </w:rPr>
              <w:t>投标人确认收到招标文件修改</w:t>
            </w:r>
          </w:p>
        </w:tc>
        <w:tc>
          <w:tcPr>
            <w:tcW w:w="7016" w:type="dxa"/>
            <w:vAlign w:val="center"/>
          </w:tcPr>
          <w:p w14:paraId="3DF9A195">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时间：发出即视作收到。</w:t>
            </w:r>
          </w:p>
        </w:tc>
      </w:tr>
      <w:tr w14:paraId="34E1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846" w:type="dxa"/>
            <w:vMerge w:val="continue"/>
            <w:vAlign w:val="center"/>
          </w:tcPr>
          <w:p w14:paraId="7E8E961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Cs w:val="20"/>
                <w:highlight w:val="none"/>
              </w:rPr>
            </w:pPr>
          </w:p>
        </w:tc>
        <w:tc>
          <w:tcPr>
            <w:tcW w:w="1728" w:type="dxa"/>
            <w:vMerge w:val="continue"/>
            <w:vAlign w:val="center"/>
          </w:tcPr>
          <w:p w14:paraId="3A576223">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leftChars="0" w:right="0" w:rightChars="0"/>
              <w:jc w:val="center"/>
              <w:rPr>
                <w:rFonts w:hint="eastAsia" w:hAnsi="宋体"/>
                <w:color w:val="auto"/>
                <w:szCs w:val="21"/>
                <w:highlight w:val="none"/>
              </w:rPr>
            </w:pPr>
          </w:p>
        </w:tc>
        <w:tc>
          <w:tcPr>
            <w:tcW w:w="7016" w:type="dxa"/>
            <w:vAlign w:val="center"/>
          </w:tcPr>
          <w:p w14:paraId="76EE61CE">
            <w:pPr>
              <w:pStyle w:val="23"/>
              <w:kinsoku/>
              <w:overflowPunct/>
              <w:bidi w:val="0"/>
              <w:spacing w:line="360" w:lineRule="auto"/>
              <w:rPr>
                <w:rFonts w:hint="eastAsia" w:ascii="宋体" w:hAnsi="宋体" w:eastAsia="宋体" w:cs="宋体"/>
                <w:bCs/>
                <w:iCs/>
                <w:color w:val="auto"/>
                <w:kern w:val="2"/>
                <w:sz w:val="21"/>
                <w:szCs w:val="21"/>
                <w:highlight w:val="none"/>
                <w:lang w:val="en-US" w:eastAsia="zh-CN" w:bidi="ar-SA"/>
              </w:rPr>
            </w:pPr>
            <w:r>
              <w:rPr>
                <w:rFonts w:hint="eastAsia" w:ascii="宋体" w:hAnsi="宋体" w:eastAsia="宋体" w:cs="宋体"/>
                <w:bCs/>
                <w:iCs/>
                <w:color w:val="auto"/>
                <w:kern w:val="2"/>
                <w:sz w:val="21"/>
                <w:szCs w:val="21"/>
                <w:highlight w:val="none"/>
                <w:lang w:val="en-US" w:eastAsia="zh-CN" w:bidi="ar-SA"/>
              </w:rPr>
              <w:t>形式：招标文件的修改一经在广州交易集团有限公司（广州公共资源交易中心）网站公开发布，发出即视作收到，以广州交易集团有限公司（广州公共资源交易中心）数字交易平台网站发布时间作为送达时间。无需投标人确认。投标人应自行关注，招标人不再一一通知。招标文件的澄清或修改内容作为招标文件的组成部分，具有约束作用。</w:t>
            </w:r>
          </w:p>
        </w:tc>
      </w:tr>
      <w:tr w14:paraId="3F52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B99DD1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rPr>
              <w:t>3.1.1</w:t>
            </w:r>
          </w:p>
        </w:tc>
        <w:tc>
          <w:tcPr>
            <w:tcW w:w="1728" w:type="dxa"/>
            <w:vAlign w:val="center"/>
          </w:tcPr>
          <w:p w14:paraId="21232D90">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Cs w:val="21"/>
                <w:highlight w:val="none"/>
              </w:rPr>
              <w:t>构成</w:t>
            </w:r>
            <w:r>
              <w:rPr>
                <w:rFonts w:hint="eastAsia" w:ascii="宋体" w:hAnsi="宋体" w:cs="宋体"/>
                <w:color w:val="auto"/>
                <w:kern w:val="0"/>
                <w:szCs w:val="21"/>
                <w:highlight w:val="none"/>
                <w:lang w:val="en-US" w:eastAsia="zh-CN"/>
              </w:rPr>
              <w:t>投标</w:t>
            </w:r>
            <w:r>
              <w:rPr>
                <w:rFonts w:hint="eastAsia" w:ascii="宋体" w:hAnsi="宋体" w:cs="宋体"/>
                <w:color w:val="auto"/>
                <w:kern w:val="0"/>
                <w:szCs w:val="21"/>
                <w:highlight w:val="none"/>
                <w:lang w:eastAsia="zh-CN"/>
              </w:rPr>
              <w:t>文件</w:t>
            </w:r>
            <w:r>
              <w:rPr>
                <w:rFonts w:hint="eastAsia" w:hAnsi="宋体" w:cs="宋体"/>
                <w:color w:val="auto"/>
                <w:kern w:val="0"/>
                <w:szCs w:val="21"/>
                <w:highlight w:val="none"/>
                <w:lang w:eastAsia="zh-CN"/>
              </w:rPr>
              <w:t>（</w:t>
            </w:r>
            <w:r>
              <w:rPr>
                <w:rFonts w:hint="eastAsia" w:hAnsi="宋体" w:cs="宋体"/>
                <w:color w:val="auto"/>
                <w:kern w:val="0"/>
                <w:szCs w:val="21"/>
                <w:highlight w:val="none"/>
                <w:lang w:val="en-US" w:eastAsia="zh-CN"/>
              </w:rPr>
              <w:t>含定标文件</w:t>
            </w:r>
            <w:r>
              <w:rPr>
                <w:rFonts w:hint="eastAsia" w:hAnsi="宋体" w:cs="宋体"/>
                <w:color w:val="auto"/>
                <w:kern w:val="0"/>
                <w:szCs w:val="21"/>
                <w:highlight w:val="none"/>
                <w:lang w:eastAsia="zh-CN"/>
              </w:rPr>
              <w:t>）</w:t>
            </w:r>
            <w:r>
              <w:rPr>
                <w:rFonts w:hint="eastAsia" w:ascii="宋体" w:hAnsi="宋体" w:eastAsia="宋体" w:cs="宋体"/>
                <w:color w:val="auto"/>
                <w:kern w:val="0"/>
                <w:szCs w:val="21"/>
                <w:highlight w:val="none"/>
              </w:rPr>
              <w:t>的其他材料</w:t>
            </w:r>
          </w:p>
        </w:tc>
        <w:tc>
          <w:tcPr>
            <w:tcW w:w="7016" w:type="dxa"/>
            <w:vAlign w:val="center"/>
          </w:tcPr>
          <w:p w14:paraId="1001F1EE">
            <w:pPr>
              <w:tabs>
                <w:tab w:val="left" w:pos="2127"/>
              </w:tabs>
              <w:kinsoku/>
              <w:overflowPunct/>
              <w:autoSpaceDE w:val="0"/>
              <w:autoSpaceDN w:val="0"/>
              <w:bidi w:val="0"/>
              <w:adjustRightInd w:val="0"/>
              <w:spacing w:line="360" w:lineRule="auto"/>
              <w:jc w:val="left"/>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满足本项目评审要求的其他资料等投标人认为需要提供的资料。</w:t>
            </w:r>
          </w:p>
        </w:tc>
      </w:tr>
      <w:tr w14:paraId="64A4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45CE515">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u w:val="none"/>
              </w:rPr>
              <w:t>3.2</w:t>
            </w:r>
            <w:r>
              <w:rPr>
                <w:rFonts w:hint="eastAsia" w:ascii="宋体" w:hAnsi="宋体" w:eastAsia="宋体" w:cs="宋体"/>
                <w:color w:val="auto"/>
                <w:kern w:val="0"/>
                <w:sz w:val="21"/>
                <w:szCs w:val="21"/>
                <w:highlight w:val="none"/>
                <w:u w:val="none"/>
                <w:lang w:val="en-US" w:eastAsia="zh-CN"/>
              </w:rPr>
              <w:t>.3</w:t>
            </w:r>
          </w:p>
        </w:tc>
        <w:tc>
          <w:tcPr>
            <w:tcW w:w="1728" w:type="dxa"/>
            <w:vAlign w:val="center"/>
          </w:tcPr>
          <w:p w14:paraId="4AD6DE6A">
            <w:pPr>
              <w:pStyle w:val="23"/>
              <w:tabs>
                <w:tab w:val="left" w:pos="2127"/>
              </w:tabs>
              <w:kinsoku/>
              <w:overflowPunct/>
              <w:bidi w:val="0"/>
              <w:spacing w:line="36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sz w:val="21"/>
                <w:szCs w:val="21"/>
                <w:highlight w:val="none"/>
                <w:u w:val="none"/>
              </w:rPr>
              <w:t>报价</w:t>
            </w:r>
            <w:r>
              <w:rPr>
                <w:rFonts w:hint="eastAsia" w:ascii="宋体" w:hAnsi="宋体" w:eastAsia="宋体" w:cs="宋体"/>
                <w:color w:val="auto"/>
                <w:sz w:val="21"/>
                <w:szCs w:val="21"/>
                <w:highlight w:val="none"/>
                <w:u w:val="none"/>
                <w:lang w:val="en-US" w:eastAsia="zh-CN"/>
              </w:rPr>
              <w:t>方式</w:t>
            </w:r>
          </w:p>
        </w:tc>
        <w:tc>
          <w:tcPr>
            <w:tcW w:w="7016" w:type="dxa"/>
            <w:vAlign w:val="center"/>
          </w:tcPr>
          <w:p w14:paraId="0623A6C0">
            <w:pPr>
              <w:pStyle w:val="23"/>
              <w:tabs>
                <w:tab w:val="left" w:pos="2127"/>
              </w:tabs>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详见招标公告</w:t>
            </w:r>
          </w:p>
        </w:tc>
      </w:tr>
      <w:tr w14:paraId="326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46" w:type="dxa"/>
            <w:vAlign w:val="center"/>
          </w:tcPr>
          <w:p w14:paraId="6D144926">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3.2.</w:t>
            </w:r>
            <w:r>
              <w:rPr>
                <w:rFonts w:hint="eastAsia" w:ascii="宋体" w:hAnsi="宋体" w:eastAsia="宋体" w:cs="宋体"/>
                <w:color w:val="auto"/>
                <w:sz w:val="21"/>
                <w:szCs w:val="21"/>
                <w:highlight w:val="none"/>
                <w:u w:val="none"/>
                <w:lang w:val="en-US" w:eastAsia="zh-CN"/>
              </w:rPr>
              <w:t>4</w:t>
            </w:r>
          </w:p>
        </w:tc>
        <w:tc>
          <w:tcPr>
            <w:tcW w:w="1728" w:type="dxa"/>
            <w:vAlign w:val="center"/>
          </w:tcPr>
          <w:p w14:paraId="74DDDEFB">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Cs w:val="21"/>
                <w:highlight w:val="none"/>
                <w:lang w:eastAsia="zh-CN"/>
              </w:rPr>
              <w:t>最高限价与</w:t>
            </w:r>
            <w:r>
              <w:rPr>
                <w:rFonts w:hint="eastAsia" w:hAnsi="宋体" w:cs="宋体"/>
                <w:color w:val="auto"/>
                <w:szCs w:val="21"/>
                <w:highlight w:val="none"/>
                <w:lang w:val="en-US" w:eastAsia="zh-CN"/>
              </w:rPr>
              <w:t>合同估算金额（</w:t>
            </w:r>
            <w:r>
              <w:rPr>
                <w:rFonts w:hint="eastAsia" w:ascii="宋体" w:hAnsi="宋体" w:eastAsia="宋体" w:cs="宋体"/>
                <w:b w:val="0"/>
                <w:bCs w:val="0"/>
                <w:color w:val="auto"/>
                <w:kern w:val="2"/>
                <w:sz w:val="21"/>
                <w:szCs w:val="21"/>
                <w:highlight w:val="none"/>
                <w:lang w:val="en-US" w:eastAsia="zh-CN" w:bidi="ar-SA"/>
              </w:rPr>
              <w:t>采购预算金额</w:t>
            </w:r>
            <w:r>
              <w:rPr>
                <w:rFonts w:hint="eastAsia" w:hAnsi="宋体" w:cs="宋体"/>
                <w:b w:val="0"/>
                <w:bCs w:val="0"/>
                <w:color w:val="auto"/>
                <w:kern w:val="2"/>
                <w:sz w:val="21"/>
                <w:szCs w:val="21"/>
                <w:highlight w:val="none"/>
                <w:lang w:val="en-US" w:eastAsia="zh-CN" w:bidi="ar-SA"/>
              </w:rPr>
              <w:t>）</w:t>
            </w:r>
          </w:p>
        </w:tc>
        <w:tc>
          <w:tcPr>
            <w:tcW w:w="7016" w:type="dxa"/>
            <w:vAlign w:val="center"/>
          </w:tcPr>
          <w:p w14:paraId="63DB43FD">
            <w:pPr>
              <w:kinsoku/>
              <w:overflowPunct/>
              <w:bidi w:val="0"/>
              <w:spacing w:line="360" w:lineRule="auto"/>
              <w:rPr>
                <w:rFonts w:hint="eastAsia" w:ascii="宋体" w:hAnsi="宋体" w:eastAsia="宋体" w:cs="宋体"/>
                <w:color w:val="auto"/>
                <w:kern w:val="2"/>
                <w:sz w:val="21"/>
                <w:highlight w:val="none"/>
                <w:lang w:val="en-US" w:eastAsia="zh-CN" w:bidi="ar-SA"/>
              </w:rPr>
            </w:pPr>
            <w:r>
              <w:rPr>
                <w:rFonts w:hint="eastAsia" w:ascii="宋体" w:hAnsi="宋体" w:eastAsia="宋体" w:cs="宋体"/>
                <w:bCs/>
                <w:color w:val="auto"/>
                <w:sz w:val="21"/>
                <w:szCs w:val="21"/>
                <w:highlight w:val="none"/>
                <w:u w:val="none"/>
                <w:lang w:val="en-US" w:eastAsia="zh-CN"/>
              </w:rPr>
              <w:t>详见招标公告</w:t>
            </w:r>
          </w:p>
        </w:tc>
      </w:tr>
      <w:tr w14:paraId="507C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7CB130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3.2.5</w:t>
            </w:r>
          </w:p>
        </w:tc>
        <w:tc>
          <w:tcPr>
            <w:tcW w:w="1728" w:type="dxa"/>
            <w:vAlign w:val="center"/>
          </w:tcPr>
          <w:p w14:paraId="39F8D45A">
            <w:pPr>
              <w:pStyle w:val="23"/>
              <w:tabs>
                <w:tab w:val="left" w:pos="2127"/>
              </w:tabs>
              <w:kinsoku/>
              <w:overflowPunct/>
              <w:bidi w:val="0"/>
              <w:spacing w:line="360" w:lineRule="auto"/>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报价的其他要求</w:t>
            </w:r>
          </w:p>
        </w:tc>
        <w:tc>
          <w:tcPr>
            <w:tcW w:w="7016" w:type="dxa"/>
            <w:vAlign w:val="center"/>
          </w:tcPr>
          <w:sdt>
            <w:sdtPr>
              <w:rPr>
                <w:rFonts w:hint="default" w:ascii="宋体" w:hAnsi="宋体" w:eastAsia="宋体" w:cs="宋体"/>
                <w:color w:val="auto"/>
                <w:kern w:val="0"/>
                <w:sz w:val="21"/>
                <w:szCs w:val="21"/>
                <w:highlight w:val="none"/>
                <w:lang w:val="en-US" w:eastAsia="zh-CN" w:bidi="ar-SA"/>
              </w:rPr>
              <w:alias w:val="报价要求"/>
              <w:id w:val="147466076"/>
              <w:lock w:val="sdtLocked"/>
              <w:placeholder>
                <w:docPart w:val="{e9bc4240-5897-4b0e-a8c9-2456d4b4252b}"/>
              </w:placeholder>
              <w:dataBinding w:prefixMappings="xmlns:ns0='http://schemas.microsoft.com/office/2006/xmlPackage' xmlns:ns1='http://schemas.openxmlformats.org/package/2006/relationships' xmlns:ns2='http://schemas.microsoft.com/office/word/2010/wordprocessingCanvas' xmlns:ns3='http://schemas.openxmlformats.org/markup-compatibility/2006' xmlns:ns4='urn:schemas-microsoft-com:office:office' xmlns:ns5='http://schemas.openxmlformats.org/officeDocument/2006/relationships' xmlns:ns6='http://schemas.openxmlformats.org/officeDocument/2006/math' xmlns:ns7='urn:schemas-microsoft-com:vml' xmlns:ns8='http://schemas.microsoft.com/office/word/2010/wordprocessingDrawing' xmlns:ns9='http://schemas.openxmlformats.org/drawingml/2006/wordprocessingDrawing' xmlns:ns10='http://schemas.openxmlformats.org/wordprocessingml/2006/main' xmlns:ns11='http://schemas.microsoft.com/office/word/2010/wordml' xmlns:ns12='urn:schemas-microsoft-com:office:word' xmlns:ns13='http://schemas.microsoft.com/office/word/2012/wordml' xmlns:ns14='http://schemas.microsoft.com/office/word/2010/wordprocessingGroup' xmlns:ns15='http://schemas.microsoft.com/office/word/2010/wordprocessingInk' xmlns:ns16='http://schemas.microsoft.com/office/word/2006/wordml' xmlns:ns17='http://schemas.microsoft.com/office/word/2010/wordprocessingShape' xmlns:ns18='http://www.wps.cn/officeDocument/2013/wpsCustomData' xmlns:ns19='http://schemas.openxmlformats.org/officeDocument/2006/extended-properties' xmlns:ns20='http://schemas.openxmlformats.org/officeDocument/2006/docPropsVTypes' xmlns:ns21='http://schemas.openxmlformats.org/package/2006/metadata/core-properties' xmlns:ns22='http://purl.org/dc/elements/1.1/' xmlns:ns23='http://purl.org/dc/terms/' xmlns:ns24='http://purl.org/dc/dcmitype/' xmlns:ns25='http://www.w3.org/2001/XMLSchema-instance' xmlns:ns26='http://schemas.openxmlformats.org/officeDocument/2006/custom-properties' xmlns:ns27='http://schemas.openxmlformats.org/schemaLibrary/2006/main' xmlns:ns28='http://schemas.openxmlformats.org/drawingml/2006/main' " w:xpath="/ns0:package[1]/ns0:part[3]/ns0:xmlData[1]/ns10:document[1]/ns10:body[1]/ns10:p[1]/ns10:pPr[1]/ns10:rPr[1]/ns10:rFonts[1]/@ns10:hint" w:storeItemID="{f01a80e8-afba-4f8f-9ad5-44941422db2f}"/>
              <w:text w:multiLine="1"/>
            </w:sdtPr>
            <w:sdtEndPr>
              <w:rPr>
                <w:rFonts w:hint="eastAsia" w:ascii="宋体" w:hAnsi="宋体" w:eastAsia="宋体" w:cs="宋体"/>
                <w:color w:val="auto"/>
                <w:kern w:val="0"/>
                <w:sz w:val="21"/>
                <w:szCs w:val="21"/>
                <w:highlight w:val="none"/>
                <w:lang w:val="en-US" w:eastAsia="zh-CN" w:bidi="ar-SA"/>
              </w:rPr>
            </w:sdtEndPr>
            <w:sdtContent>
              <w:p w14:paraId="1BB83634">
                <w:pPr>
                  <w:keepNext w:val="0"/>
                  <w:keepLines w:val="0"/>
                  <w:pageBreakBefore w:val="0"/>
                  <w:widowControl w:val="0"/>
                  <w:numPr>
                    <w:ilvl w:val="0"/>
                    <w:numId w:val="0"/>
                  </w:numPr>
                  <w:suppressLineNumbers w:val="0"/>
                  <w:tabs>
                    <w:tab w:val="left" w:pos="2127"/>
                  </w:tabs>
                  <w:kinsoku/>
                  <w:wordWrap/>
                  <w:overflowPunct/>
                  <w:topLinePunct w:val="0"/>
                  <w:autoSpaceDE w:val="0"/>
                  <w:autoSpaceDN w:val="0"/>
                  <w:bidi w:val="0"/>
                  <w:adjustRightInd w:val="0"/>
                  <w:snapToGrid/>
                  <w:spacing w:before="0" w:beforeAutospacing="0" w:after="0" w:afterAutospacing="0" w:line="312" w:lineRule="auto"/>
                  <w:ind w:right="0" w:rightChars="0"/>
                  <w:jc w:val="left"/>
                  <w:textAlignment w:val="auto"/>
                  <w:outlineLvl w:val="9"/>
                  <w:rPr>
                    <w:rFonts w:hint="default"/>
                    <w:color w:val="auto"/>
                    <w:highlight w:val="none"/>
                    <w:lang w:val="en-US" w:eastAsia="zh-CN"/>
                  </w:rPr>
                </w:pPr>
                <w:r>
                  <w:rPr>
                    <w:rFonts w:hint="eastAsia" w:ascii="宋体" w:hAnsi="宋体" w:cs="宋体"/>
                    <w:color w:val="auto"/>
                    <w:kern w:val="0"/>
                    <w:sz w:val="21"/>
                    <w:szCs w:val="21"/>
                    <w:highlight w:val="none"/>
                    <w:lang w:val="en-US" w:eastAsia="zh-CN" w:bidi="ar-SA"/>
                  </w:rPr>
                  <w:t>1、报价方式：</w:t>
                </w:r>
                <w:r>
                  <w:rPr>
                    <w:rFonts w:hint="eastAsia" w:ascii="宋体" w:hAnsi="宋体" w:cs="宋体"/>
                    <w:b w:val="0"/>
                    <w:bCs/>
                    <w:color w:val="auto"/>
                    <w:kern w:val="0"/>
                    <w:sz w:val="21"/>
                    <w:szCs w:val="21"/>
                    <w:highlight w:val="none"/>
                    <w:u w:val="none"/>
                    <w:lang w:val="en-US" w:eastAsia="zh-CN" w:bidi="ar-SA"/>
                  </w:rPr>
                  <w:t>投标人按费率（%）报价。报价如有小数，最多保留两位小数。</w:t>
                </w:r>
                <w:r>
                  <w:rPr>
                    <w:rFonts w:hint="eastAsia" w:ascii="宋体" w:hAnsi="宋体" w:eastAsia="宋体" w:cs="宋体"/>
                    <w:color w:val="auto"/>
                    <w:kern w:val="0"/>
                    <w:sz w:val="21"/>
                    <w:szCs w:val="21"/>
                    <w:highlight w:val="none"/>
                    <w:lang w:val="en-US" w:eastAsia="zh-CN" w:bidi="ar-SA"/>
                  </w:rPr>
                  <w:br w:type="textWrapping"/>
                </w:r>
                <w:r>
                  <w:rPr>
                    <w:rFonts w:hint="eastAsia" w:ascii="宋体" w:hAnsi="宋体" w:cs="宋体"/>
                    <w:color w:val="auto"/>
                    <w:kern w:val="0"/>
                    <w:sz w:val="21"/>
                    <w:szCs w:val="21"/>
                    <w:highlight w:val="none"/>
                    <w:lang w:val="en-US" w:eastAsia="zh-CN" w:bidi="ar-SA"/>
                  </w:rPr>
                  <w:t xml:space="preserve">2、报价要求： </w:t>
                </w:r>
                <w:r>
                  <w:rPr>
                    <w:rFonts w:hint="eastAsia" w:ascii="宋体" w:hAnsi="宋体" w:cs="宋体"/>
                    <w:color w:val="auto"/>
                    <w:kern w:val="0"/>
                    <w:sz w:val="21"/>
                    <w:szCs w:val="21"/>
                    <w:highlight w:val="none"/>
                    <w:lang w:val="en-US" w:eastAsia="zh-CN" w:bidi="ar-SA"/>
                  </w:rPr>
                  <w:br w:type="textWrapping"/>
                </w:r>
                <w:r>
                  <w:rPr>
                    <w:rFonts w:hint="eastAsia" w:ascii="Times New Roman" w:hAnsi="Times New Roman"/>
                    <w:color w:val="auto"/>
                    <w:szCs w:val="21"/>
                    <w:highlight w:val="none"/>
                    <w:lang w:eastAsia="zh-CN"/>
                  </w:rPr>
                  <w:t>（</w:t>
                </w:r>
                <w:r>
                  <w:rPr>
                    <w:rFonts w:hint="eastAsia"/>
                    <w:color w:val="auto"/>
                    <w:szCs w:val="21"/>
                    <w:highlight w:val="none"/>
                    <w:lang w:val="en-US" w:eastAsia="zh-CN"/>
                  </w:rPr>
                  <w:t>1</w:t>
                </w:r>
                <w:r>
                  <w:rPr>
                    <w:rFonts w:hint="eastAsia" w:ascii="Times New Roman" w:hAnsi="Times New Roman"/>
                    <w:color w:val="auto"/>
                    <w:szCs w:val="21"/>
                    <w:highlight w:val="none"/>
                    <w:lang w:eastAsia="zh-CN"/>
                  </w:rPr>
                  <w:t>）有效投标报价：投标费率≤100%。</w:t>
                </w:r>
                <w:r>
                  <w:rPr>
                    <w:rFonts w:hint="eastAsia" w:ascii="Times New Roman" w:hAnsi="Times New Roman"/>
                    <w:color w:val="auto"/>
                    <w:szCs w:val="21"/>
                    <w:highlight w:val="none"/>
                    <w:lang w:eastAsia="zh-CN"/>
                  </w:rPr>
                  <w:br w:type="textWrapping"/>
                </w:r>
                <w:r>
                  <w:rPr>
                    <w:rFonts w:hint="eastAsia" w:ascii="Times New Roman" w:hAnsi="Times New Roman"/>
                    <w:color w:val="auto"/>
                    <w:szCs w:val="21"/>
                    <w:highlight w:val="none"/>
                    <w:lang w:eastAsia="zh-CN"/>
                  </w:rPr>
                  <w:t>（</w:t>
                </w:r>
                <w:r>
                  <w:rPr>
                    <w:rFonts w:hint="eastAsia"/>
                    <w:color w:val="auto"/>
                    <w:szCs w:val="21"/>
                    <w:highlight w:val="none"/>
                    <w:lang w:val="en-US" w:eastAsia="zh-CN"/>
                  </w:rPr>
                  <w:t>2</w:t>
                </w:r>
                <w:r>
                  <w:rPr>
                    <w:rFonts w:hint="eastAsia" w:ascii="Times New Roman" w:hAnsi="Times New Roman"/>
                    <w:color w:val="auto"/>
                    <w:szCs w:val="21"/>
                    <w:highlight w:val="none"/>
                    <w:lang w:eastAsia="zh-CN"/>
                  </w:rPr>
                  <w:t>）成本警示价：投标费率＜90%时，必须附详细的成本分析报告（成本分析报告需充分说明单价和费用的组成、降低成本的合理措施及在其他项目中应用过的经验等，经评审通过后方可视为有效报价）。</w:t>
                </w:r>
              </w:p>
            </w:sdtContent>
          </w:sdt>
        </w:tc>
      </w:tr>
      <w:tr w14:paraId="104A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D7BC22">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rPr>
              <w:t>3.3.1</w:t>
            </w:r>
          </w:p>
        </w:tc>
        <w:tc>
          <w:tcPr>
            <w:tcW w:w="1728" w:type="dxa"/>
            <w:vAlign w:val="center"/>
          </w:tcPr>
          <w:p w14:paraId="1F0EBD4B">
            <w:pPr>
              <w:pStyle w:val="23"/>
              <w:tabs>
                <w:tab w:val="left" w:pos="2127"/>
              </w:tabs>
              <w:kinsoku/>
              <w:overflowPunct/>
              <w:bidi w:val="0"/>
              <w:spacing w:line="36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0"/>
                <w:highlight w:val="none"/>
                <w:lang w:val="en-US" w:eastAsia="zh-CN"/>
              </w:rPr>
              <w:t>投标</w:t>
            </w:r>
            <w:r>
              <w:rPr>
                <w:rFonts w:hint="eastAsia" w:ascii="宋体" w:hAnsi="宋体" w:eastAsia="宋体" w:cs="宋体"/>
                <w:color w:val="auto"/>
                <w:szCs w:val="20"/>
                <w:highlight w:val="none"/>
                <w:lang w:eastAsia="zh-CN"/>
              </w:rPr>
              <w:t>有效期</w:t>
            </w:r>
          </w:p>
        </w:tc>
        <w:tc>
          <w:tcPr>
            <w:tcW w:w="7016" w:type="dxa"/>
            <w:vAlign w:val="center"/>
          </w:tcPr>
          <w:p w14:paraId="1ED71BB0">
            <w:pPr>
              <w:pStyle w:val="23"/>
              <w:tabs>
                <w:tab w:val="left" w:pos="2127"/>
              </w:tabs>
              <w:kinsoku/>
              <w:overflowPunct/>
              <w:bidi w:val="0"/>
              <w:spacing w:line="360" w:lineRule="auto"/>
              <w:textAlignment w:val="auto"/>
              <w:rPr>
                <w:rFonts w:hint="eastAsia" w:ascii="宋体" w:hAnsi="宋体" w:cs="宋体"/>
                <w:b w:val="0"/>
                <w:bCs w:val="0"/>
                <w:color w:val="auto"/>
                <w:szCs w:val="20"/>
                <w:highlight w:val="none"/>
                <w:lang w:val="en-US" w:eastAsia="zh-CN"/>
              </w:rPr>
            </w:pPr>
            <w:r>
              <w:rPr>
                <w:rFonts w:hint="eastAsia" w:ascii="宋体" w:hAnsi="宋体" w:cs="宋体"/>
                <w:color w:val="auto"/>
                <w:szCs w:val="21"/>
                <w:highlight w:val="none"/>
                <w:u w:val="none"/>
              </w:rPr>
              <w:t>自递交</w:t>
            </w:r>
            <w:r>
              <w:rPr>
                <w:rFonts w:hint="eastAsia" w:ascii="宋体" w:hAnsi="宋体" w:cs="宋体"/>
                <w:color w:val="auto"/>
                <w:szCs w:val="20"/>
                <w:highlight w:val="none"/>
                <w:lang w:val="en-US" w:eastAsia="zh-CN"/>
              </w:rPr>
              <w:t>投标</w:t>
            </w:r>
            <w:r>
              <w:rPr>
                <w:rFonts w:hint="eastAsia" w:ascii="宋体" w:hAnsi="宋体" w:cs="宋体"/>
                <w:color w:val="auto"/>
                <w:szCs w:val="21"/>
                <w:highlight w:val="none"/>
                <w:u w:val="none"/>
              </w:rPr>
              <w:t>文件截止之日起120日（日历日）</w:t>
            </w:r>
          </w:p>
        </w:tc>
      </w:tr>
      <w:tr w14:paraId="6023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79C42C4">
            <w:pPr>
              <w:pStyle w:val="23"/>
              <w:tabs>
                <w:tab w:val="left" w:pos="2127"/>
              </w:tabs>
              <w:kinsoku/>
              <w:overflowPunct/>
              <w:bidi w:val="0"/>
              <w:spacing w:line="360" w:lineRule="auto"/>
              <w:jc w:val="center"/>
              <w:rPr>
                <w:rFonts w:hint="eastAsia" w:ascii="宋体" w:hAnsi="宋体" w:eastAsia="宋体" w:cs="宋体"/>
                <w:color w:val="auto"/>
                <w:sz w:val="21"/>
                <w:szCs w:val="21"/>
                <w:highlight w:val="none"/>
                <w:u w:val="none"/>
              </w:rPr>
            </w:pPr>
            <w:r>
              <w:rPr>
                <w:rFonts w:hint="eastAsia" w:hAnsi="宋体"/>
                <w:color w:val="auto"/>
                <w:highlight w:val="none"/>
              </w:rPr>
              <w:t>3.4</w:t>
            </w:r>
            <w:r>
              <w:rPr>
                <w:rFonts w:hint="eastAsia" w:hAnsi="宋体"/>
                <w:color w:val="auto"/>
                <w:highlight w:val="none"/>
                <w:lang w:val="en-US" w:eastAsia="zh-CN"/>
              </w:rPr>
              <w:t>.1</w:t>
            </w:r>
          </w:p>
        </w:tc>
        <w:tc>
          <w:tcPr>
            <w:tcW w:w="1728" w:type="dxa"/>
            <w:vAlign w:val="center"/>
          </w:tcPr>
          <w:p w14:paraId="165973A2">
            <w:pPr>
              <w:pStyle w:val="23"/>
              <w:tabs>
                <w:tab w:val="left" w:pos="2127"/>
              </w:tabs>
              <w:kinsoku/>
              <w:overflowPunct/>
              <w:bidi w:val="0"/>
              <w:spacing w:line="360" w:lineRule="auto"/>
              <w:jc w:val="center"/>
              <w:rPr>
                <w:rFonts w:hint="eastAsia" w:ascii="宋体" w:hAnsi="宋体" w:cs="宋体"/>
                <w:color w:val="auto"/>
                <w:szCs w:val="20"/>
                <w:highlight w:val="none"/>
                <w:lang w:val="en-US" w:eastAsia="zh-CN"/>
              </w:rPr>
            </w:pPr>
            <w:r>
              <w:rPr>
                <w:rFonts w:hint="eastAsia" w:hAnsi="宋体"/>
                <w:color w:val="auto"/>
                <w:szCs w:val="21"/>
                <w:highlight w:val="none"/>
                <w:lang w:val="en-US" w:eastAsia="zh-CN"/>
              </w:rPr>
              <w:t>投标</w:t>
            </w:r>
            <w:r>
              <w:rPr>
                <w:rFonts w:hint="eastAsia" w:hAnsi="宋体"/>
                <w:color w:val="auto"/>
                <w:szCs w:val="21"/>
                <w:highlight w:val="none"/>
              </w:rPr>
              <w:t>保证金</w:t>
            </w:r>
          </w:p>
        </w:tc>
        <w:tc>
          <w:tcPr>
            <w:tcW w:w="7016" w:type="dxa"/>
            <w:vAlign w:val="center"/>
          </w:tcPr>
          <w:p w14:paraId="0DC6E820">
            <w:pPr>
              <w:keepNext w:val="0"/>
              <w:keepLines w:val="0"/>
              <w:pageBreakBefore w:val="0"/>
              <w:suppressLineNumbers w:val="0"/>
              <w:tabs>
                <w:tab w:val="left" w:pos="2127"/>
              </w:tabs>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lang w:eastAsia="zh-CN"/>
              </w:rPr>
            </w:pPr>
            <w:r>
              <w:rPr>
                <w:rFonts w:hint="eastAsia" w:ascii="宋体" w:hAnsi="宋体" w:cs="宋体"/>
                <w:bCs/>
                <w:color w:val="auto"/>
                <w:szCs w:val="20"/>
                <w:highlight w:val="none"/>
                <w:lang w:eastAsia="zh-CN"/>
              </w:rPr>
              <w:t>□</w:t>
            </w:r>
            <w:r>
              <w:rPr>
                <w:rFonts w:hint="eastAsia" w:ascii="宋体" w:hAnsi="宋体" w:eastAsia="宋体" w:cs="宋体"/>
                <w:bCs/>
                <w:color w:val="auto"/>
                <w:szCs w:val="20"/>
                <w:highlight w:val="none"/>
              </w:rPr>
              <w:t>不</w:t>
            </w:r>
            <w:r>
              <w:rPr>
                <w:rFonts w:hint="eastAsia" w:ascii="宋体" w:hAnsi="宋体" w:eastAsia="宋体" w:cs="宋体"/>
                <w:bCs/>
                <w:color w:val="auto"/>
                <w:szCs w:val="20"/>
                <w:highlight w:val="none"/>
                <w:lang w:eastAsia="zh-CN"/>
              </w:rPr>
              <w:t>要求递交</w:t>
            </w:r>
          </w:p>
          <w:p w14:paraId="74EEF7AF">
            <w:pPr>
              <w:keepNext w:val="0"/>
              <w:keepLines w:val="0"/>
              <w:pageBreakBefore w:val="0"/>
              <w:suppressLineNumbers w:val="0"/>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lang w:eastAsia="zh-CN"/>
              </w:rPr>
            </w:pPr>
            <w:r>
              <w:rPr>
                <w:rFonts w:hint="eastAsia" w:ascii="宋体" w:hAnsi="宋体" w:cs="宋体"/>
                <w:bCs/>
                <w:color w:val="auto"/>
                <w:szCs w:val="20"/>
                <w:highlight w:val="none"/>
                <w:lang w:eastAsia="zh-CN"/>
              </w:rPr>
              <w:t>☑</w:t>
            </w:r>
            <w:r>
              <w:rPr>
                <w:rFonts w:hint="eastAsia" w:ascii="宋体" w:hAnsi="宋体" w:eastAsia="宋体" w:cs="宋体"/>
                <w:bCs/>
                <w:color w:val="auto"/>
                <w:szCs w:val="20"/>
                <w:highlight w:val="none"/>
                <w:lang w:eastAsia="zh-CN"/>
              </w:rPr>
              <w:t>要求递交</w:t>
            </w:r>
          </w:p>
          <w:p w14:paraId="70CA7749">
            <w:pPr>
              <w:keepNext w:val="0"/>
              <w:keepLines w:val="0"/>
              <w:pageBreakBefore w:val="0"/>
              <w:suppressLineNumbers w:val="0"/>
              <w:kinsoku/>
              <w:wordWrap/>
              <w:overflowPunct/>
              <w:topLinePunct w:val="0"/>
              <w:bidi w:val="0"/>
              <w:snapToGrid/>
              <w:spacing w:before="0" w:beforeAutospacing="0" w:after="0" w:afterAutospacing="0" w:line="312" w:lineRule="auto"/>
              <w:ind w:left="0" w:right="0"/>
              <w:rPr>
                <w:rFonts w:hint="eastAsia" w:ascii="宋体" w:hAnsi="宋体" w:eastAsia="宋体" w:cs="宋体"/>
                <w:bCs/>
                <w:color w:val="auto"/>
                <w:szCs w:val="20"/>
                <w:highlight w:val="none"/>
                <w:u w:val="none"/>
                <w:lang w:val="en-US" w:eastAsia="zh-CN"/>
              </w:rPr>
            </w:pPr>
            <w:r>
              <w:rPr>
                <w:rFonts w:hint="eastAsia" w:ascii="宋体" w:hAnsi="宋体" w:cs="宋体"/>
                <w:bCs/>
                <w:color w:val="auto"/>
                <w:szCs w:val="20"/>
                <w:highlight w:val="none"/>
                <w:lang w:val="en-US" w:eastAsia="zh-CN"/>
              </w:rPr>
              <w:t>1、</w:t>
            </w:r>
            <w:r>
              <w:rPr>
                <w:rFonts w:hint="eastAsia" w:ascii="宋体" w:hAnsi="宋体" w:eastAsia="宋体" w:cs="宋体"/>
                <w:bCs/>
                <w:color w:val="auto"/>
                <w:szCs w:val="20"/>
                <w:highlight w:val="none"/>
                <w:lang w:eastAsia="zh-CN"/>
              </w:rPr>
              <w:t>保证金的金额：</w:t>
            </w:r>
            <w:r>
              <w:rPr>
                <w:rFonts w:hint="eastAsia" w:ascii="宋体" w:hAnsi="宋体" w:eastAsia="宋体" w:cs="宋体"/>
                <w:bCs/>
                <w:color w:val="auto"/>
                <w:szCs w:val="20"/>
                <w:highlight w:val="none"/>
                <w:u w:val="single"/>
                <w:lang w:val="en-US" w:eastAsia="zh-CN"/>
              </w:rPr>
              <w:t>人民币</w:t>
            </w:r>
            <w:r>
              <w:rPr>
                <w:rFonts w:hint="eastAsia" w:ascii="宋体" w:hAnsi="宋体" w:cs="宋体"/>
                <w:bCs/>
                <w:color w:val="auto"/>
                <w:szCs w:val="20"/>
                <w:highlight w:val="none"/>
                <w:u w:val="single"/>
                <w:lang w:val="en-US" w:eastAsia="zh-CN"/>
              </w:rPr>
              <w:t>5.00</w:t>
            </w:r>
            <w:r>
              <w:rPr>
                <w:rFonts w:hint="eastAsia" w:ascii="宋体" w:hAnsi="宋体" w:eastAsia="宋体" w:cs="宋体"/>
                <w:bCs/>
                <w:color w:val="auto"/>
                <w:szCs w:val="20"/>
                <w:highlight w:val="none"/>
                <w:u w:val="single"/>
                <w:lang w:val="en-US" w:eastAsia="zh-CN"/>
              </w:rPr>
              <w:t>万元</w:t>
            </w:r>
          </w:p>
          <w:p w14:paraId="6EB34A1F">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hAnsi="宋体" w:cs="宋体"/>
                <w:bCs/>
                <w:color w:val="auto"/>
                <w:szCs w:val="20"/>
                <w:highlight w:val="none"/>
                <w:u w:val="none"/>
                <w:lang w:val="en-US" w:eastAsia="zh-CN"/>
              </w:rPr>
              <w:t>2、</w:t>
            </w:r>
            <w:r>
              <w:rPr>
                <w:rFonts w:hint="eastAsia" w:ascii="宋体" w:hAnsi="宋体" w:eastAsia="宋体" w:cs="宋体"/>
                <w:bCs/>
                <w:color w:val="auto"/>
                <w:szCs w:val="20"/>
                <w:highlight w:val="none"/>
                <w:u w:val="none"/>
                <w:lang w:val="en-US" w:eastAsia="zh-CN"/>
              </w:rPr>
              <w:t>缴纳时间：递交投标文件</w:t>
            </w:r>
            <w:r>
              <w:rPr>
                <w:rFonts w:hint="eastAsia" w:hAnsi="宋体" w:cs="宋体"/>
                <w:bCs/>
                <w:color w:val="auto"/>
                <w:szCs w:val="20"/>
                <w:highlight w:val="none"/>
                <w:u w:val="none"/>
                <w:lang w:val="en-US" w:eastAsia="zh-CN"/>
              </w:rPr>
              <w:t>（含定标文件）</w:t>
            </w:r>
            <w:r>
              <w:rPr>
                <w:rFonts w:hint="eastAsia" w:ascii="宋体" w:hAnsi="宋体" w:eastAsia="宋体" w:cs="宋体"/>
                <w:bCs/>
                <w:color w:val="auto"/>
                <w:szCs w:val="20"/>
                <w:highlight w:val="none"/>
                <w:u w:val="none"/>
                <w:lang w:val="en-US" w:eastAsia="zh-CN"/>
              </w:rPr>
              <w:t>截止时间前</w:t>
            </w:r>
          </w:p>
          <w:p w14:paraId="684D541A">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hAnsi="宋体" w:cs="宋体"/>
                <w:bCs/>
                <w:color w:val="auto"/>
                <w:szCs w:val="20"/>
                <w:highlight w:val="none"/>
                <w:u w:val="none"/>
                <w:lang w:val="en-US" w:eastAsia="zh-CN"/>
              </w:rPr>
              <w:t>3、</w:t>
            </w:r>
            <w:r>
              <w:rPr>
                <w:rFonts w:hint="eastAsia" w:ascii="宋体" w:hAnsi="宋体" w:eastAsia="宋体" w:cs="宋体"/>
                <w:bCs/>
                <w:color w:val="auto"/>
                <w:szCs w:val="20"/>
                <w:highlight w:val="none"/>
                <w:u w:val="none"/>
                <w:lang w:val="en-US" w:eastAsia="zh-CN"/>
              </w:rPr>
              <w:t>投标保证金的形式：投标保证金可采用现金、银行汇票、银行本票、银行电汇、支票（现金支票、转账支票）、银行保函、保证保险、专业担保公司担保等形式</w:t>
            </w:r>
            <w:r>
              <w:rPr>
                <w:rFonts w:hint="eastAsia" w:hAnsi="宋体" w:cs="宋体"/>
                <w:bCs/>
                <w:color w:val="auto"/>
                <w:szCs w:val="20"/>
                <w:highlight w:val="none"/>
                <w:u w:val="none"/>
                <w:lang w:val="en-US" w:eastAsia="zh-CN"/>
              </w:rPr>
              <w:t>。</w:t>
            </w:r>
          </w:p>
          <w:p w14:paraId="06A532A5">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u w:val="none"/>
                <w:lang w:val="en-US" w:eastAsia="zh-CN"/>
              </w:rPr>
              <w:t>4、递交方式：</w:t>
            </w:r>
          </w:p>
          <w:p w14:paraId="5F6518FA">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u w:val="none"/>
                <w:lang w:val="en-US" w:eastAsia="zh-CN"/>
              </w:rPr>
              <w:t>（1）如采用现金或者转账或者支票形式提交的，投标保证金从投标人基本账户递交，由广州交易集团有限公司代收。请各投标人在投标文件（含定标文件）递交截止时间前按上述金额递交至广州交易集团有限公司，缴纳情况以开标时广州交易集团有限公司网站查询为准。具体操作流程详见广州交易集团有限公司最新的投标保证金缴纳操作指引或自行咨询交易中心(咨询电话：020-28866000)。</w:t>
            </w:r>
          </w:p>
          <w:p w14:paraId="5568E3F9">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u w:val="none"/>
                <w:lang w:val="en-US" w:eastAsia="zh-CN"/>
              </w:rPr>
              <w:t>（2）采用银行保函（或保证保险、或专业担保公司担保）提交投标保证金的，在开标前不强制要求投标人提交纸质原件，由中标候选人在中标候选人公示前提交并在网上公示，投标人应在投标文件（含定标文件）中提交投标保函或投标保证保险或专业担保公司担保扫描件。银行保函（或保证保险、或专业担保公司担保）有效期应长于或等于投标有效期，若投标有效期延长的，银行保函（或保证保险、或专业担保公司担保）有效期应相应延长，且延长后的有效期应满足前述要求。投标人提供的银行投标保函应为银行出具的无条件、见索即付、不可撤销的保函。</w:t>
            </w:r>
          </w:p>
          <w:p w14:paraId="2DEF5BA5">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u w:val="none"/>
                <w:lang w:val="en-US" w:eastAsia="zh-CN"/>
              </w:rPr>
              <w:t>（3）如采用电子保函形式递交投标保证金，按广州交易集团有限公司（广州公共资源交易中心）发布的《广州公共资源交易中心关于开通电子保函服务功能的通知》操作。详见：http://www.gzggzy.cn/zxgg/822128.jhtml。到账情况以开标时广州交易集团有限公司（广州公共资源交易中心）数据库查询信息为准。</w:t>
            </w:r>
          </w:p>
          <w:p w14:paraId="34E2EE40">
            <w:pPr>
              <w:pStyle w:val="23"/>
              <w:kinsoku/>
              <w:overflowPunct/>
              <w:bidi w:val="0"/>
              <w:spacing w:line="360" w:lineRule="auto"/>
              <w:rPr>
                <w:rFonts w:hint="eastAsia" w:ascii="宋体" w:hAnsi="宋体" w:eastAsia="宋体" w:cs="宋体"/>
                <w:bCs/>
                <w:color w:val="auto"/>
                <w:szCs w:val="20"/>
                <w:highlight w:val="none"/>
                <w:u w:val="none"/>
                <w:lang w:val="en-US" w:eastAsia="zh-CN"/>
              </w:rPr>
            </w:pPr>
            <w:r>
              <w:rPr>
                <w:rFonts w:hint="eastAsia" w:ascii="宋体" w:hAnsi="宋体" w:eastAsia="宋体" w:cs="宋体"/>
                <w:bCs/>
                <w:color w:val="auto"/>
                <w:szCs w:val="20"/>
                <w:highlight w:val="none"/>
                <w:u w:val="none"/>
                <w:lang w:val="en-US" w:eastAsia="zh-CN"/>
              </w:rPr>
              <w:t>5、开标时投标人没有按要求提供投标保证金的，其投标文件（含定标文件）将被否决。</w:t>
            </w:r>
          </w:p>
          <w:p w14:paraId="0AA0070D">
            <w:pPr>
              <w:pStyle w:val="23"/>
              <w:kinsoku/>
              <w:overflowPunct/>
              <w:bidi w:val="0"/>
              <w:spacing w:line="360" w:lineRule="auto"/>
              <w:rPr>
                <w:rFonts w:hint="eastAsia"/>
                <w:color w:val="auto"/>
                <w:highlight w:val="none"/>
              </w:rPr>
            </w:pPr>
            <w:r>
              <w:rPr>
                <w:rFonts w:hint="eastAsia" w:ascii="宋体" w:hAnsi="宋体" w:eastAsia="宋体" w:cs="宋体"/>
                <w:bCs/>
                <w:color w:val="auto"/>
                <w:szCs w:val="20"/>
                <w:highlight w:val="none"/>
                <w:u w:val="none"/>
                <w:lang w:val="en-US" w:eastAsia="zh-CN"/>
              </w:rPr>
              <w:t>6、投标保证金依据法律法规的相关规定退还。</w:t>
            </w:r>
          </w:p>
        </w:tc>
      </w:tr>
      <w:tr w14:paraId="51C9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FB40513">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3.6</w:t>
            </w:r>
            <w:r>
              <w:rPr>
                <w:rFonts w:hint="eastAsia" w:ascii="宋体" w:hAnsi="宋体" w:eastAsia="宋体" w:cs="宋体"/>
                <w:color w:val="auto"/>
                <w:sz w:val="21"/>
                <w:szCs w:val="21"/>
                <w:highlight w:val="none"/>
                <w:u w:val="none"/>
                <w:lang w:val="en-US" w:eastAsia="zh-CN"/>
              </w:rPr>
              <w:t>.1</w:t>
            </w:r>
          </w:p>
        </w:tc>
        <w:tc>
          <w:tcPr>
            <w:tcW w:w="1728" w:type="dxa"/>
            <w:vAlign w:val="center"/>
          </w:tcPr>
          <w:p w14:paraId="668EE09C">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是否允许递交备选</w:t>
            </w:r>
            <w:r>
              <w:rPr>
                <w:rFonts w:hint="eastAsia" w:ascii="宋体" w:hAnsi="宋体" w:eastAsia="宋体" w:cs="宋体"/>
                <w:color w:val="auto"/>
                <w:sz w:val="21"/>
                <w:szCs w:val="21"/>
                <w:highlight w:val="none"/>
                <w:u w:val="none"/>
                <w:lang w:val="en-US" w:eastAsia="zh-CN"/>
              </w:rPr>
              <w:t>投标</w:t>
            </w:r>
            <w:r>
              <w:rPr>
                <w:rFonts w:hint="eastAsia" w:ascii="宋体" w:hAnsi="宋体" w:eastAsia="宋体" w:cs="宋体"/>
                <w:color w:val="auto"/>
                <w:sz w:val="21"/>
                <w:szCs w:val="21"/>
                <w:highlight w:val="none"/>
                <w:u w:val="none"/>
              </w:rPr>
              <w:t>方案</w:t>
            </w:r>
          </w:p>
        </w:tc>
        <w:tc>
          <w:tcPr>
            <w:tcW w:w="7016" w:type="dxa"/>
            <w:vAlign w:val="center"/>
          </w:tcPr>
          <w:p w14:paraId="0406AB62">
            <w:pPr>
              <w:pStyle w:val="23"/>
              <w:tabs>
                <w:tab w:val="left" w:pos="2127"/>
              </w:tabs>
              <w:kinsoku/>
              <w:overflowPunct/>
              <w:bidi w:val="0"/>
              <w:spacing w:line="360" w:lineRule="auto"/>
              <w:textAlignment w:val="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不允许</w:t>
            </w:r>
          </w:p>
          <w:p w14:paraId="68DDEBB6">
            <w:pPr>
              <w:pStyle w:val="23"/>
              <w:tabs>
                <w:tab w:val="left" w:pos="2127"/>
              </w:tabs>
              <w:kinsoku/>
              <w:overflowPunct/>
              <w:bidi w:val="0"/>
              <w:spacing w:line="360" w:lineRule="auto"/>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bCs/>
                <w:color w:val="auto"/>
                <w:sz w:val="21"/>
                <w:szCs w:val="21"/>
                <w:highlight w:val="none"/>
                <w:u w:val="none"/>
              </w:rPr>
              <w:t>□允许</w:t>
            </w:r>
          </w:p>
        </w:tc>
      </w:tr>
      <w:tr w14:paraId="2E76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06A99B7">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rPr>
              <w:t>3.7.3</w:t>
            </w:r>
          </w:p>
        </w:tc>
        <w:tc>
          <w:tcPr>
            <w:tcW w:w="1728" w:type="dxa"/>
            <w:vAlign w:val="center"/>
          </w:tcPr>
          <w:p w14:paraId="6B3EA38E">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rPr>
              <w:t>签字或盖章要求</w:t>
            </w:r>
          </w:p>
        </w:tc>
        <w:tc>
          <w:tcPr>
            <w:tcW w:w="7016" w:type="dxa"/>
            <w:vAlign w:val="center"/>
          </w:tcPr>
          <w:p w14:paraId="191299FD">
            <w:pPr>
              <w:pStyle w:val="23"/>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含定标文件</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全部采用电子文档，投标文件（含定标文件）所附证书证件均为原件扫描件，并采用单位数字证书，按招标文件要求在相应位置加盖电子印章。投标文件（含定标文件）中需个人签字或盖章的，应加盖个人电子印章或在线下完成后扫描上传</w:t>
            </w:r>
            <w:r>
              <w:rPr>
                <w:rFonts w:hint="eastAsia" w:hAnsi="宋体" w:cs="宋体"/>
                <w:color w:val="auto"/>
                <w:sz w:val="21"/>
                <w:szCs w:val="21"/>
                <w:highlight w:val="none"/>
                <w:lang w:eastAsia="zh-CN"/>
              </w:rPr>
              <w:t>。</w:t>
            </w:r>
            <w:r>
              <w:rPr>
                <w:rFonts w:hint="eastAsia" w:hAnsi="宋体"/>
                <w:color w:val="auto"/>
                <w:highlight w:val="none"/>
              </w:rPr>
              <w:t>具体操作按照广州公共资源交易中心平台【通用版】新电子招投标系统通用版操作指引（适用于建设工程不使用范本的各类电子标项目）的相关指南进行操作。</w:t>
            </w:r>
          </w:p>
          <w:p w14:paraId="704AC413">
            <w:pPr>
              <w:pStyle w:val="23"/>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注释：投标文件（含定标文件）电子文档需要投标人单位盖章的材料，投标人加盖电子印章即可，不得将投标人未对电子文档加盖实物印章作为否决投标的情形。</w:t>
            </w:r>
          </w:p>
        </w:tc>
      </w:tr>
      <w:tr w14:paraId="41F4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2385F2B">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4.1.1</w:t>
            </w:r>
          </w:p>
        </w:tc>
        <w:tc>
          <w:tcPr>
            <w:tcW w:w="1728" w:type="dxa"/>
            <w:vAlign w:val="center"/>
          </w:tcPr>
          <w:p w14:paraId="5B34D7C5">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jc w:val="center"/>
              <w:rPr>
                <w:rFonts w:hint="eastAsia" w:ascii="宋体" w:hAnsi="宋体" w:eastAsia="宋体" w:cs="宋体"/>
                <w:color w:val="auto"/>
                <w:sz w:val="21"/>
                <w:szCs w:val="21"/>
                <w:highlight w:val="none"/>
              </w:rPr>
            </w:pPr>
            <w:r>
              <w:rPr>
                <w:color w:val="auto"/>
                <w:szCs w:val="21"/>
                <w:highlight w:val="none"/>
              </w:rPr>
              <w:t>投标文件</w:t>
            </w:r>
            <w:r>
              <w:rPr>
                <w:rFonts w:hint="eastAsia"/>
                <w:color w:val="auto"/>
                <w:szCs w:val="21"/>
                <w:highlight w:val="none"/>
              </w:rPr>
              <w:t>（含定标文件）</w:t>
            </w:r>
            <w:r>
              <w:rPr>
                <w:color w:val="auto"/>
                <w:szCs w:val="21"/>
                <w:highlight w:val="none"/>
              </w:rPr>
              <w:t>加密要求</w:t>
            </w:r>
          </w:p>
        </w:tc>
        <w:tc>
          <w:tcPr>
            <w:tcW w:w="7016" w:type="dxa"/>
            <w:vAlign w:val="center"/>
          </w:tcPr>
          <w:p w14:paraId="0A60023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hAnsi="宋体"/>
                <w:color w:val="auto"/>
                <w:szCs w:val="21"/>
                <w:highlight w:val="none"/>
              </w:rPr>
              <w:t>网上递交的电子投标文件（含定标文件）须进行加密。具体操作按照广州公共资源交易平台【通用版】新电子招投标系统通用版操作指引（适用于建设工程不使用范本的各类电子标项目）的相关指南进行操作。</w:t>
            </w:r>
          </w:p>
          <w:p w14:paraId="3F5A5E8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2.未按要求加密的投标文件（含定标文件），招标人将予以拒收。</w:t>
            </w:r>
          </w:p>
        </w:tc>
      </w:tr>
      <w:tr w14:paraId="59A6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57F50B69">
            <w:pPr>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1728" w:type="dxa"/>
            <w:vAlign w:val="center"/>
          </w:tcPr>
          <w:p w14:paraId="0CEBF507">
            <w:pPr>
              <w:pStyle w:val="43"/>
              <w:spacing w:after="0"/>
              <w:ind w:left="0" w:leftChars="0" w:firstLine="0" w:firstLineChars="0"/>
              <w:jc w:val="both"/>
              <w:rPr>
                <w:color w:val="auto"/>
                <w:sz w:val="21"/>
                <w:szCs w:val="21"/>
                <w:highlight w:val="none"/>
              </w:rPr>
            </w:pPr>
            <w:bookmarkStart w:id="37" w:name="_Toc9061"/>
            <w:r>
              <w:rPr>
                <w:rFonts w:hint="eastAsia" w:ascii="宋体" w:hAnsi="宋体" w:cs="宋体"/>
                <w:color w:val="auto"/>
                <w:kern w:val="2"/>
                <w:sz w:val="21"/>
                <w:szCs w:val="21"/>
                <w:highlight w:val="none"/>
              </w:rPr>
              <w:t>封套上应载明的信息（适用于提交备用光盘或U盘的情况）</w:t>
            </w:r>
            <w:bookmarkEnd w:id="37"/>
          </w:p>
        </w:tc>
        <w:tc>
          <w:tcPr>
            <w:tcW w:w="7016" w:type="dxa"/>
            <w:vAlign w:val="center"/>
          </w:tcPr>
          <w:p w14:paraId="1413D6CD">
            <w:pPr>
              <w:pStyle w:val="16"/>
              <w:spacing w:after="0" w:line="360" w:lineRule="auto"/>
              <w:ind w:left="55" w:leftChars="26"/>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如有提交投标文件</w:t>
            </w:r>
            <w:r>
              <w:rPr>
                <w:rFonts w:hint="eastAsia" w:ascii="宋体" w:hAnsi="宋体" w:cs="宋体"/>
                <w:color w:val="auto"/>
                <w:sz w:val="21"/>
                <w:szCs w:val="21"/>
                <w:highlight w:val="none"/>
                <w:lang w:eastAsia="zh-CN"/>
              </w:rPr>
              <w:t>（含定标文件）</w:t>
            </w:r>
            <w:r>
              <w:rPr>
                <w:rFonts w:hint="eastAsia" w:ascii="宋体" w:hAnsi="宋体" w:eastAsia="宋体" w:cs="宋体"/>
                <w:color w:val="auto"/>
                <w:sz w:val="21"/>
                <w:szCs w:val="21"/>
                <w:highlight w:val="none"/>
              </w:rPr>
              <w:t>光盘或U盘备用，封套上应注明如下信息：</w:t>
            </w:r>
          </w:p>
          <w:p w14:paraId="46B5F230">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ascii="宋体" w:hAnsi="宋体" w:eastAsia="宋体" w:cs="宋体"/>
                <w:color w:val="auto"/>
                <w:sz w:val="21"/>
                <w:szCs w:val="21"/>
                <w:highlight w:val="none"/>
                <w:u w:val="single"/>
              </w:rPr>
              <w:t xml:space="preserve">  </w:t>
            </w:r>
          </w:p>
          <w:p w14:paraId="3AFF6DC6">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u w:val="single"/>
              </w:rPr>
              <w:t xml:space="preserve">                  </w:t>
            </w:r>
          </w:p>
          <w:p w14:paraId="5E4B0798">
            <w:pPr>
              <w:pStyle w:val="16"/>
              <w:spacing w:after="0" w:line="360" w:lineRule="auto"/>
              <w:ind w:left="55" w:leftChars="26"/>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rPr>
              <w:t xml:space="preserve"> （项目名称） </w:t>
            </w:r>
            <w:r>
              <w:rPr>
                <w:rFonts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投标文件</w:t>
            </w:r>
            <w:r>
              <w:rPr>
                <w:rFonts w:hint="eastAsia" w:ascii="宋体" w:hAnsi="宋体" w:cs="宋体"/>
                <w:color w:val="auto"/>
                <w:sz w:val="21"/>
                <w:szCs w:val="21"/>
                <w:highlight w:val="none"/>
                <w:lang w:eastAsia="zh-CN"/>
              </w:rPr>
              <w:t>（含定标文件）</w:t>
            </w:r>
          </w:p>
          <w:p w14:paraId="0F712A14">
            <w:pPr>
              <w:pStyle w:val="43"/>
              <w:spacing w:after="0" w:line="360" w:lineRule="auto"/>
              <w:ind w:left="0" w:leftChars="0" w:firstLine="0" w:firstLineChars="0"/>
              <w:jc w:val="left"/>
              <w:rPr>
                <w:rFonts w:hint="eastAsia" w:ascii="宋体" w:hAnsi="宋体" w:cs="宋体"/>
                <w:color w:val="auto"/>
                <w:sz w:val="21"/>
                <w:szCs w:val="21"/>
                <w:highlight w:val="none"/>
              </w:rPr>
            </w:pPr>
            <w:bookmarkStart w:id="38" w:name="_Toc11080"/>
            <w:r>
              <w:rPr>
                <w:rFonts w:hint="eastAsia" w:ascii="宋体" w:hAnsi="宋体" w:cs="宋体"/>
                <w:color w:val="auto"/>
                <w:sz w:val="21"/>
                <w:szCs w:val="21"/>
                <w:highlight w:val="none"/>
              </w:rPr>
              <w:t>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日时前不得开启</w:t>
            </w:r>
            <w:bookmarkEnd w:id="38"/>
          </w:p>
          <w:p w14:paraId="6447EC8B">
            <w:pPr>
              <w:pStyle w:val="43"/>
              <w:spacing w:after="0" w:line="360" w:lineRule="auto"/>
              <w:ind w:left="0" w:leftChars="0" w:firstLine="0" w:firstLineChars="0"/>
              <w:jc w:val="left"/>
              <w:rPr>
                <w:rFonts w:hint="eastAsia" w:ascii="宋体" w:hAnsi="宋体" w:eastAsia="宋体" w:cs="宋体"/>
                <w:bCs/>
                <w:color w:val="auto"/>
                <w:sz w:val="21"/>
                <w:szCs w:val="21"/>
                <w:highlight w:val="none"/>
              </w:rPr>
            </w:pPr>
            <w:bookmarkStart w:id="39" w:name="_Toc13450"/>
            <w:r>
              <w:rPr>
                <w:rFonts w:hint="eastAsia" w:ascii="宋体" w:hAnsi="宋体" w:eastAsia="宋体" w:cs="宋体"/>
                <w:color w:val="auto"/>
                <w:sz w:val="21"/>
                <w:szCs w:val="21"/>
                <w:highlight w:val="none"/>
              </w:rPr>
              <w:t>注：投标人递交投标文件</w:t>
            </w:r>
            <w:r>
              <w:rPr>
                <w:rFonts w:hint="eastAsia" w:ascii="宋体" w:hAnsi="宋体" w:cs="宋体"/>
                <w:color w:val="auto"/>
                <w:sz w:val="21"/>
                <w:szCs w:val="21"/>
                <w:highlight w:val="none"/>
                <w:lang w:eastAsia="zh-CN"/>
              </w:rPr>
              <w:t>（含定标文件）</w:t>
            </w:r>
            <w:r>
              <w:rPr>
                <w:rFonts w:hint="eastAsia" w:ascii="宋体" w:hAnsi="宋体" w:eastAsia="宋体" w:cs="宋体"/>
                <w:color w:val="auto"/>
                <w:sz w:val="21"/>
                <w:szCs w:val="21"/>
                <w:highlight w:val="none"/>
              </w:rPr>
              <w:t>备用光盘（或U盘）时，如果包封上没有按规定密封并加写标志，招标人将不承担错放或提前开封的责任，由此造成的提前开封的，招标人予以拒绝，并退还给投标人。</w:t>
            </w:r>
            <w:bookmarkEnd w:id="39"/>
          </w:p>
        </w:tc>
      </w:tr>
      <w:tr w14:paraId="0F6D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900602">
            <w:pPr>
              <w:pStyle w:val="23"/>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4.2.</w:t>
            </w:r>
            <w:r>
              <w:rPr>
                <w:rFonts w:hint="eastAsia" w:ascii="宋体" w:hAnsi="宋体" w:eastAsia="宋体" w:cs="宋体"/>
                <w:color w:val="auto"/>
                <w:sz w:val="21"/>
                <w:szCs w:val="21"/>
                <w:highlight w:val="none"/>
                <w:u w:val="none"/>
                <w:lang w:val="en-US" w:eastAsia="zh-CN"/>
              </w:rPr>
              <w:t>1</w:t>
            </w:r>
          </w:p>
        </w:tc>
        <w:tc>
          <w:tcPr>
            <w:tcW w:w="1728" w:type="dxa"/>
            <w:vAlign w:val="center"/>
          </w:tcPr>
          <w:p w14:paraId="0EFE684A">
            <w:pPr>
              <w:pStyle w:val="23"/>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递交</w:t>
            </w:r>
            <w:r>
              <w:rPr>
                <w:rFonts w:hint="eastAsia" w:ascii="宋体" w:hAnsi="宋体" w:cs="宋体"/>
                <w:color w:val="auto"/>
                <w:sz w:val="21"/>
                <w:szCs w:val="21"/>
                <w:highlight w:val="none"/>
                <w:lang w:val="en-US" w:eastAsia="zh-CN"/>
              </w:rPr>
              <w:t>投标</w:t>
            </w:r>
            <w:r>
              <w:rPr>
                <w:rFonts w:hint="eastAsia" w:ascii="宋体" w:hAnsi="宋体" w:cs="宋体"/>
                <w:color w:val="auto"/>
                <w:sz w:val="21"/>
                <w:szCs w:val="21"/>
                <w:highlight w:val="none"/>
                <w:lang w:eastAsia="zh-CN"/>
              </w:rPr>
              <w:t>文件</w:t>
            </w:r>
            <w:r>
              <w:rPr>
                <w:rFonts w:hint="eastAsia" w:hAnsi="宋体" w:cs="宋体"/>
                <w:color w:val="auto"/>
                <w:sz w:val="21"/>
                <w:szCs w:val="21"/>
                <w:highlight w:val="none"/>
                <w:lang w:eastAsia="zh-CN"/>
              </w:rPr>
              <w:t>（含定标文件）</w:t>
            </w:r>
            <w:r>
              <w:rPr>
                <w:rFonts w:hint="eastAsia" w:ascii="宋体" w:hAnsi="宋体" w:eastAsia="宋体" w:cs="宋体"/>
                <w:color w:val="auto"/>
                <w:sz w:val="21"/>
                <w:szCs w:val="21"/>
                <w:highlight w:val="none"/>
              </w:rPr>
              <w:t>截止时间</w:t>
            </w:r>
          </w:p>
        </w:tc>
        <w:tc>
          <w:tcPr>
            <w:tcW w:w="7016" w:type="dxa"/>
            <w:vAlign w:val="center"/>
          </w:tcPr>
          <w:p w14:paraId="3BA17349">
            <w:pPr>
              <w:pStyle w:val="23"/>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详见广州交易集团有限公司（广州公共资源交易中心）网站信息。具体时间可以到广州交易集团有限公司（广州公共资源交易中心）交易平台“建设工程→项目查询（日程安排、答疑纪要）”输入本项目编号或项目名称进行查询。</w:t>
            </w:r>
          </w:p>
        </w:tc>
      </w:tr>
      <w:tr w14:paraId="4153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18D6FE5">
            <w:pPr>
              <w:pStyle w:val="23"/>
              <w:kinsoku/>
              <w:overflowPunct/>
              <w:bidi w:val="0"/>
              <w:spacing w:line="360" w:lineRule="auto"/>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4.2.</w:t>
            </w:r>
            <w:r>
              <w:rPr>
                <w:rFonts w:hint="eastAsia" w:ascii="宋体" w:hAnsi="宋体" w:eastAsia="宋体" w:cs="宋体"/>
                <w:color w:val="auto"/>
                <w:sz w:val="21"/>
                <w:szCs w:val="21"/>
                <w:highlight w:val="none"/>
                <w:u w:val="none"/>
                <w:lang w:val="en-US" w:eastAsia="zh-CN"/>
              </w:rPr>
              <w:t>2</w:t>
            </w:r>
          </w:p>
        </w:tc>
        <w:tc>
          <w:tcPr>
            <w:tcW w:w="1728" w:type="dxa"/>
            <w:vAlign w:val="center"/>
          </w:tcPr>
          <w:p w14:paraId="1F4D0ED0">
            <w:pPr>
              <w:pStyle w:val="23"/>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递交投标文件</w:t>
            </w:r>
            <w:r>
              <w:rPr>
                <w:rFonts w:hint="eastAsia" w:hAnsi="宋体" w:cs="宋体"/>
                <w:color w:val="auto"/>
                <w:sz w:val="21"/>
                <w:szCs w:val="21"/>
                <w:highlight w:val="none"/>
                <w:lang w:val="en-US" w:eastAsia="zh-CN"/>
              </w:rPr>
              <w:t>（含定标文件）</w:t>
            </w:r>
            <w:r>
              <w:rPr>
                <w:rFonts w:hint="eastAsia" w:ascii="宋体" w:hAnsi="宋体" w:eastAsia="宋体" w:cs="宋体"/>
                <w:color w:val="auto"/>
                <w:sz w:val="21"/>
                <w:szCs w:val="21"/>
                <w:highlight w:val="none"/>
                <w:lang w:val="en-US" w:eastAsia="zh-CN"/>
              </w:rPr>
              <w:t>地点</w:t>
            </w:r>
          </w:p>
        </w:tc>
        <w:tc>
          <w:tcPr>
            <w:tcW w:w="7016" w:type="dxa"/>
            <w:vAlign w:val="center"/>
          </w:tcPr>
          <w:p w14:paraId="2039771C">
            <w:pPr>
              <w:pStyle w:val="23"/>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投标人应在投标文件</w:t>
            </w:r>
            <w:r>
              <w:rPr>
                <w:rFonts w:hint="eastAsia" w:hAnsi="宋体" w:cs="宋体"/>
                <w:color w:val="auto"/>
                <w:kern w:val="0"/>
                <w:sz w:val="21"/>
                <w:szCs w:val="21"/>
                <w:highlight w:val="none"/>
                <w:u w:val="none"/>
                <w:lang w:val="en-US" w:eastAsia="zh-CN" w:bidi="ar-SA"/>
              </w:rPr>
              <w:t>（含定标文件）</w:t>
            </w:r>
            <w:r>
              <w:rPr>
                <w:rFonts w:hint="eastAsia" w:ascii="宋体" w:hAnsi="宋体" w:eastAsia="宋体" w:cs="宋体"/>
                <w:color w:val="auto"/>
                <w:kern w:val="0"/>
                <w:sz w:val="21"/>
                <w:szCs w:val="21"/>
                <w:highlight w:val="none"/>
                <w:u w:val="none"/>
                <w:lang w:val="en-US" w:eastAsia="zh-CN" w:bidi="ar-SA"/>
              </w:rPr>
              <w:t>递交截止时间前通过广州交易集团有限公司（广州公共资源交易中心）电子招标投标交易平台递交电子投标文件（含定标文件）。</w:t>
            </w:r>
          </w:p>
          <w:p w14:paraId="48592255">
            <w:pPr>
              <w:pStyle w:val="23"/>
              <w:kinsoku/>
              <w:overflowPunct/>
              <w:bidi w:val="0"/>
              <w:spacing w:line="360" w:lineRule="auto"/>
              <w:textAlignment w:val="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bidi="ar-SA"/>
              </w:rPr>
              <w:t>本项目日程安排及地点信息可在广州交易集团有限公司（广州公共资源交易中心）网站进行查询。</w:t>
            </w:r>
          </w:p>
        </w:tc>
      </w:tr>
      <w:tr w14:paraId="683F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062C175B">
            <w:pPr>
              <w:spacing w:after="0" w:line="240" w:lineRule="auto"/>
              <w:jc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4.2.3</w:t>
            </w:r>
          </w:p>
        </w:tc>
        <w:tc>
          <w:tcPr>
            <w:tcW w:w="1728" w:type="dxa"/>
            <w:vAlign w:val="center"/>
          </w:tcPr>
          <w:p w14:paraId="2D9CA10D">
            <w:pPr>
              <w:pStyle w:val="43"/>
              <w:spacing w:after="0"/>
              <w:ind w:left="0" w:leftChars="0" w:firstLine="0" w:firstLineChars="0"/>
              <w:jc w:val="both"/>
              <w:rPr>
                <w:rFonts w:hint="eastAsia" w:ascii="宋体" w:hAnsi="宋体" w:eastAsia="宋体" w:cs="宋体"/>
                <w:color w:val="auto"/>
                <w:sz w:val="21"/>
                <w:szCs w:val="21"/>
                <w:highlight w:val="none"/>
                <w:lang w:val="en-US" w:eastAsia="zh-CN"/>
              </w:rPr>
            </w:pPr>
            <w:bookmarkStart w:id="40" w:name="_Toc16695"/>
            <w:r>
              <w:rPr>
                <w:rFonts w:hint="eastAsia" w:ascii="宋体" w:hAnsi="宋体" w:cs="宋体"/>
                <w:color w:val="auto"/>
                <w:sz w:val="21"/>
                <w:szCs w:val="21"/>
                <w:highlight w:val="none"/>
              </w:rPr>
              <w:t>递交电子投标文件（含定标文件）交易平台</w:t>
            </w:r>
            <w:bookmarkEnd w:id="40"/>
          </w:p>
        </w:tc>
        <w:tc>
          <w:tcPr>
            <w:tcW w:w="7016" w:type="dxa"/>
            <w:vAlign w:val="center"/>
          </w:tcPr>
          <w:p w14:paraId="0717FEF5">
            <w:pPr>
              <w:snapToGrid w:val="0"/>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1.递交方式：网上递交投标文件（含定标文件） </w:t>
            </w:r>
          </w:p>
          <w:p w14:paraId="0D562C37">
            <w:pPr>
              <w:snapToGrid w:val="0"/>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2.交易平台：广州交易集团有限公司（广州公共资源交易中心）网站。</w:t>
            </w:r>
          </w:p>
          <w:p w14:paraId="51B8C272">
            <w:pPr>
              <w:pStyle w:val="43"/>
              <w:spacing w:after="0" w:line="360" w:lineRule="auto"/>
              <w:ind w:left="0" w:leftChars="0" w:firstLine="0" w:firstLineChars="0"/>
              <w:jc w:val="left"/>
              <w:rPr>
                <w:rFonts w:hint="eastAsia" w:ascii="宋体" w:hAnsi="宋体" w:eastAsia="宋体" w:cs="宋体"/>
                <w:color w:val="auto"/>
                <w:kern w:val="0"/>
                <w:sz w:val="21"/>
                <w:szCs w:val="21"/>
                <w:highlight w:val="none"/>
                <w:u w:val="none"/>
                <w:lang w:val="en-US" w:eastAsia="zh-CN" w:bidi="ar-SA"/>
              </w:rPr>
            </w:pPr>
            <w:bookmarkStart w:id="41" w:name="_Toc16449"/>
            <w:r>
              <w:rPr>
                <w:rFonts w:hint="eastAsia" w:ascii="宋体" w:hAnsi="宋体" w:cs="宋体"/>
                <w:color w:val="auto"/>
                <w:sz w:val="21"/>
                <w:szCs w:val="21"/>
                <w:highlight w:val="none"/>
              </w:rPr>
              <w:t>3.上述时间是否有改变，请密切留意招标答疑纪要的相关信息。</w:t>
            </w:r>
            <w:bookmarkEnd w:id="41"/>
          </w:p>
        </w:tc>
      </w:tr>
      <w:tr w14:paraId="2508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37D0BA2">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u w:val="none"/>
              </w:rPr>
              <w:t>4.2.</w:t>
            </w:r>
            <w:r>
              <w:rPr>
                <w:rFonts w:hint="eastAsia" w:hAnsi="宋体" w:cs="宋体"/>
                <w:color w:val="auto"/>
                <w:kern w:val="0"/>
                <w:sz w:val="21"/>
                <w:szCs w:val="21"/>
                <w:highlight w:val="none"/>
                <w:u w:val="none"/>
                <w:lang w:val="en-US" w:eastAsia="zh-CN"/>
              </w:rPr>
              <w:t>4</w:t>
            </w:r>
          </w:p>
        </w:tc>
        <w:tc>
          <w:tcPr>
            <w:tcW w:w="1728" w:type="dxa"/>
            <w:vAlign w:val="center"/>
          </w:tcPr>
          <w:p w14:paraId="0FD79599">
            <w:pPr>
              <w:pStyle w:val="23"/>
              <w:tabs>
                <w:tab w:val="left" w:pos="2127"/>
              </w:tabs>
              <w:kinsoku/>
              <w:overflowPunct/>
              <w:bidi w:val="0"/>
              <w:spacing w:line="360" w:lineRule="auto"/>
              <w:jc w:val="center"/>
              <w:textAlignment w:val="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Cs w:val="21"/>
                <w:highlight w:val="none"/>
              </w:rPr>
              <w:t>是否退还</w:t>
            </w:r>
            <w:r>
              <w:rPr>
                <w:rFonts w:hint="eastAsia" w:ascii="宋体" w:hAnsi="宋体" w:eastAsia="宋体" w:cs="宋体"/>
                <w:color w:val="auto"/>
                <w:kern w:val="0"/>
                <w:szCs w:val="21"/>
                <w:highlight w:val="none"/>
                <w:lang w:val="en-US" w:eastAsia="zh-CN"/>
              </w:rPr>
              <w:t>投标</w:t>
            </w:r>
            <w:r>
              <w:rPr>
                <w:rFonts w:hint="eastAsia" w:ascii="宋体" w:hAnsi="宋体" w:cs="宋体"/>
                <w:color w:val="auto"/>
                <w:kern w:val="0"/>
                <w:szCs w:val="21"/>
                <w:highlight w:val="none"/>
                <w:lang w:eastAsia="zh-CN"/>
              </w:rPr>
              <w:t>文件（含定标文件）</w:t>
            </w:r>
          </w:p>
        </w:tc>
        <w:tc>
          <w:tcPr>
            <w:tcW w:w="7016" w:type="dxa"/>
            <w:vAlign w:val="center"/>
          </w:tcPr>
          <w:p w14:paraId="02FF4C3C">
            <w:pPr>
              <w:pStyle w:val="23"/>
              <w:tabs>
                <w:tab w:val="left" w:pos="2127"/>
              </w:tabs>
              <w:kinsoku/>
              <w:overflowPunct/>
              <w:bidi w:val="0"/>
              <w:spacing w:line="360" w:lineRule="auto"/>
              <w:textAlignment w:val="auto"/>
              <w:rPr>
                <w:rFonts w:hint="eastAsia" w:ascii="宋体" w:hAnsi="宋体" w:eastAsia="宋体" w:cs="宋体"/>
                <w:bCs/>
                <w:color w:val="auto"/>
                <w:sz w:val="21"/>
                <w:szCs w:val="21"/>
                <w:highlight w:val="none"/>
                <w:u w:val="none"/>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bCs/>
                <w:color w:val="auto"/>
                <w:sz w:val="21"/>
                <w:szCs w:val="21"/>
                <w:highlight w:val="none"/>
                <w:u w:val="none"/>
              </w:rPr>
              <w:t>否</w:t>
            </w:r>
          </w:p>
          <w:p w14:paraId="2CC39A50">
            <w:pPr>
              <w:pStyle w:val="23"/>
              <w:tabs>
                <w:tab w:val="left" w:pos="2127"/>
              </w:tabs>
              <w:kinsoku/>
              <w:overflowPunct/>
              <w:bidi w:val="0"/>
              <w:spacing w:line="360" w:lineRule="auto"/>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w:t>
            </w:r>
            <w:r>
              <w:rPr>
                <w:rFonts w:hint="eastAsia" w:ascii="宋体" w:hAnsi="宋体" w:eastAsia="宋体" w:cs="宋体"/>
                <w:bCs/>
                <w:color w:val="auto"/>
                <w:sz w:val="21"/>
                <w:szCs w:val="21"/>
                <w:highlight w:val="none"/>
                <w:u w:val="none"/>
              </w:rPr>
              <w:t>是</w:t>
            </w:r>
          </w:p>
        </w:tc>
      </w:tr>
      <w:tr w14:paraId="0558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650B726">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5.1</w:t>
            </w:r>
          </w:p>
        </w:tc>
        <w:tc>
          <w:tcPr>
            <w:tcW w:w="1728" w:type="dxa"/>
            <w:vAlign w:val="center"/>
          </w:tcPr>
          <w:p w14:paraId="631467DE">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rPr>
              <w:t>开标时间和地点</w:t>
            </w:r>
          </w:p>
        </w:tc>
        <w:tc>
          <w:tcPr>
            <w:tcW w:w="7016" w:type="dxa"/>
            <w:vAlign w:val="center"/>
          </w:tcPr>
          <w:p w14:paraId="1138DDEB">
            <w:pPr>
              <w:bidi w:val="0"/>
              <w:spacing w:line="360" w:lineRule="auto"/>
              <w:rPr>
                <w:rFonts w:hint="eastAsia"/>
                <w:color w:val="auto"/>
                <w:highlight w:val="none"/>
              </w:rPr>
            </w:pPr>
            <w:r>
              <w:rPr>
                <w:rFonts w:hint="eastAsia"/>
                <w:color w:val="auto"/>
                <w:highlight w:val="none"/>
              </w:rPr>
              <w:t>1.开标时间：同投标截止时间</w:t>
            </w:r>
          </w:p>
          <w:p w14:paraId="23E73ACC">
            <w:pPr>
              <w:bidi w:val="0"/>
              <w:spacing w:line="360" w:lineRule="auto"/>
              <w:rPr>
                <w:rFonts w:hint="eastAsia"/>
                <w:color w:val="auto"/>
                <w:highlight w:val="none"/>
              </w:rPr>
            </w:pPr>
            <w:r>
              <w:rPr>
                <w:rFonts w:hint="eastAsia"/>
                <w:color w:val="auto"/>
                <w:highlight w:val="none"/>
              </w:rPr>
              <w:t>2.开标地点：广州交易集团有限公司（广州公共资源交易中心）</w:t>
            </w:r>
          </w:p>
          <w:p w14:paraId="50E4F127">
            <w:pPr>
              <w:bidi w:val="0"/>
              <w:spacing w:line="360" w:lineRule="auto"/>
              <w:rPr>
                <w:rFonts w:hint="eastAsia"/>
                <w:color w:val="auto"/>
                <w:highlight w:val="none"/>
              </w:rPr>
            </w:pPr>
            <w:r>
              <w:rPr>
                <w:rFonts w:hint="eastAsia"/>
                <w:color w:val="auto"/>
                <w:highlight w:val="none"/>
              </w:rPr>
              <w:t>注：（1）具体时间、地点可以到广州交易集团有限公司（广州公共资源交易中心）网站的项目查询(日程安排、答疑纪要)中输入本项目编号或项目名称进行查询。</w:t>
            </w:r>
          </w:p>
          <w:p w14:paraId="06E1214D">
            <w:pPr>
              <w:bidi w:val="0"/>
              <w:spacing w:line="360" w:lineRule="auto"/>
              <w:rPr>
                <w:rFonts w:hint="eastAsia" w:ascii="宋体" w:hAnsi="宋体" w:eastAsia="宋体" w:cs="宋体"/>
                <w:bCs/>
                <w:color w:val="auto"/>
                <w:szCs w:val="21"/>
                <w:highlight w:val="none"/>
              </w:rPr>
            </w:pPr>
            <w:r>
              <w:rPr>
                <w:rFonts w:hint="eastAsia"/>
                <w:color w:val="auto"/>
                <w:highlight w:val="none"/>
              </w:rPr>
              <w:t>（2）投标人也可选择参加在线开标，具体按照交易平台相关指南进行操作。详见：广州交易集团有限公司（广州公共资源交易中心）网站（http://www.gzggzy.cn）服务指南栏目。</w:t>
            </w:r>
          </w:p>
        </w:tc>
      </w:tr>
      <w:tr w14:paraId="771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6AB49A9A">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5.2</w:t>
            </w:r>
          </w:p>
        </w:tc>
        <w:tc>
          <w:tcPr>
            <w:tcW w:w="1728" w:type="dxa"/>
            <w:vAlign w:val="center"/>
          </w:tcPr>
          <w:p w14:paraId="1A4D87BC">
            <w:pPr>
              <w:pStyle w:val="23"/>
              <w:tabs>
                <w:tab w:val="left" w:pos="2127"/>
              </w:tabs>
              <w:kinsoku/>
              <w:overflowPunct/>
              <w:bidi w:val="0"/>
              <w:spacing w:line="36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开标程序</w:t>
            </w:r>
          </w:p>
        </w:tc>
        <w:tc>
          <w:tcPr>
            <w:tcW w:w="7016" w:type="dxa"/>
            <w:vAlign w:val="center"/>
          </w:tcPr>
          <w:p w14:paraId="2A524196">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1.宣布开标纪律；</w:t>
            </w:r>
          </w:p>
          <w:p w14:paraId="56ED23D6">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2.宣布开标人、唱标人、记录人、监标人等有关人员姓名；</w:t>
            </w:r>
          </w:p>
          <w:p w14:paraId="707C49CD">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b/>
                <w:bCs/>
                <w:color w:val="auto"/>
                <w:sz w:val="21"/>
                <w:szCs w:val="21"/>
                <w:highlight w:val="none"/>
              </w:rPr>
              <w:t>在投标截止时间后一个小时内</w:t>
            </w:r>
            <w:r>
              <w:rPr>
                <w:rFonts w:hint="eastAsia" w:ascii="宋体" w:hAnsi="宋体" w:eastAsia="宋体" w:cs="宋体"/>
                <w:color w:val="auto"/>
                <w:sz w:val="21"/>
                <w:szCs w:val="21"/>
                <w:highlight w:val="none"/>
              </w:rPr>
              <w:t>，投标人通过递交投标文件（含定标文件）的交易平台对已递交的电子投标文件（含定标文件）进行解密。投标人完成解密后，再由招标人进行解密。解密完成后，公布招标项目名称、投标人名称等相关信息。未在规定时间内解密的</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不参与开标、评标。</w:t>
            </w:r>
          </w:p>
          <w:p w14:paraId="50792A80">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4.截标后，开标开始时间因故推迟的，相关评标信息仍以原定的开标开始时间的信息为准。</w:t>
            </w:r>
          </w:p>
          <w:p w14:paraId="7ECF9D91">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5.备用光盘（或U盘）的读取按投标人须知前附表第9条第6点的规定执行。</w:t>
            </w:r>
          </w:p>
          <w:p w14:paraId="20B32F92">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6.投标截止时间前未完成</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传输的或因投标人之外的原因造成</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未解密且未按要求递交备用光盘（或U盘）的，视为投标人撤回</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。因投标人原因造成</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未解密或未在规定的时间内解密的，视为撤销其</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w:t>
            </w:r>
          </w:p>
          <w:p w14:paraId="76202F63">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开标方式采用电子开标和现场开标两种模式，投标人可选择在开标室参与开标或准时在线参加开标，也可不参加开标。参加在线开标的投标人登录新交易平台实时查看开标、唱标情况。新交易平台生成开标记录并向社会公众公布。</w:t>
            </w:r>
          </w:p>
          <w:p w14:paraId="4891BCCF">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参加现场开标的投标人对开标结果有异议的，应当在开标现场提出，同时出示本人身份证原件，招标人应当当场作出答复，并制作记录。参加在线开标的投标人对开标结果有异议的，投标人应通过交易平台在线提出，招标人应通过交易平台答复，答复后方可结束开标。</w:t>
            </w:r>
          </w:p>
          <w:p w14:paraId="26ABBEC2">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9.投标人未参加开标或在规定的时间内未提出异议的，视为对开标无异议。</w:t>
            </w:r>
          </w:p>
          <w:p w14:paraId="72E1600C">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10.开标时，两个（含两个）以上的投标人加密打包</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电脑机器特征码一致的，不参与下一程序，并由评标委员会否决其投标。</w:t>
            </w:r>
          </w:p>
          <w:p w14:paraId="17F2402E">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.投标人代表、招标人代表、监标人、记录人等有关人员在开标记录上签字确认；若有关人员不签字的，不影响开标程序；</w:t>
            </w:r>
          </w:p>
          <w:p w14:paraId="7B52A431">
            <w:pPr>
              <w:keepNext w:val="0"/>
              <w:keepLines w:val="0"/>
              <w:pageBreakBefore w:val="0"/>
              <w:suppressLineNumbers w:val="0"/>
              <w:kinsoku/>
              <w:wordWrap/>
              <w:overflowPunct/>
              <w:topLinePunct w:val="0"/>
              <w:bidi w:val="0"/>
              <w:snapToGrid/>
              <w:spacing w:before="0" w:beforeAutospacing="0" w:after="0" w:afterAutospacing="0" w:line="312"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12.开标结束。</w:t>
            </w:r>
          </w:p>
        </w:tc>
      </w:tr>
      <w:tr w14:paraId="054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846" w:type="dxa"/>
            <w:vAlign w:val="center"/>
          </w:tcPr>
          <w:p w14:paraId="41263A36">
            <w:pPr>
              <w:pStyle w:val="23"/>
              <w:numPr>
                <w:ilvl w:val="0"/>
                <w:numId w:val="0"/>
              </w:numPr>
              <w:tabs>
                <w:tab w:val="left" w:pos="2127"/>
              </w:tabs>
              <w:kinsoku/>
              <w:overflowPunct/>
              <w:bidi w:val="0"/>
              <w:spacing w:line="360" w:lineRule="auto"/>
              <w:ind w:lef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7.</w:t>
            </w:r>
            <w:r>
              <w:rPr>
                <w:rFonts w:hint="eastAsia" w:ascii="宋体" w:hAnsi="宋体" w:eastAsia="宋体" w:cs="宋体"/>
                <w:color w:val="auto"/>
                <w:sz w:val="21"/>
                <w:szCs w:val="21"/>
                <w:highlight w:val="none"/>
                <w:u w:val="none"/>
                <w:lang w:val="en-US" w:eastAsia="zh-CN"/>
              </w:rPr>
              <w:t>1</w:t>
            </w:r>
          </w:p>
        </w:tc>
        <w:tc>
          <w:tcPr>
            <w:tcW w:w="1728" w:type="dxa"/>
            <w:vAlign w:val="center"/>
          </w:tcPr>
          <w:p w14:paraId="22CBE966">
            <w:pPr>
              <w:pStyle w:val="23"/>
              <w:tabs>
                <w:tab w:val="left" w:pos="2127"/>
              </w:tabs>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eastAsia="zh-CN"/>
              </w:rPr>
              <w:t>合格</w:t>
            </w:r>
            <w:r>
              <w:rPr>
                <w:rFonts w:hint="eastAsia" w:ascii="宋体" w:hAnsi="宋体" w:eastAsia="宋体" w:cs="宋体"/>
                <w:color w:val="auto"/>
                <w:kern w:val="0"/>
                <w:sz w:val="21"/>
                <w:szCs w:val="21"/>
                <w:highlight w:val="none"/>
              </w:rPr>
              <w:t>中标候选人公示媒介</w:t>
            </w:r>
          </w:p>
        </w:tc>
        <w:tc>
          <w:tcPr>
            <w:tcW w:w="7016" w:type="dxa"/>
            <w:vAlign w:val="center"/>
          </w:tcPr>
          <w:p w14:paraId="4215B26F">
            <w:pPr>
              <w:pStyle w:val="23"/>
              <w:kinsoku/>
              <w:overflowPunct/>
              <w:bidi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1.公示媒介：广州交易集团有限公司（广州公共资源交易中心）网站、中国招标投标公共服务平台、广东省招标投标监管网、广州国企阳光采购信息发布平台。</w:t>
            </w:r>
          </w:p>
          <w:p w14:paraId="41A7AE8C">
            <w:pPr>
              <w:pStyle w:val="23"/>
              <w:kinsoku/>
              <w:overflowPunct/>
              <w:bidi w:val="0"/>
              <w:spacing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2.公示期限：</w:t>
            </w:r>
            <w:r>
              <w:rPr>
                <w:rFonts w:hint="eastAsia" w:hAnsi="宋体" w:cs="宋体"/>
                <w:color w:val="auto"/>
                <w:sz w:val="21"/>
                <w:szCs w:val="21"/>
                <w:highlight w:val="none"/>
                <w:lang w:val="en-US" w:eastAsia="zh-CN"/>
              </w:rPr>
              <w:t>不少于</w:t>
            </w:r>
            <w:r>
              <w:rPr>
                <w:rFonts w:hint="eastAsia" w:ascii="宋体" w:hAnsi="宋体" w:eastAsia="宋体" w:cs="宋体"/>
                <w:color w:val="auto"/>
                <w:sz w:val="21"/>
                <w:szCs w:val="21"/>
                <w:highlight w:val="none"/>
              </w:rPr>
              <w:t>3日</w:t>
            </w:r>
            <w:r>
              <w:rPr>
                <w:rFonts w:hint="eastAsia" w:hAnsi="宋体" w:cs="宋体"/>
                <w:color w:val="auto"/>
                <w:sz w:val="21"/>
                <w:szCs w:val="21"/>
                <w:highlight w:val="none"/>
                <w:lang w:eastAsia="zh-CN"/>
              </w:rPr>
              <w:t>。</w:t>
            </w:r>
          </w:p>
        </w:tc>
      </w:tr>
      <w:tr w14:paraId="03A0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6461280">
            <w:pPr>
              <w:pStyle w:val="23"/>
              <w:numPr>
                <w:ilvl w:val="0"/>
                <w:numId w:val="0"/>
              </w:numPr>
              <w:tabs>
                <w:tab w:val="left" w:pos="2127"/>
              </w:tabs>
              <w:kinsoku/>
              <w:overflowPunct/>
              <w:bidi w:val="0"/>
              <w:spacing w:line="360" w:lineRule="auto"/>
              <w:ind w:leftChars="0"/>
              <w:jc w:val="center"/>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7.2</w:t>
            </w:r>
          </w:p>
        </w:tc>
        <w:tc>
          <w:tcPr>
            <w:tcW w:w="1728" w:type="dxa"/>
            <w:vAlign w:val="center"/>
          </w:tcPr>
          <w:p w14:paraId="0F8D27FC">
            <w:pPr>
              <w:pStyle w:val="23"/>
              <w:kinsoku/>
              <w:overflowPunct/>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中标公告媒介</w:t>
            </w:r>
          </w:p>
        </w:tc>
        <w:tc>
          <w:tcPr>
            <w:tcW w:w="7016" w:type="dxa"/>
            <w:vAlign w:val="center"/>
          </w:tcPr>
          <w:p w14:paraId="12F12AA5">
            <w:pPr>
              <w:pStyle w:val="23"/>
              <w:kinsoku/>
              <w:overflowPunct/>
              <w:bidi w:val="0"/>
              <w:spacing w:line="360" w:lineRule="auto"/>
              <w:jc w:val="both"/>
              <w:textAlignment w:val="auto"/>
              <w:rPr>
                <w:rFonts w:hint="eastAsia"/>
                <w:color w:val="auto"/>
                <w:highlight w:val="none"/>
              </w:rPr>
            </w:pPr>
            <w:r>
              <w:rPr>
                <w:rFonts w:hint="eastAsia" w:ascii="宋体" w:hAnsi="宋体" w:eastAsia="宋体" w:cs="宋体"/>
                <w:color w:val="auto"/>
                <w:sz w:val="21"/>
                <w:szCs w:val="21"/>
                <w:highlight w:val="none"/>
              </w:rPr>
              <w:t>广州交易集团有限公司（广州公共资源交易中心）网站、中国招标投标公共服务平台、广东省招标投标监管网、广州国企阳光采购信息发布平台。</w:t>
            </w:r>
          </w:p>
        </w:tc>
      </w:tr>
      <w:tr w14:paraId="062C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029AEA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rPr>
              <w:t>7.</w:t>
            </w:r>
            <w:r>
              <w:rPr>
                <w:rFonts w:hint="eastAsia" w:ascii="宋体" w:hAnsi="宋体" w:eastAsia="宋体" w:cs="宋体"/>
                <w:color w:val="auto"/>
                <w:sz w:val="21"/>
                <w:szCs w:val="21"/>
                <w:highlight w:val="none"/>
                <w:u w:val="none"/>
                <w:lang w:val="en-US" w:eastAsia="zh-CN"/>
              </w:rPr>
              <w:t>6.1</w:t>
            </w:r>
          </w:p>
        </w:tc>
        <w:tc>
          <w:tcPr>
            <w:tcW w:w="1728" w:type="dxa"/>
            <w:vAlign w:val="center"/>
          </w:tcPr>
          <w:p w14:paraId="0697EB81">
            <w:pPr>
              <w:pStyle w:val="23"/>
              <w:tabs>
                <w:tab w:val="left" w:pos="2127"/>
              </w:tabs>
              <w:kinsoku/>
              <w:overflowPunct/>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none"/>
                <w:lang w:val="en-US" w:eastAsia="zh-CN"/>
              </w:rPr>
              <w:t>履约保证金</w:t>
            </w:r>
          </w:p>
        </w:tc>
        <w:tc>
          <w:tcPr>
            <w:tcW w:w="7016" w:type="dxa"/>
            <w:vAlign w:val="center"/>
          </w:tcPr>
          <w:p w14:paraId="3D91C06B">
            <w:pPr>
              <w:pStyle w:val="23"/>
              <w:tabs>
                <w:tab w:val="left" w:pos="2127"/>
              </w:tabs>
              <w:kinsoku/>
              <w:overflowPunct/>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u w:val="none"/>
                <w:shd w:val="clear" w:color="auto" w:fill="auto"/>
                <w:lang w:eastAsia="zh-CN"/>
              </w:rPr>
              <w:t>☑</w:t>
            </w:r>
            <w:r>
              <w:rPr>
                <w:rFonts w:hint="eastAsia" w:ascii="宋体" w:hAnsi="宋体" w:eastAsia="宋体" w:cs="宋体"/>
                <w:color w:val="auto"/>
                <w:szCs w:val="21"/>
                <w:highlight w:val="none"/>
                <w:u w:val="none"/>
                <w:lang w:eastAsia="zh-CN"/>
              </w:rPr>
              <w:t>详见</w:t>
            </w:r>
            <w:r>
              <w:rPr>
                <w:rFonts w:hint="eastAsia" w:ascii="宋体" w:hAnsi="宋体" w:eastAsia="宋体" w:cs="宋体"/>
                <w:color w:val="auto"/>
                <w:kern w:val="0"/>
                <w:szCs w:val="32"/>
                <w:highlight w:val="none"/>
                <w:u w:val="none"/>
              </w:rPr>
              <w:t>合同条款及格式</w:t>
            </w:r>
          </w:p>
        </w:tc>
      </w:tr>
      <w:tr w14:paraId="3561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46" w:type="dxa"/>
            <w:vAlign w:val="center"/>
          </w:tcPr>
          <w:p w14:paraId="401E43A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8</w:t>
            </w:r>
          </w:p>
        </w:tc>
        <w:tc>
          <w:tcPr>
            <w:tcW w:w="1728" w:type="dxa"/>
            <w:vAlign w:val="center"/>
          </w:tcPr>
          <w:p w14:paraId="43FCE217">
            <w:pPr>
              <w:pStyle w:val="23"/>
              <w:tabs>
                <w:tab w:val="left" w:pos="2127"/>
              </w:tabs>
              <w:kinsoku/>
              <w:overflowPunct/>
              <w:bidi w:val="0"/>
              <w:spacing w:line="360" w:lineRule="auto"/>
              <w:jc w:val="center"/>
              <w:rPr>
                <w:rFonts w:hint="eastAsia" w:ascii="宋体" w:hAnsi="宋体" w:eastAsia="宋体" w:cs="宋体"/>
                <w:color w:val="auto"/>
                <w:kern w:val="0"/>
                <w:sz w:val="21"/>
                <w:szCs w:val="21"/>
                <w:highlight w:val="none"/>
                <w:u w:val="none"/>
                <w:lang w:val="en-US" w:eastAsia="zh-CN"/>
              </w:rPr>
            </w:pPr>
            <w:r>
              <w:rPr>
                <w:rFonts w:hint="eastAsia" w:hAnsi="宋体" w:cs="宋体"/>
                <w:color w:val="auto"/>
                <w:kern w:val="0"/>
                <w:sz w:val="21"/>
                <w:szCs w:val="21"/>
                <w:highlight w:val="none"/>
                <w:u w:val="none"/>
                <w:lang w:val="en-US" w:eastAsia="zh-CN" w:bidi="ar-SA"/>
              </w:rPr>
              <w:t>递交投标文件（含定标文件）的最少投标人数量</w:t>
            </w:r>
          </w:p>
        </w:tc>
        <w:tc>
          <w:tcPr>
            <w:tcW w:w="7016" w:type="dxa"/>
            <w:vAlign w:val="center"/>
          </w:tcPr>
          <w:p w14:paraId="760AF9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color w:val="auto"/>
                <w:highlight w:val="none"/>
                <w:lang w:eastAsia="zh-CN"/>
              </w:rPr>
            </w:pPr>
            <w:r>
              <w:rPr>
                <w:rFonts w:hint="eastAsia" w:ascii="宋体" w:hAnsi="宋体" w:cs="宋体"/>
                <w:b w:val="0"/>
                <w:bCs w:val="0"/>
                <w:color w:val="auto"/>
                <w:sz w:val="21"/>
                <w:szCs w:val="21"/>
                <w:highlight w:val="none"/>
                <w:lang w:val="en-US" w:eastAsia="zh-CN"/>
              </w:rPr>
              <w:t>3</w:t>
            </w:r>
          </w:p>
        </w:tc>
      </w:tr>
      <w:tr w14:paraId="228E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38BDEE8D">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9</w:t>
            </w:r>
          </w:p>
        </w:tc>
        <w:tc>
          <w:tcPr>
            <w:tcW w:w="1728" w:type="dxa"/>
            <w:vAlign w:val="center"/>
          </w:tcPr>
          <w:p w14:paraId="78295889">
            <w:pPr>
              <w:pStyle w:val="43"/>
              <w:spacing w:after="0"/>
              <w:ind w:firstLine="210" w:firstLineChars="100"/>
              <w:jc w:val="center"/>
              <w:rPr>
                <w:rFonts w:hint="eastAsia" w:hAnsi="宋体" w:cs="宋体"/>
                <w:color w:val="auto"/>
                <w:kern w:val="0"/>
                <w:sz w:val="21"/>
                <w:szCs w:val="21"/>
                <w:highlight w:val="none"/>
                <w:u w:val="none"/>
                <w:lang w:val="en-US" w:eastAsia="zh-CN" w:bidi="ar-SA"/>
              </w:rPr>
            </w:pPr>
            <w:bookmarkStart w:id="42" w:name="_Toc14496"/>
            <w:r>
              <w:rPr>
                <w:rFonts w:hint="eastAsia" w:ascii="宋体" w:hAnsi="宋体" w:cs="宋体"/>
                <w:color w:val="auto"/>
                <w:kern w:val="2"/>
                <w:sz w:val="21"/>
                <w:szCs w:val="21"/>
                <w:highlight w:val="none"/>
              </w:rPr>
              <w:t>是否采用电子招标投标</w:t>
            </w:r>
            <w:bookmarkEnd w:id="42"/>
          </w:p>
        </w:tc>
        <w:tc>
          <w:tcPr>
            <w:tcW w:w="7016" w:type="dxa"/>
            <w:vAlign w:val="center"/>
          </w:tcPr>
          <w:p w14:paraId="6F4A6741">
            <w:pPr>
              <w:spacing w:after="0" w:line="360" w:lineRule="auto"/>
              <w:ind w:left="55" w:leftChars="26"/>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p w14:paraId="405466DC">
            <w:pPr>
              <w:spacing w:after="0" w:line="360" w:lineRule="auto"/>
              <w:ind w:left="2148" w:leftChars="26" w:hanging="2093" w:hangingChars="99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☑是，具体要求：</w:t>
            </w:r>
          </w:p>
          <w:p w14:paraId="4CC9204D">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r>
              <w:rPr>
                <w:rFonts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全部采用电子文档，</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应按交易平台相关操作指南编制。如不按上述要求编制引起系统无法检索、读取相关信息的，其后果由投标人承担。</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sz w:val="21"/>
                <w:szCs w:val="21"/>
                <w:highlight w:val="none"/>
              </w:rPr>
              <w:t>所附证书证件及证明文件均为原件扫描件，并应采用单位数字证书加盖电子印章。招标文件所附格式要求盖章处及招标文件要求</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盖章处需采用单位数字证书，按招标文件要求在相应位置加盖电子印章。</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中需个人签字或盖章的，应在线下完成后扫描上传。具体操作详见交易平台相关操作指南。</w:t>
            </w:r>
          </w:p>
          <w:p w14:paraId="68978461">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的修改与撤回：投标人修改或撤回已递交的</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，需在交易平台发出撤回通知，并按要求加盖电子印章。电子招标投标交易平台收到通知后，即时向投标人发出确认回执通知。</w:t>
            </w:r>
          </w:p>
          <w:p w14:paraId="174EEE95">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提交投标文件</w:t>
            </w:r>
            <w:r>
              <w:rPr>
                <w:rFonts w:hint="eastAsia" w:hAnsi="宋体" w:cs="宋体"/>
                <w:color w:val="auto"/>
                <w:sz w:val="21"/>
                <w:szCs w:val="21"/>
                <w:highlight w:val="none"/>
                <w:u w:val="single"/>
                <w:lang w:eastAsia="zh-CN"/>
              </w:rPr>
              <w:t>（含定标文件）</w:t>
            </w:r>
            <w:r>
              <w:rPr>
                <w:rFonts w:hint="eastAsia" w:ascii="宋体" w:hAnsi="宋体" w:eastAsia="宋体" w:cs="宋体"/>
                <w:color w:val="auto"/>
                <w:kern w:val="0"/>
                <w:sz w:val="21"/>
                <w:szCs w:val="21"/>
                <w:highlight w:val="none"/>
              </w:rPr>
              <w:t>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备用</w:t>
            </w:r>
          </w:p>
          <w:p w14:paraId="791581C1">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投标人可制作非加密的电子投标文件</w:t>
            </w:r>
            <w:r>
              <w:rPr>
                <w:rFonts w:hint="eastAsia" w:hAnsi="宋体" w:cs="宋体"/>
                <w:color w:val="auto"/>
                <w:sz w:val="21"/>
                <w:szCs w:val="21"/>
                <w:highlight w:val="none"/>
                <w:u w:val="single"/>
                <w:lang w:eastAsia="zh-CN"/>
              </w:rPr>
              <w:t>（含定标文件）</w:t>
            </w:r>
            <w:r>
              <w:rPr>
                <w:rFonts w:hint="eastAsia" w:ascii="宋体" w:hAnsi="宋体" w:eastAsia="宋体" w:cs="宋体"/>
                <w:color w:val="auto"/>
                <w:kern w:val="0"/>
                <w:sz w:val="21"/>
                <w:szCs w:val="21"/>
                <w:highlight w:val="none"/>
              </w:rPr>
              <w:t>刻入光盘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，在规定的时间、地点提交备用。刻录好的投标文件</w:t>
            </w:r>
            <w:r>
              <w:rPr>
                <w:rFonts w:hint="eastAsia" w:hAnsi="宋体" w:cs="宋体"/>
                <w:color w:val="auto"/>
                <w:sz w:val="21"/>
                <w:szCs w:val="21"/>
                <w:highlight w:val="none"/>
                <w:u w:val="single"/>
                <w:lang w:eastAsia="zh-CN"/>
              </w:rPr>
              <w:t>（含定标文件）</w:t>
            </w:r>
            <w:r>
              <w:rPr>
                <w:rFonts w:hint="eastAsia" w:ascii="宋体" w:hAnsi="宋体" w:eastAsia="宋体" w:cs="宋体"/>
                <w:color w:val="auto"/>
                <w:kern w:val="0"/>
                <w:sz w:val="21"/>
                <w:szCs w:val="21"/>
                <w:highlight w:val="none"/>
              </w:rPr>
              <w:t>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密封在密封袋中，并在封口处加盖投标人单位公章。密封袋上应写明的内容要求见投标人须知前附表第4.1.2条。递交的光盘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不得加密。光盘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无法读取或导入的，则视为未提交备用</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。如果投标人没有按规定通过广州交易集团有限公司（广州公共资源交易中心）网上递交电子</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的，不再接受提交的光盘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。投标人也可不提交备用光盘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kern w:val="0"/>
                <w:sz w:val="21"/>
                <w:szCs w:val="21"/>
                <w:highlight w:val="none"/>
              </w:rPr>
              <w:t>。</w:t>
            </w:r>
          </w:p>
          <w:p w14:paraId="641E46C8">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投标文件</w:t>
            </w:r>
            <w:r>
              <w:rPr>
                <w:rFonts w:hint="eastAsia" w:ascii="宋体" w:hAnsi="宋体" w:cs="宋体"/>
                <w:color w:val="auto"/>
                <w:kern w:val="0"/>
                <w:sz w:val="21"/>
                <w:szCs w:val="21"/>
                <w:highlight w:val="none"/>
                <w:lang w:val="en-US" w:eastAsia="zh-CN"/>
              </w:rPr>
              <w:t>（含定标文件）</w:t>
            </w:r>
            <w:r>
              <w:rPr>
                <w:rFonts w:hint="eastAsia" w:ascii="宋体" w:hAnsi="宋体" w:eastAsia="宋体" w:cs="宋体"/>
                <w:color w:val="auto"/>
                <w:kern w:val="0"/>
                <w:sz w:val="21"/>
                <w:szCs w:val="21"/>
                <w:highlight w:val="none"/>
              </w:rPr>
              <w:t>的递交：</w:t>
            </w:r>
          </w:p>
          <w:p w14:paraId="48BD28C7">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（1）投标文件</w:t>
            </w:r>
            <w:r>
              <w:rPr>
                <w:rFonts w:hint="eastAsia" w:ascii="宋体" w:hAnsi="宋体" w:cs="宋体"/>
                <w:color w:val="auto"/>
                <w:kern w:val="0"/>
                <w:sz w:val="21"/>
                <w:szCs w:val="21"/>
                <w:highlight w:val="none"/>
                <w:lang w:eastAsia="zh-CN"/>
              </w:rPr>
              <w:t>（含定标文件）</w:t>
            </w:r>
            <w:r>
              <w:rPr>
                <w:rFonts w:hint="eastAsia" w:ascii="宋体" w:hAnsi="宋体" w:eastAsia="宋体" w:cs="宋体"/>
                <w:color w:val="auto"/>
                <w:kern w:val="0"/>
                <w:sz w:val="21"/>
                <w:szCs w:val="21"/>
                <w:highlight w:val="none"/>
              </w:rPr>
              <w:t>递交的截止时间（投标截止时间，下同），投标人应在截止时间前通过电子招标投标交易平台递交电子</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。（截止时间投标人自行登陆广州交易集团有限公司（广州公共资源交易中心）查看），</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截止时间及开标时间是否有变化，请密切留意广州交易集团有限公司（广州公共资源交易中心）网站的相关信息。</w:t>
            </w:r>
          </w:p>
          <w:p w14:paraId="0DB9A88B">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（2）投标人完成电子</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上传后，广州交易集团有限公司（广州公共资源交易中心）电子招标投标交易平台即时向投标人发出递交回执通知。递交时间以递交回执通知载明的传输时间为准。</w:t>
            </w:r>
          </w:p>
          <w:p w14:paraId="4952962A">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（3）逾期送达的</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，广州交易集团有限公司（广州公共资源交易中心）电子招标投标交易平台将予以拒收。</w:t>
            </w:r>
          </w:p>
          <w:p w14:paraId="4CCB85E9">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加密要求：</w:t>
            </w:r>
          </w:p>
          <w:p w14:paraId="2DD44D2A">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（1）网上递交的电子</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须进行加密。具体操作详见广州交易集团有限公司（广州公共资源交易中心）交易平台相关操作指南。</w:t>
            </w:r>
          </w:p>
          <w:p w14:paraId="74A5B4B2">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（2）未按要求加密的</w:t>
            </w:r>
            <w:r>
              <w:rPr>
                <w:rFonts w:hint="eastAsia" w:ascii="宋体" w:hAnsi="宋体" w:cs="宋体"/>
                <w:color w:val="auto"/>
                <w:kern w:val="0"/>
                <w:sz w:val="21"/>
                <w:szCs w:val="21"/>
                <w:highlight w:val="none"/>
                <w:lang w:eastAsia="zh-CN"/>
              </w:rPr>
              <w:t>投标文件（含定标文件）</w:t>
            </w:r>
            <w:r>
              <w:rPr>
                <w:rFonts w:hint="eastAsia" w:ascii="宋体" w:hAnsi="宋体" w:eastAsia="宋体" w:cs="宋体"/>
                <w:color w:val="auto"/>
                <w:kern w:val="0"/>
                <w:sz w:val="21"/>
                <w:szCs w:val="21"/>
                <w:highlight w:val="none"/>
              </w:rPr>
              <w:t>，招标人将予以拒收。</w:t>
            </w:r>
          </w:p>
          <w:p w14:paraId="458831A5">
            <w:pPr>
              <w:spacing w:after="0" w:line="360" w:lineRule="auto"/>
              <w:ind w:left="55" w:leftChars="26"/>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补救方案</w:t>
            </w:r>
          </w:p>
          <w:p w14:paraId="5B2DAC2B">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解密失败的补救方案：</w:t>
            </w:r>
          </w:p>
          <w:p w14:paraId="60D7C017">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在规定时间内，因投标人之外原因(指网络瘫痪、服务器损坏、交易系统故障短期无法恢复)导致的电子</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解密失败，在开标现场读取光盘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sz w:val="21"/>
                <w:szCs w:val="21"/>
                <w:highlight w:val="none"/>
              </w:rPr>
              <w:t>内容，继续开标程序。评标委员会对其</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的评审以光盘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sz w:val="21"/>
                <w:szCs w:val="21"/>
                <w:highlight w:val="none"/>
              </w:rPr>
              <w:t>内容为准。因投标人之外原因解密失败且未递交电子光盘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sz w:val="21"/>
                <w:szCs w:val="21"/>
                <w:highlight w:val="none"/>
              </w:rPr>
              <w:t>的，视为撤回</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w:t>
            </w:r>
          </w:p>
          <w:p w14:paraId="4FD0B2EC">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（2）评标时突发情况的补救方案</w:t>
            </w:r>
          </w:p>
          <w:p w14:paraId="2A98A04E">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若遇不可抗力发生（指网络瘫痪、服务器损坏、交易系统故障短期无法恢复等因素），由评标委员会开启投标人递交的全部</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sz w:val="21"/>
                <w:szCs w:val="21"/>
                <w:highlight w:val="none"/>
              </w:rPr>
              <w:t>，并按光盘</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或U盘）</w:t>
            </w:r>
            <w:r>
              <w:rPr>
                <w:rFonts w:hint="eastAsia" w:ascii="宋体" w:hAnsi="宋体" w:eastAsia="宋体" w:cs="宋体"/>
                <w:color w:val="auto"/>
                <w:sz w:val="21"/>
                <w:szCs w:val="21"/>
                <w:highlight w:val="none"/>
              </w:rPr>
              <w:t>内容进行评审。</w:t>
            </w:r>
          </w:p>
          <w:p w14:paraId="05DA15C8">
            <w:pPr>
              <w:pStyle w:val="43"/>
              <w:spacing w:after="0" w:line="360" w:lineRule="auto"/>
              <w:ind w:left="0" w:leftChars="0" w:firstLine="0" w:firstLineChars="0"/>
              <w:jc w:val="left"/>
              <w:rPr>
                <w:rFonts w:hint="eastAsia" w:ascii="宋体" w:hAnsi="宋体" w:cs="宋体"/>
                <w:b w:val="0"/>
                <w:bCs w:val="0"/>
                <w:color w:val="auto"/>
                <w:sz w:val="21"/>
                <w:szCs w:val="21"/>
                <w:highlight w:val="none"/>
                <w:lang w:eastAsia="zh-CN"/>
              </w:rPr>
            </w:pPr>
            <w:bookmarkStart w:id="43" w:name="_Toc254"/>
            <w:r>
              <w:rPr>
                <w:rFonts w:hint="eastAsia" w:ascii="宋体" w:hAnsi="宋体" w:cs="宋体"/>
                <w:color w:val="auto"/>
                <w:sz w:val="21"/>
                <w:szCs w:val="21"/>
                <w:highlight w:val="none"/>
              </w:rPr>
              <w:t>（3）除发生上述情况外，开标评标均以投标人通过交易平台网上递交的电子</w:t>
            </w:r>
            <w:r>
              <w:rPr>
                <w:rFonts w:hint="eastAsia" w:ascii="宋体" w:hAnsi="宋体" w:cs="宋体"/>
                <w:color w:val="auto"/>
                <w:sz w:val="21"/>
                <w:szCs w:val="21"/>
                <w:highlight w:val="none"/>
                <w:lang w:eastAsia="zh-CN"/>
              </w:rPr>
              <w:t>投标文件（含定标文件）</w:t>
            </w:r>
            <w:r>
              <w:rPr>
                <w:rFonts w:hint="eastAsia" w:ascii="宋体" w:hAnsi="宋体" w:cs="宋体"/>
                <w:color w:val="auto"/>
                <w:sz w:val="21"/>
                <w:szCs w:val="21"/>
                <w:highlight w:val="none"/>
              </w:rPr>
              <w:t>为准。</w:t>
            </w:r>
            <w:bookmarkEnd w:id="43"/>
          </w:p>
        </w:tc>
      </w:tr>
      <w:tr w14:paraId="3D44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1F324EC6">
            <w:pPr>
              <w:pStyle w:val="23"/>
              <w:tabs>
                <w:tab w:val="left" w:pos="2127"/>
              </w:tabs>
              <w:kinsoku/>
              <w:overflowPunct/>
              <w:bidi w:val="0"/>
              <w:spacing w:line="360" w:lineRule="auto"/>
              <w:jc w:val="center"/>
              <w:textAlignment w:val="auto"/>
              <w:rPr>
                <w:rFonts w:hint="default" w:ascii="宋体" w:hAnsi="宋体" w:eastAsia="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10</w:t>
            </w:r>
          </w:p>
        </w:tc>
        <w:tc>
          <w:tcPr>
            <w:tcW w:w="1728" w:type="dxa"/>
            <w:vAlign w:val="center"/>
          </w:tcPr>
          <w:p w14:paraId="4148CFB6">
            <w:pPr>
              <w:pStyle w:val="23"/>
              <w:spacing w:line="360" w:lineRule="auto"/>
              <w:jc w:val="center"/>
              <w:rPr>
                <w:rFonts w:hint="eastAsia" w:hAnsi="宋体" w:cs="宋体"/>
                <w:color w:val="auto"/>
                <w:kern w:val="0"/>
                <w:sz w:val="21"/>
                <w:szCs w:val="21"/>
                <w:highlight w:val="none"/>
                <w:u w:val="none"/>
                <w:lang w:val="en-US" w:eastAsia="zh-CN" w:bidi="ar-SA"/>
              </w:rPr>
            </w:pPr>
            <w:r>
              <w:rPr>
                <w:rFonts w:hint="eastAsia" w:hAnsi="宋体"/>
                <w:color w:val="auto"/>
                <w:szCs w:val="21"/>
                <w:highlight w:val="none"/>
              </w:rPr>
              <w:t>交易服务费</w:t>
            </w:r>
          </w:p>
        </w:tc>
        <w:tc>
          <w:tcPr>
            <w:tcW w:w="7016" w:type="dxa"/>
            <w:vAlign w:val="center"/>
          </w:tcPr>
          <w:p w14:paraId="7BDB910C">
            <w:pPr>
              <w:pStyle w:val="23"/>
              <w:spacing w:line="360" w:lineRule="auto"/>
              <w:rPr>
                <w:rFonts w:hint="eastAsia" w:ascii="宋体" w:hAnsi="宋体" w:cs="宋体"/>
                <w:b w:val="0"/>
                <w:bCs w:val="0"/>
                <w:color w:val="auto"/>
                <w:sz w:val="21"/>
                <w:szCs w:val="21"/>
                <w:highlight w:val="none"/>
                <w:lang w:eastAsia="zh-CN"/>
              </w:rPr>
            </w:pPr>
            <w:r>
              <w:rPr>
                <w:rFonts w:hint="eastAsia" w:hAnsi="宋体"/>
                <w:color w:val="auto"/>
                <w:szCs w:val="21"/>
                <w:highlight w:val="none"/>
                <w:lang w:val="en-US" w:eastAsia="zh-CN"/>
              </w:rPr>
              <w:t>本招标项目由中标人向广州公共资源交易中心缴纳交易服务费，交易服务费缴费标准详见广州公共资源交易中心，本费用由投标人自行考虑，招标人不另行支付。</w:t>
            </w:r>
          </w:p>
        </w:tc>
      </w:tr>
      <w:tr w14:paraId="5A42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481448CB">
            <w:pPr>
              <w:pStyle w:val="23"/>
              <w:tabs>
                <w:tab w:val="left" w:pos="2127"/>
              </w:tabs>
              <w:kinsoku/>
              <w:overflowPunct/>
              <w:bidi w:val="0"/>
              <w:spacing w:line="360" w:lineRule="auto"/>
              <w:jc w:val="center"/>
              <w:textAlignment w:val="auto"/>
              <w:rPr>
                <w:rFonts w:hint="default" w:hAnsi="宋体" w:cs="宋体"/>
                <w:color w:val="auto"/>
                <w:sz w:val="21"/>
                <w:szCs w:val="21"/>
                <w:highlight w:val="none"/>
                <w:u w:val="none"/>
                <w:lang w:val="en-US" w:eastAsia="zh-CN"/>
              </w:rPr>
            </w:pPr>
            <w:r>
              <w:rPr>
                <w:rFonts w:hint="eastAsia" w:hAnsi="宋体" w:cs="宋体"/>
                <w:color w:val="auto"/>
                <w:sz w:val="21"/>
                <w:szCs w:val="21"/>
                <w:highlight w:val="none"/>
                <w:u w:val="none"/>
                <w:lang w:val="en-US" w:eastAsia="zh-CN"/>
              </w:rPr>
              <w:t>11</w:t>
            </w:r>
          </w:p>
        </w:tc>
        <w:tc>
          <w:tcPr>
            <w:tcW w:w="1728" w:type="dxa"/>
            <w:vAlign w:val="center"/>
          </w:tcPr>
          <w:p w14:paraId="473492B6">
            <w:pPr>
              <w:spacing w:after="0" w:line="240" w:lineRule="auto"/>
              <w:jc w:val="center"/>
              <w:rPr>
                <w:rFonts w:hint="eastAsia" w:hAnsi="宋体"/>
                <w:color w:val="auto"/>
                <w:sz w:val="21"/>
                <w:szCs w:val="21"/>
                <w:highlight w:val="none"/>
              </w:rPr>
            </w:pPr>
            <w:r>
              <w:rPr>
                <w:rFonts w:hint="eastAsia" w:hAnsi="宋体"/>
                <w:color w:val="auto"/>
                <w:sz w:val="21"/>
                <w:szCs w:val="21"/>
                <w:highlight w:val="none"/>
              </w:rPr>
              <w:t>特别提示</w:t>
            </w:r>
          </w:p>
        </w:tc>
        <w:tc>
          <w:tcPr>
            <w:tcW w:w="7016" w:type="dxa"/>
            <w:vAlign w:val="center"/>
          </w:tcPr>
          <w:p w14:paraId="0E64D7F0">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1.招标公告、招标文件、答疑纪要等招标资料全部发布在广州交易集团有限公司（广州公共资源交易中心）网站，由投标人自行下载查阅。</w:t>
            </w:r>
          </w:p>
          <w:p w14:paraId="26A6AE03">
            <w:pPr>
              <w:spacing w:after="0" w:line="360" w:lineRule="auto"/>
              <w:ind w:left="55" w:leftChars="2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2.投标截止时间、开标时间和地点：发布在广州交易集团有限公司（广州公共资源交易中心）网站（具体在网站主页“交易业务”中“项目查询”栏目上以“项目名称”或“项目编号”进行查询）。</w:t>
            </w:r>
          </w:p>
          <w:p w14:paraId="378439C7">
            <w:pPr>
              <w:spacing w:after="0" w:line="360" w:lineRule="auto"/>
              <w:ind w:left="55" w:leftChars="26"/>
              <w:rPr>
                <w:rFonts w:hint="eastAsia" w:hAnsi="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采用全电子化资格后审方式，具体要求详见广州交易集团有限公司（广州公共资源交易中心）网站最新发布的指引。</w:t>
            </w:r>
          </w:p>
        </w:tc>
      </w:tr>
      <w:tr w14:paraId="3A0C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14:paraId="2DD1198B">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val="en-US" w:eastAsia="zh-CN"/>
              </w:rPr>
              <w:t>1</w:t>
            </w:r>
            <w:r>
              <w:rPr>
                <w:rFonts w:hint="eastAsia" w:hAnsi="宋体" w:cs="宋体"/>
                <w:color w:val="auto"/>
                <w:sz w:val="21"/>
                <w:szCs w:val="21"/>
                <w:highlight w:val="none"/>
                <w:u w:val="none"/>
                <w:lang w:val="en-US" w:eastAsia="zh-CN"/>
              </w:rPr>
              <w:t>2</w:t>
            </w:r>
          </w:p>
        </w:tc>
        <w:tc>
          <w:tcPr>
            <w:tcW w:w="1728" w:type="dxa"/>
            <w:vAlign w:val="center"/>
          </w:tcPr>
          <w:p w14:paraId="4147F39A">
            <w:pPr>
              <w:pStyle w:val="23"/>
              <w:tabs>
                <w:tab w:val="left" w:pos="2127"/>
              </w:tabs>
              <w:kinsoku/>
              <w:overflowPunct/>
              <w:bidi w:val="0"/>
              <w:spacing w:line="360" w:lineRule="auto"/>
              <w:jc w:val="center"/>
              <w:rPr>
                <w:rFonts w:hint="eastAsia" w:ascii="宋体" w:hAnsi="宋体" w:eastAsia="宋体" w:cs="宋体"/>
                <w:color w:val="auto"/>
                <w:sz w:val="21"/>
                <w:szCs w:val="21"/>
                <w:highlight w:val="none"/>
                <w:lang w:eastAsia="zh-CN"/>
              </w:rPr>
            </w:pPr>
            <w:r>
              <w:rPr>
                <w:rFonts w:hint="eastAsia" w:hAnsi="宋体" w:cs="仿宋_GB2312"/>
                <w:color w:val="auto"/>
                <w:kern w:val="0"/>
                <w:szCs w:val="21"/>
                <w:highlight w:val="none"/>
              </w:rPr>
              <w:t>需要补充的其他内容</w:t>
            </w:r>
          </w:p>
        </w:tc>
        <w:tc>
          <w:tcPr>
            <w:tcW w:w="7016" w:type="dxa"/>
            <w:vAlign w:val="center"/>
          </w:tcPr>
          <w:p w14:paraId="7AAE0976">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right="0"/>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1.计算评标基准价的下浮率X在开标前从2%、3%、4%、5%中随机抽取确定。</w:t>
            </w:r>
          </w:p>
          <w:p w14:paraId="2153EA05">
            <w:pPr>
              <w:keepNext w:val="0"/>
              <w:keepLines w:val="0"/>
              <w:pageBreakBefore w:val="0"/>
              <w:widowControl w:val="0"/>
              <w:suppressLineNumbers w:val="0"/>
              <w:tabs>
                <w:tab w:val="left" w:pos="2127"/>
              </w:tabs>
              <w:kinsoku/>
              <w:wordWrap/>
              <w:overflowPunct/>
              <w:topLinePunct w:val="0"/>
              <w:autoSpaceDE/>
              <w:autoSpaceDN/>
              <w:bidi w:val="0"/>
              <w:adjustRightInd/>
              <w:snapToGrid/>
              <w:spacing w:beforeAutospacing="0" w:afterAutospacing="0" w:line="312" w:lineRule="auto"/>
              <w:ind w:right="0"/>
              <w:textAlignment w:val="auto"/>
              <w:rPr>
                <w:rFonts w:hint="default"/>
                <w:lang w:val="en-US" w:eastAsia="zh-CN"/>
              </w:rPr>
            </w:pPr>
            <w:r>
              <w:rPr>
                <w:rFonts w:hint="eastAsia" w:asciiTheme="minorEastAsia" w:hAnsiTheme="minorEastAsia" w:eastAsiaTheme="minorEastAsia" w:cstheme="minorEastAsia"/>
                <w:color w:val="auto"/>
                <w:highlight w:val="none"/>
                <w:lang w:val="en-US" w:eastAsia="zh-CN"/>
              </w:rPr>
              <w:t>2.投标登记时对投标人该项目负责人（总监理工程师）进行锁定。</w:t>
            </w:r>
            <w:bookmarkStart w:id="2518" w:name="_GoBack"/>
            <w:bookmarkEnd w:id="2518"/>
          </w:p>
        </w:tc>
      </w:tr>
      <w:tr w14:paraId="3BCE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vAlign w:val="center"/>
          </w:tcPr>
          <w:p w14:paraId="55AC8B44">
            <w:pPr>
              <w:pStyle w:val="23"/>
              <w:tabs>
                <w:tab w:val="left" w:pos="2127"/>
              </w:tabs>
              <w:kinsoku/>
              <w:overflowPunct/>
              <w:bidi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u w:val="none"/>
                <w:lang w:val="en-US" w:eastAsia="zh-CN"/>
              </w:rPr>
              <w:t>1</w:t>
            </w:r>
            <w:r>
              <w:rPr>
                <w:rFonts w:hint="eastAsia" w:hAnsi="宋体" w:cs="宋体"/>
                <w:color w:val="auto"/>
                <w:kern w:val="0"/>
                <w:sz w:val="21"/>
                <w:szCs w:val="21"/>
                <w:highlight w:val="none"/>
                <w:u w:val="none"/>
                <w:lang w:val="en-US" w:eastAsia="zh-CN"/>
              </w:rPr>
              <w:t>3</w:t>
            </w:r>
          </w:p>
        </w:tc>
        <w:tc>
          <w:tcPr>
            <w:tcW w:w="1728" w:type="dxa"/>
            <w:vAlign w:val="center"/>
          </w:tcPr>
          <w:p w14:paraId="1880E79F">
            <w:pPr>
              <w:pStyle w:val="23"/>
              <w:kinsoku/>
              <w:overflowPunct/>
              <w:bidi w:val="0"/>
              <w:spacing w:line="360" w:lineRule="auto"/>
              <w:jc w:val="center"/>
              <w:textAlignment w:val="auto"/>
              <w:rPr>
                <w:rFonts w:hint="eastAsia" w:ascii="宋体" w:hAnsi="宋体" w:eastAsia="宋体" w:cs="宋体"/>
                <w:color w:val="auto"/>
                <w:sz w:val="21"/>
                <w:szCs w:val="21"/>
                <w:highlight w:val="none"/>
              </w:rPr>
            </w:pPr>
            <w:r>
              <w:rPr>
                <w:rFonts w:hint="eastAsia" w:hAnsi="宋体"/>
                <w:color w:val="auto"/>
                <w:szCs w:val="21"/>
                <w:highlight w:val="none"/>
                <w:lang w:val="en-US" w:eastAsia="zh-CN"/>
              </w:rPr>
              <w:t>招标</w:t>
            </w:r>
            <w:r>
              <w:rPr>
                <w:rFonts w:hint="eastAsia" w:ascii="宋体" w:hAnsi="宋体" w:eastAsia="宋体" w:cs="宋体"/>
                <w:color w:val="auto"/>
                <w:sz w:val="21"/>
                <w:szCs w:val="21"/>
                <w:highlight w:val="none"/>
                <w:u w:val="none"/>
              </w:rPr>
              <w:t>代理服务费</w:t>
            </w:r>
          </w:p>
        </w:tc>
        <w:tc>
          <w:tcPr>
            <w:tcW w:w="7016" w:type="dxa"/>
            <w:vAlign w:val="top"/>
          </w:tcPr>
          <w:p w14:paraId="0AE98BBA">
            <w:pPr>
              <w:kinsoku/>
              <w:overflowPunct/>
              <w:bidi w:val="0"/>
              <w:spacing w:line="360" w:lineRule="auto"/>
              <w:textAlignment w:val="auto"/>
              <w:rPr>
                <w:rFonts w:ascii="宋体" w:hAnsi="宋体"/>
                <w:color w:val="auto"/>
                <w:szCs w:val="21"/>
                <w:highlight w:val="none"/>
              </w:rPr>
            </w:pPr>
            <w:r>
              <w:rPr>
                <w:rFonts w:hint="eastAsia" w:ascii="宋体" w:hAnsi="宋体"/>
                <w:color w:val="auto"/>
                <w:szCs w:val="21"/>
                <w:highlight w:val="none"/>
              </w:rPr>
              <w:t>1）代理费类型：</w:t>
            </w:r>
            <w:r>
              <w:rPr>
                <w:rFonts w:hint="eastAsia" w:ascii="宋体" w:hAnsi="宋体"/>
                <w:b/>
                <w:color w:val="auto"/>
                <w:szCs w:val="21"/>
                <w:highlight w:val="none"/>
              </w:rPr>
              <w:t>服务类</w:t>
            </w:r>
            <w:r>
              <w:rPr>
                <w:rFonts w:hint="eastAsia" w:ascii="宋体" w:hAnsi="宋体"/>
                <w:color w:val="auto"/>
                <w:szCs w:val="21"/>
                <w:highlight w:val="none"/>
              </w:rPr>
              <w:t>。</w:t>
            </w:r>
          </w:p>
          <w:p w14:paraId="1B0CF5A4">
            <w:pPr>
              <w:pStyle w:val="23"/>
              <w:kinsoku/>
              <w:overflowPunct/>
              <w:bidi w:val="0"/>
              <w:spacing w:line="360" w:lineRule="auto"/>
              <w:textAlignment w:val="auto"/>
              <w:rPr>
                <w:rFonts w:hint="eastAsia" w:hAnsi="宋体"/>
                <w:color w:val="auto"/>
                <w:szCs w:val="21"/>
                <w:highlight w:val="none"/>
              </w:rPr>
            </w:pPr>
            <w:r>
              <w:rPr>
                <w:rFonts w:hint="eastAsia" w:hAnsi="宋体"/>
                <w:color w:val="auto"/>
                <w:szCs w:val="21"/>
                <w:highlight w:val="none"/>
              </w:rPr>
              <w:t>2）采购代理服务费：</w:t>
            </w:r>
            <w:r>
              <w:rPr>
                <w:rFonts w:hint="eastAsia"/>
                <w:color w:val="auto"/>
                <w:highlight w:val="none"/>
              </w:rPr>
              <w:t>本项目代理服务费</w:t>
            </w:r>
            <w:r>
              <w:rPr>
                <w:rFonts w:hint="eastAsia" w:ascii="宋体" w:hAnsi="宋体"/>
                <w:color w:val="auto"/>
                <w:szCs w:val="21"/>
                <w:highlight w:val="none"/>
              </w:rPr>
              <w:t>由</w:t>
            </w:r>
            <w:r>
              <w:rPr>
                <w:rFonts w:hint="eastAsia" w:ascii="宋体" w:hAnsi="宋体"/>
                <w:color w:val="auto"/>
                <w:szCs w:val="21"/>
                <w:highlight w:val="none"/>
                <w:u w:val="single"/>
              </w:rPr>
              <w:t>中标人</w:t>
            </w:r>
            <w:r>
              <w:rPr>
                <w:rFonts w:hint="eastAsia" w:ascii="宋体" w:hAnsi="宋体"/>
                <w:color w:val="auto"/>
                <w:szCs w:val="21"/>
                <w:highlight w:val="none"/>
              </w:rPr>
              <w:t>支付。</w:t>
            </w:r>
          </w:p>
          <w:p w14:paraId="23AB3451">
            <w:pPr>
              <w:pStyle w:val="19"/>
              <w:spacing w:line="360" w:lineRule="auto"/>
              <w:ind w:left="0" w:leftChars="0" w:firstLine="540"/>
              <w:rPr>
                <w:rFonts w:ascii="宋体" w:hAnsi="宋体"/>
                <w:color w:val="auto"/>
                <w:szCs w:val="21"/>
                <w:highlight w:val="none"/>
              </w:rPr>
            </w:pPr>
            <w:r>
              <w:rPr>
                <w:rFonts w:hint="eastAsia" w:ascii="宋体" w:hAnsi="宋体"/>
                <w:color w:val="auto"/>
                <w:szCs w:val="21"/>
                <w:highlight w:val="none"/>
                <w:lang w:val="zh-CN"/>
              </w:rPr>
              <w:t>按以下相应费率（详见下表）使用</w:t>
            </w:r>
            <w:r>
              <w:rPr>
                <w:rFonts w:hint="eastAsia" w:ascii="宋体" w:hAnsi="宋体"/>
                <w:b/>
                <w:bCs/>
                <w:color w:val="auto"/>
                <w:szCs w:val="21"/>
                <w:highlight w:val="none"/>
                <w:lang w:val="zh-CN"/>
              </w:rPr>
              <w:t>差额定率累进法</w:t>
            </w:r>
            <w:r>
              <w:rPr>
                <w:rFonts w:hint="eastAsia" w:ascii="宋体" w:hAnsi="宋体"/>
                <w:color w:val="auto"/>
                <w:szCs w:val="21"/>
                <w:highlight w:val="none"/>
                <w:lang w:val="zh-CN"/>
              </w:rPr>
              <w:t>计算（</w:t>
            </w:r>
            <w:r>
              <w:rPr>
                <w:rFonts w:hint="eastAsia" w:ascii="宋体" w:hAnsi="宋体"/>
                <w:color w:val="auto"/>
                <w:szCs w:val="21"/>
                <w:highlight w:val="none"/>
              </w:rPr>
              <w:t>合同实施期间，若国家或行业主管部门颁发了新的收费标准按新标准执行），按计算结果的</w:t>
            </w:r>
            <w:r>
              <w:rPr>
                <w:rFonts w:hint="eastAsia" w:ascii="宋体" w:hAnsi="宋体"/>
                <w:b w:val="0"/>
                <w:bCs w:val="0"/>
                <w:color w:val="auto"/>
                <w:szCs w:val="21"/>
                <w:highlight w:val="none"/>
                <w:u w:val="single"/>
                <w:lang w:val="en-US" w:eastAsia="zh-CN"/>
              </w:rPr>
              <w:t xml:space="preserve">  90 </w:t>
            </w:r>
            <w:r>
              <w:rPr>
                <w:rFonts w:hint="eastAsia" w:ascii="宋体" w:hAnsi="宋体"/>
                <w:b w:val="0"/>
                <w:bCs w:val="0"/>
                <w:color w:val="auto"/>
                <w:szCs w:val="21"/>
                <w:highlight w:val="none"/>
                <w:u w:val="single"/>
              </w:rPr>
              <w:t>%</w:t>
            </w:r>
            <w:r>
              <w:rPr>
                <w:rFonts w:hint="eastAsia" w:ascii="宋体" w:hAnsi="宋体"/>
                <w:color w:val="auto"/>
                <w:szCs w:val="21"/>
                <w:highlight w:val="none"/>
              </w:rPr>
              <w:t xml:space="preserve">收取。 </w:t>
            </w:r>
          </w:p>
          <w:tbl>
            <w:tblPr>
              <w:tblStyle w:val="46"/>
              <w:tblW w:w="5000"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2795"/>
              <w:gridCol w:w="1633"/>
              <w:gridCol w:w="1169"/>
              <w:gridCol w:w="1173"/>
            </w:tblGrid>
            <w:tr w14:paraId="6AF0E9A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771" w:hRule="atLeast"/>
                <w:jc w:val="center"/>
              </w:trPr>
              <w:tc>
                <w:tcPr>
                  <w:tcW w:w="5000" w:type="pct"/>
                  <w:gridSpan w:val="4"/>
                  <w:tcBorders>
                    <w:top w:val="double" w:color="auto" w:sz="4" w:space="0"/>
                    <w:left w:val="double" w:color="auto" w:sz="4" w:space="0"/>
                    <w:bottom w:val="double" w:color="auto" w:sz="4" w:space="0"/>
                    <w:right w:val="double" w:color="auto" w:sz="4" w:space="0"/>
                  </w:tcBorders>
                  <w:vAlign w:val="center"/>
                </w:tcPr>
                <w:p w14:paraId="298D3DB4">
                  <w:pPr>
                    <w:jc w:val="center"/>
                    <w:rPr>
                      <w:rFonts w:ascii="宋体" w:hAnsi="宋体"/>
                      <w:b/>
                      <w:color w:val="auto"/>
                      <w:szCs w:val="21"/>
                      <w:highlight w:val="none"/>
                    </w:rPr>
                  </w:pPr>
                  <w:r>
                    <w:rPr>
                      <w:rFonts w:hint="eastAsia" w:ascii="宋体" w:hAnsi="宋体"/>
                      <w:b/>
                      <w:color w:val="auto"/>
                      <w:szCs w:val="21"/>
                      <w:highlight w:val="none"/>
                    </w:rPr>
                    <w:t>招标代理服务收费标准</w:t>
                  </w:r>
                </w:p>
              </w:tc>
            </w:tr>
            <w:tr w14:paraId="7C4F046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4" w:hRule="atLeast"/>
                <w:jc w:val="center"/>
              </w:trPr>
              <w:tc>
                <w:tcPr>
                  <w:tcW w:w="2065" w:type="pct"/>
                  <w:tcBorders>
                    <w:top w:val="double" w:color="auto" w:sz="4" w:space="0"/>
                    <w:left w:val="double" w:color="auto" w:sz="4" w:space="0"/>
                    <w:bottom w:val="double" w:color="auto" w:sz="4" w:space="0"/>
                    <w:right w:val="double" w:color="auto" w:sz="4" w:space="0"/>
                  </w:tcBorders>
                  <w:vAlign w:val="center"/>
                </w:tcPr>
                <w:p w14:paraId="142F2692">
                  <w:pPr>
                    <w:jc w:val="center"/>
                    <w:rPr>
                      <w:rFonts w:ascii="宋体" w:hAnsi="宋体"/>
                      <w:color w:val="auto"/>
                      <w:szCs w:val="21"/>
                      <w:highlight w:val="none"/>
                    </w:rPr>
                  </w:pPr>
                  <w:r>
                    <w:rPr>
                      <w:rFonts w:hint="eastAsia" w:ascii="宋体" w:hAnsi="宋体"/>
                      <w:color w:val="auto"/>
                      <w:szCs w:val="21"/>
                      <w:highlight w:val="none"/>
                    </w:rPr>
                    <w:t>估算发包金额或预算金额</w:t>
                  </w:r>
                </w:p>
              </w:tc>
              <w:tc>
                <w:tcPr>
                  <w:tcW w:w="1206" w:type="pct"/>
                  <w:tcBorders>
                    <w:top w:val="double" w:color="auto" w:sz="4" w:space="0"/>
                    <w:left w:val="double" w:color="auto" w:sz="4" w:space="0"/>
                    <w:bottom w:val="double" w:color="auto" w:sz="4" w:space="0"/>
                    <w:right w:val="double" w:color="auto" w:sz="4" w:space="0"/>
                  </w:tcBorders>
                  <w:vAlign w:val="center"/>
                </w:tcPr>
                <w:p w14:paraId="34D87FCE">
                  <w:pPr>
                    <w:jc w:val="center"/>
                    <w:rPr>
                      <w:rFonts w:ascii="宋体" w:hAnsi="宋体"/>
                      <w:color w:val="auto"/>
                      <w:szCs w:val="21"/>
                      <w:highlight w:val="none"/>
                    </w:rPr>
                  </w:pPr>
                  <w:r>
                    <w:rPr>
                      <w:rFonts w:hint="eastAsia" w:ascii="宋体" w:hAnsi="宋体"/>
                      <w:color w:val="auto"/>
                      <w:szCs w:val="21"/>
                      <w:highlight w:val="none"/>
                    </w:rPr>
                    <w:t xml:space="preserve">货物招标费率 </w:t>
                  </w:r>
                </w:p>
              </w:tc>
              <w:tc>
                <w:tcPr>
                  <w:tcW w:w="863" w:type="pct"/>
                  <w:tcBorders>
                    <w:top w:val="double" w:color="auto" w:sz="4" w:space="0"/>
                    <w:left w:val="double" w:color="auto" w:sz="4" w:space="0"/>
                    <w:bottom w:val="double" w:color="auto" w:sz="4" w:space="0"/>
                    <w:right w:val="double" w:color="auto" w:sz="4" w:space="0"/>
                  </w:tcBorders>
                  <w:vAlign w:val="center"/>
                </w:tcPr>
                <w:p w14:paraId="65D43DD2">
                  <w:pPr>
                    <w:jc w:val="center"/>
                    <w:rPr>
                      <w:rFonts w:ascii="宋体" w:hAnsi="宋体"/>
                      <w:color w:val="auto"/>
                      <w:szCs w:val="21"/>
                      <w:highlight w:val="none"/>
                    </w:rPr>
                  </w:pPr>
                  <w:r>
                    <w:rPr>
                      <w:rFonts w:hint="eastAsia" w:ascii="宋体" w:hAnsi="宋体"/>
                      <w:color w:val="auto"/>
                      <w:szCs w:val="21"/>
                      <w:highlight w:val="none"/>
                    </w:rPr>
                    <w:t>服务招标费率</w:t>
                  </w:r>
                </w:p>
              </w:tc>
              <w:tc>
                <w:tcPr>
                  <w:tcW w:w="864" w:type="pct"/>
                  <w:tcBorders>
                    <w:top w:val="double" w:color="auto" w:sz="4" w:space="0"/>
                    <w:left w:val="double" w:color="auto" w:sz="4" w:space="0"/>
                    <w:bottom w:val="double" w:color="auto" w:sz="4" w:space="0"/>
                    <w:right w:val="double" w:color="auto" w:sz="4" w:space="0"/>
                  </w:tcBorders>
                  <w:vAlign w:val="center"/>
                </w:tcPr>
                <w:p w14:paraId="39288A2E">
                  <w:pPr>
                    <w:jc w:val="center"/>
                    <w:rPr>
                      <w:rFonts w:ascii="宋体" w:hAnsi="宋体"/>
                      <w:color w:val="auto"/>
                      <w:szCs w:val="21"/>
                      <w:highlight w:val="none"/>
                    </w:rPr>
                  </w:pPr>
                  <w:r>
                    <w:rPr>
                      <w:rFonts w:hint="eastAsia" w:ascii="宋体" w:hAnsi="宋体"/>
                      <w:color w:val="auto"/>
                      <w:szCs w:val="21"/>
                      <w:highlight w:val="none"/>
                    </w:rPr>
                    <w:t>工程招标费率</w:t>
                  </w:r>
                </w:p>
              </w:tc>
            </w:tr>
            <w:tr w14:paraId="7D33AFA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50282205">
                  <w:pPr>
                    <w:rPr>
                      <w:rFonts w:ascii="宋体" w:hAnsi="宋体"/>
                      <w:color w:val="auto"/>
                      <w:szCs w:val="21"/>
                      <w:highlight w:val="none"/>
                    </w:rPr>
                  </w:pPr>
                  <w:r>
                    <w:rPr>
                      <w:rFonts w:hint="eastAsia" w:ascii="宋体" w:hAnsi="宋体"/>
                      <w:color w:val="auto"/>
                      <w:szCs w:val="21"/>
                      <w:highlight w:val="none"/>
                    </w:rPr>
                    <w:t>100万元以下</w:t>
                  </w:r>
                </w:p>
              </w:tc>
              <w:tc>
                <w:tcPr>
                  <w:tcW w:w="1206" w:type="pct"/>
                  <w:tcBorders>
                    <w:top w:val="double" w:color="auto" w:sz="4" w:space="0"/>
                    <w:left w:val="double" w:color="auto" w:sz="4" w:space="0"/>
                    <w:bottom w:val="double" w:color="auto" w:sz="4" w:space="0"/>
                    <w:right w:val="double" w:color="auto" w:sz="4" w:space="0"/>
                  </w:tcBorders>
                  <w:vAlign w:val="center"/>
                </w:tcPr>
                <w:p w14:paraId="7FD936A7">
                  <w:pPr>
                    <w:jc w:val="center"/>
                    <w:rPr>
                      <w:rFonts w:ascii="宋体" w:hAnsi="宋体"/>
                      <w:color w:val="auto"/>
                      <w:szCs w:val="21"/>
                      <w:highlight w:val="none"/>
                    </w:rPr>
                  </w:pPr>
                  <w:r>
                    <w:rPr>
                      <w:rFonts w:hint="eastAsia" w:ascii="宋体" w:hAnsi="宋体"/>
                      <w:color w:val="auto"/>
                      <w:szCs w:val="21"/>
                      <w:highlight w:val="none"/>
                    </w:rPr>
                    <w:t>1.5%</w:t>
                  </w:r>
                </w:p>
              </w:tc>
              <w:tc>
                <w:tcPr>
                  <w:tcW w:w="863" w:type="pct"/>
                  <w:tcBorders>
                    <w:top w:val="double" w:color="auto" w:sz="4" w:space="0"/>
                    <w:left w:val="double" w:color="auto" w:sz="4" w:space="0"/>
                    <w:bottom w:val="double" w:color="auto" w:sz="4" w:space="0"/>
                    <w:right w:val="double" w:color="auto" w:sz="4" w:space="0"/>
                  </w:tcBorders>
                  <w:vAlign w:val="center"/>
                </w:tcPr>
                <w:p w14:paraId="40611846">
                  <w:pPr>
                    <w:jc w:val="center"/>
                    <w:rPr>
                      <w:rFonts w:ascii="宋体" w:hAnsi="宋体"/>
                      <w:color w:val="auto"/>
                      <w:szCs w:val="21"/>
                      <w:highlight w:val="none"/>
                    </w:rPr>
                  </w:pPr>
                  <w:r>
                    <w:rPr>
                      <w:rFonts w:hint="eastAsia" w:ascii="宋体" w:hAnsi="宋体"/>
                      <w:color w:val="auto"/>
                      <w:szCs w:val="21"/>
                      <w:highlight w:val="none"/>
                    </w:rPr>
                    <w:t>1.5%</w:t>
                  </w:r>
                </w:p>
              </w:tc>
              <w:tc>
                <w:tcPr>
                  <w:tcW w:w="864" w:type="pct"/>
                  <w:tcBorders>
                    <w:top w:val="double" w:color="auto" w:sz="4" w:space="0"/>
                    <w:left w:val="double" w:color="auto" w:sz="4" w:space="0"/>
                    <w:bottom w:val="double" w:color="auto" w:sz="4" w:space="0"/>
                    <w:right w:val="double" w:color="auto" w:sz="4" w:space="0"/>
                  </w:tcBorders>
                  <w:vAlign w:val="center"/>
                </w:tcPr>
                <w:p w14:paraId="1D4032E6">
                  <w:pPr>
                    <w:jc w:val="center"/>
                    <w:rPr>
                      <w:rFonts w:ascii="宋体" w:hAnsi="宋体"/>
                      <w:color w:val="auto"/>
                      <w:szCs w:val="21"/>
                      <w:highlight w:val="none"/>
                    </w:rPr>
                  </w:pPr>
                  <w:r>
                    <w:rPr>
                      <w:rFonts w:hint="eastAsia" w:ascii="宋体" w:hAnsi="宋体"/>
                      <w:color w:val="auto"/>
                      <w:szCs w:val="21"/>
                      <w:highlight w:val="none"/>
                    </w:rPr>
                    <w:t>1.0%</w:t>
                  </w:r>
                </w:p>
              </w:tc>
            </w:tr>
            <w:tr w14:paraId="5BB72CB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3A6435A8">
                  <w:pPr>
                    <w:rPr>
                      <w:rFonts w:ascii="宋体" w:hAnsi="宋体"/>
                      <w:color w:val="auto"/>
                      <w:szCs w:val="21"/>
                      <w:highlight w:val="none"/>
                    </w:rPr>
                  </w:pPr>
                  <w:r>
                    <w:rPr>
                      <w:rFonts w:hint="eastAsia" w:ascii="宋体" w:hAnsi="宋体"/>
                      <w:color w:val="auto"/>
                      <w:szCs w:val="21"/>
                      <w:highlight w:val="none"/>
                    </w:rPr>
                    <w:t>100-500万元</w:t>
                  </w:r>
                </w:p>
              </w:tc>
              <w:tc>
                <w:tcPr>
                  <w:tcW w:w="1206" w:type="pct"/>
                  <w:tcBorders>
                    <w:top w:val="double" w:color="auto" w:sz="4" w:space="0"/>
                    <w:left w:val="double" w:color="auto" w:sz="4" w:space="0"/>
                    <w:bottom w:val="double" w:color="auto" w:sz="4" w:space="0"/>
                    <w:right w:val="double" w:color="auto" w:sz="4" w:space="0"/>
                  </w:tcBorders>
                  <w:vAlign w:val="center"/>
                </w:tcPr>
                <w:p w14:paraId="5A530199">
                  <w:pPr>
                    <w:jc w:val="center"/>
                    <w:rPr>
                      <w:rFonts w:ascii="宋体" w:hAnsi="宋体"/>
                      <w:color w:val="auto"/>
                      <w:szCs w:val="21"/>
                      <w:highlight w:val="none"/>
                    </w:rPr>
                  </w:pPr>
                  <w:r>
                    <w:rPr>
                      <w:rFonts w:hint="eastAsia" w:ascii="宋体" w:hAnsi="宋体"/>
                      <w:color w:val="auto"/>
                      <w:szCs w:val="21"/>
                      <w:highlight w:val="none"/>
                    </w:rPr>
                    <w:t>1.1%</w:t>
                  </w:r>
                </w:p>
              </w:tc>
              <w:tc>
                <w:tcPr>
                  <w:tcW w:w="863" w:type="pct"/>
                  <w:tcBorders>
                    <w:top w:val="double" w:color="auto" w:sz="4" w:space="0"/>
                    <w:left w:val="double" w:color="auto" w:sz="4" w:space="0"/>
                    <w:bottom w:val="double" w:color="auto" w:sz="4" w:space="0"/>
                    <w:right w:val="double" w:color="auto" w:sz="4" w:space="0"/>
                  </w:tcBorders>
                  <w:vAlign w:val="center"/>
                </w:tcPr>
                <w:p w14:paraId="32EC3C2F">
                  <w:pPr>
                    <w:jc w:val="center"/>
                    <w:rPr>
                      <w:rFonts w:ascii="宋体" w:hAnsi="宋体"/>
                      <w:color w:val="auto"/>
                      <w:szCs w:val="21"/>
                      <w:highlight w:val="none"/>
                    </w:rPr>
                  </w:pPr>
                  <w:r>
                    <w:rPr>
                      <w:rFonts w:hint="eastAsia" w:ascii="宋体" w:hAnsi="宋体"/>
                      <w:color w:val="auto"/>
                      <w:szCs w:val="21"/>
                      <w:highlight w:val="none"/>
                    </w:rPr>
                    <w:t>0.8%</w:t>
                  </w:r>
                </w:p>
              </w:tc>
              <w:tc>
                <w:tcPr>
                  <w:tcW w:w="864" w:type="pct"/>
                  <w:tcBorders>
                    <w:top w:val="double" w:color="auto" w:sz="4" w:space="0"/>
                    <w:left w:val="double" w:color="auto" w:sz="4" w:space="0"/>
                    <w:bottom w:val="double" w:color="auto" w:sz="4" w:space="0"/>
                    <w:right w:val="double" w:color="auto" w:sz="4" w:space="0"/>
                  </w:tcBorders>
                  <w:vAlign w:val="center"/>
                </w:tcPr>
                <w:p w14:paraId="0B9D4805">
                  <w:pPr>
                    <w:jc w:val="center"/>
                    <w:rPr>
                      <w:rFonts w:ascii="宋体" w:hAnsi="宋体"/>
                      <w:color w:val="auto"/>
                      <w:szCs w:val="21"/>
                      <w:highlight w:val="none"/>
                    </w:rPr>
                  </w:pPr>
                  <w:r>
                    <w:rPr>
                      <w:rFonts w:hint="eastAsia" w:ascii="宋体" w:hAnsi="宋体"/>
                      <w:color w:val="auto"/>
                      <w:szCs w:val="21"/>
                      <w:highlight w:val="none"/>
                    </w:rPr>
                    <w:t>0.7%</w:t>
                  </w:r>
                </w:p>
              </w:tc>
            </w:tr>
            <w:tr w14:paraId="2CC2BFE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7C287F2F">
                  <w:pPr>
                    <w:rPr>
                      <w:rFonts w:ascii="宋体" w:hAnsi="宋体"/>
                      <w:color w:val="auto"/>
                      <w:szCs w:val="21"/>
                      <w:highlight w:val="none"/>
                    </w:rPr>
                  </w:pPr>
                  <w:r>
                    <w:rPr>
                      <w:rFonts w:hint="eastAsia" w:ascii="宋体" w:hAnsi="宋体"/>
                      <w:color w:val="auto"/>
                      <w:szCs w:val="21"/>
                      <w:highlight w:val="none"/>
                    </w:rPr>
                    <w:t>500-1000万元</w:t>
                  </w:r>
                </w:p>
              </w:tc>
              <w:tc>
                <w:tcPr>
                  <w:tcW w:w="1206" w:type="pct"/>
                  <w:tcBorders>
                    <w:top w:val="double" w:color="auto" w:sz="4" w:space="0"/>
                    <w:left w:val="double" w:color="auto" w:sz="4" w:space="0"/>
                    <w:bottom w:val="double" w:color="auto" w:sz="4" w:space="0"/>
                    <w:right w:val="double" w:color="auto" w:sz="4" w:space="0"/>
                  </w:tcBorders>
                  <w:vAlign w:val="center"/>
                </w:tcPr>
                <w:p w14:paraId="46614DCE">
                  <w:pPr>
                    <w:jc w:val="center"/>
                    <w:rPr>
                      <w:rFonts w:ascii="宋体" w:hAnsi="宋体"/>
                      <w:color w:val="auto"/>
                      <w:szCs w:val="21"/>
                      <w:highlight w:val="none"/>
                    </w:rPr>
                  </w:pPr>
                  <w:r>
                    <w:rPr>
                      <w:rFonts w:hint="eastAsia" w:ascii="宋体" w:hAnsi="宋体"/>
                      <w:color w:val="auto"/>
                      <w:szCs w:val="21"/>
                      <w:highlight w:val="none"/>
                    </w:rPr>
                    <w:t>0.8%</w:t>
                  </w:r>
                </w:p>
              </w:tc>
              <w:tc>
                <w:tcPr>
                  <w:tcW w:w="863" w:type="pct"/>
                  <w:tcBorders>
                    <w:top w:val="double" w:color="auto" w:sz="4" w:space="0"/>
                    <w:left w:val="double" w:color="auto" w:sz="4" w:space="0"/>
                    <w:bottom w:val="double" w:color="auto" w:sz="4" w:space="0"/>
                    <w:right w:val="double" w:color="auto" w:sz="4" w:space="0"/>
                  </w:tcBorders>
                  <w:vAlign w:val="center"/>
                </w:tcPr>
                <w:p w14:paraId="4DE25BC5">
                  <w:pPr>
                    <w:jc w:val="center"/>
                    <w:rPr>
                      <w:rFonts w:ascii="宋体" w:hAnsi="宋体"/>
                      <w:color w:val="auto"/>
                      <w:szCs w:val="21"/>
                      <w:highlight w:val="none"/>
                    </w:rPr>
                  </w:pPr>
                  <w:r>
                    <w:rPr>
                      <w:rFonts w:hint="eastAsia" w:ascii="宋体" w:hAnsi="宋体"/>
                      <w:color w:val="auto"/>
                      <w:szCs w:val="21"/>
                      <w:highlight w:val="none"/>
                    </w:rPr>
                    <w:t>0.45%</w:t>
                  </w:r>
                </w:p>
              </w:tc>
              <w:tc>
                <w:tcPr>
                  <w:tcW w:w="864" w:type="pct"/>
                  <w:tcBorders>
                    <w:top w:val="double" w:color="auto" w:sz="4" w:space="0"/>
                    <w:left w:val="double" w:color="auto" w:sz="4" w:space="0"/>
                    <w:bottom w:val="double" w:color="auto" w:sz="4" w:space="0"/>
                    <w:right w:val="double" w:color="auto" w:sz="4" w:space="0"/>
                  </w:tcBorders>
                  <w:vAlign w:val="center"/>
                </w:tcPr>
                <w:p w14:paraId="0799D9A4">
                  <w:pPr>
                    <w:jc w:val="center"/>
                    <w:rPr>
                      <w:rFonts w:ascii="宋体" w:hAnsi="宋体"/>
                      <w:color w:val="auto"/>
                      <w:szCs w:val="21"/>
                      <w:highlight w:val="none"/>
                    </w:rPr>
                  </w:pPr>
                  <w:r>
                    <w:rPr>
                      <w:rFonts w:hint="eastAsia" w:ascii="宋体" w:hAnsi="宋体"/>
                      <w:color w:val="auto"/>
                      <w:szCs w:val="21"/>
                      <w:highlight w:val="none"/>
                    </w:rPr>
                    <w:t>0.55%</w:t>
                  </w:r>
                </w:p>
              </w:tc>
            </w:tr>
            <w:tr w14:paraId="44820BA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634F0766">
                  <w:pPr>
                    <w:rPr>
                      <w:rFonts w:ascii="宋体" w:hAnsi="宋体"/>
                      <w:color w:val="auto"/>
                      <w:szCs w:val="21"/>
                      <w:highlight w:val="none"/>
                    </w:rPr>
                  </w:pPr>
                  <w:r>
                    <w:rPr>
                      <w:rFonts w:hint="eastAsia" w:ascii="宋体" w:hAnsi="宋体"/>
                      <w:color w:val="auto"/>
                      <w:szCs w:val="21"/>
                      <w:highlight w:val="none"/>
                    </w:rPr>
                    <w:t>1000-5000万元</w:t>
                  </w:r>
                </w:p>
              </w:tc>
              <w:tc>
                <w:tcPr>
                  <w:tcW w:w="1206" w:type="pct"/>
                  <w:tcBorders>
                    <w:top w:val="double" w:color="auto" w:sz="4" w:space="0"/>
                    <w:left w:val="double" w:color="auto" w:sz="4" w:space="0"/>
                    <w:bottom w:val="double" w:color="auto" w:sz="4" w:space="0"/>
                    <w:right w:val="double" w:color="auto" w:sz="4" w:space="0"/>
                  </w:tcBorders>
                  <w:vAlign w:val="center"/>
                </w:tcPr>
                <w:p w14:paraId="0C5E8572">
                  <w:pPr>
                    <w:jc w:val="center"/>
                    <w:rPr>
                      <w:rFonts w:ascii="宋体" w:hAnsi="宋体"/>
                      <w:color w:val="auto"/>
                      <w:szCs w:val="21"/>
                      <w:highlight w:val="none"/>
                    </w:rPr>
                  </w:pPr>
                  <w:r>
                    <w:rPr>
                      <w:rFonts w:hint="eastAsia" w:ascii="宋体" w:hAnsi="宋体"/>
                      <w:color w:val="auto"/>
                      <w:szCs w:val="21"/>
                      <w:highlight w:val="none"/>
                    </w:rPr>
                    <w:t>0.5%</w:t>
                  </w:r>
                </w:p>
              </w:tc>
              <w:tc>
                <w:tcPr>
                  <w:tcW w:w="863" w:type="pct"/>
                  <w:tcBorders>
                    <w:top w:val="double" w:color="auto" w:sz="4" w:space="0"/>
                    <w:left w:val="double" w:color="auto" w:sz="4" w:space="0"/>
                    <w:bottom w:val="double" w:color="auto" w:sz="4" w:space="0"/>
                    <w:right w:val="double" w:color="auto" w:sz="4" w:space="0"/>
                  </w:tcBorders>
                  <w:vAlign w:val="center"/>
                </w:tcPr>
                <w:p w14:paraId="48B716A6">
                  <w:pPr>
                    <w:jc w:val="center"/>
                    <w:rPr>
                      <w:rFonts w:ascii="宋体" w:hAnsi="宋体"/>
                      <w:color w:val="auto"/>
                      <w:szCs w:val="21"/>
                      <w:highlight w:val="none"/>
                    </w:rPr>
                  </w:pPr>
                  <w:r>
                    <w:rPr>
                      <w:rFonts w:hint="eastAsia" w:ascii="宋体" w:hAnsi="宋体"/>
                      <w:color w:val="auto"/>
                      <w:szCs w:val="21"/>
                      <w:highlight w:val="none"/>
                    </w:rPr>
                    <w:t>0.25%</w:t>
                  </w:r>
                </w:p>
              </w:tc>
              <w:tc>
                <w:tcPr>
                  <w:tcW w:w="864" w:type="pct"/>
                  <w:tcBorders>
                    <w:top w:val="double" w:color="auto" w:sz="4" w:space="0"/>
                    <w:left w:val="double" w:color="auto" w:sz="4" w:space="0"/>
                    <w:bottom w:val="double" w:color="auto" w:sz="4" w:space="0"/>
                    <w:right w:val="double" w:color="auto" w:sz="4" w:space="0"/>
                  </w:tcBorders>
                  <w:vAlign w:val="center"/>
                </w:tcPr>
                <w:p w14:paraId="3BAE8D4B">
                  <w:pPr>
                    <w:jc w:val="center"/>
                    <w:rPr>
                      <w:rFonts w:ascii="宋体" w:hAnsi="宋体"/>
                      <w:color w:val="auto"/>
                      <w:szCs w:val="21"/>
                      <w:highlight w:val="none"/>
                    </w:rPr>
                  </w:pPr>
                  <w:r>
                    <w:rPr>
                      <w:rFonts w:hint="eastAsia" w:ascii="宋体" w:hAnsi="宋体"/>
                      <w:color w:val="auto"/>
                      <w:szCs w:val="21"/>
                      <w:highlight w:val="none"/>
                    </w:rPr>
                    <w:t>0.35%</w:t>
                  </w:r>
                </w:p>
              </w:tc>
            </w:tr>
            <w:tr w14:paraId="51A5D9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48470947">
                  <w:pPr>
                    <w:rPr>
                      <w:rFonts w:ascii="宋体" w:hAnsi="宋体"/>
                      <w:color w:val="auto"/>
                      <w:szCs w:val="21"/>
                      <w:highlight w:val="none"/>
                    </w:rPr>
                  </w:pPr>
                  <w:r>
                    <w:rPr>
                      <w:rFonts w:hint="eastAsia" w:ascii="宋体" w:hAnsi="宋体"/>
                      <w:color w:val="auto"/>
                      <w:szCs w:val="21"/>
                      <w:highlight w:val="none"/>
                    </w:rPr>
                    <w:t>0.5-1亿元</w:t>
                  </w:r>
                </w:p>
              </w:tc>
              <w:tc>
                <w:tcPr>
                  <w:tcW w:w="1206" w:type="pct"/>
                  <w:tcBorders>
                    <w:top w:val="double" w:color="auto" w:sz="4" w:space="0"/>
                    <w:left w:val="double" w:color="auto" w:sz="4" w:space="0"/>
                    <w:bottom w:val="double" w:color="auto" w:sz="4" w:space="0"/>
                    <w:right w:val="double" w:color="auto" w:sz="4" w:space="0"/>
                  </w:tcBorders>
                  <w:vAlign w:val="center"/>
                </w:tcPr>
                <w:p w14:paraId="68E16817">
                  <w:pPr>
                    <w:jc w:val="center"/>
                    <w:rPr>
                      <w:rFonts w:ascii="宋体" w:hAnsi="宋体"/>
                      <w:color w:val="auto"/>
                      <w:szCs w:val="21"/>
                      <w:highlight w:val="none"/>
                    </w:rPr>
                  </w:pPr>
                  <w:r>
                    <w:rPr>
                      <w:rFonts w:hint="eastAsia" w:ascii="宋体" w:hAnsi="宋体"/>
                      <w:color w:val="auto"/>
                      <w:szCs w:val="21"/>
                      <w:highlight w:val="none"/>
                    </w:rPr>
                    <w:t xml:space="preserve">0.25% </w:t>
                  </w:r>
                </w:p>
              </w:tc>
              <w:tc>
                <w:tcPr>
                  <w:tcW w:w="863" w:type="pct"/>
                  <w:tcBorders>
                    <w:top w:val="double" w:color="auto" w:sz="4" w:space="0"/>
                    <w:left w:val="double" w:color="auto" w:sz="4" w:space="0"/>
                    <w:bottom w:val="double" w:color="auto" w:sz="4" w:space="0"/>
                    <w:right w:val="double" w:color="auto" w:sz="4" w:space="0"/>
                  </w:tcBorders>
                  <w:vAlign w:val="center"/>
                </w:tcPr>
                <w:p w14:paraId="146CC061">
                  <w:pPr>
                    <w:jc w:val="center"/>
                    <w:rPr>
                      <w:rFonts w:ascii="宋体" w:hAnsi="宋体"/>
                      <w:color w:val="auto"/>
                      <w:szCs w:val="21"/>
                      <w:highlight w:val="none"/>
                    </w:rPr>
                  </w:pPr>
                  <w:r>
                    <w:rPr>
                      <w:rFonts w:hint="eastAsia" w:ascii="宋体" w:hAnsi="宋体"/>
                      <w:color w:val="auto"/>
                      <w:szCs w:val="21"/>
                      <w:highlight w:val="none"/>
                    </w:rPr>
                    <w:t>0.1%</w:t>
                  </w:r>
                </w:p>
              </w:tc>
              <w:tc>
                <w:tcPr>
                  <w:tcW w:w="864" w:type="pct"/>
                  <w:tcBorders>
                    <w:top w:val="double" w:color="auto" w:sz="4" w:space="0"/>
                    <w:left w:val="double" w:color="auto" w:sz="4" w:space="0"/>
                    <w:bottom w:val="double" w:color="auto" w:sz="4" w:space="0"/>
                    <w:right w:val="double" w:color="auto" w:sz="4" w:space="0"/>
                  </w:tcBorders>
                  <w:vAlign w:val="center"/>
                </w:tcPr>
                <w:p w14:paraId="28EAD3EF">
                  <w:pPr>
                    <w:jc w:val="center"/>
                    <w:rPr>
                      <w:rFonts w:ascii="宋体" w:hAnsi="宋体"/>
                      <w:color w:val="auto"/>
                      <w:szCs w:val="21"/>
                      <w:highlight w:val="none"/>
                    </w:rPr>
                  </w:pPr>
                  <w:r>
                    <w:rPr>
                      <w:rFonts w:hint="eastAsia" w:ascii="宋体" w:hAnsi="宋体"/>
                      <w:color w:val="auto"/>
                      <w:szCs w:val="21"/>
                      <w:highlight w:val="none"/>
                    </w:rPr>
                    <w:t>0.2%</w:t>
                  </w:r>
                </w:p>
              </w:tc>
            </w:tr>
            <w:tr w14:paraId="012B215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36D7FED9">
                  <w:pPr>
                    <w:jc w:val="left"/>
                    <w:rPr>
                      <w:rFonts w:ascii="宋体" w:hAnsi="宋体"/>
                      <w:color w:val="auto"/>
                      <w:szCs w:val="21"/>
                      <w:highlight w:val="none"/>
                    </w:rPr>
                  </w:pPr>
                  <w:r>
                    <w:rPr>
                      <w:rFonts w:hint="eastAsia" w:ascii="宋体" w:hAnsi="宋体"/>
                      <w:color w:val="auto"/>
                      <w:szCs w:val="21"/>
                      <w:highlight w:val="none"/>
                    </w:rPr>
                    <w:t xml:space="preserve">1-5亿元 </w:t>
                  </w:r>
                </w:p>
              </w:tc>
              <w:tc>
                <w:tcPr>
                  <w:tcW w:w="1206" w:type="pct"/>
                  <w:tcBorders>
                    <w:top w:val="double" w:color="auto" w:sz="4" w:space="0"/>
                    <w:left w:val="double" w:color="auto" w:sz="4" w:space="0"/>
                    <w:bottom w:val="double" w:color="auto" w:sz="4" w:space="0"/>
                    <w:right w:val="double" w:color="auto" w:sz="4" w:space="0"/>
                  </w:tcBorders>
                  <w:vAlign w:val="center"/>
                </w:tcPr>
                <w:p w14:paraId="3BA80F9A">
                  <w:pPr>
                    <w:jc w:val="center"/>
                    <w:rPr>
                      <w:rFonts w:ascii="宋体" w:hAnsi="宋体"/>
                      <w:color w:val="auto"/>
                      <w:szCs w:val="21"/>
                      <w:highlight w:val="none"/>
                    </w:rPr>
                  </w:pPr>
                  <w:r>
                    <w:rPr>
                      <w:rFonts w:hint="eastAsia" w:ascii="宋体" w:hAnsi="宋体"/>
                      <w:color w:val="auto"/>
                      <w:szCs w:val="21"/>
                      <w:highlight w:val="none"/>
                    </w:rPr>
                    <w:t>0.05%</w:t>
                  </w:r>
                </w:p>
              </w:tc>
              <w:tc>
                <w:tcPr>
                  <w:tcW w:w="863" w:type="pct"/>
                  <w:tcBorders>
                    <w:top w:val="double" w:color="auto" w:sz="4" w:space="0"/>
                    <w:left w:val="double" w:color="auto" w:sz="4" w:space="0"/>
                    <w:bottom w:val="double" w:color="auto" w:sz="4" w:space="0"/>
                    <w:right w:val="double" w:color="auto" w:sz="4" w:space="0"/>
                  </w:tcBorders>
                  <w:vAlign w:val="center"/>
                </w:tcPr>
                <w:p w14:paraId="0A701616">
                  <w:pPr>
                    <w:jc w:val="center"/>
                    <w:rPr>
                      <w:rFonts w:ascii="宋体" w:hAnsi="宋体"/>
                      <w:color w:val="auto"/>
                      <w:szCs w:val="21"/>
                      <w:highlight w:val="none"/>
                    </w:rPr>
                  </w:pPr>
                  <w:r>
                    <w:rPr>
                      <w:rFonts w:hint="eastAsia" w:ascii="宋体" w:hAnsi="宋体"/>
                      <w:color w:val="auto"/>
                      <w:szCs w:val="21"/>
                      <w:highlight w:val="none"/>
                    </w:rPr>
                    <w:t>0.05%</w:t>
                  </w:r>
                </w:p>
              </w:tc>
              <w:tc>
                <w:tcPr>
                  <w:tcW w:w="864" w:type="pct"/>
                  <w:tcBorders>
                    <w:top w:val="double" w:color="auto" w:sz="4" w:space="0"/>
                    <w:left w:val="double" w:color="auto" w:sz="4" w:space="0"/>
                    <w:bottom w:val="double" w:color="auto" w:sz="4" w:space="0"/>
                    <w:right w:val="double" w:color="auto" w:sz="4" w:space="0"/>
                  </w:tcBorders>
                  <w:vAlign w:val="center"/>
                </w:tcPr>
                <w:p w14:paraId="600E7913">
                  <w:pPr>
                    <w:jc w:val="center"/>
                    <w:rPr>
                      <w:rFonts w:ascii="宋体" w:hAnsi="宋体"/>
                      <w:color w:val="auto"/>
                      <w:szCs w:val="21"/>
                      <w:highlight w:val="none"/>
                    </w:rPr>
                  </w:pPr>
                  <w:r>
                    <w:rPr>
                      <w:rFonts w:hint="eastAsia" w:ascii="宋体" w:hAnsi="宋体"/>
                      <w:color w:val="auto"/>
                      <w:szCs w:val="21"/>
                      <w:highlight w:val="none"/>
                    </w:rPr>
                    <w:t>0.05%</w:t>
                  </w:r>
                </w:p>
              </w:tc>
            </w:tr>
            <w:tr w14:paraId="22610B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6787561D">
                  <w:pPr>
                    <w:jc w:val="left"/>
                    <w:rPr>
                      <w:rFonts w:ascii="宋体" w:hAnsi="宋体"/>
                      <w:color w:val="auto"/>
                      <w:szCs w:val="21"/>
                      <w:highlight w:val="none"/>
                    </w:rPr>
                  </w:pPr>
                  <w:r>
                    <w:rPr>
                      <w:rFonts w:hint="eastAsia" w:ascii="宋体" w:hAnsi="宋体"/>
                      <w:color w:val="auto"/>
                      <w:szCs w:val="21"/>
                      <w:highlight w:val="none"/>
                    </w:rPr>
                    <w:t>5-10亿元</w:t>
                  </w:r>
                </w:p>
              </w:tc>
              <w:tc>
                <w:tcPr>
                  <w:tcW w:w="1206" w:type="pct"/>
                  <w:tcBorders>
                    <w:top w:val="double" w:color="auto" w:sz="4" w:space="0"/>
                    <w:left w:val="double" w:color="auto" w:sz="4" w:space="0"/>
                    <w:bottom w:val="double" w:color="auto" w:sz="4" w:space="0"/>
                    <w:right w:val="double" w:color="auto" w:sz="4" w:space="0"/>
                  </w:tcBorders>
                  <w:vAlign w:val="center"/>
                </w:tcPr>
                <w:p w14:paraId="7EAC66ED">
                  <w:pPr>
                    <w:jc w:val="center"/>
                    <w:rPr>
                      <w:rFonts w:ascii="宋体" w:hAnsi="宋体"/>
                      <w:color w:val="auto"/>
                      <w:szCs w:val="21"/>
                      <w:highlight w:val="none"/>
                    </w:rPr>
                  </w:pPr>
                  <w:r>
                    <w:rPr>
                      <w:rFonts w:hint="eastAsia" w:ascii="宋体" w:hAnsi="宋体"/>
                      <w:color w:val="auto"/>
                      <w:szCs w:val="21"/>
                      <w:highlight w:val="none"/>
                    </w:rPr>
                    <w:t>0.035%</w:t>
                  </w:r>
                </w:p>
              </w:tc>
              <w:tc>
                <w:tcPr>
                  <w:tcW w:w="863" w:type="pct"/>
                  <w:tcBorders>
                    <w:top w:val="double" w:color="auto" w:sz="4" w:space="0"/>
                    <w:left w:val="double" w:color="auto" w:sz="4" w:space="0"/>
                    <w:bottom w:val="double" w:color="auto" w:sz="4" w:space="0"/>
                    <w:right w:val="double" w:color="auto" w:sz="4" w:space="0"/>
                  </w:tcBorders>
                  <w:vAlign w:val="center"/>
                </w:tcPr>
                <w:p w14:paraId="37528357">
                  <w:pPr>
                    <w:jc w:val="center"/>
                    <w:rPr>
                      <w:rFonts w:ascii="宋体" w:hAnsi="宋体"/>
                      <w:color w:val="auto"/>
                      <w:szCs w:val="21"/>
                      <w:highlight w:val="none"/>
                    </w:rPr>
                  </w:pPr>
                  <w:r>
                    <w:rPr>
                      <w:rFonts w:hint="eastAsia" w:ascii="宋体" w:hAnsi="宋体"/>
                      <w:color w:val="auto"/>
                      <w:szCs w:val="21"/>
                      <w:highlight w:val="none"/>
                    </w:rPr>
                    <w:t>0.035%</w:t>
                  </w:r>
                </w:p>
              </w:tc>
              <w:tc>
                <w:tcPr>
                  <w:tcW w:w="864" w:type="pct"/>
                  <w:tcBorders>
                    <w:top w:val="double" w:color="auto" w:sz="4" w:space="0"/>
                    <w:left w:val="double" w:color="auto" w:sz="4" w:space="0"/>
                    <w:bottom w:val="double" w:color="auto" w:sz="4" w:space="0"/>
                    <w:right w:val="double" w:color="auto" w:sz="4" w:space="0"/>
                  </w:tcBorders>
                  <w:vAlign w:val="center"/>
                </w:tcPr>
                <w:p w14:paraId="4763A363">
                  <w:pPr>
                    <w:jc w:val="center"/>
                    <w:rPr>
                      <w:rFonts w:ascii="宋体" w:hAnsi="宋体"/>
                      <w:color w:val="auto"/>
                      <w:szCs w:val="21"/>
                      <w:highlight w:val="none"/>
                    </w:rPr>
                  </w:pPr>
                  <w:r>
                    <w:rPr>
                      <w:rFonts w:hint="eastAsia" w:ascii="宋体" w:hAnsi="宋体"/>
                      <w:color w:val="auto"/>
                      <w:szCs w:val="21"/>
                      <w:highlight w:val="none"/>
                    </w:rPr>
                    <w:t>0.035%</w:t>
                  </w:r>
                </w:p>
              </w:tc>
            </w:tr>
            <w:tr w14:paraId="3A01A2D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12" w:hRule="exact"/>
                <w:jc w:val="center"/>
              </w:trPr>
              <w:tc>
                <w:tcPr>
                  <w:tcW w:w="2065" w:type="pct"/>
                  <w:tcBorders>
                    <w:top w:val="double" w:color="auto" w:sz="4" w:space="0"/>
                    <w:left w:val="double" w:color="auto" w:sz="4" w:space="0"/>
                    <w:bottom w:val="double" w:color="auto" w:sz="4" w:space="0"/>
                    <w:right w:val="double" w:color="auto" w:sz="4" w:space="0"/>
                  </w:tcBorders>
                  <w:vAlign w:val="center"/>
                </w:tcPr>
                <w:p w14:paraId="396AAEBA">
                  <w:pPr>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10亿以上</w:t>
                  </w:r>
                </w:p>
              </w:tc>
              <w:tc>
                <w:tcPr>
                  <w:tcW w:w="1206" w:type="pct"/>
                  <w:tcBorders>
                    <w:top w:val="double" w:color="auto" w:sz="4" w:space="0"/>
                    <w:left w:val="double" w:color="auto" w:sz="4" w:space="0"/>
                    <w:bottom w:val="double" w:color="auto" w:sz="4" w:space="0"/>
                    <w:right w:val="double" w:color="auto" w:sz="4" w:space="0"/>
                  </w:tcBorders>
                  <w:vAlign w:val="center"/>
                </w:tcPr>
                <w:p w14:paraId="2EE7613E">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0.01%</w:t>
                  </w:r>
                </w:p>
              </w:tc>
              <w:tc>
                <w:tcPr>
                  <w:tcW w:w="863" w:type="pct"/>
                  <w:tcBorders>
                    <w:top w:val="double" w:color="auto" w:sz="4" w:space="0"/>
                    <w:left w:val="double" w:color="auto" w:sz="4" w:space="0"/>
                    <w:bottom w:val="double" w:color="auto" w:sz="4" w:space="0"/>
                    <w:right w:val="double" w:color="auto" w:sz="4" w:space="0"/>
                  </w:tcBorders>
                  <w:vAlign w:val="center"/>
                </w:tcPr>
                <w:p w14:paraId="2CB05344">
                  <w:pPr>
                    <w:jc w:val="center"/>
                    <w:rPr>
                      <w:rFonts w:hint="eastAsia" w:ascii="宋体" w:hAnsi="宋体"/>
                      <w:color w:val="auto"/>
                      <w:szCs w:val="21"/>
                      <w:highlight w:val="none"/>
                    </w:rPr>
                  </w:pPr>
                  <w:r>
                    <w:rPr>
                      <w:rFonts w:hint="eastAsia" w:ascii="宋体" w:hAnsi="宋体"/>
                      <w:color w:val="auto"/>
                      <w:szCs w:val="21"/>
                      <w:highlight w:val="none"/>
                      <w:lang w:val="en-US" w:eastAsia="zh-CN"/>
                    </w:rPr>
                    <w:t>0.01%</w:t>
                  </w:r>
                </w:p>
              </w:tc>
              <w:tc>
                <w:tcPr>
                  <w:tcW w:w="864" w:type="pct"/>
                  <w:tcBorders>
                    <w:top w:val="double" w:color="auto" w:sz="4" w:space="0"/>
                    <w:left w:val="double" w:color="auto" w:sz="4" w:space="0"/>
                    <w:bottom w:val="double" w:color="auto" w:sz="4" w:space="0"/>
                    <w:right w:val="double" w:color="auto" w:sz="4" w:space="0"/>
                  </w:tcBorders>
                  <w:vAlign w:val="center"/>
                </w:tcPr>
                <w:p w14:paraId="39D80475">
                  <w:pPr>
                    <w:jc w:val="center"/>
                    <w:rPr>
                      <w:rFonts w:hint="eastAsia" w:ascii="宋体" w:hAnsi="宋体"/>
                      <w:color w:val="auto"/>
                      <w:szCs w:val="21"/>
                      <w:highlight w:val="none"/>
                    </w:rPr>
                  </w:pPr>
                  <w:r>
                    <w:rPr>
                      <w:rFonts w:hint="eastAsia" w:ascii="宋体" w:hAnsi="宋体"/>
                      <w:color w:val="auto"/>
                      <w:szCs w:val="21"/>
                      <w:highlight w:val="none"/>
                      <w:lang w:val="en-US" w:eastAsia="zh-CN"/>
                    </w:rPr>
                    <w:t>0.01%</w:t>
                  </w:r>
                </w:p>
              </w:tc>
            </w:tr>
          </w:tbl>
          <w:p w14:paraId="5839F026">
            <w:pPr>
              <w:pStyle w:val="2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注：</w:t>
            </w:r>
            <w:r>
              <w:rPr>
                <w:rFonts w:hint="eastAsia" w:ascii="宋体" w:hAnsi="宋体"/>
                <w:color w:val="auto"/>
                <w:szCs w:val="21"/>
                <w:highlight w:val="none"/>
              </w:rPr>
              <w:t>由中标人或成交单位支付项目，</w:t>
            </w:r>
            <w:r>
              <w:rPr>
                <w:rFonts w:hint="eastAsia" w:ascii="宋体" w:hAnsi="宋体"/>
                <w:color w:val="auto"/>
                <w:szCs w:val="21"/>
                <w:highlight w:val="none"/>
                <w:lang w:val="en-US" w:eastAsia="zh-CN"/>
              </w:rPr>
              <w:t>原则上</w:t>
            </w:r>
            <w:r>
              <w:rPr>
                <w:rFonts w:hint="eastAsia" w:ascii="宋体" w:hAnsi="宋体"/>
                <w:color w:val="auto"/>
                <w:szCs w:val="21"/>
                <w:highlight w:val="none"/>
              </w:rPr>
              <w:t>以甲方提供的</w:t>
            </w:r>
            <w:r>
              <w:rPr>
                <w:rFonts w:hint="eastAsia" w:ascii="宋体" w:hAnsi="宋体"/>
                <w:color w:val="auto"/>
                <w:szCs w:val="21"/>
                <w:highlight w:val="none"/>
                <w:lang w:val="en-US" w:eastAsia="zh-CN"/>
              </w:rPr>
              <w:t>标段/标包（最小采购划分）</w:t>
            </w:r>
            <w:r>
              <w:rPr>
                <w:rFonts w:hint="eastAsia" w:ascii="宋体" w:hAnsi="宋体"/>
                <w:color w:val="auto"/>
                <w:szCs w:val="21"/>
                <w:highlight w:val="none"/>
              </w:rPr>
              <w:t>估算发包金额或预算金额为计费基数。</w:t>
            </w:r>
            <w:r>
              <w:rPr>
                <w:rFonts w:hint="eastAsia" w:ascii="宋体" w:hAnsi="宋体"/>
                <w:color w:val="auto"/>
                <w:szCs w:val="21"/>
                <w:highlight w:val="none"/>
                <w:lang w:val="en-US" w:eastAsia="zh-CN"/>
              </w:rPr>
              <w:t>金额较大的框架采购需要以</w:t>
            </w:r>
            <w:r>
              <w:rPr>
                <w:rFonts w:hint="eastAsia" w:ascii="宋体" w:hAnsi="宋体"/>
                <w:color w:val="auto"/>
                <w:szCs w:val="21"/>
                <w:highlight w:val="none"/>
              </w:rPr>
              <w:t>甲方提供的</w:t>
            </w:r>
            <w:r>
              <w:rPr>
                <w:rFonts w:hint="eastAsia" w:ascii="宋体" w:hAnsi="宋体"/>
                <w:color w:val="auto"/>
                <w:szCs w:val="21"/>
                <w:highlight w:val="none"/>
                <w:lang w:val="en-US" w:eastAsia="zh-CN"/>
              </w:rPr>
              <w:t>项目或标的（较大采购划分）</w:t>
            </w:r>
            <w:r>
              <w:rPr>
                <w:rFonts w:hint="eastAsia" w:ascii="宋体" w:hAnsi="宋体"/>
                <w:color w:val="auto"/>
                <w:szCs w:val="21"/>
                <w:highlight w:val="none"/>
              </w:rPr>
              <w:t>估算发包金额或预算金额为计费基数</w:t>
            </w:r>
            <w:r>
              <w:rPr>
                <w:rFonts w:hint="eastAsia" w:ascii="宋体" w:hAnsi="宋体"/>
                <w:color w:val="auto"/>
                <w:szCs w:val="21"/>
                <w:highlight w:val="none"/>
                <w:lang w:eastAsia="zh-CN"/>
              </w:rPr>
              <w:t>的，</w:t>
            </w:r>
            <w:r>
              <w:rPr>
                <w:rFonts w:hint="eastAsia" w:ascii="宋体" w:hAnsi="宋体"/>
                <w:color w:val="auto"/>
                <w:szCs w:val="21"/>
                <w:highlight w:val="none"/>
                <w:lang w:val="en-US" w:eastAsia="zh-CN"/>
              </w:rPr>
              <w:t>由双方协商后在任务委托书中约定执行</w:t>
            </w:r>
            <w:r>
              <w:rPr>
                <w:rFonts w:hint="eastAsia" w:ascii="宋体" w:hAnsi="宋体"/>
                <w:color w:val="auto"/>
                <w:szCs w:val="21"/>
                <w:highlight w:val="none"/>
              </w:rPr>
              <w:t>。</w:t>
            </w:r>
          </w:p>
          <w:p w14:paraId="5EBB1E5E">
            <w:pPr>
              <w:pStyle w:val="2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hAnsi="宋体"/>
                <w:color w:val="auto"/>
                <w:szCs w:val="21"/>
                <w:highlight w:val="none"/>
              </w:rPr>
            </w:pPr>
            <w:r>
              <w:rPr>
                <w:rFonts w:hint="eastAsia" w:ascii="宋体" w:hAnsi="宋体" w:eastAsia="宋体" w:cs="宋体"/>
                <w:b/>
                <w:bCs/>
                <w:color w:val="auto"/>
                <w:highlight w:val="none"/>
              </w:rPr>
              <w:t>最终</w:t>
            </w:r>
            <w:r>
              <w:rPr>
                <w:rFonts w:hint="eastAsia" w:ascii="宋体" w:hAnsi="宋体" w:eastAsia="宋体" w:cs="宋体"/>
                <w:b/>
                <w:bCs/>
                <w:color w:val="auto"/>
                <w:highlight w:val="none"/>
                <w:lang w:val="en-US" w:eastAsia="zh-CN"/>
              </w:rPr>
              <w:t>采购</w:t>
            </w:r>
            <w:r>
              <w:rPr>
                <w:rFonts w:hint="eastAsia" w:ascii="宋体" w:hAnsi="宋体" w:eastAsia="宋体" w:cs="宋体"/>
                <w:b/>
                <w:bCs/>
                <w:color w:val="auto"/>
                <w:highlight w:val="none"/>
              </w:rPr>
              <w:t>代理服务费以广州竣盛工程造价咨询有限公司出具的收费通知单为准。</w:t>
            </w:r>
          </w:p>
          <w:p w14:paraId="2567AC36">
            <w:pPr>
              <w:pStyle w:val="23"/>
              <w:kinsoku/>
              <w:overflowPunct/>
              <w:bidi w:val="0"/>
              <w:spacing w:line="360" w:lineRule="auto"/>
              <w:textAlignment w:val="auto"/>
              <w:rPr>
                <w:rFonts w:hint="eastAsia" w:hAnsi="宋体"/>
                <w:color w:val="auto"/>
                <w:szCs w:val="21"/>
                <w:highlight w:val="none"/>
              </w:rPr>
            </w:pPr>
          </w:p>
          <w:p w14:paraId="19A13C32">
            <w:pPr>
              <w:pStyle w:val="23"/>
              <w:kinsoku/>
              <w:overflowPunct/>
              <w:bidi w:val="0"/>
              <w:spacing w:line="360" w:lineRule="auto"/>
              <w:textAlignment w:val="auto"/>
              <w:rPr>
                <w:rFonts w:hAnsi="宋体"/>
                <w:color w:val="auto"/>
                <w:szCs w:val="21"/>
                <w:highlight w:val="none"/>
              </w:rPr>
            </w:pPr>
            <w:r>
              <w:rPr>
                <w:rFonts w:hint="eastAsia" w:hAnsi="宋体"/>
                <w:color w:val="auto"/>
                <w:szCs w:val="21"/>
                <w:highlight w:val="none"/>
              </w:rPr>
              <w:t>3）费用支付方式：成交单位在领取成交通知书前向采购代理机构广州竣盛工程造价咨询有限公司一次性支付。代理机构同时向缴费单位开具发票。</w:t>
            </w:r>
          </w:p>
          <w:p w14:paraId="1994ED92">
            <w:pPr>
              <w:pStyle w:val="23"/>
              <w:kinsoku/>
              <w:overflowPunct/>
              <w:bidi w:val="0"/>
              <w:spacing w:line="360" w:lineRule="auto"/>
              <w:textAlignment w:val="auto"/>
              <w:rPr>
                <w:rFonts w:hAnsi="宋体"/>
                <w:color w:val="auto"/>
                <w:szCs w:val="21"/>
                <w:highlight w:val="none"/>
              </w:rPr>
            </w:pPr>
            <w:r>
              <w:rPr>
                <w:rFonts w:hint="eastAsia" w:hAnsi="宋体"/>
                <w:color w:val="auto"/>
                <w:szCs w:val="21"/>
                <w:highlight w:val="none"/>
              </w:rPr>
              <w:t>4）汇款</w:t>
            </w:r>
            <w:r>
              <w:rPr>
                <w:rFonts w:hAnsi="宋体"/>
                <w:color w:val="auto"/>
                <w:szCs w:val="21"/>
                <w:highlight w:val="none"/>
              </w:rPr>
              <w:t>帐号</w:t>
            </w:r>
            <w:r>
              <w:rPr>
                <w:rFonts w:hint="eastAsia" w:hAnsi="宋体"/>
                <w:color w:val="auto"/>
                <w:szCs w:val="21"/>
                <w:highlight w:val="none"/>
              </w:rPr>
              <w:t>：</w:t>
            </w:r>
          </w:p>
          <w:p w14:paraId="1DB628EE">
            <w:pPr>
              <w:pStyle w:val="23"/>
              <w:kinsoku/>
              <w:overflowPunct/>
              <w:bidi w:val="0"/>
              <w:spacing w:line="360" w:lineRule="auto"/>
              <w:textAlignment w:val="auto"/>
              <w:rPr>
                <w:rFonts w:hint="eastAsia" w:hAnsi="宋体"/>
                <w:color w:val="auto"/>
                <w:szCs w:val="21"/>
                <w:highlight w:val="none"/>
              </w:rPr>
            </w:pPr>
            <w:r>
              <w:rPr>
                <w:rFonts w:hint="eastAsia" w:hAnsi="宋体"/>
                <w:color w:val="auto"/>
                <w:szCs w:val="21"/>
                <w:highlight w:val="none"/>
              </w:rPr>
              <w:t>收款单位：广州竣盛工程造价咨询有限公司</w:t>
            </w:r>
          </w:p>
          <w:p w14:paraId="1467D616">
            <w:pPr>
              <w:pStyle w:val="23"/>
              <w:kinsoku/>
              <w:overflowPunct/>
              <w:bidi w:val="0"/>
              <w:spacing w:line="360" w:lineRule="auto"/>
              <w:textAlignment w:val="auto"/>
              <w:rPr>
                <w:rFonts w:hint="eastAsia" w:hAnsi="宋体"/>
                <w:color w:val="auto"/>
                <w:szCs w:val="21"/>
                <w:highlight w:val="none"/>
              </w:rPr>
            </w:pPr>
            <w:r>
              <w:rPr>
                <w:rFonts w:hAnsi="宋体"/>
                <w:color w:val="auto"/>
                <w:szCs w:val="21"/>
                <w:highlight w:val="none"/>
              </w:rPr>
              <w:t>开户行</w:t>
            </w:r>
            <w:r>
              <w:rPr>
                <w:rFonts w:hint="eastAsia" w:hAnsi="宋体"/>
                <w:color w:val="auto"/>
                <w:szCs w:val="21"/>
                <w:highlight w:val="none"/>
              </w:rPr>
              <w:t>：建行广州供电局大厦支行</w:t>
            </w:r>
          </w:p>
          <w:p w14:paraId="3704DF34">
            <w:pPr>
              <w:pStyle w:val="23"/>
              <w:kinsoku/>
              <w:overflowPunct/>
              <w:bidi w:val="0"/>
              <w:spacing w:line="360" w:lineRule="auto"/>
              <w:textAlignment w:val="auto"/>
              <w:rPr>
                <w:rFonts w:hAnsi="宋体"/>
                <w:color w:val="auto"/>
                <w:szCs w:val="21"/>
                <w:highlight w:val="none"/>
              </w:rPr>
            </w:pPr>
            <w:r>
              <w:rPr>
                <w:rFonts w:hint="eastAsia" w:hAnsi="宋体"/>
                <w:color w:val="auto"/>
                <w:szCs w:val="21"/>
                <w:highlight w:val="none"/>
              </w:rPr>
              <w:t>银行账号：44001101260052500061</w:t>
            </w:r>
          </w:p>
          <w:p w14:paraId="5FB26CF1">
            <w:pPr>
              <w:pStyle w:val="23"/>
              <w:kinsoku/>
              <w:overflowPunct/>
              <w:bidi w:val="0"/>
              <w:spacing w:line="360" w:lineRule="auto"/>
              <w:textAlignment w:val="auto"/>
              <w:rPr>
                <w:rFonts w:hint="eastAsia" w:hAnsi="宋体" w:cs="宋体"/>
                <w:color w:val="auto"/>
                <w:szCs w:val="21"/>
                <w:highlight w:val="none"/>
              </w:rPr>
            </w:pPr>
          </w:p>
          <w:p w14:paraId="08DA0AFF">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*2017年7月1日起招标代理业务必须开具增值税发票，为不影响招标代理业务顺利进行，请各单位开票前准备以下资料</w:t>
            </w:r>
            <w:r>
              <w:rPr>
                <w:rFonts w:hint="eastAsia" w:hAnsi="宋体" w:cs="宋体"/>
                <w:color w:val="auto"/>
                <w:szCs w:val="21"/>
                <w:highlight w:val="none"/>
                <w:lang w:val="en-US" w:eastAsia="zh-CN"/>
              </w:rPr>
              <w:t>发送至junshengzb@126.com</w:t>
            </w:r>
            <w:r>
              <w:rPr>
                <w:rFonts w:hint="eastAsia" w:hAnsi="宋体" w:cs="宋体"/>
                <w:color w:val="auto"/>
                <w:szCs w:val="21"/>
                <w:highlight w:val="none"/>
              </w:rPr>
              <w:t>：</w:t>
            </w:r>
          </w:p>
          <w:p w14:paraId="4E80983B">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1、营业执照副本复印件；</w:t>
            </w:r>
          </w:p>
          <w:p w14:paraId="192EC7B0">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2、国税登记证副本复印件(已办理三证合一的不需提供)；</w:t>
            </w:r>
          </w:p>
          <w:p w14:paraId="55603B63">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3、开户许可证复印件；</w:t>
            </w:r>
          </w:p>
          <w:p w14:paraId="3D70C84D">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4、一般纳税人证明复印件（或税务事项通知书（认定通知）。</w:t>
            </w:r>
          </w:p>
          <w:p w14:paraId="7E70065A">
            <w:pPr>
              <w:kinsoku/>
              <w:overflowPunct/>
              <w:bidi w:val="0"/>
              <w:spacing w:line="360" w:lineRule="auto"/>
              <w:textAlignment w:val="auto"/>
              <w:rPr>
                <w:rFonts w:hint="eastAsia" w:ascii="宋体" w:hAnsi="宋体" w:cs="宋体"/>
                <w:color w:val="auto"/>
                <w:szCs w:val="21"/>
                <w:highlight w:val="none"/>
              </w:rPr>
            </w:pPr>
            <w:r>
              <w:rPr>
                <w:rFonts w:hint="eastAsia" w:ascii="宋体" w:hAnsi="宋体" w:cs="宋体"/>
                <w:color w:val="auto"/>
                <w:highlight w:val="none"/>
              </w:rPr>
              <w:t>5、如需开具增值税专用发票，请提供公司名称、纳税人识别号、地址电话、开户行及账号信息。</w:t>
            </w:r>
          </w:p>
          <w:p w14:paraId="2C900F10">
            <w:pPr>
              <w:pStyle w:val="23"/>
              <w:kinsoku/>
              <w:overflowPunct/>
              <w:bidi w:val="0"/>
              <w:spacing w:line="360" w:lineRule="auto"/>
              <w:textAlignment w:val="auto"/>
              <w:rPr>
                <w:rFonts w:hint="eastAsia" w:hAnsi="宋体" w:cs="宋体"/>
                <w:color w:val="auto"/>
                <w:szCs w:val="21"/>
                <w:highlight w:val="none"/>
              </w:rPr>
            </w:pPr>
            <w:r>
              <w:rPr>
                <w:rFonts w:hint="eastAsia" w:hAnsi="宋体" w:cs="宋体"/>
                <w:color w:val="auto"/>
                <w:szCs w:val="21"/>
                <w:highlight w:val="none"/>
              </w:rPr>
              <w:t>上述资料需加盖公章。</w:t>
            </w:r>
          </w:p>
          <w:p w14:paraId="1380CBDE">
            <w:pPr>
              <w:kinsoku/>
              <w:overflowPunct/>
              <w:bidi w:val="0"/>
              <w:spacing w:line="360" w:lineRule="auto"/>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注：由于增值税专用发票抵扣期为自开票之日起360天内（不是一年），超过360天未抵扣的专用发票不能抵扣不能作废</w:t>
            </w:r>
            <w:r>
              <w:rPr>
                <w:rFonts w:hint="eastAsia" w:ascii="宋体" w:hAnsi="宋体" w:cs="宋体"/>
                <w:color w:val="auto"/>
                <w:szCs w:val="21"/>
                <w:highlight w:val="none"/>
                <w:lang w:eastAsia="zh-CN"/>
              </w:rPr>
              <w:t>。</w:t>
            </w:r>
          </w:p>
        </w:tc>
      </w:tr>
    </w:tbl>
    <w:p w14:paraId="05B41F53">
      <w:pPr>
        <w:pStyle w:val="23"/>
        <w:tabs>
          <w:tab w:val="left" w:pos="2127"/>
        </w:tabs>
        <w:kinsoku/>
        <w:overflowPunct/>
        <w:bidi w:val="0"/>
        <w:spacing w:line="360" w:lineRule="auto"/>
        <w:jc w:val="center"/>
        <w:textAlignment w:val="auto"/>
        <w:rPr>
          <w:rFonts w:hAnsi="宋体"/>
          <w:color w:val="auto"/>
          <w:highlight w:val="none"/>
        </w:rPr>
        <w:sectPr>
          <w:footerReference r:id="rId6" w:type="default"/>
          <w:pgSz w:w="11906" w:h="16838"/>
          <w:pgMar w:top="1440" w:right="1080" w:bottom="1440" w:left="1080" w:header="964" w:footer="992" w:gutter="0"/>
          <w:pgBorders>
            <w:top w:val="none" w:sz="0" w:space="0"/>
            <w:left w:val="none" w:sz="0" w:space="0"/>
            <w:bottom w:val="none" w:sz="0" w:space="0"/>
            <w:right w:val="none" w:sz="0" w:space="0"/>
          </w:pgBorders>
          <w:pgNumType w:fmt="decimal"/>
          <w:cols w:space="720" w:num="1"/>
          <w:docGrid w:type="lines" w:linePitch="312" w:charSpace="0"/>
        </w:sectPr>
      </w:pPr>
    </w:p>
    <w:p w14:paraId="7A24A866">
      <w:pPr>
        <w:pStyle w:val="4"/>
        <w:pageBreakBefore/>
        <w:widowControl/>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44" w:name="_Toc26030"/>
      <w:bookmarkStart w:id="45" w:name="_Toc24021"/>
      <w:bookmarkStart w:id="46" w:name="_Toc4911"/>
      <w:bookmarkStart w:id="47" w:name="_Toc1286"/>
      <w:bookmarkStart w:id="48" w:name="_Toc7583"/>
      <w:bookmarkStart w:id="49" w:name="_Toc24100"/>
      <w:bookmarkStart w:id="50" w:name="_Toc4778"/>
      <w:bookmarkStart w:id="51" w:name="_Toc17368"/>
      <w:bookmarkStart w:id="52" w:name="_Toc30066"/>
      <w:bookmarkStart w:id="53" w:name="_Toc8598"/>
      <w:bookmarkStart w:id="54" w:name="_Toc10546"/>
      <w:bookmarkStart w:id="55" w:name="_Toc5412"/>
      <w:bookmarkStart w:id="56" w:name="_Toc3352"/>
      <w:bookmarkStart w:id="57" w:name="_Toc7163"/>
      <w:bookmarkStart w:id="58" w:name="_Toc10624"/>
      <w:bookmarkStart w:id="59" w:name="_Toc28372"/>
      <w:bookmarkStart w:id="60" w:name="_Toc11329"/>
      <w:r>
        <w:rPr>
          <w:rFonts w:hint="eastAsia" w:ascii="宋体" w:hAnsi="宋体" w:eastAsia="宋体"/>
          <w:color w:val="auto"/>
          <w:sz w:val="24"/>
          <w:szCs w:val="24"/>
          <w:highlight w:val="none"/>
        </w:rPr>
        <w:t>1. 总则</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735E71F">
      <w:pPr>
        <w:pStyle w:val="23"/>
        <w:tabs>
          <w:tab w:val="left" w:pos="2127"/>
        </w:tabs>
        <w:kinsoku/>
        <w:overflowPunct/>
        <w:bidi w:val="0"/>
        <w:spacing w:line="360" w:lineRule="auto"/>
        <w:textAlignment w:val="auto"/>
        <w:outlineLvl w:val="2"/>
        <w:rPr>
          <w:rFonts w:hAnsi="宋体"/>
          <w:b/>
          <w:color w:val="auto"/>
          <w:highlight w:val="none"/>
        </w:rPr>
      </w:pPr>
      <w:bookmarkStart w:id="61" w:name="_Toc29265"/>
      <w:bookmarkStart w:id="62" w:name="_Toc7937"/>
      <w:bookmarkStart w:id="63" w:name="_Toc9960"/>
      <w:bookmarkStart w:id="64" w:name="_Toc20654"/>
      <w:bookmarkStart w:id="65" w:name="_Toc13381"/>
      <w:bookmarkStart w:id="66" w:name="_Toc22963"/>
      <w:bookmarkStart w:id="67" w:name="_Toc27278"/>
      <w:bookmarkStart w:id="68" w:name="_Toc13387"/>
      <w:bookmarkStart w:id="69" w:name="_Toc26785"/>
      <w:bookmarkStart w:id="70" w:name="_Toc482803070"/>
      <w:bookmarkStart w:id="71" w:name="_Toc18693"/>
      <w:bookmarkStart w:id="72" w:name="_Toc889"/>
      <w:bookmarkStart w:id="73" w:name="_Toc18681"/>
      <w:bookmarkStart w:id="74" w:name="_Toc24558"/>
      <w:bookmarkStart w:id="75" w:name="_Toc8451"/>
      <w:bookmarkStart w:id="76" w:name="_Toc484792183"/>
      <w:bookmarkStart w:id="77" w:name="_Toc26343"/>
      <w:bookmarkStart w:id="78" w:name="_Toc22124"/>
      <w:bookmarkStart w:id="79" w:name="_Toc2176"/>
      <w:bookmarkStart w:id="80" w:name="_Toc19602"/>
      <w:bookmarkStart w:id="81" w:name="_Toc30093"/>
      <w:bookmarkStart w:id="82" w:name="_Toc15019"/>
      <w:bookmarkStart w:id="83" w:name="_Toc20149"/>
      <w:bookmarkStart w:id="84" w:name="_Toc29850"/>
      <w:bookmarkStart w:id="85" w:name="_Toc29916"/>
      <w:bookmarkStart w:id="86" w:name="_Toc2290"/>
      <w:bookmarkStart w:id="87" w:name="_Toc7632"/>
      <w:bookmarkStart w:id="88" w:name="_Toc16170"/>
      <w:bookmarkStart w:id="89" w:name="_Toc848"/>
      <w:bookmarkStart w:id="90" w:name="_Toc24178"/>
      <w:bookmarkStart w:id="91" w:name="_Toc18271"/>
      <w:bookmarkStart w:id="92" w:name="_Toc5528"/>
      <w:bookmarkStart w:id="93" w:name="_Toc18111"/>
      <w:bookmarkStart w:id="94" w:name="_Toc12418"/>
      <w:bookmarkStart w:id="95" w:name="_Toc26902"/>
      <w:bookmarkStart w:id="96" w:name="_Toc13251"/>
      <w:bookmarkStart w:id="97" w:name="_Toc26855"/>
      <w:bookmarkStart w:id="98" w:name="_Toc14826"/>
      <w:bookmarkStart w:id="99" w:name="_Toc28322"/>
      <w:bookmarkStart w:id="100" w:name="_Toc4806"/>
      <w:bookmarkStart w:id="101" w:name="_Toc23451"/>
      <w:bookmarkStart w:id="102" w:name="_Toc17748"/>
      <w:bookmarkStart w:id="103" w:name="_Toc7561"/>
      <w:bookmarkStart w:id="104" w:name="_Toc1581"/>
      <w:bookmarkStart w:id="105" w:name="_Toc2047"/>
      <w:bookmarkStart w:id="106" w:name="_Toc15856"/>
      <w:bookmarkStart w:id="107" w:name="_Toc17283"/>
      <w:bookmarkStart w:id="108" w:name="_Toc10429"/>
      <w:bookmarkStart w:id="109" w:name="_Toc20854"/>
      <w:bookmarkStart w:id="110" w:name="_Toc10347"/>
      <w:bookmarkStart w:id="111" w:name="_Toc19890"/>
      <w:r>
        <w:rPr>
          <w:rFonts w:hint="eastAsia" w:hAnsi="宋体"/>
          <w:b/>
          <w:color w:val="auto"/>
          <w:highlight w:val="none"/>
        </w:rPr>
        <w:t>1.1 项目概况</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FA0E2DF">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1.1.1根据</w:t>
      </w:r>
      <w:r>
        <w:rPr>
          <w:rFonts w:hint="eastAsia" w:ascii="宋体" w:hAnsi="宋体" w:eastAsia="宋体" w:cs="宋体"/>
          <w:color w:val="auto"/>
          <w:highlight w:val="none"/>
        </w:rPr>
        <w:t>《中华人民共和国招标投标法》等有关法律、法规和规章的规定</w:t>
      </w:r>
      <w:r>
        <w:rPr>
          <w:rFonts w:hint="eastAsia" w:hAnsi="宋体"/>
          <w:color w:val="auto"/>
          <w:highlight w:val="none"/>
        </w:rPr>
        <w:t>，本项目已具备</w:t>
      </w:r>
      <w:r>
        <w:rPr>
          <w:rFonts w:hint="eastAsia" w:hAnsi="宋体"/>
          <w:color w:val="auto"/>
          <w:highlight w:val="none"/>
          <w:lang w:val="en-US" w:eastAsia="zh-CN"/>
        </w:rPr>
        <w:t>招标</w:t>
      </w:r>
      <w:r>
        <w:rPr>
          <w:rFonts w:hint="eastAsia" w:hAnsi="宋体"/>
          <w:color w:val="auto"/>
          <w:highlight w:val="none"/>
        </w:rPr>
        <w:t>条件，现对本项目进行招标。</w:t>
      </w:r>
    </w:p>
    <w:p w14:paraId="0FD471F2">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1.1.2 招标人：见投标人须知前附表。</w:t>
      </w:r>
    </w:p>
    <w:p w14:paraId="3ACD655C">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 xml:space="preserve">1.1.3 </w:t>
      </w:r>
      <w:r>
        <w:rPr>
          <w:rFonts w:hint="eastAsia" w:hAnsi="宋体"/>
          <w:color w:val="auto"/>
          <w:szCs w:val="21"/>
          <w:highlight w:val="none"/>
          <w:lang w:eastAsia="zh-CN"/>
        </w:rPr>
        <w:t>招标服务机构</w:t>
      </w:r>
      <w:r>
        <w:rPr>
          <w:rFonts w:hint="eastAsia" w:hAnsi="宋体"/>
          <w:color w:val="auto"/>
          <w:szCs w:val="21"/>
          <w:highlight w:val="none"/>
        </w:rPr>
        <w:t>：见投标人须知前附表。</w:t>
      </w:r>
    </w:p>
    <w:p w14:paraId="136D3683">
      <w:pPr>
        <w:pStyle w:val="23"/>
        <w:tabs>
          <w:tab w:val="left" w:pos="2127"/>
        </w:tabs>
        <w:kinsoku/>
        <w:overflowPunct/>
        <w:bidi w:val="0"/>
        <w:spacing w:line="360" w:lineRule="auto"/>
        <w:ind w:firstLine="315" w:firstLineChars="150"/>
        <w:textAlignment w:val="auto"/>
        <w:rPr>
          <w:rFonts w:hint="eastAsia" w:hAnsi="宋体"/>
          <w:color w:val="auto"/>
          <w:highlight w:val="none"/>
        </w:rPr>
      </w:pPr>
      <w:bookmarkStart w:id="112" w:name="_Toc7608"/>
      <w:bookmarkStart w:id="113" w:name="_Toc18368"/>
      <w:bookmarkStart w:id="114" w:name="_Toc1913"/>
      <w:bookmarkStart w:id="115" w:name="_Toc14135"/>
      <w:bookmarkStart w:id="116" w:name="_Toc10939"/>
      <w:bookmarkStart w:id="117" w:name="_Toc3476"/>
      <w:bookmarkStart w:id="118" w:name="_Toc25510"/>
      <w:bookmarkStart w:id="119" w:name="_Toc4707"/>
      <w:bookmarkStart w:id="120" w:name="_Toc11665"/>
      <w:bookmarkStart w:id="121" w:name="_Toc2806"/>
      <w:bookmarkStart w:id="122" w:name="_Toc26099"/>
      <w:bookmarkStart w:id="123" w:name="_Toc1047"/>
      <w:bookmarkStart w:id="124" w:name="_Toc21918"/>
      <w:bookmarkStart w:id="125" w:name="_Toc15911"/>
      <w:bookmarkStart w:id="126" w:name="_Toc29924"/>
      <w:bookmarkStart w:id="127" w:name="_Toc29269"/>
      <w:bookmarkStart w:id="128" w:name="_Toc14456"/>
      <w:bookmarkStart w:id="129" w:name="_Toc30413"/>
      <w:bookmarkStart w:id="130" w:name="_Toc31822"/>
      <w:bookmarkStart w:id="131" w:name="_Toc28975"/>
      <w:bookmarkStart w:id="132" w:name="_Toc20078"/>
      <w:bookmarkStart w:id="133" w:name="_Toc2085"/>
      <w:bookmarkStart w:id="134" w:name="_Toc22791"/>
      <w:bookmarkStart w:id="135" w:name="_Toc23372"/>
      <w:bookmarkStart w:id="136" w:name="_Toc4727"/>
      <w:bookmarkStart w:id="137" w:name="_Toc12936"/>
      <w:bookmarkStart w:id="138" w:name="_Toc31750"/>
      <w:bookmarkStart w:id="139" w:name="_Toc25134"/>
      <w:bookmarkStart w:id="140" w:name="_Toc8458"/>
      <w:bookmarkStart w:id="141" w:name="_Toc27502"/>
      <w:bookmarkStart w:id="142" w:name="_Toc5734"/>
      <w:bookmarkStart w:id="143" w:name="_Toc19253"/>
      <w:bookmarkStart w:id="144" w:name="_Toc4312"/>
      <w:bookmarkStart w:id="145" w:name="_Toc484792184"/>
      <w:bookmarkStart w:id="146" w:name="_Toc6396"/>
      <w:bookmarkStart w:id="147" w:name="_Toc482803071"/>
      <w:bookmarkStart w:id="148" w:name="_Toc15834"/>
      <w:bookmarkStart w:id="149" w:name="_Toc31468"/>
      <w:bookmarkStart w:id="150" w:name="_Toc17061"/>
      <w:bookmarkStart w:id="151" w:name="_Toc9260"/>
      <w:bookmarkStart w:id="152" w:name="_Toc5825"/>
      <w:bookmarkStart w:id="153" w:name="_Toc15348"/>
      <w:bookmarkStart w:id="154" w:name="_Toc19323"/>
      <w:bookmarkStart w:id="155" w:name="_Toc17551"/>
      <w:bookmarkStart w:id="156" w:name="_Toc1657"/>
      <w:bookmarkStart w:id="157" w:name="_Toc15986"/>
      <w:bookmarkStart w:id="158" w:name="_Toc31887"/>
      <w:bookmarkStart w:id="159" w:name="_Toc13677"/>
      <w:r>
        <w:rPr>
          <w:rFonts w:hint="eastAsia" w:hAnsi="宋体"/>
          <w:color w:val="auto"/>
          <w:highlight w:val="none"/>
        </w:rPr>
        <w:t xml:space="preserve">1.1.4 </w:t>
      </w:r>
      <w:r>
        <w:rPr>
          <w:rFonts w:hint="eastAsia" w:ascii="宋体" w:hAnsi="宋体" w:eastAsia="宋体" w:cs="宋体"/>
          <w:color w:val="auto"/>
          <w:highlight w:val="none"/>
        </w:rPr>
        <w:t>项目</w:t>
      </w:r>
      <w:r>
        <w:rPr>
          <w:rFonts w:hint="eastAsia" w:ascii="宋体" w:hAnsi="宋体" w:eastAsia="宋体" w:cs="宋体"/>
          <w:color w:val="auto"/>
          <w:szCs w:val="20"/>
          <w:highlight w:val="none"/>
          <w:lang w:val="en-US" w:eastAsia="zh-CN"/>
        </w:rPr>
        <w:t>/</w:t>
      </w:r>
      <w:r>
        <w:rPr>
          <w:rFonts w:hint="eastAsia" w:ascii="宋体" w:hAnsi="宋体" w:eastAsia="宋体" w:cs="宋体"/>
          <w:color w:val="auto"/>
          <w:szCs w:val="20"/>
          <w:highlight w:val="none"/>
          <w:lang w:eastAsia="zh-CN"/>
        </w:rPr>
        <w:t>标段</w:t>
      </w:r>
      <w:r>
        <w:rPr>
          <w:rFonts w:hint="eastAsia" w:ascii="宋体" w:hAnsi="宋体" w:eastAsia="宋体" w:cs="宋体"/>
          <w:color w:val="auto"/>
          <w:highlight w:val="none"/>
        </w:rPr>
        <w:t>名称</w:t>
      </w:r>
      <w:r>
        <w:rPr>
          <w:rFonts w:hint="eastAsia" w:hAnsi="宋体"/>
          <w:color w:val="auto"/>
          <w:highlight w:val="none"/>
        </w:rPr>
        <w:t>：</w:t>
      </w:r>
      <w:r>
        <w:rPr>
          <w:rFonts w:hint="eastAsia" w:hAnsi="宋体"/>
          <w:color w:val="auto"/>
          <w:szCs w:val="21"/>
          <w:highlight w:val="none"/>
        </w:rPr>
        <w:t>见投标人须知前附表。</w:t>
      </w:r>
    </w:p>
    <w:p w14:paraId="532124F2">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 xml:space="preserve">1.1.5 </w:t>
      </w:r>
      <w:r>
        <w:rPr>
          <w:rFonts w:hint="eastAsia" w:ascii="宋体" w:hAnsi="宋体" w:eastAsia="宋体" w:cs="宋体"/>
          <w:color w:val="auto"/>
          <w:highlight w:val="none"/>
          <w:lang w:val="en-US" w:eastAsia="zh-CN"/>
        </w:rPr>
        <w:t>项目地点</w:t>
      </w:r>
      <w:r>
        <w:rPr>
          <w:rFonts w:hint="eastAsia" w:hAnsi="宋体"/>
          <w:color w:val="auto"/>
          <w:highlight w:val="none"/>
        </w:rPr>
        <w:t>：</w:t>
      </w:r>
      <w:r>
        <w:rPr>
          <w:rFonts w:hint="eastAsia" w:hAnsi="宋体"/>
          <w:color w:val="auto"/>
          <w:szCs w:val="21"/>
          <w:highlight w:val="none"/>
        </w:rPr>
        <w:t>见投标人须知前附表。</w:t>
      </w:r>
    </w:p>
    <w:p w14:paraId="2177B373">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1.1.6 项目概况（工程项目规模）：</w:t>
      </w:r>
      <w:r>
        <w:rPr>
          <w:rFonts w:hint="eastAsia" w:hAnsi="宋体"/>
          <w:color w:val="auto"/>
          <w:szCs w:val="21"/>
          <w:highlight w:val="none"/>
        </w:rPr>
        <w:t>见投标人须知前附表。</w:t>
      </w:r>
    </w:p>
    <w:p w14:paraId="14E2D54B">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hAnsi="宋体"/>
          <w:color w:val="auto"/>
          <w:highlight w:val="none"/>
        </w:rPr>
        <w:t>1.1.7 标段划分：</w:t>
      </w:r>
      <w:r>
        <w:rPr>
          <w:rFonts w:hint="eastAsia" w:hAnsi="宋体"/>
          <w:color w:val="auto"/>
          <w:szCs w:val="21"/>
          <w:highlight w:val="none"/>
        </w:rPr>
        <w:t>见投标人须知前附表。</w:t>
      </w:r>
    </w:p>
    <w:p w14:paraId="00F94E17">
      <w:pPr>
        <w:pStyle w:val="23"/>
        <w:tabs>
          <w:tab w:val="left" w:pos="2127"/>
        </w:tabs>
        <w:kinsoku/>
        <w:overflowPunct/>
        <w:bidi w:val="0"/>
        <w:spacing w:line="360" w:lineRule="auto"/>
        <w:textAlignment w:val="auto"/>
        <w:outlineLvl w:val="2"/>
        <w:rPr>
          <w:rFonts w:hAnsi="宋体"/>
          <w:b/>
          <w:color w:val="auto"/>
          <w:highlight w:val="none"/>
        </w:rPr>
      </w:pPr>
      <w:bookmarkStart w:id="160" w:name="_Toc30379"/>
      <w:bookmarkStart w:id="161" w:name="_Toc25541"/>
      <w:bookmarkStart w:id="162" w:name="_Toc25446"/>
      <w:r>
        <w:rPr>
          <w:rFonts w:hint="eastAsia" w:hAnsi="宋体"/>
          <w:b/>
          <w:color w:val="auto"/>
          <w:highlight w:val="none"/>
        </w:rPr>
        <w:t>1.2 资金落实情况</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DB4B6DE">
      <w:pPr>
        <w:pStyle w:val="23"/>
        <w:kinsoku/>
        <w:overflowPunct/>
        <w:bidi w:val="0"/>
        <w:spacing w:line="360" w:lineRule="auto"/>
        <w:ind w:firstLine="315" w:firstLineChars="150"/>
        <w:textAlignment w:val="auto"/>
        <w:rPr>
          <w:rFonts w:hAnsi="宋体"/>
          <w:color w:val="auto"/>
          <w:szCs w:val="21"/>
          <w:highlight w:val="none"/>
        </w:rPr>
      </w:pPr>
      <w:r>
        <w:rPr>
          <w:rFonts w:hint="eastAsia" w:hAnsi="宋体"/>
          <w:color w:val="auto"/>
          <w:szCs w:val="21"/>
          <w:highlight w:val="none"/>
        </w:rPr>
        <w:t>1.2.2</w:t>
      </w:r>
      <w:r>
        <w:rPr>
          <w:rFonts w:hint="eastAsia" w:hAnsi="宋体" w:cs="仿宋_GB2312"/>
          <w:color w:val="auto"/>
          <w:szCs w:val="21"/>
          <w:highlight w:val="none"/>
        </w:rPr>
        <w:t>资金落实情况</w:t>
      </w:r>
      <w:r>
        <w:rPr>
          <w:rFonts w:hint="eastAsia" w:hAnsi="宋体"/>
          <w:color w:val="auto"/>
          <w:szCs w:val="21"/>
          <w:highlight w:val="none"/>
        </w:rPr>
        <w:t>：见投标人须知前附表。</w:t>
      </w:r>
    </w:p>
    <w:p w14:paraId="2F060F6D">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163" w:name="_Toc306294182"/>
      <w:bookmarkStart w:id="164" w:name="_Toc2163"/>
      <w:bookmarkStart w:id="165" w:name="_Toc19388"/>
      <w:bookmarkStart w:id="166" w:name="_Toc11440"/>
      <w:bookmarkStart w:id="167" w:name="_Toc12784"/>
      <w:bookmarkStart w:id="168" w:name="_Toc6600"/>
      <w:bookmarkStart w:id="169" w:name="_Toc15721"/>
      <w:bookmarkStart w:id="170" w:name="_Toc16264"/>
      <w:bookmarkStart w:id="171" w:name="_Toc30492"/>
      <w:bookmarkStart w:id="172" w:name="_Toc30505"/>
      <w:bookmarkStart w:id="173" w:name="_Toc482803073"/>
      <w:bookmarkStart w:id="174" w:name="_Toc26208"/>
      <w:bookmarkStart w:id="175" w:name="_Toc7694"/>
      <w:bookmarkStart w:id="176" w:name="_Toc21725"/>
      <w:bookmarkStart w:id="177" w:name="_Toc11990"/>
      <w:bookmarkStart w:id="178" w:name="_Toc3669"/>
      <w:bookmarkStart w:id="179" w:name="_Toc3707"/>
      <w:bookmarkStart w:id="180" w:name="_Toc650"/>
      <w:bookmarkStart w:id="181" w:name="_Toc11505"/>
      <w:bookmarkStart w:id="182" w:name="_Toc30688"/>
      <w:bookmarkStart w:id="183" w:name="_Toc23547"/>
      <w:bookmarkStart w:id="184" w:name="_Toc26589"/>
      <w:bookmarkStart w:id="185" w:name="_Toc12078"/>
      <w:bookmarkStart w:id="186" w:name="_Toc26783"/>
      <w:bookmarkStart w:id="187" w:name="_Toc29554"/>
      <w:bookmarkStart w:id="188" w:name="_Toc210"/>
      <w:bookmarkStart w:id="189" w:name="_Toc6766"/>
      <w:bookmarkStart w:id="190" w:name="_Toc20812"/>
      <w:bookmarkStart w:id="191" w:name="_Toc25647"/>
      <w:bookmarkStart w:id="192" w:name="_Toc13232"/>
      <w:bookmarkStart w:id="193" w:name="_Toc26325"/>
      <w:bookmarkStart w:id="194" w:name="_Toc5737"/>
      <w:bookmarkStart w:id="195" w:name="_Toc24048"/>
      <w:bookmarkStart w:id="196" w:name="_Toc30782"/>
      <w:bookmarkStart w:id="197" w:name="_Toc26063"/>
      <w:bookmarkStart w:id="198" w:name="_Toc32237"/>
      <w:bookmarkStart w:id="199" w:name="_Toc484792186"/>
      <w:bookmarkStart w:id="200" w:name="_Toc17139"/>
      <w:bookmarkStart w:id="201" w:name="_Toc28329"/>
      <w:bookmarkStart w:id="202" w:name="_Toc23079"/>
      <w:bookmarkStart w:id="203" w:name="_Toc1072"/>
      <w:bookmarkStart w:id="204" w:name="_Toc18844"/>
      <w:bookmarkStart w:id="205" w:name="_Toc28466"/>
      <w:bookmarkStart w:id="206" w:name="_Toc26756"/>
      <w:bookmarkStart w:id="207" w:name="_Toc8396"/>
      <w:bookmarkStart w:id="208" w:name="_Toc14379"/>
      <w:bookmarkStart w:id="209" w:name="_Toc32099"/>
      <w:bookmarkStart w:id="210" w:name="_Toc20807"/>
      <w:bookmarkStart w:id="211" w:name="_Toc25841"/>
      <w:bookmarkStart w:id="212" w:name="_Toc13671"/>
      <w:bookmarkStart w:id="213" w:name="_Toc14161"/>
      <w:bookmarkStart w:id="214" w:name="_Toc4546"/>
      <w:r>
        <w:rPr>
          <w:rFonts w:hint="eastAsia" w:hAnsi="宋体"/>
          <w:b/>
          <w:color w:val="auto"/>
          <w:highlight w:val="none"/>
        </w:rPr>
        <w:t xml:space="preserve">1.3 </w:t>
      </w:r>
      <w:r>
        <w:rPr>
          <w:rFonts w:hint="eastAsia" w:hAnsi="宋体"/>
          <w:b/>
          <w:color w:val="auto"/>
          <w:highlight w:val="none"/>
          <w:lang w:val="en-US" w:eastAsia="zh-CN"/>
        </w:rPr>
        <w:t>招标</w:t>
      </w:r>
      <w:r>
        <w:rPr>
          <w:rFonts w:hint="eastAsia" w:hAnsi="宋体"/>
          <w:b/>
          <w:color w:val="auto"/>
          <w:highlight w:val="none"/>
        </w:rPr>
        <w:t>范围（监理范围）、</w:t>
      </w:r>
      <w:bookmarkEnd w:id="163"/>
      <w:r>
        <w:rPr>
          <w:rFonts w:hint="eastAsia" w:hAnsi="宋体"/>
          <w:b/>
          <w:color w:val="auto"/>
          <w:highlight w:val="none"/>
          <w:lang w:eastAsia="zh-CN"/>
        </w:rPr>
        <w:t>监理服务期限、</w:t>
      </w:r>
      <w:r>
        <w:rPr>
          <w:rFonts w:hint="eastAsia" w:hAnsi="宋体" w:cs="宋体"/>
          <w:b/>
          <w:bCs w:val="0"/>
          <w:color w:val="auto"/>
          <w:szCs w:val="21"/>
          <w:highlight w:val="none"/>
          <w:lang w:val="en-US" w:eastAsia="zh-CN"/>
        </w:rPr>
        <w:t>招标相关要求</w:t>
      </w:r>
      <w:bookmarkEnd w:id="164"/>
      <w:bookmarkEnd w:id="165"/>
      <w:bookmarkEnd w:id="166"/>
    </w:p>
    <w:p w14:paraId="76F3DC47">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rPr>
        <w:t>1.3.1招标范围（监理范围）：</w:t>
      </w:r>
      <w:r>
        <w:rPr>
          <w:rFonts w:hint="eastAsia" w:hAnsi="宋体"/>
          <w:color w:val="auto"/>
          <w:szCs w:val="21"/>
          <w:highlight w:val="none"/>
        </w:rPr>
        <w:t>见投标人须知前附表。</w:t>
      </w:r>
    </w:p>
    <w:p w14:paraId="0D66E41F">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rPr>
        <w:t>1.3.2</w:t>
      </w:r>
      <w:r>
        <w:rPr>
          <w:rFonts w:hint="eastAsia" w:hAnsi="宋体" w:cs="Times New Roman"/>
          <w:color w:val="auto"/>
          <w:highlight w:val="none"/>
          <w:lang w:eastAsia="zh-CN"/>
        </w:rPr>
        <w:t>监理服务期限</w:t>
      </w:r>
      <w:r>
        <w:rPr>
          <w:rFonts w:hint="eastAsia" w:ascii="宋体" w:hAnsi="宋体" w:eastAsia="宋体" w:cs="Times New Roman"/>
          <w:color w:val="auto"/>
          <w:highlight w:val="none"/>
        </w:rPr>
        <w:t>：</w:t>
      </w:r>
      <w:r>
        <w:rPr>
          <w:rFonts w:hint="eastAsia" w:hAnsi="宋体"/>
          <w:color w:val="auto"/>
          <w:szCs w:val="21"/>
          <w:highlight w:val="none"/>
        </w:rPr>
        <w:t>见投标人须知前附表。</w:t>
      </w:r>
    </w:p>
    <w:p w14:paraId="5CABEA67">
      <w:pPr>
        <w:pStyle w:val="23"/>
        <w:tabs>
          <w:tab w:val="left" w:pos="2127"/>
        </w:tabs>
        <w:kinsoku/>
        <w:overflowPunct/>
        <w:bidi w:val="0"/>
        <w:spacing w:line="360" w:lineRule="auto"/>
        <w:ind w:firstLine="315" w:firstLineChars="150"/>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rPr>
        <w:t>1.3.</w:t>
      </w:r>
      <w:r>
        <w:rPr>
          <w:rFonts w:hint="eastAsia" w:ascii="宋体" w:hAnsi="宋体" w:eastAsia="宋体" w:cs="Times New Roman"/>
          <w:color w:val="auto"/>
          <w:highlight w:val="none"/>
          <w:lang w:val="en-US" w:eastAsia="zh-CN"/>
        </w:rPr>
        <w:t>3</w:t>
      </w:r>
      <w:r>
        <w:rPr>
          <w:rFonts w:hint="eastAsia" w:hAnsi="宋体" w:cs="Times New Roman"/>
          <w:color w:val="auto"/>
          <w:highlight w:val="none"/>
          <w:lang w:val="en-US" w:eastAsia="zh-CN"/>
        </w:rPr>
        <w:t>招标相关要求</w:t>
      </w:r>
      <w:r>
        <w:rPr>
          <w:rFonts w:hint="eastAsia" w:ascii="宋体" w:hAnsi="宋体" w:eastAsia="宋体" w:cs="Times New Roman"/>
          <w:color w:val="auto"/>
          <w:highlight w:val="none"/>
        </w:rPr>
        <w:t>：</w:t>
      </w:r>
      <w:r>
        <w:rPr>
          <w:rFonts w:hint="eastAsia" w:hAnsi="宋体"/>
          <w:color w:val="auto"/>
          <w:szCs w:val="21"/>
          <w:highlight w:val="none"/>
        </w:rPr>
        <w:t>见投标人须知前附表。</w:t>
      </w:r>
    </w:p>
    <w:p w14:paraId="28242BC0">
      <w:pPr>
        <w:pStyle w:val="23"/>
        <w:tabs>
          <w:tab w:val="left" w:pos="2127"/>
        </w:tabs>
        <w:kinsoku/>
        <w:overflowPunct/>
        <w:bidi w:val="0"/>
        <w:spacing w:line="360" w:lineRule="auto"/>
        <w:textAlignment w:val="auto"/>
        <w:outlineLvl w:val="2"/>
        <w:rPr>
          <w:rFonts w:hAnsi="宋体"/>
          <w:b/>
          <w:color w:val="auto"/>
          <w:highlight w:val="none"/>
        </w:rPr>
      </w:pPr>
      <w:bookmarkStart w:id="215" w:name="_Toc29942"/>
      <w:bookmarkStart w:id="216" w:name="_Toc28847"/>
      <w:bookmarkStart w:id="217" w:name="_Toc30314"/>
      <w:r>
        <w:rPr>
          <w:rFonts w:hint="eastAsia" w:hAnsi="宋体"/>
          <w:b/>
          <w:color w:val="auto"/>
          <w:highlight w:val="none"/>
        </w:rPr>
        <w:t>1.4 投标人资格要求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BFC3FC6">
      <w:pPr>
        <w:pStyle w:val="23"/>
        <w:tabs>
          <w:tab w:val="left" w:pos="2127"/>
        </w:tabs>
        <w:kinsoku/>
        <w:overflowPunct/>
        <w:bidi w:val="0"/>
        <w:spacing w:line="360" w:lineRule="auto"/>
        <w:ind w:firstLine="315" w:firstLineChars="150"/>
        <w:textAlignment w:val="auto"/>
        <w:rPr>
          <w:rFonts w:hint="eastAsia" w:hAnsi="宋体" w:eastAsia="Calibri" w:cs="Times New Roman"/>
          <w:color w:val="auto"/>
          <w:highlight w:val="none"/>
        </w:rPr>
      </w:pPr>
      <w:r>
        <w:rPr>
          <w:rFonts w:hint="eastAsia" w:hAnsi="宋体" w:eastAsia="Calibri" w:cs="Times New Roman"/>
          <w:color w:val="auto"/>
          <w:highlight w:val="none"/>
        </w:rPr>
        <w:t>1.4.1 投标人资格要求：见</w:t>
      </w:r>
      <w:r>
        <w:rPr>
          <w:rFonts w:hint="eastAsia" w:hAnsi="宋体" w:eastAsia="宋体" w:cs="Times New Roman"/>
          <w:color w:val="auto"/>
          <w:highlight w:val="none"/>
          <w:lang w:val="en-US" w:eastAsia="zh-CN"/>
        </w:rPr>
        <w:t>投标人</w:t>
      </w:r>
      <w:r>
        <w:rPr>
          <w:rFonts w:hint="eastAsia" w:hAnsi="宋体" w:eastAsia="Calibri" w:cs="Times New Roman"/>
          <w:color w:val="auto"/>
          <w:highlight w:val="none"/>
        </w:rPr>
        <w:t>须知前附表。</w:t>
      </w:r>
    </w:p>
    <w:p w14:paraId="12942952">
      <w:pPr>
        <w:pStyle w:val="23"/>
        <w:tabs>
          <w:tab w:val="left" w:pos="2127"/>
        </w:tabs>
        <w:kinsoku/>
        <w:overflowPunct/>
        <w:bidi w:val="0"/>
        <w:spacing w:line="360" w:lineRule="auto"/>
        <w:ind w:firstLine="283" w:firstLineChars="135"/>
        <w:textAlignment w:val="auto"/>
        <w:rPr>
          <w:rFonts w:hAnsi="宋体"/>
          <w:color w:val="auto"/>
          <w:highlight w:val="none"/>
        </w:rPr>
      </w:pPr>
      <w:r>
        <w:rPr>
          <w:rFonts w:hint="eastAsia" w:hAnsi="宋体"/>
          <w:color w:val="auto"/>
          <w:highlight w:val="none"/>
        </w:rPr>
        <w:t>1.4.2</w:t>
      </w:r>
      <w:r>
        <w:rPr>
          <w:rFonts w:hint="eastAsia" w:hAnsi="宋体"/>
          <w:color w:val="auto"/>
          <w:highlight w:val="none"/>
          <w:lang w:val="en-US" w:eastAsia="zh-CN"/>
        </w:rPr>
        <w:t xml:space="preserve"> </w:t>
      </w:r>
      <w:r>
        <w:rPr>
          <w:rFonts w:hint="eastAsia" w:hAnsi="宋体" w:cs="仿宋_GB2312"/>
          <w:color w:val="auto"/>
          <w:kern w:val="0"/>
          <w:szCs w:val="21"/>
          <w:highlight w:val="none"/>
        </w:rPr>
        <w:t>投标人须知前附表规定接受联合体投标的，除应符合本章第</w:t>
      </w:r>
      <w:r>
        <w:rPr>
          <w:rFonts w:hAnsi="宋体" w:cs="TimesNewRomanPSMT"/>
          <w:color w:val="auto"/>
          <w:kern w:val="0"/>
          <w:szCs w:val="21"/>
          <w:highlight w:val="none"/>
        </w:rPr>
        <w:t xml:space="preserve">1.4.1 </w:t>
      </w:r>
      <w:r>
        <w:rPr>
          <w:rFonts w:hint="eastAsia" w:hAnsi="宋体" w:cs="仿宋_GB2312"/>
          <w:color w:val="auto"/>
          <w:kern w:val="0"/>
          <w:szCs w:val="21"/>
          <w:highlight w:val="none"/>
        </w:rPr>
        <w:t>项和投标人须知前附表的要求外，</w:t>
      </w:r>
      <w:r>
        <w:rPr>
          <w:rFonts w:hint="eastAsia" w:hAnsi="宋体"/>
          <w:color w:val="auto"/>
          <w:highlight w:val="none"/>
        </w:rPr>
        <w:t>还应遵守以下规定：</w:t>
      </w:r>
    </w:p>
    <w:p w14:paraId="276BF5D4">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）联合体各方应按招标文件提供的格式签订联合体协议书，明确联合体牵头人和各方权利义务；</w:t>
      </w:r>
    </w:p>
    <w:p w14:paraId="23D99D8F">
      <w:pPr>
        <w:pStyle w:val="23"/>
        <w:tabs>
          <w:tab w:val="left" w:pos="2127"/>
        </w:tabs>
        <w:kinsoku/>
        <w:overflowPunct/>
        <w:bidi w:val="0"/>
        <w:spacing w:line="360" w:lineRule="auto"/>
        <w:ind w:firstLine="315" w:firstLineChars="150"/>
        <w:textAlignment w:val="auto"/>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）由同一专业的单位组成的联合体，按照资质等级较低的单位确定资质等级；</w:t>
      </w:r>
    </w:p>
    <w:p w14:paraId="63446350">
      <w:pPr>
        <w:pStyle w:val="23"/>
        <w:tabs>
          <w:tab w:val="left" w:pos="2127"/>
        </w:tabs>
        <w:kinsoku/>
        <w:overflowPunct/>
        <w:bidi w:val="0"/>
        <w:spacing w:line="360" w:lineRule="auto"/>
        <w:ind w:firstLine="315" w:firstLineChars="150"/>
        <w:jc w:val="left"/>
        <w:textAlignment w:val="auto"/>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w:t>
      </w:r>
      <w:r>
        <w:rPr>
          <w:rFonts w:hint="eastAsia" w:ascii="宋体" w:hAnsi="宋体" w:cs="宋体"/>
          <w:color w:val="auto"/>
          <w:kern w:val="0"/>
          <w:szCs w:val="21"/>
          <w:highlight w:val="none"/>
        </w:rPr>
        <w:t>联合体各方不得再以自己名义单独或参加其他联合体在</w:t>
      </w:r>
      <w:r>
        <w:rPr>
          <w:rFonts w:hint="eastAsia" w:hAnsi="宋体" w:eastAsia="Calibri" w:cs="Times New Roman"/>
          <w:color w:val="auto"/>
          <w:highlight w:val="none"/>
        </w:rPr>
        <w:t>同一标段或者未划分标段的同一</w:t>
      </w:r>
      <w:r>
        <w:rPr>
          <w:rFonts w:hint="eastAsia" w:hAnsi="宋体" w:eastAsia="宋体" w:cs="Times New Roman"/>
          <w:color w:val="auto"/>
          <w:highlight w:val="none"/>
          <w:lang w:val="en-US" w:eastAsia="zh-CN"/>
        </w:rPr>
        <w:t>招标</w:t>
      </w:r>
      <w:r>
        <w:rPr>
          <w:rFonts w:hint="eastAsia" w:hAnsi="宋体" w:eastAsia="Calibri" w:cs="Times New Roman"/>
          <w:color w:val="auto"/>
          <w:highlight w:val="none"/>
        </w:rPr>
        <w:t>项目</w:t>
      </w:r>
      <w:r>
        <w:rPr>
          <w:rFonts w:hint="eastAsia" w:hAnsi="宋体" w:eastAsia="宋体" w:cs="Times New Roman"/>
          <w:color w:val="auto"/>
          <w:highlight w:val="none"/>
          <w:lang w:val="en-US" w:eastAsia="zh-CN"/>
        </w:rPr>
        <w:t>中</w:t>
      </w:r>
      <w:r>
        <w:rPr>
          <w:rFonts w:hint="eastAsia" w:ascii="宋体" w:hAnsi="宋体" w:cs="宋体"/>
          <w:color w:val="auto"/>
          <w:kern w:val="0"/>
          <w:szCs w:val="21"/>
          <w:highlight w:val="none"/>
        </w:rPr>
        <w:t>投标，否则各相关投标均无效。</w:t>
      </w:r>
    </w:p>
    <w:p w14:paraId="52CACFA2">
      <w:pPr>
        <w:pStyle w:val="23"/>
        <w:tabs>
          <w:tab w:val="left" w:pos="2127"/>
        </w:tabs>
        <w:kinsoku/>
        <w:overflowPunct/>
        <w:bidi w:val="0"/>
        <w:spacing w:line="360" w:lineRule="auto"/>
        <w:ind w:firstLine="315" w:firstLineChars="150"/>
        <w:jc w:val="left"/>
        <w:textAlignment w:val="auto"/>
        <w:rPr>
          <w:rFonts w:hAnsi="宋体"/>
          <w:color w:val="auto"/>
          <w:highlight w:val="none"/>
        </w:rPr>
      </w:pPr>
      <w:r>
        <w:rPr>
          <w:rFonts w:hAnsi="宋体"/>
          <w:color w:val="auto"/>
          <w:highlight w:val="none"/>
        </w:rPr>
        <w:t xml:space="preserve">1.4.3 </w:t>
      </w:r>
      <w:r>
        <w:rPr>
          <w:rFonts w:hint="eastAsia" w:hAnsi="宋体"/>
          <w:color w:val="auto"/>
          <w:highlight w:val="none"/>
        </w:rPr>
        <w:t>投标人不得存在下列情形之一：</w:t>
      </w:r>
    </w:p>
    <w:p w14:paraId="3B866C27">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bookmarkStart w:id="218" w:name="_Toc15002"/>
      <w:bookmarkStart w:id="219" w:name="_Toc18001"/>
      <w:bookmarkStart w:id="220" w:name="_Toc13388"/>
      <w:bookmarkStart w:id="221" w:name="_Toc20022"/>
      <w:bookmarkStart w:id="222" w:name="_Toc24089"/>
      <w:bookmarkStart w:id="223" w:name="_Toc16880"/>
      <w:bookmarkStart w:id="224" w:name="_Toc18803"/>
      <w:bookmarkStart w:id="225" w:name="_Toc17470"/>
      <w:bookmarkStart w:id="226" w:name="_Toc28479"/>
      <w:bookmarkStart w:id="227" w:name="_Toc7294"/>
      <w:bookmarkStart w:id="228" w:name="_Toc482803074"/>
      <w:bookmarkStart w:id="229" w:name="_Toc12318"/>
      <w:bookmarkStart w:id="230" w:name="_Toc5252"/>
      <w:bookmarkStart w:id="231" w:name="_Toc10630"/>
      <w:bookmarkStart w:id="232" w:name="_Toc22151"/>
      <w:bookmarkStart w:id="233" w:name="_Toc19556"/>
      <w:bookmarkStart w:id="234" w:name="_Toc484792187"/>
      <w:r>
        <w:rPr>
          <w:rFonts w:hint="eastAsia" w:ascii="宋体" w:hAnsi="宋体" w:eastAsia="宋体" w:cs="宋体"/>
          <w:color w:val="auto"/>
          <w:kern w:val="2"/>
          <w:sz w:val="21"/>
          <w:highlight w:val="none"/>
          <w:lang w:val="en-US" w:eastAsia="zh-CN" w:bidi="ar-SA"/>
        </w:rPr>
        <w:t>（1）为招标人不具有独立法人资格的附属机构（单位）；</w:t>
      </w:r>
    </w:p>
    <w:p w14:paraId="6D05C2FD">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（2）与招标人存在利害关系且可能影响招标公正性；</w:t>
      </w:r>
    </w:p>
    <w:p w14:paraId="0046C24E">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（3）与本招标项目的其他投标人为同一个单位负责人；</w:t>
      </w:r>
    </w:p>
    <w:p w14:paraId="19E65384">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（4）与本招标项目的其他投标人存在控股、管理关系；</w:t>
      </w:r>
    </w:p>
    <w:p w14:paraId="6715DCCB">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（5）为本招标项目的代建人；</w:t>
      </w:r>
    </w:p>
    <w:p w14:paraId="70A20FA0">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（6）为本招标项目的招标代理机构；</w:t>
      </w:r>
    </w:p>
    <w:p w14:paraId="06E17C1E">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（7）与本招标项目的代建人或招标代理机构同为一个法定代表人；</w:t>
      </w:r>
    </w:p>
    <w:p w14:paraId="2D06B8D4">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（8）与本招标项目的代建人或招标代理机构存在控股或参股关系；</w:t>
      </w:r>
    </w:p>
    <w:p w14:paraId="5CED5BBC">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（9）与本招标项目的施工承包人以及建筑材料、建筑构配件和设备供应商有隶属关系或者其他利害关系；</w:t>
      </w:r>
    </w:p>
    <w:p w14:paraId="2F97921A">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(10)被依法暂停或者取消投标资格；（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44A6E9A9">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(11)被责令停产停业、暂扣或者吊销许可证、暂扣或者吊销执照；（本项事实应当以根据《中华人民共和国行政处罚法》依法作出并已经生效的行政处罚决定为认定依据。）</w:t>
      </w:r>
    </w:p>
    <w:p w14:paraId="6B77A277">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(12)进入清算程序，或被宣告破产，或其他丧失履约能力的情形；</w:t>
      </w:r>
    </w:p>
    <w:p w14:paraId="1E9413D2">
      <w:pPr>
        <w:pStyle w:val="23"/>
        <w:tabs>
          <w:tab w:val="left" w:pos="2127"/>
        </w:tabs>
        <w:kinsoku/>
        <w:overflowPunct/>
        <w:bidi w:val="0"/>
        <w:spacing w:line="360" w:lineRule="auto"/>
        <w:ind w:firstLine="315" w:firstLineChars="150"/>
        <w:textAlignment w:val="auto"/>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kern w:val="2"/>
          <w:sz w:val="21"/>
          <w:highlight w:val="none"/>
          <w:lang w:val="en-US" w:eastAsia="zh-CN" w:bidi="ar-SA"/>
        </w:rPr>
        <w:t>(13)在最近三年内发生重大监理质量问题；（“重大监理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695AFC6A">
      <w:pPr>
        <w:pStyle w:val="23"/>
        <w:tabs>
          <w:tab w:val="left" w:pos="2127"/>
        </w:tabs>
        <w:kinsoku/>
        <w:overflowPunct/>
        <w:bidi w:val="0"/>
        <w:spacing w:line="360" w:lineRule="auto"/>
        <w:ind w:firstLine="315" w:firstLineChars="150"/>
        <w:textAlignment w:val="auto"/>
        <w:rPr>
          <w:rFonts w:hint="eastAsia" w:hAnsi="宋体"/>
          <w:color w:val="auto"/>
          <w:highlight w:val="none"/>
        </w:rPr>
      </w:pPr>
      <w:r>
        <w:rPr>
          <w:rFonts w:hint="eastAsia" w:ascii="宋体" w:hAnsi="宋体" w:eastAsia="宋体" w:cs="宋体"/>
          <w:color w:val="auto"/>
          <w:kern w:val="2"/>
          <w:sz w:val="21"/>
          <w:highlight w:val="none"/>
          <w:lang w:val="en-US" w:eastAsia="zh-CN" w:bidi="ar-SA"/>
        </w:rPr>
        <w:t>(14) 法律法规或投标人须知前附表规定的其他情形。</w:t>
      </w:r>
    </w:p>
    <w:p w14:paraId="6692F715">
      <w:pPr>
        <w:pStyle w:val="23"/>
        <w:tabs>
          <w:tab w:val="left" w:pos="2127"/>
        </w:tabs>
        <w:kinsoku/>
        <w:overflowPunct/>
        <w:bidi w:val="0"/>
        <w:spacing w:line="360" w:lineRule="auto"/>
        <w:textAlignment w:val="auto"/>
        <w:outlineLvl w:val="2"/>
        <w:rPr>
          <w:rFonts w:hAnsi="宋体"/>
          <w:b/>
          <w:color w:val="auto"/>
          <w:highlight w:val="none"/>
        </w:rPr>
      </w:pPr>
      <w:bookmarkStart w:id="235" w:name="_Toc22236"/>
      <w:bookmarkStart w:id="236" w:name="_Toc6843"/>
      <w:bookmarkStart w:id="237" w:name="_Toc25388"/>
      <w:bookmarkStart w:id="238" w:name="_Toc27067"/>
      <w:bookmarkStart w:id="239" w:name="_Toc7792"/>
      <w:bookmarkStart w:id="240" w:name="_Toc4354"/>
      <w:bookmarkStart w:id="241" w:name="_Toc3655"/>
      <w:bookmarkStart w:id="242" w:name="_Toc11255"/>
      <w:bookmarkStart w:id="243" w:name="_Toc21604"/>
      <w:bookmarkStart w:id="244" w:name="_Toc16648"/>
      <w:bookmarkStart w:id="245" w:name="_Toc2036"/>
      <w:bookmarkStart w:id="246" w:name="_Toc23409"/>
      <w:bookmarkStart w:id="247" w:name="_Toc5981"/>
      <w:bookmarkStart w:id="248" w:name="_Toc12126"/>
      <w:bookmarkStart w:id="249" w:name="_Toc9964"/>
      <w:bookmarkStart w:id="250" w:name="_Toc23755"/>
      <w:bookmarkStart w:id="251" w:name="_Toc18173"/>
      <w:bookmarkStart w:id="252" w:name="_Toc24848"/>
      <w:bookmarkStart w:id="253" w:name="_Toc15416"/>
      <w:bookmarkStart w:id="254" w:name="_Toc10107"/>
      <w:bookmarkStart w:id="255" w:name="_Toc12926"/>
      <w:bookmarkStart w:id="256" w:name="_Toc9904"/>
      <w:bookmarkStart w:id="257" w:name="_Toc21202"/>
      <w:bookmarkStart w:id="258" w:name="_Toc16445"/>
      <w:bookmarkStart w:id="259" w:name="_Toc6510"/>
      <w:bookmarkStart w:id="260" w:name="_Toc6622"/>
      <w:bookmarkStart w:id="261" w:name="_Toc12838"/>
      <w:bookmarkStart w:id="262" w:name="_Toc8355"/>
      <w:bookmarkStart w:id="263" w:name="_Toc9197"/>
      <w:bookmarkStart w:id="264" w:name="_Toc6265"/>
      <w:bookmarkStart w:id="265" w:name="_Toc6006"/>
      <w:bookmarkStart w:id="266" w:name="_Toc17020"/>
      <w:bookmarkStart w:id="267" w:name="_Toc6142"/>
      <w:bookmarkStart w:id="268" w:name="_Toc6648"/>
      <w:r>
        <w:rPr>
          <w:rFonts w:hint="eastAsia" w:hAnsi="宋体"/>
          <w:b/>
          <w:color w:val="auto"/>
          <w:highlight w:val="none"/>
        </w:rPr>
        <w:t>1.5 费用承担</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89F6D71">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投标人准备和参加投标活动发生的费用自理。</w:t>
      </w:r>
    </w:p>
    <w:p w14:paraId="77F448B8">
      <w:pPr>
        <w:pStyle w:val="23"/>
        <w:tabs>
          <w:tab w:val="left" w:pos="2127"/>
        </w:tabs>
        <w:kinsoku/>
        <w:overflowPunct/>
        <w:bidi w:val="0"/>
        <w:spacing w:line="360" w:lineRule="auto"/>
        <w:textAlignment w:val="auto"/>
        <w:outlineLvl w:val="2"/>
        <w:rPr>
          <w:rFonts w:hAnsi="宋体"/>
          <w:b/>
          <w:color w:val="auto"/>
          <w:highlight w:val="none"/>
        </w:rPr>
      </w:pPr>
      <w:bookmarkStart w:id="269" w:name="_Toc6850"/>
      <w:bookmarkStart w:id="270" w:name="_Toc6372"/>
      <w:bookmarkStart w:id="271" w:name="_Toc27078"/>
      <w:bookmarkStart w:id="272" w:name="_Toc11132"/>
      <w:bookmarkStart w:id="273" w:name="_Toc9135"/>
      <w:bookmarkStart w:id="274" w:name="_Toc16539"/>
      <w:bookmarkStart w:id="275" w:name="_Toc25097"/>
      <w:bookmarkStart w:id="276" w:name="_Toc5928"/>
      <w:bookmarkStart w:id="277" w:name="_Toc21294"/>
      <w:bookmarkStart w:id="278" w:name="_Toc6585"/>
      <w:bookmarkStart w:id="279" w:name="_Toc29196"/>
      <w:bookmarkStart w:id="280" w:name="_Toc3661"/>
      <w:bookmarkStart w:id="281" w:name="_Toc28507"/>
      <w:bookmarkStart w:id="282" w:name="_Toc5278"/>
      <w:bookmarkStart w:id="283" w:name="_Toc5565"/>
      <w:bookmarkStart w:id="284" w:name="_Toc15324"/>
      <w:bookmarkStart w:id="285" w:name="_Toc13740"/>
      <w:bookmarkStart w:id="286" w:name="_Toc16171"/>
      <w:bookmarkStart w:id="287" w:name="_Toc14710"/>
      <w:bookmarkStart w:id="288" w:name="_Toc11146"/>
      <w:bookmarkStart w:id="289" w:name="_Toc11107"/>
      <w:bookmarkStart w:id="290" w:name="_Toc27956"/>
      <w:bookmarkStart w:id="291" w:name="_Toc7016"/>
      <w:bookmarkStart w:id="292" w:name="_Toc30806"/>
      <w:bookmarkStart w:id="293" w:name="_Toc7328"/>
      <w:bookmarkStart w:id="294" w:name="_Toc28420"/>
      <w:bookmarkStart w:id="295" w:name="_Toc31331"/>
      <w:bookmarkStart w:id="296" w:name="_Toc9585"/>
      <w:bookmarkStart w:id="297" w:name="_Toc9596"/>
      <w:bookmarkStart w:id="298" w:name="_Toc12514"/>
      <w:bookmarkStart w:id="299" w:name="_Toc25337"/>
      <w:bookmarkStart w:id="300" w:name="_Toc27437"/>
      <w:bookmarkStart w:id="301" w:name="_Toc28786"/>
      <w:bookmarkStart w:id="302" w:name="_Toc1960"/>
      <w:bookmarkStart w:id="303" w:name="_Toc10777"/>
      <w:bookmarkStart w:id="304" w:name="_Toc2441"/>
      <w:bookmarkStart w:id="305" w:name="_Toc22338"/>
      <w:bookmarkStart w:id="306" w:name="_Toc32695"/>
      <w:bookmarkStart w:id="307" w:name="_Toc26094"/>
      <w:bookmarkStart w:id="308" w:name="_Toc22388"/>
      <w:bookmarkStart w:id="309" w:name="_Toc25008"/>
      <w:bookmarkStart w:id="310" w:name="_Toc482803075"/>
      <w:bookmarkStart w:id="311" w:name="_Toc26264"/>
      <w:bookmarkStart w:id="312" w:name="_Toc20000"/>
      <w:bookmarkStart w:id="313" w:name="_Toc13104"/>
      <w:bookmarkStart w:id="314" w:name="_Toc15523"/>
      <w:bookmarkStart w:id="315" w:name="_Toc484792188"/>
      <w:bookmarkStart w:id="316" w:name="_Toc6186"/>
      <w:bookmarkStart w:id="317" w:name="_Toc16051"/>
      <w:bookmarkStart w:id="318" w:name="_Toc4993"/>
      <w:bookmarkStart w:id="319" w:name="_Toc29441"/>
      <w:r>
        <w:rPr>
          <w:rFonts w:hint="eastAsia" w:hAnsi="宋体"/>
          <w:b/>
          <w:color w:val="auto"/>
          <w:highlight w:val="none"/>
        </w:rPr>
        <w:t>1.6 保密</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E961396">
      <w:pPr>
        <w:pStyle w:val="23"/>
        <w:tabs>
          <w:tab w:val="left" w:pos="2127"/>
        </w:tabs>
        <w:kinsoku/>
        <w:overflowPunct/>
        <w:bidi w:val="0"/>
        <w:spacing w:line="360" w:lineRule="auto"/>
        <w:ind w:firstLine="435"/>
        <w:textAlignment w:val="auto"/>
        <w:rPr>
          <w:rFonts w:hAnsi="宋体"/>
          <w:color w:val="auto"/>
          <w:highlight w:val="none"/>
        </w:rPr>
      </w:pPr>
      <w:r>
        <w:rPr>
          <w:rFonts w:hint="eastAsia" w:ascii="宋体" w:hAnsi="宋体" w:cs="宋体"/>
          <w:color w:val="auto"/>
          <w:kern w:val="0"/>
          <w:szCs w:val="21"/>
          <w:highlight w:val="none"/>
        </w:rPr>
        <w:t>参与招标投标活动</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各</w:t>
      </w:r>
      <w:r>
        <w:rPr>
          <w:rFonts w:hint="eastAsia" w:ascii="宋体" w:hAnsi="宋体" w:cs="宋体"/>
          <w:color w:val="auto"/>
          <w:spacing w:val="-2"/>
          <w:kern w:val="0"/>
          <w:szCs w:val="21"/>
          <w:highlight w:val="none"/>
        </w:rPr>
        <w:t>方</w:t>
      </w:r>
      <w:r>
        <w:rPr>
          <w:rFonts w:hint="eastAsia" w:ascii="宋体" w:hAnsi="宋体" w:cs="宋体"/>
          <w:color w:val="auto"/>
          <w:kern w:val="0"/>
          <w:szCs w:val="21"/>
          <w:highlight w:val="none"/>
        </w:rPr>
        <w:t>应对招标文件和</w:t>
      </w:r>
      <w:r>
        <w:rPr>
          <w:rFonts w:hint="eastAsia" w:hAnsi="宋体" w:cs="宋体"/>
          <w:color w:val="auto"/>
          <w:kern w:val="0"/>
          <w:szCs w:val="21"/>
          <w:highlight w:val="none"/>
          <w:lang w:eastAsia="zh-CN"/>
        </w:rPr>
        <w:t>投标文件（含定标文件）</w:t>
      </w:r>
      <w:r>
        <w:rPr>
          <w:rFonts w:hint="eastAsia" w:ascii="宋体" w:hAnsi="宋体" w:cs="宋体"/>
          <w:color w:val="auto"/>
          <w:kern w:val="0"/>
          <w:szCs w:val="21"/>
          <w:highlight w:val="none"/>
        </w:rPr>
        <w:t>中的商业和技术等</w:t>
      </w:r>
      <w:r>
        <w:rPr>
          <w:rFonts w:hint="eastAsia" w:ascii="宋体" w:hAnsi="宋体" w:cs="宋体"/>
          <w:color w:val="auto"/>
          <w:spacing w:val="-2"/>
          <w:kern w:val="0"/>
          <w:szCs w:val="21"/>
          <w:highlight w:val="none"/>
        </w:rPr>
        <w:t>秘</w:t>
      </w:r>
      <w:r>
        <w:rPr>
          <w:rFonts w:hint="eastAsia" w:ascii="宋体" w:hAnsi="宋体" w:cs="宋体"/>
          <w:color w:val="auto"/>
          <w:kern w:val="0"/>
          <w:szCs w:val="21"/>
          <w:highlight w:val="none"/>
        </w:rPr>
        <w:t>密</w:t>
      </w:r>
      <w:r>
        <w:rPr>
          <w:rFonts w:hint="eastAsia" w:ascii="宋体" w:hAnsi="宋体" w:cs="宋体"/>
          <w:color w:val="auto"/>
          <w:spacing w:val="-2"/>
          <w:kern w:val="0"/>
          <w:szCs w:val="21"/>
          <w:highlight w:val="none"/>
        </w:rPr>
        <w:t>保</w:t>
      </w:r>
      <w:r>
        <w:rPr>
          <w:rFonts w:hint="eastAsia" w:ascii="宋体" w:hAnsi="宋体" w:cs="宋体"/>
          <w:color w:val="auto"/>
          <w:kern w:val="0"/>
          <w:szCs w:val="21"/>
          <w:highlight w:val="none"/>
        </w:rPr>
        <w:t>密，否则应承担相</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法</w:t>
      </w:r>
      <w:r>
        <w:rPr>
          <w:rFonts w:hint="eastAsia" w:ascii="宋体" w:hAnsi="宋体" w:cs="宋体"/>
          <w:color w:val="auto"/>
          <w:kern w:val="0"/>
          <w:szCs w:val="21"/>
          <w:highlight w:val="none"/>
        </w:rPr>
        <w:t>律</w:t>
      </w:r>
      <w:r>
        <w:rPr>
          <w:rFonts w:hint="eastAsia" w:ascii="宋体" w:hAnsi="宋体" w:cs="宋体"/>
          <w:color w:val="auto"/>
          <w:spacing w:val="-2"/>
          <w:kern w:val="0"/>
          <w:szCs w:val="21"/>
          <w:highlight w:val="none"/>
        </w:rPr>
        <w:t>责</w:t>
      </w:r>
      <w:r>
        <w:rPr>
          <w:rFonts w:hint="eastAsia" w:ascii="宋体" w:hAnsi="宋体" w:cs="宋体"/>
          <w:color w:val="auto"/>
          <w:kern w:val="0"/>
          <w:szCs w:val="21"/>
          <w:highlight w:val="none"/>
        </w:rPr>
        <w:t>任</w:t>
      </w:r>
      <w:r>
        <w:rPr>
          <w:rFonts w:hint="eastAsia" w:hAnsi="宋体"/>
          <w:color w:val="auto"/>
          <w:highlight w:val="none"/>
        </w:rPr>
        <w:t>。</w:t>
      </w:r>
    </w:p>
    <w:p w14:paraId="5AE61843">
      <w:pPr>
        <w:pStyle w:val="23"/>
        <w:tabs>
          <w:tab w:val="left" w:pos="2127"/>
        </w:tabs>
        <w:kinsoku/>
        <w:overflowPunct/>
        <w:bidi w:val="0"/>
        <w:spacing w:line="360" w:lineRule="auto"/>
        <w:textAlignment w:val="auto"/>
        <w:outlineLvl w:val="2"/>
        <w:rPr>
          <w:rFonts w:hAnsi="宋体"/>
          <w:b/>
          <w:color w:val="auto"/>
          <w:highlight w:val="none"/>
        </w:rPr>
      </w:pPr>
      <w:bookmarkStart w:id="320" w:name="_Toc25412"/>
      <w:bookmarkStart w:id="321" w:name="_Toc30771"/>
      <w:bookmarkStart w:id="322" w:name="_Toc16199"/>
      <w:bookmarkStart w:id="323" w:name="_Toc10833"/>
      <w:bookmarkStart w:id="324" w:name="_Toc7108"/>
      <w:bookmarkStart w:id="325" w:name="_Toc7022"/>
      <w:bookmarkStart w:id="326" w:name="_Toc6482"/>
      <w:bookmarkStart w:id="327" w:name="_Toc27917"/>
      <w:bookmarkStart w:id="328" w:name="_Toc7110"/>
      <w:bookmarkStart w:id="329" w:name="_Toc26752"/>
      <w:bookmarkStart w:id="330" w:name="_Toc28907"/>
      <w:bookmarkStart w:id="331" w:name="_Toc16233"/>
      <w:bookmarkStart w:id="332" w:name="_Toc2140"/>
      <w:bookmarkStart w:id="333" w:name="_Toc32007"/>
      <w:bookmarkStart w:id="334" w:name="_Toc3364"/>
      <w:bookmarkStart w:id="335" w:name="_Toc24165"/>
      <w:bookmarkStart w:id="336" w:name="_Toc28347"/>
      <w:bookmarkStart w:id="337" w:name="_Toc1323"/>
      <w:bookmarkStart w:id="338" w:name="_Toc11913"/>
      <w:bookmarkStart w:id="339" w:name="_Toc22355"/>
      <w:bookmarkStart w:id="340" w:name="_Toc27386"/>
      <w:bookmarkStart w:id="341" w:name="_Toc7225"/>
      <w:bookmarkStart w:id="342" w:name="_Toc1675"/>
      <w:bookmarkStart w:id="343" w:name="_Toc8388"/>
      <w:bookmarkStart w:id="344" w:name="_Toc7720"/>
      <w:bookmarkStart w:id="345" w:name="_Toc31833"/>
      <w:bookmarkStart w:id="346" w:name="_Toc21415"/>
      <w:bookmarkStart w:id="347" w:name="_Toc5801"/>
      <w:bookmarkStart w:id="348" w:name="_Toc15293"/>
      <w:bookmarkStart w:id="349" w:name="_Toc28485"/>
      <w:bookmarkStart w:id="350" w:name="_Toc9483"/>
      <w:bookmarkStart w:id="351" w:name="_Toc7932"/>
      <w:bookmarkStart w:id="352" w:name="_Toc24428"/>
      <w:bookmarkStart w:id="353" w:name="_Toc14246"/>
      <w:bookmarkStart w:id="354" w:name="_Toc30364"/>
      <w:bookmarkStart w:id="355" w:name="_Toc9973"/>
      <w:bookmarkStart w:id="356" w:name="_Toc19350"/>
      <w:bookmarkStart w:id="357" w:name="_Toc9922"/>
      <w:bookmarkStart w:id="358" w:name="_Toc17746"/>
      <w:bookmarkStart w:id="359" w:name="_Toc9458"/>
      <w:bookmarkStart w:id="360" w:name="_Toc15287"/>
      <w:bookmarkStart w:id="361" w:name="_Toc484792189"/>
      <w:bookmarkStart w:id="362" w:name="_Toc17076"/>
      <w:bookmarkStart w:id="363" w:name="_Toc24250"/>
      <w:bookmarkStart w:id="364" w:name="_Toc482803076"/>
      <w:bookmarkStart w:id="365" w:name="_Toc31114"/>
      <w:bookmarkStart w:id="366" w:name="_Toc17606"/>
      <w:bookmarkStart w:id="367" w:name="_Toc3872"/>
      <w:bookmarkStart w:id="368" w:name="_Toc18701"/>
      <w:bookmarkStart w:id="369" w:name="_Toc5193"/>
      <w:bookmarkStart w:id="370" w:name="_Toc15081"/>
      <w:r>
        <w:rPr>
          <w:rFonts w:hint="eastAsia" w:hAnsi="宋体"/>
          <w:b/>
          <w:color w:val="auto"/>
          <w:highlight w:val="none"/>
        </w:rPr>
        <w:t>1.7 语言文字</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C9BCCFF">
      <w:pPr>
        <w:pStyle w:val="23"/>
        <w:tabs>
          <w:tab w:val="left" w:pos="2127"/>
        </w:tabs>
        <w:kinsoku/>
        <w:overflowPunct/>
        <w:bidi w:val="0"/>
        <w:spacing w:line="360" w:lineRule="auto"/>
        <w:textAlignment w:val="auto"/>
        <w:rPr>
          <w:rFonts w:hAnsi="宋体"/>
          <w:b/>
          <w:color w:val="auto"/>
          <w:highlight w:val="none"/>
        </w:rPr>
      </w:pPr>
      <w:r>
        <w:rPr>
          <w:rFonts w:hint="eastAsia" w:hAnsi="宋体"/>
          <w:b/>
          <w:color w:val="auto"/>
          <w:highlight w:val="none"/>
        </w:rPr>
        <w:t xml:space="preserve">    </w:t>
      </w:r>
      <w:r>
        <w:rPr>
          <w:rFonts w:hint="eastAsia" w:ascii="宋体" w:hAnsi="宋体" w:cs="宋体"/>
          <w:color w:val="auto"/>
          <w:kern w:val="0"/>
          <w:szCs w:val="21"/>
          <w:highlight w:val="none"/>
        </w:rPr>
        <w:t>招标</w:t>
      </w:r>
      <w:r>
        <w:rPr>
          <w:rFonts w:hint="eastAsia" w:hAnsi="宋体" w:cs="宋体"/>
          <w:color w:val="auto"/>
          <w:spacing w:val="-2"/>
          <w:kern w:val="0"/>
          <w:szCs w:val="21"/>
          <w:highlight w:val="none"/>
          <w:lang w:eastAsia="zh-CN"/>
        </w:rPr>
        <w:t>投标文件（含定标文件）</w:t>
      </w:r>
      <w:r>
        <w:rPr>
          <w:rFonts w:hint="eastAsia" w:ascii="宋体" w:hAnsi="宋体" w:cs="宋体"/>
          <w:color w:val="auto"/>
          <w:spacing w:val="-2"/>
          <w:kern w:val="0"/>
          <w:szCs w:val="21"/>
          <w:highlight w:val="none"/>
        </w:rPr>
        <w:t>使</w:t>
      </w:r>
      <w:r>
        <w:rPr>
          <w:rFonts w:hint="eastAsia" w:ascii="宋体" w:hAnsi="宋体" w:cs="宋体"/>
          <w:color w:val="auto"/>
          <w:kern w:val="0"/>
          <w:szCs w:val="21"/>
          <w:highlight w:val="none"/>
        </w:rPr>
        <w:t>用</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语</w:t>
      </w:r>
      <w:r>
        <w:rPr>
          <w:rFonts w:hint="eastAsia" w:ascii="宋体" w:hAnsi="宋体" w:cs="宋体"/>
          <w:color w:val="auto"/>
          <w:spacing w:val="-2"/>
          <w:kern w:val="0"/>
          <w:szCs w:val="21"/>
          <w:highlight w:val="none"/>
        </w:rPr>
        <w:t>言</w:t>
      </w:r>
      <w:r>
        <w:rPr>
          <w:rFonts w:hint="eastAsia" w:ascii="宋体" w:hAnsi="宋体" w:cs="宋体"/>
          <w:color w:val="auto"/>
          <w:kern w:val="0"/>
          <w:szCs w:val="21"/>
          <w:highlight w:val="none"/>
        </w:rPr>
        <w:t>文字</w:t>
      </w:r>
      <w:r>
        <w:rPr>
          <w:rFonts w:hint="eastAsia" w:ascii="宋体" w:hAnsi="宋体" w:cs="宋体"/>
          <w:color w:val="auto"/>
          <w:spacing w:val="-2"/>
          <w:kern w:val="0"/>
          <w:szCs w:val="21"/>
          <w:highlight w:val="none"/>
        </w:rPr>
        <w:t>为</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专</w:t>
      </w:r>
      <w:r>
        <w:rPr>
          <w:rFonts w:hint="eastAsia" w:ascii="宋体" w:hAnsi="宋体" w:cs="宋体"/>
          <w:color w:val="auto"/>
          <w:kern w:val="0"/>
          <w:szCs w:val="21"/>
          <w:highlight w:val="none"/>
        </w:rPr>
        <w:t>用</w:t>
      </w:r>
      <w:r>
        <w:rPr>
          <w:rFonts w:hint="eastAsia" w:ascii="宋体" w:hAnsi="宋体" w:cs="宋体"/>
          <w:color w:val="auto"/>
          <w:spacing w:val="-2"/>
          <w:kern w:val="0"/>
          <w:szCs w:val="21"/>
          <w:highlight w:val="none"/>
        </w:rPr>
        <w:t>术</w:t>
      </w:r>
      <w:r>
        <w:rPr>
          <w:rFonts w:hint="eastAsia" w:ascii="宋体" w:hAnsi="宋体" w:cs="宋体"/>
          <w:color w:val="auto"/>
          <w:kern w:val="0"/>
          <w:szCs w:val="21"/>
          <w:highlight w:val="none"/>
        </w:rPr>
        <w:t>语</w:t>
      </w:r>
      <w:r>
        <w:rPr>
          <w:rFonts w:hint="eastAsia" w:ascii="宋体" w:hAnsi="宋体" w:cs="宋体"/>
          <w:color w:val="auto"/>
          <w:spacing w:val="-2"/>
          <w:kern w:val="0"/>
          <w:szCs w:val="21"/>
          <w:highlight w:val="none"/>
        </w:rPr>
        <w:t>使</w:t>
      </w:r>
      <w:r>
        <w:rPr>
          <w:rFonts w:hint="eastAsia" w:ascii="宋体" w:hAnsi="宋体" w:cs="宋体"/>
          <w:color w:val="auto"/>
          <w:kern w:val="0"/>
          <w:szCs w:val="21"/>
          <w:highlight w:val="none"/>
        </w:rPr>
        <w:t>用外</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附</w:t>
      </w:r>
      <w:r>
        <w:rPr>
          <w:rFonts w:hint="eastAsia" w:ascii="宋体" w:hAnsi="宋体" w:cs="宋体"/>
          <w:color w:val="auto"/>
          <w:kern w:val="0"/>
          <w:szCs w:val="21"/>
          <w:highlight w:val="none"/>
        </w:rPr>
        <w:t>有</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注</w:t>
      </w:r>
      <w:r>
        <w:rPr>
          <w:rFonts w:hint="eastAsia" w:ascii="宋体" w:hAnsi="宋体" w:cs="宋体"/>
          <w:color w:val="auto"/>
          <w:kern w:val="0"/>
          <w:szCs w:val="21"/>
          <w:highlight w:val="none"/>
        </w:rPr>
        <w:t>释</w:t>
      </w:r>
      <w:r>
        <w:rPr>
          <w:rFonts w:hint="eastAsia" w:hAnsi="宋体"/>
          <w:color w:val="auto"/>
          <w:highlight w:val="none"/>
        </w:rPr>
        <w:t>。</w:t>
      </w:r>
    </w:p>
    <w:p w14:paraId="0208C6A1">
      <w:pPr>
        <w:pStyle w:val="23"/>
        <w:tabs>
          <w:tab w:val="left" w:pos="2127"/>
        </w:tabs>
        <w:kinsoku/>
        <w:overflowPunct/>
        <w:bidi w:val="0"/>
        <w:spacing w:line="360" w:lineRule="auto"/>
        <w:textAlignment w:val="auto"/>
        <w:outlineLvl w:val="2"/>
        <w:rPr>
          <w:rFonts w:hAnsi="宋体"/>
          <w:b/>
          <w:color w:val="auto"/>
          <w:highlight w:val="none"/>
        </w:rPr>
      </w:pPr>
      <w:bookmarkStart w:id="371" w:name="_Toc15623"/>
      <w:bookmarkStart w:id="372" w:name="_Toc482803077"/>
      <w:bookmarkStart w:id="373" w:name="_Toc19001"/>
      <w:bookmarkStart w:id="374" w:name="_Toc17298"/>
      <w:bookmarkStart w:id="375" w:name="_Toc825"/>
      <w:bookmarkStart w:id="376" w:name="_Toc25825"/>
      <w:bookmarkStart w:id="377" w:name="_Toc6595"/>
      <w:bookmarkStart w:id="378" w:name="_Toc10578"/>
      <w:bookmarkStart w:id="379" w:name="_Toc5636"/>
      <w:bookmarkStart w:id="380" w:name="_Toc15838"/>
      <w:bookmarkStart w:id="381" w:name="_Toc26944"/>
      <w:bookmarkStart w:id="382" w:name="_Toc17788"/>
      <w:bookmarkStart w:id="383" w:name="_Toc10201"/>
      <w:bookmarkStart w:id="384" w:name="_Toc15439"/>
      <w:bookmarkStart w:id="385" w:name="_Toc26018"/>
      <w:bookmarkStart w:id="386" w:name="_Toc25268"/>
      <w:bookmarkStart w:id="387" w:name="_Toc22042"/>
      <w:bookmarkStart w:id="388" w:name="_Toc26718"/>
      <w:bookmarkStart w:id="389" w:name="_Toc13518"/>
      <w:bookmarkStart w:id="390" w:name="_Toc19414"/>
      <w:bookmarkStart w:id="391" w:name="_Toc1146"/>
      <w:bookmarkStart w:id="392" w:name="_Toc3282"/>
      <w:bookmarkStart w:id="393" w:name="_Toc21060"/>
      <w:bookmarkStart w:id="394" w:name="_Toc22394"/>
      <w:bookmarkStart w:id="395" w:name="_Toc31905"/>
      <w:bookmarkStart w:id="396" w:name="_Toc4308"/>
      <w:bookmarkStart w:id="397" w:name="_Toc484792190"/>
      <w:bookmarkStart w:id="398" w:name="_Toc22904"/>
      <w:bookmarkStart w:id="399" w:name="_Toc8330"/>
      <w:bookmarkStart w:id="400" w:name="_Toc17448"/>
      <w:bookmarkStart w:id="401" w:name="_Toc16388"/>
      <w:bookmarkStart w:id="402" w:name="_Toc310"/>
      <w:bookmarkStart w:id="403" w:name="_Toc19285"/>
      <w:bookmarkStart w:id="404" w:name="_Toc6253"/>
      <w:bookmarkStart w:id="405" w:name="_Toc5744"/>
      <w:bookmarkStart w:id="406" w:name="_Toc3555"/>
      <w:bookmarkStart w:id="407" w:name="_Toc5858"/>
      <w:bookmarkStart w:id="408" w:name="_Toc25143"/>
      <w:bookmarkStart w:id="409" w:name="_Toc19663"/>
      <w:bookmarkStart w:id="410" w:name="_Toc24407"/>
      <w:bookmarkStart w:id="411" w:name="_Toc26068"/>
      <w:bookmarkStart w:id="412" w:name="_Toc30800"/>
      <w:bookmarkStart w:id="413" w:name="_Toc25570"/>
      <w:bookmarkStart w:id="414" w:name="_Toc3610"/>
      <w:bookmarkStart w:id="415" w:name="_Toc24597"/>
      <w:bookmarkStart w:id="416" w:name="_Toc1243"/>
      <w:bookmarkStart w:id="417" w:name="_Toc12225"/>
      <w:bookmarkStart w:id="418" w:name="_Toc29602"/>
      <w:bookmarkStart w:id="419" w:name="_Toc16886"/>
      <w:bookmarkStart w:id="420" w:name="_Toc331"/>
      <w:bookmarkStart w:id="421" w:name="_Toc1845"/>
      <w:r>
        <w:rPr>
          <w:rFonts w:hint="eastAsia" w:hAnsi="宋体"/>
          <w:b/>
          <w:color w:val="auto"/>
          <w:highlight w:val="none"/>
        </w:rPr>
        <w:t>1.8 计量单位</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EA01EED">
      <w:pPr>
        <w:pStyle w:val="23"/>
        <w:tabs>
          <w:tab w:val="left" w:pos="2127"/>
        </w:tabs>
        <w:kinsoku/>
        <w:overflowPunct/>
        <w:bidi w:val="0"/>
        <w:spacing w:line="360" w:lineRule="auto"/>
        <w:textAlignment w:val="auto"/>
        <w:rPr>
          <w:rFonts w:hAnsi="宋体"/>
          <w:color w:val="auto"/>
          <w:highlight w:val="none"/>
        </w:rPr>
      </w:pPr>
      <w:r>
        <w:rPr>
          <w:rFonts w:hint="eastAsia" w:hAnsi="宋体"/>
          <w:b/>
          <w:color w:val="auto"/>
          <w:highlight w:val="none"/>
        </w:rPr>
        <w:t xml:space="preserve">   </w:t>
      </w:r>
      <w:r>
        <w:rPr>
          <w:rFonts w:hint="eastAsia" w:hAnsi="宋体"/>
          <w:color w:val="auto"/>
          <w:highlight w:val="none"/>
        </w:rPr>
        <w:t xml:space="preserve"> 所有计量单位均采用中华人民共和国法定计量单位。</w:t>
      </w:r>
    </w:p>
    <w:p w14:paraId="5ABECA7D">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rPr>
      </w:pPr>
      <w:bookmarkStart w:id="422" w:name="_Toc29032"/>
      <w:bookmarkStart w:id="423" w:name="_Toc8928"/>
      <w:bookmarkStart w:id="424" w:name="_Toc32371"/>
      <w:bookmarkStart w:id="425" w:name="_Toc12959"/>
      <w:bookmarkStart w:id="426" w:name="_Toc14634"/>
      <w:bookmarkStart w:id="427" w:name="_Toc17036"/>
      <w:bookmarkStart w:id="428" w:name="_Toc26563"/>
      <w:bookmarkStart w:id="429" w:name="_Toc7522"/>
      <w:bookmarkStart w:id="430" w:name="_Toc22079"/>
      <w:bookmarkStart w:id="431" w:name="_Toc4114"/>
      <w:bookmarkStart w:id="432" w:name="_Toc19893"/>
      <w:bookmarkStart w:id="433" w:name="_Toc484792191"/>
      <w:bookmarkStart w:id="434" w:name="_Toc14950"/>
      <w:bookmarkStart w:id="435" w:name="_Toc8565"/>
      <w:bookmarkStart w:id="436" w:name="_Toc293"/>
      <w:bookmarkStart w:id="437" w:name="_Toc20921"/>
      <w:bookmarkStart w:id="438" w:name="_Toc5678"/>
      <w:bookmarkStart w:id="439" w:name="_Toc3747"/>
      <w:bookmarkStart w:id="440" w:name="_Toc26474"/>
      <w:bookmarkStart w:id="441" w:name="_Toc22005"/>
      <w:bookmarkStart w:id="442" w:name="_Toc32622"/>
      <w:bookmarkStart w:id="443" w:name="_Toc18563"/>
      <w:bookmarkStart w:id="444" w:name="_Toc9415"/>
      <w:bookmarkStart w:id="445" w:name="_Toc32752"/>
      <w:bookmarkStart w:id="446" w:name="_Toc25700"/>
      <w:bookmarkStart w:id="447" w:name="_Toc24000"/>
      <w:bookmarkStart w:id="448" w:name="_Toc25901"/>
      <w:bookmarkStart w:id="449" w:name="_Toc3174"/>
      <w:bookmarkStart w:id="450" w:name="_Toc16697"/>
      <w:bookmarkStart w:id="451" w:name="_Toc5990"/>
      <w:bookmarkStart w:id="452" w:name="_Toc29853"/>
      <w:bookmarkStart w:id="453" w:name="_Toc13024"/>
      <w:bookmarkStart w:id="454" w:name="_Toc27539"/>
      <w:bookmarkStart w:id="455" w:name="_Toc5496"/>
      <w:bookmarkStart w:id="456" w:name="_Toc967"/>
      <w:bookmarkStart w:id="457" w:name="_Toc23724"/>
      <w:bookmarkStart w:id="458" w:name="_Toc8935"/>
      <w:bookmarkStart w:id="459" w:name="_Toc482803078"/>
      <w:bookmarkStart w:id="460" w:name="_Toc28977"/>
      <w:bookmarkStart w:id="461" w:name="_Toc13247"/>
      <w:bookmarkStart w:id="462" w:name="_Toc31602"/>
      <w:bookmarkStart w:id="463" w:name="_Toc10557"/>
      <w:bookmarkStart w:id="464" w:name="_Toc15317"/>
      <w:bookmarkStart w:id="465" w:name="_Toc10310"/>
      <w:bookmarkStart w:id="466" w:name="_Toc23676"/>
      <w:bookmarkStart w:id="467" w:name="_Toc20850"/>
      <w:bookmarkStart w:id="468" w:name="_Toc18502"/>
      <w:bookmarkStart w:id="469" w:name="_Toc17306"/>
      <w:bookmarkStart w:id="470" w:name="_Toc15188"/>
      <w:bookmarkStart w:id="471" w:name="_Toc11679"/>
      <w:bookmarkStart w:id="472" w:name="_Toc13098"/>
      <w:r>
        <w:rPr>
          <w:rFonts w:hint="eastAsia" w:ascii="宋体" w:hAnsi="宋体" w:eastAsia="宋体" w:cs="宋体"/>
          <w:b/>
          <w:color w:val="auto"/>
          <w:highlight w:val="none"/>
        </w:rPr>
        <w:t>1.9 踏勘现场</w:t>
      </w:r>
      <w:bookmarkEnd w:id="422"/>
      <w:bookmarkEnd w:id="423"/>
      <w:bookmarkEnd w:id="424"/>
      <w:bookmarkEnd w:id="425"/>
      <w:bookmarkEnd w:id="426"/>
      <w:bookmarkEnd w:id="427"/>
      <w:bookmarkEnd w:id="428"/>
      <w:bookmarkEnd w:id="429"/>
      <w:bookmarkEnd w:id="430"/>
    </w:p>
    <w:p w14:paraId="4C92C79D">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1.9.1 </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须知前附表规定组织踏勘现场的，</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按</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须知前附表规定的时间、地点组织</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踏勘项目现场。</w:t>
      </w:r>
    </w:p>
    <w:p w14:paraId="368A185B">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1.9.2 </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踏勘现场发生的费用自理。</w:t>
      </w:r>
    </w:p>
    <w:p w14:paraId="3637CF91">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ascii="宋体" w:hAnsi="宋体" w:eastAsia="宋体" w:cs="宋体"/>
          <w:color w:val="auto"/>
          <w:highlight w:val="none"/>
        </w:rPr>
      </w:pPr>
      <w:r>
        <w:rPr>
          <w:rFonts w:hint="eastAsia" w:ascii="宋体" w:hAnsi="宋体" w:eastAsia="宋体" w:cs="宋体"/>
          <w:color w:val="auto"/>
          <w:highlight w:val="none"/>
        </w:rPr>
        <w:t>1.9.3 除</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w:t>
      </w:r>
      <w:r>
        <w:rPr>
          <w:rFonts w:hint="eastAsia" w:ascii="宋体" w:hAnsi="宋体" w:eastAsia="宋体" w:cs="宋体"/>
          <w:color w:val="auto"/>
          <w:highlight w:val="none"/>
        </w:rPr>
        <w:t>的原因外，</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自行负责在踏勘现场中所发生的人员伤亡和财产损失。</w:t>
      </w:r>
    </w:p>
    <w:p w14:paraId="77E599EF">
      <w:pPr>
        <w:tabs>
          <w:tab w:val="left" w:pos="2127"/>
        </w:tabs>
        <w:kinsoku/>
        <w:wordWrap/>
        <w:overflowPunct/>
        <w:topLinePunct w:val="0"/>
        <w:autoSpaceDE/>
        <w:autoSpaceDN/>
        <w:bidi w:val="0"/>
        <w:adjustRightInd/>
        <w:snapToGrid/>
        <w:spacing w:line="312" w:lineRule="auto"/>
        <w:ind w:left="0" w:leftChars="0" w:firstLine="435"/>
        <w:textAlignment w:val="auto"/>
        <w:rPr>
          <w:rFonts w:hint="eastAsia" w:hAnsi="宋体"/>
          <w:b/>
          <w:color w:val="auto"/>
          <w:highlight w:val="none"/>
        </w:rPr>
      </w:pPr>
      <w:r>
        <w:rPr>
          <w:rFonts w:hint="eastAsia" w:ascii="宋体" w:hAnsi="宋体" w:eastAsia="宋体" w:cs="宋体"/>
          <w:color w:val="auto"/>
          <w:highlight w:val="none"/>
        </w:rPr>
        <w:t xml:space="preserve">1.9.4 </w:t>
      </w:r>
      <w:r>
        <w:rPr>
          <w:rFonts w:hint="eastAsia" w:hAnsi="宋体"/>
          <w:color w:val="auto"/>
          <w:highlight w:val="none"/>
        </w:rPr>
        <w:t>招标人在踏勘现场中介绍的工程场地和相关的周边环境情况，供投标人在编制</w:t>
      </w:r>
      <w:r>
        <w:rPr>
          <w:rFonts w:hint="eastAsia" w:hAnsi="宋体"/>
          <w:color w:val="auto"/>
          <w:highlight w:val="none"/>
          <w:lang w:eastAsia="zh-CN"/>
        </w:rPr>
        <w:t>投标文件（含定标文件）</w:t>
      </w:r>
      <w:r>
        <w:rPr>
          <w:rFonts w:hint="eastAsia" w:hAnsi="宋体"/>
          <w:color w:val="auto"/>
          <w:highlight w:val="none"/>
        </w:rPr>
        <w:t>时参考，招标人不对投标人据此作出的判断和决策负责</w:t>
      </w:r>
      <w:r>
        <w:rPr>
          <w:rFonts w:hint="eastAsia" w:ascii="宋体" w:hAnsi="宋体" w:eastAsia="宋体" w:cs="宋体"/>
          <w:color w:val="auto"/>
          <w:highlight w:val="none"/>
        </w:rPr>
        <w:t>。</w:t>
      </w:r>
    </w:p>
    <w:p w14:paraId="4E0BEF5B">
      <w:pPr>
        <w:pStyle w:val="23"/>
        <w:tabs>
          <w:tab w:val="left" w:pos="2127"/>
        </w:tabs>
        <w:kinsoku/>
        <w:overflowPunct/>
        <w:bidi w:val="0"/>
        <w:spacing w:line="360" w:lineRule="auto"/>
        <w:textAlignment w:val="auto"/>
        <w:outlineLvl w:val="2"/>
        <w:rPr>
          <w:rFonts w:hAnsi="宋体"/>
          <w:b/>
          <w:color w:val="auto"/>
          <w:highlight w:val="none"/>
        </w:rPr>
      </w:pPr>
      <w:bookmarkStart w:id="473" w:name="_Toc27810"/>
      <w:bookmarkStart w:id="474" w:name="_Toc25303"/>
      <w:bookmarkStart w:id="475" w:name="_Toc23139"/>
      <w:bookmarkStart w:id="476" w:name="_Toc23417"/>
      <w:bookmarkStart w:id="477" w:name="_Toc14794"/>
      <w:bookmarkStart w:id="478" w:name="_Toc3699"/>
      <w:bookmarkStart w:id="479" w:name="_Toc21373"/>
      <w:bookmarkStart w:id="480" w:name="_Toc16017"/>
      <w:bookmarkStart w:id="481" w:name="_Toc12442"/>
      <w:r>
        <w:rPr>
          <w:rFonts w:hint="eastAsia" w:hAnsi="宋体"/>
          <w:b/>
          <w:color w:val="auto"/>
          <w:highlight w:val="none"/>
        </w:rPr>
        <w:t>1.</w:t>
      </w:r>
      <w:r>
        <w:rPr>
          <w:rFonts w:hint="eastAsia" w:hAnsi="宋体"/>
          <w:b/>
          <w:color w:val="auto"/>
          <w:highlight w:val="none"/>
          <w:lang w:val="en-US" w:eastAsia="zh-CN"/>
        </w:rPr>
        <w:t>10</w:t>
      </w:r>
      <w:r>
        <w:rPr>
          <w:rFonts w:hint="eastAsia" w:hAnsi="宋体"/>
          <w:b/>
          <w:color w:val="auto"/>
          <w:highlight w:val="none"/>
        </w:rPr>
        <w:t xml:space="preserve"> 投标预备会</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3ED99C7A">
      <w:pPr>
        <w:pStyle w:val="23"/>
        <w:tabs>
          <w:tab w:val="left" w:pos="2127"/>
        </w:tabs>
        <w:kinsoku/>
        <w:overflowPunct/>
        <w:bidi w:val="0"/>
        <w:spacing w:line="360" w:lineRule="auto"/>
        <w:ind w:firstLine="435"/>
        <w:textAlignment w:val="auto"/>
        <w:rPr>
          <w:rFonts w:hint="eastAsia" w:hAnsi="宋体"/>
          <w:color w:val="auto"/>
          <w:highlight w:val="none"/>
        </w:rPr>
      </w:pPr>
      <w:r>
        <w:rPr>
          <w:rFonts w:hint="eastAsia" w:hAnsi="宋体"/>
          <w:color w:val="auto"/>
          <w:highlight w:val="none"/>
        </w:rPr>
        <w:t>本招标项目不召开投标预备会。</w:t>
      </w:r>
    </w:p>
    <w:p w14:paraId="7B03063F">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lang w:val="en-US" w:eastAsia="zh-CN"/>
        </w:rPr>
      </w:pPr>
      <w:bookmarkStart w:id="482" w:name="_Toc16622"/>
      <w:bookmarkStart w:id="483" w:name="_Toc15512"/>
      <w:bookmarkStart w:id="484" w:name="_Toc28905"/>
      <w:bookmarkStart w:id="485" w:name="_Toc25177"/>
      <w:bookmarkStart w:id="486" w:name="_Toc25850"/>
      <w:bookmarkStart w:id="487" w:name="_Toc32196"/>
      <w:bookmarkStart w:id="488" w:name="_Toc9195"/>
      <w:bookmarkStart w:id="489" w:name="_Toc14796"/>
      <w:bookmarkStart w:id="490" w:name="_Toc31032"/>
      <w:r>
        <w:rPr>
          <w:rFonts w:hint="eastAsia" w:ascii="宋体" w:hAnsi="宋体" w:eastAsia="宋体" w:cs="宋体"/>
          <w:b/>
          <w:color w:val="auto"/>
          <w:highlight w:val="none"/>
        </w:rPr>
        <w:t>1.1</w:t>
      </w:r>
      <w:r>
        <w:rPr>
          <w:rFonts w:hint="eastAsia" w:ascii="宋体" w:hAnsi="宋体" w:eastAsia="宋体" w:cs="宋体"/>
          <w:b/>
          <w:color w:val="auto"/>
          <w:highlight w:val="none"/>
          <w:lang w:val="en-US" w:eastAsia="zh-CN"/>
        </w:rPr>
        <w:t>1</w:t>
      </w: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分包</w:t>
      </w:r>
      <w:bookmarkEnd w:id="482"/>
      <w:bookmarkEnd w:id="483"/>
      <w:bookmarkEnd w:id="484"/>
      <w:bookmarkEnd w:id="485"/>
      <w:bookmarkEnd w:id="486"/>
      <w:bookmarkEnd w:id="487"/>
      <w:bookmarkEnd w:id="488"/>
      <w:bookmarkEnd w:id="489"/>
      <w:bookmarkEnd w:id="490"/>
    </w:p>
    <w:p w14:paraId="159D9A80">
      <w:pPr>
        <w:tabs>
          <w:tab w:val="left" w:pos="2127"/>
        </w:tabs>
        <w:kinsoku/>
        <w:wordWrap/>
        <w:overflowPunct/>
        <w:topLinePunct w:val="0"/>
        <w:autoSpaceDE/>
        <w:autoSpaceDN/>
        <w:bidi w:val="0"/>
        <w:adjustRightInd/>
        <w:snapToGrid/>
        <w:spacing w:line="312" w:lineRule="auto"/>
        <w:ind w:left="0" w:leftChars="0" w:firstLine="420" w:firstLineChars="200"/>
        <w:textAlignment w:val="auto"/>
        <w:outlineLvl w:val="9"/>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本项目严禁分包。</w:t>
      </w:r>
    </w:p>
    <w:p w14:paraId="7FBD222D">
      <w:pPr>
        <w:rPr>
          <w:color w:val="auto"/>
          <w:highlight w:val="none"/>
        </w:rPr>
      </w:pPr>
    </w:p>
    <w:p w14:paraId="08866CC8">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491" w:name="_Toc19223"/>
      <w:bookmarkStart w:id="492" w:name="_Toc21553"/>
      <w:bookmarkStart w:id="493" w:name="_Toc14427"/>
      <w:bookmarkStart w:id="494" w:name="_Toc2854"/>
      <w:bookmarkStart w:id="495" w:name="_Toc168"/>
      <w:bookmarkStart w:id="496" w:name="_Toc7733"/>
      <w:bookmarkStart w:id="497" w:name="_Toc17358"/>
      <w:bookmarkStart w:id="498" w:name="_Toc30848"/>
      <w:bookmarkStart w:id="499" w:name="_Toc5692"/>
      <w:bookmarkStart w:id="500" w:name="_Toc4438"/>
      <w:bookmarkStart w:id="501" w:name="_Toc28415"/>
      <w:bookmarkStart w:id="502" w:name="_Toc23877"/>
      <w:bookmarkStart w:id="503" w:name="_Toc27173"/>
      <w:bookmarkStart w:id="504" w:name="_Toc30783"/>
      <w:bookmarkStart w:id="505" w:name="_Toc16703"/>
      <w:bookmarkStart w:id="506" w:name="_Toc23335"/>
      <w:bookmarkStart w:id="507" w:name="_Toc20498"/>
      <w:r>
        <w:rPr>
          <w:rFonts w:hint="eastAsia" w:ascii="宋体" w:hAnsi="宋体" w:eastAsia="宋体"/>
          <w:color w:val="auto"/>
          <w:sz w:val="24"/>
          <w:szCs w:val="24"/>
          <w:highlight w:val="none"/>
        </w:rPr>
        <w:t>2. 招标文件</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24E7E239">
      <w:pPr>
        <w:pStyle w:val="23"/>
        <w:tabs>
          <w:tab w:val="left" w:pos="2127"/>
        </w:tabs>
        <w:kinsoku/>
        <w:overflowPunct/>
        <w:bidi w:val="0"/>
        <w:spacing w:line="360" w:lineRule="auto"/>
        <w:textAlignment w:val="auto"/>
        <w:outlineLvl w:val="2"/>
        <w:rPr>
          <w:rFonts w:hAnsi="宋体"/>
          <w:b/>
          <w:color w:val="auto"/>
          <w:highlight w:val="none"/>
        </w:rPr>
      </w:pPr>
      <w:bookmarkStart w:id="508" w:name="_Toc13380"/>
      <w:bookmarkStart w:id="509" w:name="_Toc3536"/>
      <w:bookmarkStart w:id="510" w:name="_Toc27578"/>
      <w:bookmarkStart w:id="511" w:name="_Toc11258"/>
      <w:bookmarkStart w:id="512" w:name="_Toc25069"/>
      <w:bookmarkStart w:id="513" w:name="_Toc11630"/>
      <w:bookmarkStart w:id="514" w:name="_Toc26697"/>
      <w:bookmarkStart w:id="515" w:name="_Toc484792194"/>
      <w:bookmarkStart w:id="516" w:name="_Toc10013"/>
      <w:bookmarkStart w:id="517" w:name="_Toc1787"/>
      <w:bookmarkStart w:id="518" w:name="_Toc25036"/>
      <w:bookmarkStart w:id="519" w:name="_Toc17422"/>
      <w:bookmarkStart w:id="520" w:name="_Toc25961"/>
      <w:bookmarkStart w:id="521" w:name="_Toc29731"/>
      <w:bookmarkStart w:id="522" w:name="_Toc14108"/>
      <w:bookmarkStart w:id="523" w:name="_Toc28351"/>
      <w:bookmarkStart w:id="524" w:name="_Toc2503"/>
      <w:bookmarkStart w:id="525" w:name="_Toc19925"/>
      <w:bookmarkStart w:id="526" w:name="_Toc482803081"/>
      <w:bookmarkStart w:id="527" w:name="_Toc22730"/>
      <w:bookmarkStart w:id="528" w:name="_Toc18405"/>
      <w:bookmarkStart w:id="529" w:name="_Toc11137"/>
      <w:bookmarkStart w:id="530" w:name="_Toc8862"/>
      <w:bookmarkStart w:id="531" w:name="_Toc463"/>
      <w:bookmarkStart w:id="532" w:name="_Toc2777"/>
      <w:bookmarkStart w:id="533" w:name="_Toc6805"/>
      <w:bookmarkStart w:id="534" w:name="_Toc9658"/>
      <w:bookmarkStart w:id="535" w:name="_Toc7417"/>
      <w:bookmarkStart w:id="536" w:name="_Toc19287"/>
      <w:bookmarkStart w:id="537" w:name="_Toc1850"/>
      <w:bookmarkStart w:id="538" w:name="_Toc14455"/>
      <w:bookmarkStart w:id="539" w:name="_Toc26997"/>
      <w:bookmarkStart w:id="540" w:name="_Toc4073"/>
      <w:bookmarkStart w:id="541" w:name="_Toc20102"/>
      <w:bookmarkStart w:id="542" w:name="_Toc1947"/>
      <w:bookmarkStart w:id="543" w:name="_Toc27703"/>
      <w:bookmarkStart w:id="544" w:name="_Toc22320"/>
      <w:bookmarkStart w:id="545" w:name="_Toc21237"/>
      <w:bookmarkStart w:id="546" w:name="_Toc27789"/>
      <w:bookmarkStart w:id="547" w:name="_Toc31374"/>
      <w:bookmarkStart w:id="548" w:name="_Toc10226"/>
      <w:bookmarkStart w:id="549" w:name="_Toc8768"/>
      <w:bookmarkStart w:id="550" w:name="_Toc11182"/>
      <w:bookmarkStart w:id="551" w:name="_Toc30041"/>
      <w:bookmarkStart w:id="552" w:name="_Toc20028"/>
      <w:bookmarkStart w:id="553" w:name="_Toc26943"/>
      <w:bookmarkStart w:id="554" w:name="_Toc16390"/>
      <w:bookmarkStart w:id="555" w:name="_Toc15804"/>
      <w:bookmarkStart w:id="556" w:name="_Toc4174"/>
      <w:bookmarkStart w:id="557" w:name="_Toc11561"/>
      <w:r>
        <w:rPr>
          <w:rFonts w:hint="eastAsia" w:hAnsi="宋体"/>
          <w:b/>
          <w:color w:val="auto"/>
          <w:highlight w:val="none"/>
        </w:rPr>
        <w:t>2.1 招标文件的组成</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7531C3F">
      <w:pPr>
        <w:tabs>
          <w:tab w:val="left" w:pos="2127"/>
        </w:tabs>
        <w:kinsoku/>
        <w:overflowPunct/>
        <w:bidi w:val="0"/>
        <w:spacing w:line="360" w:lineRule="auto"/>
        <w:textAlignment w:val="auto"/>
        <w:rPr>
          <w:rFonts w:ascii="宋体" w:hAnsi="宋体"/>
          <w:color w:val="auto"/>
          <w:highlight w:val="none"/>
        </w:rPr>
      </w:pPr>
      <w:r>
        <w:rPr>
          <w:rFonts w:hint="eastAsia" w:ascii="宋体" w:hAnsi="宋体"/>
          <w:color w:val="auto"/>
          <w:highlight w:val="none"/>
        </w:rPr>
        <w:t xml:space="preserve">    本招标文件包括：</w:t>
      </w:r>
    </w:p>
    <w:p w14:paraId="6BA740D2">
      <w:pPr>
        <w:tabs>
          <w:tab w:val="left" w:pos="2127"/>
        </w:tabs>
        <w:kinsoku/>
        <w:overflowPunct/>
        <w:bidi w:val="0"/>
        <w:spacing w:line="360" w:lineRule="auto"/>
        <w:ind w:firstLine="420" w:firstLineChars="200"/>
        <w:textAlignment w:val="auto"/>
        <w:rPr>
          <w:rFonts w:hint="eastAsia" w:ascii="宋体" w:hAnsi="宋体" w:eastAsia="宋体"/>
          <w:color w:val="auto"/>
          <w:highlight w:val="none"/>
          <w:lang w:eastAsia="zh-CN"/>
        </w:rPr>
      </w:pPr>
      <w:r>
        <w:rPr>
          <w:rFonts w:hint="eastAsia" w:ascii="宋体" w:hAnsi="宋体"/>
          <w:color w:val="auto"/>
          <w:highlight w:val="none"/>
        </w:rPr>
        <w:t>（1）招标公告</w:t>
      </w:r>
      <w:r>
        <w:rPr>
          <w:rFonts w:hint="eastAsia" w:ascii="宋体" w:hAnsi="宋体"/>
          <w:color w:val="auto"/>
          <w:highlight w:val="none"/>
          <w:lang w:eastAsia="zh-CN"/>
        </w:rPr>
        <w:t>；</w:t>
      </w:r>
    </w:p>
    <w:p w14:paraId="6B5A9C1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2</w:t>
      </w:r>
      <w:r>
        <w:rPr>
          <w:rFonts w:hint="eastAsia" w:ascii="宋体" w:hAnsi="宋体"/>
          <w:color w:val="auto"/>
          <w:highlight w:val="none"/>
        </w:rPr>
        <w:t>）投标人须知；</w:t>
      </w:r>
    </w:p>
    <w:p w14:paraId="050C2DEC">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）评标办法</w:t>
      </w:r>
    </w:p>
    <w:p w14:paraId="7CB25040">
      <w:pPr>
        <w:tabs>
          <w:tab w:val="left" w:pos="2127"/>
        </w:tabs>
        <w:kinsoku/>
        <w:overflowPunct/>
        <w:bidi w:val="0"/>
        <w:spacing w:line="360" w:lineRule="auto"/>
        <w:ind w:firstLine="420" w:firstLineChars="200"/>
        <w:textAlignment w:val="auto"/>
        <w:rPr>
          <w:rFonts w:hint="eastAsia" w:ascii="宋体" w:hAnsi="宋体" w:eastAsia="宋体"/>
          <w:color w:val="auto"/>
          <w:highlight w:val="none"/>
          <w:lang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）合同条款及格式(另册)</w:t>
      </w:r>
      <w:r>
        <w:rPr>
          <w:rFonts w:hint="eastAsia" w:ascii="宋体" w:hAnsi="宋体"/>
          <w:color w:val="auto"/>
          <w:highlight w:val="none"/>
          <w:lang w:eastAsia="zh-CN"/>
        </w:rPr>
        <w:t>；</w:t>
      </w:r>
    </w:p>
    <w:p w14:paraId="3A91050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）技术标准、要求；</w:t>
      </w:r>
    </w:p>
    <w:p w14:paraId="4D8BF82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6</w:t>
      </w:r>
      <w:r>
        <w:rPr>
          <w:rFonts w:hint="eastAsia" w:ascii="宋体" w:hAnsi="宋体"/>
          <w:color w:val="auto"/>
          <w:highlight w:val="none"/>
        </w:rPr>
        <w:t>）</w:t>
      </w:r>
      <w:r>
        <w:rPr>
          <w:rFonts w:hint="eastAsia" w:ascii="宋体" w:hAnsi="宋体"/>
          <w:color w:val="auto"/>
          <w:highlight w:val="none"/>
          <w:lang w:val="en-US" w:eastAsia="zh-CN"/>
        </w:rPr>
        <w:t>投标</w:t>
      </w:r>
      <w:r>
        <w:rPr>
          <w:rFonts w:hint="eastAsia" w:ascii="宋体" w:hAnsi="宋体"/>
          <w:color w:val="auto"/>
          <w:highlight w:val="none"/>
        </w:rPr>
        <w:t>文件（含定标文件）格式；</w:t>
      </w:r>
    </w:p>
    <w:p w14:paraId="15F62DD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7</w:t>
      </w:r>
      <w:r>
        <w:rPr>
          <w:rFonts w:hint="eastAsia" w:ascii="宋体" w:hAnsi="宋体"/>
          <w:color w:val="auto"/>
          <w:highlight w:val="none"/>
        </w:rPr>
        <w:t>）投标人须知前附表规定的其他材料。</w:t>
      </w:r>
    </w:p>
    <w:p w14:paraId="5AE3CF2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根据本章</w:t>
      </w:r>
      <w:r>
        <w:rPr>
          <w:rFonts w:hint="eastAsia" w:ascii="宋体" w:hAnsi="宋体" w:eastAsia="宋体" w:cs="宋体"/>
          <w:color w:val="auto"/>
          <w:highlight w:val="none"/>
        </w:rPr>
        <w:t>第1.</w:t>
      </w:r>
      <w:r>
        <w:rPr>
          <w:rFonts w:hint="eastAsia" w:ascii="宋体" w:hAnsi="宋体" w:cs="宋体"/>
          <w:color w:val="auto"/>
          <w:highlight w:val="none"/>
          <w:lang w:val="en-US" w:eastAsia="zh-CN"/>
        </w:rPr>
        <w:t>10</w:t>
      </w:r>
      <w:r>
        <w:rPr>
          <w:rFonts w:hint="eastAsia" w:ascii="宋体" w:hAnsi="宋体" w:eastAsia="宋体" w:cs="宋体"/>
          <w:color w:val="auto"/>
          <w:highlight w:val="none"/>
        </w:rPr>
        <w:t>款、</w:t>
      </w:r>
      <w:r>
        <w:rPr>
          <w:rFonts w:hint="eastAsia" w:ascii="宋体" w:hAnsi="宋体"/>
          <w:color w:val="auto"/>
          <w:highlight w:val="none"/>
        </w:rPr>
        <w:t>第2.2款和第2.3款对招标文件所作的澄清、修改，构成招标文件的组成部分。</w:t>
      </w:r>
    </w:p>
    <w:p w14:paraId="3F03A856">
      <w:pPr>
        <w:pStyle w:val="23"/>
        <w:tabs>
          <w:tab w:val="left" w:pos="2127"/>
        </w:tabs>
        <w:kinsoku/>
        <w:overflowPunct/>
        <w:bidi w:val="0"/>
        <w:spacing w:line="360" w:lineRule="auto"/>
        <w:textAlignment w:val="auto"/>
        <w:outlineLvl w:val="2"/>
        <w:rPr>
          <w:rFonts w:hAnsi="宋体"/>
          <w:b/>
          <w:color w:val="auto"/>
          <w:highlight w:val="none"/>
        </w:rPr>
      </w:pPr>
      <w:bookmarkStart w:id="558" w:name="_Toc10767"/>
      <w:bookmarkStart w:id="559" w:name="_Toc32111"/>
      <w:bookmarkStart w:id="560" w:name="_Toc2112"/>
      <w:bookmarkStart w:id="561" w:name="_Toc16487"/>
      <w:bookmarkStart w:id="562" w:name="_Toc8279"/>
      <w:bookmarkStart w:id="563" w:name="_Toc9738"/>
      <w:bookmarkStart w:id="564" w:name="_Toc16639"/>
      <w:bookmarkStart w:id="565" w:name="_Toc23806"/>
      <w:bookmarkStart w:id="566" w:name="_Toc12237"/>
      <w:bookmarkStart w:id="567" w:name="_Toc30913"/>
      <w:bookmarkStart w:id="568" w:name="_Toc7744"/>
      <w:bookmarkStart w:id="569" w:name="_Toc482803082"/>
      <w:bookmarkStart w:id="570" w:name="_Toc9524"/>
      <w:bookmarkStart w:id="571" w:name="_Toc7437"/>
      <w:bookmarkStart w:id="572" w:name="_Toc2617"/>
      <w:bookmarkStart w:id="573" w:name="_Toc8614"/>
      <w:bookmarkStart w:id="574" w:name="_Toc1462"/>
      <w:bookmarkStart w:id="575" w:name="_Toc5394"/>
      <w:bookmarkStart w:id="576" w:name="_Toc1974"/>
      <w:bookmarkStart w:id="577" w:name="_Toc18519"/>
      <w:bookmarkStart w:id="578" w:name="_Toc28819"/>
      <w:bookmarkStart w:id="579" w:name="_Toc18280"/>
      <w:bookmarkStart w:id="580" w:name="_Toc4484"/>
      <w:bookmarkStart w:id="581" w:name="_Toc32524"/>
      <w:bookmarkStart w:id="582" w:name="_Toc8665"/>
      <w:bookmarkStart w:id="583" w:name="_Toc20702"/>
      <w:bookmarkStart w:id="584" w:name="_Toc25087"/>
      <w:bookmarkStart w:id="585" w:name="_Toc5526"/>
      <w:bookmarkStart w:id="586" w:name="_Toc484792195"/>
      <w:bookmarkStart w:id="587" w:name="_Toc23359"/>
      <w:bookmarkStart w:id="588" w:name="_Toc7306"/>
      <w:bookmarkStart w:id="589" w:name="_Toc3401"/>
      <w:bookmarkStart w:id="590" w:name="_Toc1525"/>
      <w:bookmarkStart w:id="591" w:name="_Toc27773"/>
      <w:bookmarkStart w:id="592" w:name="_Toc3890"/>
      <w:bookmarkStart w:id="593" w:name="_Toc2851"/>
      <w:bookmarkStart w:id="594" w:name="_Toc30356"/>
      <w:bookmarkStart w:id="595" w:name="_Toc7142"/>
      <w:bookmarkStart w:id="596" w:name="_Toc3513"/>
      <w:bookmarkStart w:id="597" w:name="_Toc8179"/>
      <w:bookmarkStart w:id="598" w:name="_Toc8163"/>
      <w:bookmarkStart w:id="599" w:name="_Toc21472"/>
      <w:bookmarkStart w:id="600" w:name="_Toc20698"/>
      <w:bookmarkStart w:id="601" w:name="_Toc23007"/>
      <w:bookmarkStart w:id="602" w:name="_Toc244"/>
      <w:bookmarkStart w:id="603" w:name="_Toc31574"/>
      <w:bookmarkStart w:id="604" w:name="_Toc19186"/>
      <w:bookmarkStart w:id="605" w:name="_Toc24948"/>
      <w:bookmarkStart w:id="606" w:name="_Toc20076"/>
      <w:bookmarkStart w:id="607" w:name="_Toc6389"/>
      <w:r>
        <w:rPr>
          <w:rFonts w:hint="eastAsia" w:hAnsi="宋体"/>
          <w:b/>
          <w:color w:val="auto"/>
          <w:highlight w:val="none"/>
        </w:rPr>
        <w:t>2.2 招标文件的澄清</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2B9B6ECA">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2.2.1</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仔</w:t>
      </w:r>
      <w:r>
        <w:rPr>
          <w:rFonts w:hint="eastAsia" w:ascii="宋体" w:hAnsi="宋体" w:cs="宋体"/>
          <w:color w:val="auto"/>
          <w:spacing w:val="-2"/>
          <w:kern w:val="0"/>
          <w:szCs w:val="21"/>
          <w:highlight w:val="none"/>
        </w:rPr>
        <w:t>细</w:t>
      </w:r>
      <w:r>
        <w:rPr>
          <w:rFonts w:hint="eastAsia" w:ascii="宋体" w:hAnsi="宋体" w:cs="宋体"/>
          <w:color w:val="auto"/>
          <w:kern w:val="0"/>
          <w:szCs w:val="21"/>
          <w:highlight w:val="none"/>
        </w:rPr>
        <w:t>阅</w:t>
      </w:r>
      <w:r>
        <w:rPr>
          <w:rFonts w:hint="eastAsia" w:ascii="宋体" w:hAnsi="宋体" w:cs="宋体"/>
          <w:color w:val="auto"/>
          <w:spacing w:val="-2"/>
          <w:kern w:val="0"/>
          <w:szCs w:val="21"/>
          <w:highlight w:val="none"/>
        </w:rPr>
        <w:t>读和</w:t>
      </w:r>
      <w:r>
        <w:rPr>
          <w:rFonts w:hint="eastAsia" w:ascii="宋体" w:hAnsi="宋体" w:cs="宋体"/>
          <w:color w:val="auto"/>
          <w:kern w:val="0"/>
          <w:szCs w:val="21"/>
          <w:highlight w:val="none"/>
        </w:rPr>
        <w:t>检查</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全</w:t>
      </w:r>
      <w:r>
        <w:rPr>
          <w:rFonts w:hint="eastAsia" w:ascii="宋体" w:hAnsi="宋体" w:cs="宋体"/>
          <w:color w:val="auto"/>
          <w:spacing w:val="-2"/>
          <w:kern w:val="0"/>
          <w:szCs w:val="21"/>
          <w:highlight w:val="none"/>
        </w:rPr>
        <w:t>部</w:t>
      </w:r>
      <w:r>
        <w:rPr>
          <w:rFonts w:hint="eastAsia" w:ascii="宋体" w:hAnsi="宋体" w:cs="宋体"/>
          <w:color w:val="auto"/>
          <w:kern w:val="0"/>
          <w:szCs w:val="21"/>
          <w:highlight w:val="none"/>
        </w:rPr>
        <w:t>内</w:t>
      </w:r>
      <w:r>
        <w:rPr>
          <w:rFonts w:hint="eastAsia" w:ascii="宋体" w:hAnsi="宋体" w:cs="宋体"/>
          <w:color w:val="auto"/>
          <w:spacing w:val="-2"/>
          <w:kern w:val="0"/>
          <w:szCs w:val="21"/>
          <w:highlight w:val="none"/>
        </w:rPr>
        <w:t>容</w:t>
      </w:r>
      <w:r>
        <w:rPr>
          <w:rFonts w:hint="eastAsia" w:ascii="宋体" w:hAnsi="宋体" w:cs="宋体"/>
          <w:color w:val="auto"/>
          <w:spacing w:val="-38"/>
          <w:kern w:val="0"/>
          <w:szCs w:val="21"/>
          <w:highlight w:val="none"/>
        </w:rPr>
        <w:t>。</w:t>
      </w:r>
      <w:r>
        <w:rPr>
          <w:rFonts w:hint="eastAsia" w:ascii="宋体" w:hAnsi="宋体" w:cs="宋体"/>
          <w:color w:val="auto"/>
          <w:kern w:val="0"/>
          <w:szCs w:val="21"/>
          <w:highlight w:val="none"/>
        </w:rPr>
        <w:t>如</w:t>
      </w:r>
      <w:r>
        <w:rPr>
          <w:rFonts w:hint="eastAsia" w:ascii="宋体" w:hAnsi="宋体" w:cs="宋体"/>
          <w:color w:val="auto"/>
          <w:spacing w:val="-2"/>
          <w:kern w:val="0"/>
          <w:szCs w:val="21"/>
          <w:highlight w:val="none"/>
        </w:rPr>
        <w:t>发</w:t>
      </w:r>
      <w:r>
        <w:rPr>
          <w:rFonts w:hint="eastAsia" w:ascii="宋体" w:hAnsi="宋体" w:cs="宋体"/>
          <w:color w:val="auto"/>
          <w:kern w:val="0"/>
          <w:szCs w:val="21"/>
          <w:highlight w:val="none"/>
        </w:rPr>
        <w:t>现</w:t>
      </w:r>
      <w:r>
        <w:rPr>
          <w:rFonts w:hint="eastAsia" w:ascii="宋体" w:hAnsi="宋体" w:cs="宋体"/>
          <w:color w:val="auto"/>
          <w:spacing w:val="-2"/>
          <w:kern w:val="0"/>
          <w:szCs w:val="21"/>
          <w:highlight w:val="none"/>
        </w:rPr>
        <w:t>缺</w:t>
      </w:r>
      <w:r>
        <w:rPr>
          <w:rFonts w:hint="eastAsia" w:ascii="宋体" w:hAnsi="宋体" w:cs="宋体"/>
          <w:color w:val="auto"/>
          <w:kern w:val="0"/>
          <w:szCs w:val="21"/>
          <w:highlight w:val="none"/>
        </w:rPr>
        <w:t>页</w:t>
      </w:r>
      <w:r>
        <w:rPr>
          <w:rFonts w:hint="eastAsia" w:ascii="宋体" w:hAnsi="宋体" w:cs="宋体"/>
          <w:color w:val="auto"/>
          <w:spacing w:val="-2"/>
          <w:kern w:val="0"/>
          <w:szCs w:val="21"/>
          <w:highlight w:val="none"/>
        </w:rPr>
        <w:t>或</w:t>
      </w:r>
      <w:r>
        <w:rPr>
          <w:rFonts w:hint="eastAsia" w:ascii="宋体" w:hAnsi="宋体" w:cs="宋体"/>
          <w:color w:val="auto"/>
          <w:kern w:val="0"/>
          <w:szCs w:val="21"/>
          <w:highlight w:val="none"/>
        </w:rPr>
        <w:t>附</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不全</w:t>
      </w:r>
      <w:r>
        <w:rPr>
          <w:rFonts w:hint="eastAsia" w:ascii="宋体" w:hAnsi="宋体" w:cs="宋体"/>
          <w:color w:val="auto"/>
          <w:spacing w:val="-41"/>
          <w:kern w:val="0"/>
          <w:szCs w:val="21"/>
          <w:highlight w:val="none"/>
        </w:rPr>
        <w:t>，</w:t>
      </w:r>
      <w:r>
        <w:rPr>
          <w:rFonts w:hint="eastAsia" w:ascii="宋体" w:hAnsi="宋体" w:cs="宋体"/>
          <w:color w:val="auto"/>
          <w:kern w:val="0"/>
          <w:szCs w:val="21"/>
          <w:highlight w:val="none"/>
        </w:rPr>
        <w:t>应及</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向招标人提出，以便</w:t>
      </w:r>
      <w:r>
        <w:rPr>
          <w:rFonts w:hint="eastAsia" w:ascii="宋体" w:hAnsi="宋体" w:cs="宋体"/>
          <w:color w:val="auto"/>
          <w:spacing w:val="-2"/>
          <w:kern w:val="0"/>
          <w:szCs w:val="21"/>
          <w:highlight w:val="none"/>
        </w:rPr>
        <w:t>补</w:t>
      </w:r>
      <w:r>
        <w:rPr>
          <w:rFonts w:hint="eastAsia" w:ascii="宋体" w:hAnsi="宋体" w:cs="宋体"/>
          <w:color w:val="auto"/>
          <w:kern w:val="0"/>
          <w:szCs w:val="21"/>
          <w:highlight w:val="none"/>
        </w:rPr>
        <w:t>齐。</w:t>
      </w:r>
      <w:r>
        <w:rPr>
          <w:rFonts w:hint="eastAsia" w:ascii="宋体" w:hAnsi="宋体" w:cs="宋体"/>
          <w:color w:val="auto"/>
          <w:spacing w:val="-2"/>
          <w:kern w:val="0"/>
          <w:szCs w:val="21"/>
          <w:highlight w:val="none"/>
        </w:rPr>
        <w:t>如</w:t>
      </w:r>
      <w:r>
        <w:rPr>
          <w:rFonts w:hint="eastAsia" w:ascii="宋体" w:hAnsi="宋体" w:cs="宋体"/>
          <w:color w:val="auto"/>
          <w:kern w:val="0"/>
          <w:szCs w:val="21"/>
          <w:highlight w:val="none"/>
        </w:rPr>
        <w:t>有疑问，应按投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人须</w:t>
      </w:r>
      <w:r>
        <w:rPr>
          <w:rFonts w:hint="eastAsia" w:ascii="宋体" w:hAnsi="宋体" w:cs="宋体"/>
          <w:color w:val="auto"/>
          <w:spacing w:val="-2"/>
          <w:kern w:val="0"/>
          <w:szCs w:val="21"/>
          <w:highlight w:val="none"/>
        </w:rPr>
        <w:t>知</w:t>
      </w:r>
      <w:r>
        <w:rPr>
          <w:rFonts w:hint="eastAsia" w:ascii="宋体" w:hAnsi="宋体" w:cs="宋体"/>
          <w:color w:val="auto"/>
          <w:kern w:val="0"/>
          <w:szCs w:val="21"/>
          <w:highlight w:val="none"/>
        </w:rPr>
        <w:t>前附表可在规定的时间内通过广州交易集团有限公司（广州公共资源交易中心）网站进入提问区域将问题提交给招标人或招标代理人，提交问题时一律不得署名。</w:t>
      </w:r>
    </w:p>
    <w:p w14:paraId="35A4DC3A">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 xml:space="preserve">2.2.2 </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澄</w:t>
      </w:r>
      <w:r>
        <w:rPr>
          <w:rFonts w:hint="eastAsia" w:ascii="宋体" w:hAnsi="宋体" w:cs="宋体"/>
          <w:color w:val="auto"/>
          <w:kern w:val="0"/>
          <w:szCs w:val="21"/>
          <w:highlight w:val="none"/>
        </w:rPr>
        <w:t>清</w:t>
      </w:r>
      <w:r>
        <w:rPr>
          <w:rFonts w:hint="eastAsia" w:ascii="宋体" w:hAnsi="宋体" w:cs="宋体"/>
          <w:color w:val="auto"/>
          <w:spacing w:val="-2"/>
          <w:kern w:val="0"/>
          <w:szCs w:val="21"/>
          <w:highlight w:val="none"/>
        </w:rPr>
        <w:t>以投</w:t>
      </w:r>
      <w:r>
        <w:rPr>
          <w:rFonts w:hint="eastAsia" w:ascii="宋体" w:hAnsi="宋体" w:cs="宋体"/>
          <w:color w:val="auto"/>
          <w:kern w:val="0"/>
          <w:szCs w:val="21"/>
          <w:highlight w:val="none"/>
        </w:rPr>
        <w:t>标人</w:t>
      </w:r>
      <w:r>
        <w:rPr>
          <w:rFonts w:hint="eastAsia" w:ascii="宋体" w:hAnsi="宋体" w:cs="宋体"/>
          <w:color w:val="auto"/>
          <w:spacing w:val="-2"/>
          <w:kern w:val="0"/>
          <w:szCs w:val="21"/>
          <w:highlight w:val="none"/>
        </w:rPr>
        <w:t>须</w:t>
      </w:r>
      <w:r>
        <w:rPr>
          <w:rFonts w:hint="eastAsia" w:ascii="宋体" w:hAnsi="宋体" w:cs="宋体"/>
          <w:color w:val="auto"/>
          <w:kern w:val="0"/>
          <w:szCs w:val="21"/>
          <w:highlight w:val="none"/>
        </w:rPr>
        <w:t>知</w:t>
      </w:r>
      <w:r>
        <w:rPr>
          <w:rFonts w:hint="eastAsia" w:ascii="宋体" w:hAnsi="宋体" w:cs="宋体"/>
          <w:color w:val="auto"/>
          <w:spacing w:val="-2"/>
          <w:kern w:val="0"/>
          <w:szCs w:val="21"/>
          <w:highlight w:val="none"/>
        </w:rPr>
        <w:t>前</w:t>
      </w:r>
      <w:r>
        <w:rPr>
          <w:rFonts w:hint="eastAsia" w:ascii="宋体" w:hAnsi="宋体" w:cs="宋体"/>
          <w:color w:val="auto"/>
          <w:kern w:val="0"/>
          <w:szCs w:val="21"/>
          <w:highlight w:val="none"/>
        </w:rPr>
        <w:t>附</w:t>
      </w:r>
      <w:r>
        <w:rPr>
          <w:rFonts w:hint="eastAsia" w:ascii="宋体" w:hAnsi="宋体" w:cs="宋体"/>
          <w:color w:val="auto"/>
          <w:spacing w:val="-2"/>
          <w:kern w:val="0"/>
          <w:szCs w:val="21"/>
          <w:highlight w:val="none"/>
        </w:rPr>
        <w:t>表</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形</w:t>
      </w:r>
      <w:r>
        <w:rPr>
          <w:rFonts w:hint="eastAsia" w:ascii="宋体" w:hAnsi="宋体" w:cs="宋体"/>
          <w:color w:val="auto"/>
          <w:kern w:val="0"/>
          <w:szCs w:val="21"/>
          <w:highlight w:val="none"/>
        </w:rPr>
        <w:t>式发</w:t>
      </w:r>
      <w:r>
        <w:rPr>
          <w:rFonts w:hint="eastAsia" w:ascii="宋体" w:hAnsi="宋体" w:cs="宋体"/>
          <w:color w:val="auto"/>
          <w:spacing w:val="-2"/>
          <w:kern w:val="0"/>
          <w:szCs w:val="21"/>
          <w:highlight w:val="none"/>
        </w:rPr>
        <w:t>给</w:t>
      </w:r>
      <w:r>
        <w:rPr>
          <w:rFonts w:hint="eastAsia" w:ascii="宋体" w:hAnsi="宋体" w:cs="宋体"/>
          <w:color w:val="auto"/>
          <w:kern w:val="0"/>
          <w:szCs w:val="21"/>
          <w:highlight w:val="none"/>
        </w:rPr>
        <w:t>所</w:t>
      </w:r>
      <w:r>
        <w:rPr>
          <w:rFonts w:hint="eastAsia" w:ascii="宋体" w:hAnsi="宋体" w:cs="宋体"/>
          <w:color w:val="auto"/>
          <w:spacing w:val="-2"/>
          <w:kern w:val="0"/>
          <w:szCs w:val="21"/>
          <w:highlight w:val="none"/>
        </w:rPr>
        <w:t>有</w:t>
      </w:r>
      <w:r>
        <w:rPr>
          <w:rFonts w:hint="eastAsia" w:hAnsi="宋体" w:cs="宋体"/>
          <w:color w:val="auto"/>
          <w:spacing w:val="-2"/>
          <w:kern w:val="0"/>
          <w:szCs w:val="21"/>
          <w:highlight w:val="none"/>
          <w:lang w:val="en-US" w:eastAsia="zh-CN"/>
        </w:rPr>
        <w:t>获取</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文</w:t>
      </w:r>
      <w:r>
        <w:rPr>
          <w:rFonts w:hint="eastAsia" w:ascii="宋体" w:hAnsi="宋体" w:cs="宋体"/>
          <w:color w:val="auto"/>
          <w:spacing w:val="-2"/>
          <w:kern w:val="0"/>
          <w:szCs w:val="21"/>
          <w:highlight w:val="none"/>
        </w:rPr>
        <w:t>件</w:t>
      </w:r>
      <w:r>
        <w:rPr>
          <w:rFonts w:hint="eastAsia" w:ascii="宋体" w:hAnsi="宋体" w:cs="宋体"/>
          <w:color w:val="auto"/>
          <w:kern w:val="0"/>
          <w:szCs w:val="21"/>
          <w:highlight w:val="none"/>
        </w:rPr>
        <w:t>的投</w:t>
      </w:r>
      <w:r>
        <w:rPr>
          <w:rFonts w:hint="eastAsia" w:ascii="宋体" w:hAnsi="宋体" w:cs="宋体"/>
          <w:color w:val="auto"/>
          <w:spacing w:val="-2"/>
          <w:kern w:val="0"/>
          <w:szCs w:val="21"/>
          <w:highlight w:val="none"/>
        </w:rPr>
        <w:t>标人</w:t>
      </w:r>
      <w:r>
        <w:rPr>
          <w:rFonts w:hint="eastAsia" w:ascii="宋体" w:hAnsi="宋体" w:cs="宋体"/>
          <w:color w:val="auto"/>
          <w:spacing w:val="-22"/>
          <w:kern w:val="0"/>
          <w:szCs w:val="21"/>
          <w:highlight w:val="none"/>
        </w:rPr>
        <w:t>，</w:t>
      </w:r>
      <w:r>
        <w:rPr>
          <w:rFonts w:hint="eastAsia" w:ascii="宋体" w:hAnsi="宋体" w:cs="宋体"/>
          <w:color w:val="auto"/>
          <w:kern w:val="0"/>
          <w:szCs w:val="21"/>
          <w:highlight w:val="none"/>
        </w:rPr>
        <w:t>但不指</w:t>
      </w:r>
      <w:r>
        <w:rPr>
          <w:rFonts w:hint="eastAsia" w:ascii="宋体" w:hAnsi="宋体" w:cs="宋体"/>
          <w:color w:val="auto"/>
          <w:spacing w:val="-2"/>
          <w:kern w:val="0"/>
          <w:szCs w:val="21"/>
          <w:highlight w:val="none"/>
        </w:rPr>
        <w:t>明</w:t>
      </w:r>
      <w:r>
        <w:rPr>
          <w:rFonts w:hint="eastAsia" w:ascii="宋体" w:hAnsi="宋体" w:cs="宋体"/>
          <w:color w:val="auto"/>
          <w:kern w:val="0"/>
          <w:szCs w:val="21"/>
          <w:highlight w:val="none"/>
        </w:rPr>
        <w:t>澄</w:t>
      </w:r>
      <w:r>
        <w:rPr>
          <w:rFonts w:hint="eastAsia" w:ascii="宋体" w:hAnsi="宋体" w:cs="宋体"/>
          <w:color w:val="auto"/>
          <w:spacing w:val="-2"/>
          <w:kern w:val="0"/>
          <w:szCs w:val="21"/>
          <w:highlight w:val="none"/>
        </w:rPr>
        <w:t>清</w:t>
      </w:r>
      <w:r>
        <w:rPr>
          <w:rFonts w:hint="eastAsia" w:ascii="宋体" w:hAnsi="宋体" w:cs="宋体"/>
          <w:color w:val="auto"/>
          <w:kern w:val="0"/>
          <w:szCs w:val="21"/>
          <w:highlight w:val="none"/>
        </w:rPr>
        <w:t>问</w:t>
      </w:r>
      <w:r>
        <w:rPr>
          <w:rFonts w:hint="eastAsia" w:ascii="宋体" w:hAnsi="宋体" w:cs="宋体"/>
          <w:color w:val="auto"/>
          <w:spacing w:val="-2"/>
          <w:kern w:val="0"/>
          <w:szCs w:val="21"/>
          <w:highlight w:val="none"/>
        </w:rPr>
        <w:t>题</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来</w:t>
      </w:r>
      <w:r>
        <w:rPr>
          <w:rFonts w:hint="eastAsia" w:ascii="宋体" w:hAnsi="宋体" w:cs="宋体"/>
          <w:color w:val="auto"/>
          <w:kern w:val="0"/>
          <w:szCs w:val="21"/>
          <w:highlight w:val="none"/>
        </w:rPr>
        <w:t>源</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澄清</w:t>
      </w:r>
      <w:r>
        <w:rPr>
          <w:rFonts w:hint="eastAsia" w:ascii="宋体" w:hAnsi="宋体" w:cs="宋体"/>
          <w:color w:val="auto"/>
          <w:spacing w:val="-2"/>
          <w:kern w:val="0"/>
          <w:szCs w:val="21"/>
          <w:highlight w:val="none"/>
        </w:rPr>
        <w:t>发</w:t>
      </w:r>
      <w:r>
        <w:rPr>
          <w:rFonts w:hint="eastAsia" w:ascii="宋体" w:hAnsi="宋体" w:cs="宋体"/>
          <w:color w:val="auto"/>
          <w:kern w:val="0"/>
          <w:szCs w:val="21"/>
          <w:highlight w:val="none"/>
        </w:rPr>
        <w:t>出</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距</w:t>
      </w:r>
      <w:r>
        <w:rPr>
          <w:rFonts w:hint="eastAsia" w:ascii="宋体" w:hAnsi="宋体" w:cs="宋体"/>
          <w:color w:val="auto"/>
          <w:spacing w:val="-2"/>
          <w:kern w:val="0"/>
          <w:szCs w:val="21"/>
          <w:highlight w:val="none"/>
        </w:rPr>
        <w:t>本</w:t>
      </w:r>
      <w:r>
        <w:rPr>
          <w:rFonts w:hint="eastAsia" w:ascii="宋体" w:hAnsi="宋体" w:cs="宋体"/>
          <w:color w:val="auto"/>
          <w:kern w:val="0"/>
          <w:szCs w:val="21"/>
          <w:highlight w:val="none"/>
        </w:rPr>
        <w:t>章第4.2.1</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截</w:t>
      </w:r>
      <w:r>
        <w:rPr>
          <w:rFonts w:hint="eastAsia" w:ascii="宋体" w:hAnsi="宋体" w:cs="宋体"/>
          <w:color w:val="auto"/>
          <w:kern w:val="0"/>
          <w:szCs w:val="21"/>
          <w:highlight w:val="none"/>
        </w:rPr>
        <w:t>止</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间不足15</w:t>
      </w:r>
      <w:r>
        <w:rPr>
          <w:rFonts w:hint="eastAsia" w:ascii="宋体" w:hAnsi="宋体" w:cs="宋体"/>
          <w:color w:val="auto"/>
          <w:spacing w:val="-2"/>
          <w:kern w:val="0"/>
          <w:szCs w:val="21"/>
          <w:highlight w:val="none"/>
        </w:rPr>
        <w:t>日的，</w:t>
      </w:r>
      <w:r>
        <w:rPr>
          <w:rFonts w:hint="eastAsia" w:ascii="宋体" w:hAnsi="宋体" w:cs="宋体"/>
          <w:color w:val="auto"/>
          <w:kern w:val="0"/>
          <w:position w:val="-1"/>
          <w:szCs w:val="21"/>
          <w:highlight w:val="none"/>
        </w:rPr>
        <w:t>并且</w:t>
      </w:r>
      <w:r>
        <w:rPr>
          <w:rFonts w:hint="eastAsia" w:ascii="宋体" w:hAnsi="宋体" w:cs="宋体"/>
          <w:color w:val="auto"/>
          <w:spacing w:val="-2"/>
          <w:kern w:val="0"/>
          <w:position w:val="-1"/>
          <w:szCs w:val="21"/>
          <w:highlight w:val="none"/>
        </w:rPr>
        <w:t>澄</w:t>
      </w:r>
      <w:r>
        <w:rPr>
          <w:rFonts w:hint="eastAsia" w:ascii="宋体" w:hAnsi="宋体" w:cs="宋体"/>
          <w:color w:val="auto"/>
          <w:kern w:val="0"/>
          <w:position w:val="-1"/>
          <w:szCs w:val="21"/>
          <w:highlight w:val="none"/>
        </w:rPr>
        <w:t>清</w:t>
      </w:r>
      <w:r>
        <w:rPr>
          <w:rFonts w:hint="eastAsia" w:ascii="宋体" w:hAnsi="宋体" w:cs="宋体"/>
          <w:color w:val="auto"/>
          <w:spacing w:val="-2"/>
          <w:kern w:val="0"/>
          <w:position w:val="-1"/>
          <w:szCs w:val="21"/>
          <w:highlight w:val="none"/>
        </w:rPr>
        <w:t>内</w:t>
      </w:r>
      <w:r>
        <w:rPr>
          <w:rFonts w:hint="eastAsia" w:ascii="宋体" w:hAnsi="宋体" w:cs="宋体"/>
          <w:color w:val="auto"/>
          <w:kern w:val="0"/>
          <w:position w:val="-1"/>
          <w:szCs w:val="21"/>
          <w:highlight w:val="none"/>
        </w:rPr>
        <w:t>容</w:t>
      </w:r>
      <w:r>
        <w:rPr>
          <w:rFonts w:hint="eastAsia" w:ascii="宋体" w:hAnsi="宋体" w:cs="宋体"/>
          <w:color w:val="auto"/>
          <w:spacing w:val="-2"/>
          <w:kern w:val="0"/>
          <w:position w:val="-1"/>
          <w:szCs w:val="21"/>
          <w:highlight w:val="none"/>
        </w:rPr>
        <w:t>可</w:t>
      </w:r>
      <w:r>
        <w:rPr>
          <w:rFonts w:hint="eastAsia" w:ascii="宋体" w:hAnsi="宋体" w:cs="宋体"/>
          <w:color w:val="auto"/>
          <w:kern w:val="0"/>
          <w:position w:val="-1"/>
          <w:szCs w:val="21"/>
          <w:highlight w:val="none"/>
        </w:rPr>
        <w:t>能</w:t>
      </w:r>
      <w:r>
        <w:rPr>
          <w:rFonts w:hint="eastAsia" w:ascii="宋体" w:hAnsi="宋体" w:cs="宋体"/>
          <w:color w:val="auto"/>
          <w:spacing w:val="-2"/>
          <w:kern w:val="0"/>
          <w:position w:val="-1"/>
          <w:szCs w:val="21"/>
          <w:highlight w:val="none"/>
        </w:rPr>
        <w:t>影</w:t>
      </w:r>
      <w:r>
        <w:rPr>
          <w:rFonts w:hint="eastAsia" w:ascii="宋体" w:hAnsi="宋体" w:cs="宋体"/>
          <w:color w:val="auto"/>
          <w:kern w:val="0"/>
          <w:position w:val="-1"/>
          <w:szCs w:val="21"/>
          <w:highlight w:val="none"/>
        </w:rPr>
        <w:t>响</w:t>
      </w:r>
      <w:r>
        <w:rPr>
          <w:rFonts w:hint="eastAsia" w:hAnsi="宋体" w:cs="宋体"/>
          <w:color w:val="auto"/>
          <w:spacing w:val="-2"/>
          <w:kern w:val="0"/>
          <w:position w:val="-1"/>
          <w:szCs w:val="21"/>
          <w:highlight w:val="none"/>
          <w:lang w:eastAsia="zh-CN"/>
        </w:rPr>
        <w:t>投标文件（含定标文件）</w:t>
      </w:r>
      <w:r>
        <w:rPr>
          <w:rFonts w:hint="eastAsia" w:ascii="宋体" w:hAnsi="宋体" w:cs="宋体"/>
          <w:color w:val="auto"/>
          <w:kern w:val="0"/>
          <w:position w:val="-1"/>
          <w:szCs w:val="21"/>
          <w:highlight w:val="none"/>
        </w:rPr>
        <w:t>编</w:t>
      </w:r>
      <w:r>
        <w:rPr>
          <w:rFonts w:hint="eastAsia" w:ascii="宋体" w:hAnsi="宋体" w:cs="宋体"/>
          <w:color w:val="auto"/>
          <w:spacing w:val="-2"/>
          <w:kern w:val="0"/>
          <w:position w:val="-1"/>
          <w:szCs w:val="21"/>
          <w:highlight w:val="none"/>
        </w:rPr>
        <w:t>制</w:t>
      </w:r>
      <w:r>
        <w:rPr>
          <w:rFonts w:hint="eastAsia" w:ascii="宋体" w:hAnsi="宋体" w:cs="宋体"/>
          <w:color w:val="auto"/>
          <w:kern w:val="0"/>
          <w:position w:val="-1"/>
          <w:szCs w:val="21"/>
          <w:highlight w:val="none"/>
        </w:rPr>
        <w:t>的</w:t>
      </w:r>
      <w:r>
        <w:rPr>
          <w:rFonts w:hint="eastAsia" w:ascii="宋体" w:hAnsi="宋体" w:cs="宋体"/>
          <w:color w:val="auto"/>
          <w:spacing w:val="-2"/>
          <w:kern w:val="0"/>
          <w:position w:val="-1"/>
          <w:szCs w:val="21"/>
          <w:highlight w:val="none"/>
        </w:rPr>
        <w:t>，</w:t>
      </w:r>
      <w:r>
        <w:rPr>
          <w:rFonts w:hint="eastAsia" w:ascii="宋体" w:hAnsi="宋体" w:cs="宋体"/>
          <w:color w:val="auto"/>
          <w:kern w:val="0"/>
          <w:position w:val="-1"/>
          <w:szCs w:val="21"/>
          <w:highlight w:val="none"/>
        </w:rPr>
        <w:t>将</w:t>
      </w:r>
      <w:r>
        <w:rPr>
          <w:rFonts w:hint="eastAsia" w:ascii="宋体" w:hAnsi="宋体" w:cs="宋体"/>
          <w:color w:val="auto"/>
          <w:spacing w:val="-2"/>
          <w:kern w:val="0"/>
          <w:position w:val="-1"/>
          <w:szCs w:val="21"/>
          <w:highlight w:val="none"/>
        </w:rPr>
        <w:t>相</w:t>
      </w:r>
      <w:r>
        <w:rPr>
          <w:rFonts w:hint="eastAsia" w:ascii="宋体" w:hAnsi="宋体" w:cs="宋体"/>
          <w:color w:val="auto"/>
          <w:kern w:val="0"/>
          <w:position w:val="-1"/>
          <w:szCs w:val="21"/>
          <w:highlight w:val="none"/>
        </w:rPr>
        <w:t>应</w:t>
      </w:r>
      <w:r>
        <w:rPr>
          <w:rFonts w:hint="eastAsia" w:ascii="宋体" w:hAnsi="宋体" w:cs="宋体"/>
          <w:color w:val="auto"/>
          <w:spacing w:val="-2"/>
          <w:kern w:val="0"/>
          <w:position w:val="-1"/>
          <w:szCs w:val="21"/>
          <w:highlight w:val="none"/>
        </w:rPr>
        <w:t>延</w:t>
      </w:r>
      <w:r>
        <w:rPr>
          <w:rFonts w:hint="eastAsia" w:ascii="宋体" w:hAnsi="宋体" w:cs="宋体"/>
          <w:color w:val="auto"/>
          <w:kern w:val="0"/>
          <w:position w:val="-1"/>
          <w:szCs w:val="21"/>
          <w:highlight w:val="none"/>
        </w:rPr>
        <w:t>长投</w:t>
      </w:r>
      <w:r>
        <w:rPr>
          <w:rFonts w:hint="eastAsia" w:ascii="宋体" w:hAnsi="宋体" w:cs="宋体"/>
          <w:color w:val="auto"/>
          <w:spacing w:val="-2"/>
          <w:kern w:val="0"/>
          <w:position w:val="-1"/>
          <w:szCs w:val="21"/>
          <w:highlight w:val="none"/>
        </w:rPr>
        <w:t>标</w:t>
      </w:r>
      <w:r>
        <w:rPr>
          <w:rFonts w:hint="eastAsia" w:ascii="宋体" w:hAnsi="宋体" w:cs="宋体"/>
          <w:color w:val="auto"/>
          <w:kern w:val="0"/>
          <w:position w:val="-1"/>
          <w:szCs w:val="21"/>
          <w:highlight w:val="none"/>
        </w:rPr>
        <w:t>截</w:t>
      </w:r>
      <w:r>
        <w:rPr>
          <w:rFonts w:hint="eastAsia" w:ascii="宋体" w:hAnsi="宋体" w:cs="宋体"/>
          <w:color w:val="auto"/>
          <w:spacing w:val="-2"/>
          <w:kern w:val="0"/>
          <w:position w:val="-1"/>
          <w:szCs w:val="21"/>
          <w:highlight w:val="none"/>
        </w:rPr>
        <w:t>止</w:t>
      </w:r>
      <w:r>
        <w:rPr>
          <w:rFonts w:hint="eastAsia" w:ascii="宋体" w:hAnsi="宋体" w:cs="宋体"/>
          <w:color w:val="auto"/>
          <w:kern w:val="0"/>
          <w:position w:val="-1"/>
          <w:szCs w:val="21"/>
          <w:highlight w:val="none"/>
        </w:rPr>
        <w:t>时</w:t>
      </w:r>
      <w:r>
        <w:rPr>
          <w:rFonts w:hint="eastAsia" w:ascii="宋体" w:hAnsi="宋体" w:cs="宋体"/>
          <w:color w:val="auto"/>
          <w:spacing w:val="-2"/>
          <w:kern w:val="0"/>
          <w:position w:val="-1"/>
          <w:szCs w:val="21"/>
          <w:highlight w:val="none"/>
        </w:rPr>
        <w:t>间</w:t>
      </w:r>
      <w:r>
        <w:rPr>
          <w:rFonts w:hint="eastAsia" w:ascii="宋体" w:hAnsi="宋体" w:cs="宋体"/>
          <w:color w:val="auto"/>
          <w:kern w:val="0"/>
          <w:position w:val="-1"/>
          <w:szCs w:val="21"/>
          <w:highlight w:val="none"/>
        </w:rPr>
        <w:t>。</w:t>
      </w:r>
    </w:p>
    <w:p w14:paraId="21E52F56">
      <w:pPr>
        <w:pStyle w:val="23"/>
        <w:tabs>
          <w:tab w:val="left" w:pos="2127"/>
        </w:tabs>
        <w:kinsoku/>
        <w:overflowPunct/>
        <w:bidi w:val="0"/>
        <w:spacing w:line="360" w:lineRule="auto"/>
        <w:ind w:firstLine="420" w:firstLineChars="200"/>
        <w:textAlignment w:val="auto"/>
        <w:rPr>
          <w:rFonts w:hint="eastAsia" w:hAnsi="宋体"/>
          <w:color w:val="auto"/>
          <w:highlight w:val="none"/>
        </w:rPr>
      </w:pPr>
      <w:r>
        <w:rPr>
          <w:rFonts w:hint="eastAsia" w:hAnsi="宋体"/>
          <w:color w:val="auto"/>
          <w:highlight w:val="none"/>
        </w:rPr>
        <w:t>2.2.3 投标人在收到澄清后应按投标人须知前附表规定形式通知招标人，确认已收到该澄清。</w:t>
      </w:r>
    </w:p>
    <w:p w14:paraId="224D47E7">
      <w:pPr>
        <w:pStyle w:val="23"/>
        <w:tabs>
          <w:tab w:val="left" w:pos="2127"/>
        </w:tabs>
        <w:kinsoku/>
        <w:overflowPunct/>
        <w:bidi w:val="0"/>
        <w:spacing w:line="360" w:lineRule="auto"/>
        <w:ind w:firstLine="420" w:firstLineChars="200"/>
        <w:textAlignment w:val="auto"/>
        <w:rPr>
          <w:rFonts w:hint="eastAsia" w:hAnsi="宋体" w:eastAsia="宋体"/>
          <w:color w:val="auto"/>
          <w:highlight w:val="none"/>
          <w:lang w:eastAsia="zh-CN"/>
        </w:rPr>
      </w:pPr>
      <w:r>
        <w:rPr>
          <w:rFonts w:hint="eastAsia" w:hAnsi="宋体"/>
          <w:color w:val="auto"/>
          <w:highlight w:val="none"/>
        </w:rPr>
        <w:t>2.2.</w:t>
      </w:r>
      <w:r>
        <w:rPr>
          <w:rFonts w:hint="eastAsia" w:hAnsi="宋体"/>
          <w:color w:val="auto"/>
          <w:highlight w:val="none"/>
          <w:lang w:val="en-US" w:eastAsia="zh-CN"/>
        </w:rPr>
        <w:t>4</w:t>
      </w:r>
      <w:r>
        <w:rPr>
          <w:rFonts w:hint="eastAsia" w:ascii="宋体" w:hAnsi="宋体" w:cs="宋体"/>
          <w:color w:val="auto"/>
          <w:kern w:val="0"/>
          <w:szCs w:val="21"/>
          <w:highlight w:val="none"/>
        </w:rPr>
        <w:t>除</w:t>
      </w:r>
      <w:r>
        <w:rPr>
          <w:rFonts w:hint="eastAsia" w:ascii="宋体" w:hAnsi="宋体" w:cs="宋体"/>
          <w:color w:val="auto"/>
          <w:spacing w:val="-2"/>
          <w:kern w:val="0"/>
          <w:szCs w:val="21"/>
          <w:highlight w:val="none"/>
        </w:rPr>
        <w:t>非</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认</w:t>
      </w:r>
      <w:r>
        <w:rPr>
          <w:rFonts w:hint="eastAsia" w:ascii="宋体" w:hAnsi="宋体" w:cs="宋体"/>
          <w:color w:val="auto"/>
          <w:kern w:val="0"/>
          <w:szCs w:val="21"/>
          <w:highlight w:val="none"/>
        </w:rPr>
        <w:t>为</w:t>
      </w:r>
      <w:r>
        <w:rPr>
          <w:rFonts w:hint="eastAsia" w:ascii="宋体" w:hAnsi="宋体" w:cs="宋体"/>
          <w:color w:val="auto"/>
          <w:spacing w:val="-2"/>
          <w:kern w:val="0"/>
          <w:szCs w:val="21"/>
          <w:highlight w:val="none"/>
        </w:rPr>
        <w:t>确有</w:t>
      </w:r>
      <w:r>
        <w:rPr>
          <w:rFonts w:hint="eastAsia" w:ascii="宋体" w:hAnsi="宋体" w:cs="宋体"/>
          <w:color w:val="auto"/>
          <w:kern w:val="0"/>
          <w:szCs w:val="21"/>
          <w:highlight w:val="none"/>
        </w:rPr>
        <w:t>必要</w:t>
      </w:r>
      <w:r>
        <w:rPr>
          <w:rFonts w:hint="eastAsia" w:ascii="宋体" w:hAnsi="宋体" w:cs="宋体"/>
          <w:color w:val="auto"/>
          <w:spacing w:val="-2"/>
          <w:kern w:val="0"/>
          <w:szCs w:val="21"/>
          <w:highlight w:val="none"/>
        </w:rPr>
        <w:t>答</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否</w:t>
      </w:r>
      <w:r>
        <w:rPr>
          <w:rFonts w:hint="eastAsia" w:ascii="宋体" w:hAnsi="宋体" w:cs="宋体"/>
          <w:color w:val="auto"/>
          <w:spacing w:val="-2"/>
          <w:kern w:val="0"/>
          <w:szCs w:val="21"/>
          <w:highlight w:val="none"/>
        </w:rPr>
        <w:t>则</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有权</w:t>
      </w:r>
      <w:r>
        <w:rPr>
          <w:rFonts w:hint="eastAsia" w:ascii="宋体" w:hAnsi="宋体" w:cs="宋体"/>
          <w:color w:val="auto"/>
          <w:spacing w:val="-2"/>
          <w:kern w:val="0"/>
          <w:szCs w:val="21"/>
          <w:highlight w:val="none"/>
        </w:rPr>
        <w:t>拒</w:t>
      </w:r>
      <w:r>
        <w:rPr>
          <w:rFonts w:hint="eastAsia" w:ascii="宋体" w:hAnsi="宋体" w:cs="宋体"/>
          <w:color w:val="auto"/>
          <w:kern w:val="0"/>
          <w:szCs w:val="21"/>
          <w:highlight w:val="none"/>
        </w:rPr>
        <w:t>绝</w:t>
      </w:r>
      <w:r>
        <w:rPr>
          <w:rFonts w:hint="eastAsia" w:ascii="宋体" w:hAnsi="宋体" w:cs="宋体"/>
          <w:color w:val="auto"/>
          <w:spacing w:val="-2"/>
          <w:kern w:val="0"/>
          <w:szCs w:val="21"/>
          <w:highlight w:val="none"/>
        </w:rPr>
        <w:t>回</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本</w:t>
      </w:r>
      <w:r>
        <w:rPr>
          <w:rFonts w:hint="eastAsia" w:ascii="宋体" w:hAnsi="宋体" w:cs="宋体"/>
          <w:color w:val="auto"/>
          <w:kern w:val="0"/>
          <w:szCs w:val="21"/>
          <w:highlight w:val="none"/>
        </w:rPr>
        <w:t>章第2.</w:t>
      </w:r>
      <w:r>
        <w:rPr>
          <w:rFonts w:hint="eastAsia" w:ascii="宋体" w:hAnsi="宋体" w:cs="宋体"/>
          <w:color w:val="auto"/>
          <w:spacing w:val="-2"/>
          <w:kern w:val="0"/>
          <w:szCs w:val="21"/>
          <w:highlight w:val="none"/>
        </w:rPr>
        <w:t>2</w:t>
      </w:r>
      <w:r>
        <w:rPr>
          <w:rFonts w:hint="eastAsia" w:ascii="宋体" w:hAnsi="宋体" w:cs="宋体"/>
          <w:color w:val="auto"/>
          <w:kern w:val="0"/>
          <w:szCs w:val="21"/>
          <w:highlight w:val="none"/>
        </w:rPr>
        <w:t>.1项规定</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后</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任</w:t>
      </w:r>
      <w:r>
        <w:rPr>
          <w:rFonts w:hint="eastAsia" w:ascii="宋体" w:hAnsi="宋体" w:cs="宋体"/>
          <w:color w:val="auto"/>
          <w:spacing w:val="-2"/>
          <w:kern w:val="0"/>
          <w:szCs w:val="21"/>
          <w:highlight w:val="none"/>
        </w:rPr>
        <w:t>何</w:t>
      </w:r>
      <w:r>
        <w:rPr>
          <w:rFonts w:hint="eastAsia" w:ascii="宋体" w:hAnsi="宋体" w:cs="宋体"/>
          <w:color w:val="auto"/>
          <w:kern w:val="0"/>
          <w:szCs w:val="21"/>
          <w:highlight w:val="none"/>
        </w:rPr>
        <w:t>澄</w:t>
      </w:r>
      <w:r>
        <w:rPr>
          <w:rFonts w:hint="eastAsia" w:ascii="宋体" w:hAnsi="宋体" w:cs="宋体"/>
          <w:color w:val="auto"/>
          <w:spacing w:val="-2"/>
          <w:kern w:val="0"/>
          <w:szCs w:val="21"/>
          <w:highlight w:val="none"/>
        </w:rPr>
        <w:t>清</w:t>
      </w:r>
      <w:r>
        <w:rPr>
          <w:rFonts w:hint="eastAsia" w:ascii="宋体" w:hAnsi="宋体" w:cs="宋体"/>
          <w:color w:val="auto"/>
          <w:kern w:val="0"/>
          <w:szCs w:val="21"/>
          <w:highlight w:val="none"/>
        </w:rPr>
        <w:t>要求。</w:t>
      </w:r>
    </w:p>
    <w:p w14:paraId="5358B3B1">
      <w:pPr>
        <w:pStyle w:val="23"/>
        <w:tabs>
          <w:tab w:val="left" w:pos="2127"/>
        </w:tabs>
        <w:kinsoku/>
        <w:overflowPunct/>
        <w:bidi w:val="0"/>
        <w:spacing w:line="360" w:lineRule="auto"/>
        <w:textAlignment w:val="auto"/>
        <w:outlineLvl w:val="2"/>
        <w:rPr>
          <w:rFonts w:hAnsi="宋体"/>
          <w:b/>
          <w:color w:val="auto"/>
          <w:highlight w:val="none"/>
        </w:rPr>
      </w:pPr>
      <w:bookmarkStart w:id="608" w:name="_Toc4135"/>
      <w:bookmarkStart w:id="609" w:name="_Toc16694"/>
      <w:bookmarkStart w:id="610" w:name="_Toc482803083"/>
      <w:bookmarkStart w:id="611" w:name="_Toc10583"/>
      <w:bookmarkStart w:id="612" w:name="_Toc7920"/>
      <w:bookmarkStart w:id="613" w:name="_Toc22890"/>
      <w:bookmarkStart w:id="614" w:name="_Toc17515"/>
      <w:bookmarkStart w:id="615" w:name="_Toc12683"/>
      <w:bookmarkStart w:id="616" w:name="_Toc25505"/>
      <w:bookmarkStart w:id="617" w:name="_Toc28385"/>
      <w:bookmarkStart w:id="618" w:name="_Toc7079"/>
      <w:bookmarkStart w:id="619" w:name="_Toc26160"/>
      <w:bookmarkStart w:id="620" w:name="_Toc16003"/>
      <w:bookmarkStart w:id="621" w:name="_Toc5371"/>
      <w:bookmarkStart w:id="622" w:name="_Toc4647"/>
      <w:bookmarkStart w:id="623" w:name="_Toc2515"/>
      <w:bookmarkStart w:id="624" w:name="_Toc15009"/>
      <w:bookmarkStart w:id="625" w:name="_Toc27201"/>
      <w:bookmarkStart w:id="626" w:name="_Toc5804"/>
      <w:bookmarkStart w:id="627" w:name="_Toc24487"/>
      <w:bookmarkStart w:id="628" w:name="_Toc22677"/>
      <w:bookmarkStart w:id="629" w:name="_Toc25982"/>
      <w:bookmarkStart w:id="630" w:name="_Toc2115"/>
      <w:bookmarkStart w:id="631" w:name="_Toc6221"/>
      <w:bookmarkStart w:id="632" w:name="_Toc15963"/>
      <w:bookmarkStart w:id="633" w:name="_Toc26384"/>
      <w:bookmarkStart w:id="634" w:name="_Toc13248"/>
      <w:bookmarkStart w:id="635" w:name="_Toc20444"/>
      <w:bookmarkStart w:id="636" w:name="_Toc14914"/>
      <w:bookmarkStart w:id="637" w:name="_Toc17434"/>
      <w:bookmarkStart w:id="638" w:name="_Toc8839"/>
      <w:bookmarkStart w:id="639" w:name="_Toc21462"/>
      <w:bookmarkStart w:id="640" w:name="_Toc6014"/>
      <w:bookmarkStart w:id="641" w:name="_Toc718"/>
      <w:bookmarkStart w:id="642" w:name="_Toc297"/>
      <w:bookmarkStart w:id="643" w:name="_Toc484792196"/>
      <w:bookmarkStart w:id="644" w:name="_Toc29160"/>
      <w:bookmarkStart w:id="645" w:name="_Toc901"/>
      <w:bookmarkStart w:id="646" w:name="_Toc25455"/>
      <w:bookmarkStart w:id="647" w:name="_Toc10113"/>
      <w:bookmarkStart w:id="648" w:name="_Toc12415"/>
      <w:bookmarkStart w:id="649" w:name="_Toc14881"/>
      <w:bookmarkStart w:id="650" w:name="_Toc25785"/>
      <w:bookmarkStart w:id="651" w:name="_Toc7521"/>
      <w:bookmarkStart w:id="652" w:name="_Toc30799"/>
      <w:bookmarkStart w:id="653" w:name="_Toc14348"/>
      <w:bookmarkStart w:id="654" w:name="_Toc32437"/>
      <w:bookmarkStart w:id="655" w:name="_Toc1196"/>
      <w:bookmarkStart w:id="656" w:name="_Toc4868"/>
      <w:bookmarkStart w:id="657" w:name="_Toc26934"/>
      <w:r>
        <w:rPr>
          <w:rFonts w:hint="eastAsia" w:hAnsi="宋体"/>
          <w:b/>
          <w:color w:val="auto"/>
          <w:highlight w:val="none"/>
        </w:rPr>
        <w:t>2.3 招标文件的修改</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A754041">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2.3.1招标人以投标人须知前附表规定的形式修改招标文件，并通知所有已</w:t>
      </w:r>
      <w:r>
        <w:rPr>
          <w:rFonts w:hint="eastAsia" w:hAnsi="宋体"/>
          <w:color w:val="auto"/>
          <w:highlight w:val="none"/>
          <w:lang w:val="en-US" w:eastAsia="zh-CN"/>
        </w:rPr>
        <w:t>获取招标</w:t>
      </w:r>
      <w:r>
        <w:rPr>
          <w:rFonts w:hint="eastAsia" w:hAnsi="宋体"/>
          <w:color w:val="auto"/>
          <w:highlight w:val="none"/>
        </w:rPr>
        <w:t>文件的投标人</w:t>
      </w:r>
      <w:r>
        <w:rPr>
          <w:rFonts w:hint="eastAsia" w:hAnsi="宋体"/>
          <w:color w:val="auto"/>
          <w:highlight w:val="none"/>
          <w:lang w:eastAsia="zh-CN"/>
        </w:rPr>
        <w:t>。</w:t>
      </w:r>
      <w:r>
        <w:rPr>
          <w:rFonts w:hint="eastAsia" w:ascii="宋体" w:hAnsi="宋体" w:cs="宋体"/>
          <w:color w:val="auto"/>
          <w:spacing w:val="-2"/>
          <w:kern w:val="0"/>
          <w:szCs w:val="21"/>
          <w:highlight w:val="none"/>
        </w:rPr>
        <w:t>修</w:t>
      </w:r>
      <w:r>
        <w:rPr>
          <w:rFonts w:hint="eastAsia" w:ascii="宋体" w:hAnsi="宋体" w:cs="宋体"/>
          <w:color w:val="auto"/>
          <w:kern w:val="0"/>
          <w:szCs w:val="21"/>
          <w:highlight w:val="none"/>
        </w:rPr>
        <w:t>改</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时间</w:t>
      </w:r>
      <w:r>
        <w:rPr>
          <w:rFonts w:hint="eastAsia" w:ascii="宋体" w:hAnsi="宋体" w:cs="宋体"/>
          <w:color w:val="auto"/>
          <w:spacing w:val="-2"/>
          <w:kern w:val="0"/>
          <w:szCs w:val="21"/>
          <w:highlight w:val="none"/>
        </w:rPr>
        <w:t>距</w:t>
      </w:r>
      <w:r>
        <w:rPr>
          <w:rFonts w:hint="eastAsia" w:ascii="宋体" w:hAnsi="宋体" w:cs="宋体"/>
          <w:color w:val="auto"/>
          <w:kern w:val="0"/>
          <w:szCs w:val="21"/>
          <w:highlight w:val="none"/>
        </w:rPr>
        <w:t>本</w:t>
      </w:r>
      <w:r>
        <w:rPr>
          <w:rFonts w:hint="eastAsia" w:ascii="宋体" w:hAnsi="宋体" w:cs="宋体"/>
          <w:color w:val="auto"/>
          <w:spacing w:val="-2"/>
          <w:kern w:val="0"/>
          <w:szCs w:val="21"/>
          <w:highlight w:val="none"/>
        </w:rPr>
        <w:t>章</w:t>
      </w:r>
      <w:r>
        <w:rPr>
          <w:rFonts w:hint="eastAsia" w:ascii="宋体" w:hAnsi="宋体" w:cs="宋体"/>
          <w:color w:val="auto"/>
          <w:kern w:val="0"/>
          <w:szCs w:val="21"/>
          <w:highlight w:val="none"/>
        </w:rPr>
        <w:t>第</w:t>
      </w:r>
      <w:r>
        <w:rPr>
          <w:rFonts w:hint="eastAsia" w:ascii="宋体" w:hAnsi="宋体" w:cs="宋体"/>
          <w:color w:val="auto"/>
          <w:spacing w:val="-2"/>
          <w:kern w:val="0"/>
          <w:szCs w:val="21"/>
          <w:highlight w:val="none"/>
        </w:rPr>
        <w:t xml:space="preserve"> </w:t>
      </w:r>
      <w:r>
        <w:rPr>
          <w:rFonts w:hint="eastAsia" w:ascii="宋体" w:hAnsi="宋体" w:cs="宋体"/>
          <w:color w:val="auto"/>
          <w:kern w:val="0"/>
          <w:szCs w:val="21"/>
          <w:highlight w:val="none"/>
        </w:rPr>
        <w:t>4</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2.1</w:t>
      </w:r>
      <w:r>
        <w:rPr>
          <w:rFonts w:hint="eastAsia" w:ascii="宋体" w:hAnsi="宋体" w:cs="宋体"/>
          <w:color w:val="auto"/>
          <w:spacing w:val="7"/>
          <w:kern w:val="0"/>
          <w:szCs w:val="21"/>
          <w:highlight w:val="none"/>
        </w:rPr>
        <w:t xml:space="preserve"> </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规</w:t>
      </w:r>
      <w:r>
        <w:rPr>
          <w:rFonts w:hint="eastAsia" w:ascii="宋体" w:hAnsi="宋体" w:cs="宋体"/>
          <w:color w:val="auto"/>
          <w:spacing w:val="-2"/>
          <w:kern w:val="0"/>
          <w:szCs w:val="21"/>
          <w:highlight w:val="none"/>
        </w:rPr>
        <w:t>定</w:t>
      </w:r>
      <w:r>
        <w:rPr>
          <w:rFonts w:hint="eastAsia" w:ascii="宋体" w:hAnsi="宋体" w:cs="宋体"/>
          <w:color w:val="auto"/>
          <w:kern w:val="0"/>
          <w:szCs w:val="21"/>
          <w:highlight w:val="none"/>
        </w:rPr>
        <w:t>的投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截</w:t>
      </w:r>
      <w:r>
        <w:rPr>
          <w:rFonts w:hint="eastAsia" w:ascii="宋体" w:hAnsi="宋体" w:cs="宋体"/>
          <w:color w:val="auto"/>
          <w:spacing w:val="-2"/>
          <w:kern w:val="0"/>
          <w:szCs w:val="21"/>
          <w:highlight w:val="none"/>
        </w:rPr>
        <w:t>止</w:t>
      </w:r>
      <w:r>
        <w:rPr>
          <w:rFonts w:hint="eastAsia" w:ascii="宋体" w:hAnsi="宋体" w:cs="宋体"/>
          <w:color w:val="auto"/>
          <w:kern w:val="0"/>
          <w:szCs w:val="21"/>
          <w:highlight w:val="none"/>
        </w:rPr>
        <w:t>时</w:t>
      </w:r>
      <w:r>
        <w:rPr>
          <w:rFonts w:hint="eastAsia" w:ascii="宋体" w:hAnsi="宋体" w:cs="宋体"/>
          <w:color w:val="auto"/>
          <w:spacing w:val="-2"/>
          <w:kern w:val="0"/>
          <w:szCs w:val="21"/>
          <w:highlight w:val="none"/>
        </w:rPr>
        <w:t>间</w:t>
      </w:r>
      <w:r>
        <w:rPr>
          <w:rFonts w:hint="eastAsia" w:ascii="宋体" w:hAnsi="宋体" w:cs="宋体"/>
          <w:color w:val="auto"/>
          <w:kern w:val="0"/>
          <w:szCs w:val="21"/>
          <w:highlight w:val="none"/>
        </w:rPr>
        <w:t>不足15</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并</w:t>
      </w:r>
      <w:r>
        <w:rPr>
          <w:rFonts w:hint="eastAsia" w:ascii="宋体" w:hAnsi="宋体" w:cs="宋体"/>
          <w:color w:val="auto"/>
          <w:kern w:val="0"/>
          <w:szCs w:val="21"/>
          <w:highlight w:val="none"/>
        </w:rPr>
        <w:t>且</w:t>
      </w:r>
      <w:r>
        <w:rPr>
          <w:rFonts w:hint="eastAsia" w:ascii="宋体" w:hAnsi="宋体" w:cs="宋体"/>
          <w:color w:val="auto"/>
          <w:spacing w:val="-2"/>
          <w:kern w:val="0"/>
          <w:szCs w:val="21"/>
          <w:highlight w:val="none"/>
        </w:rPr>
        <w:t>修改</w:t>
      </w:r>
      <w:r>
        <w:rPr>
          <w:rFonts w:hint="eastAsia" w:ascii="宋体" w:hAnsi="宋体" w:cs="宋体"/>
          <w:color w:val="auto"/>
          <w:kern w:val="0"/>
          <w:szCs w:val="21"/>
          <w:highlight w:val="none"/>
        </w:rPr>
        <w:t>内容可</w:t>
      </w:r>
      <w:r>
        <w:rPr>
          <w:rFonts w:hint="eastAsia" w:ascii="宋体" w:hAnsi="宋体" w:cs="宋体"/>
          <w:color w:val="auto"/>
          <w:spacing w:val="-2"/>
          <w:kern w:val="0"/>
          <w:szCs w:val="21"/>
          <w:highlight w:val="none"/>
        </w:rPr>
        <w:t>能</w:t>
      </w:r>
      <w:r>
        <w:rPr>
          <w:rFonts w:hint="eastAsia" w:ascii="宋体" w:hAnsi="宋体" w:cs="宋体"/>
          <w:color w:val="auto"/>
          <w:kern w:val="0"/>
          <w:szCs w:val="21"/>
          <w:highlight w:val="none"/>
        </w:rPr>
        <w:t>影</w:t>
      </w:r>
      <w:r>
        <w:rPr>
          <w:rFonts w:hint="eastAsia" w:ascii="宋体" w:hAnsi="宋体" w:cs="宋体"/>
          <w:color w:val="auto"/>
          <w:spacing w:val="-2"/>
          <w:kern w:val="0"/>
          <w:szCs w:val="21"/>
          <w:highlight w:val="none"/>
        </w:rPr>
        <w:t>响</w:t>
      </w:r>
      <w:r>
        <w:rPr>
          <w:rFonts w:hint="eastAsia"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编</w:t>
      </w:r>
      <w:r>
        <w:rPr>
          <w:rFonts w:hint="eastAsia" w:ascii="宋体" w:hAnsi="宋体" w:cs="宋体"/>
          <w:color w:val="auto"/>
          <w:spacing w:val="-2"/>
          <w:kern w:val="0"/>
          <w:szCs w:val="21"/>
          <w:highlight w:val="none"/>
        </w:rPr>
        <w:t>制</w:t>
      </w:r>
      <w:r>
        <w:rPr>
          <w:rFonts w:hint="eastAsia" w:ascii="宋体" w:hAnsi="宋体" w:cs="宋体"/>
          <w:color w:val="auto"/>
          <w:kern w:val="0"/>
          <w:szCs w:val="21"/>
          <w:highlight w:val="none"/>
        </w:rPr>
        <w:t>的，招标人将酌情延长提交</w:t>
      </w:r>
      <w:r>
        <w:rPr>
          <w:rFonts w:hint="eastAsia"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的截止时间，具体时间将在招标文件的修改、补充通知中予以明确。若通知中没有明确延长时间，即表示投标时间不延长。</w:t>
      </w:r>
    </w:p>
    <w:p w14:paraId="6E775C07">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2.3.2投标人收到修改内容后应按投标人须知前附表规定的形式通知招标人，确认已收到该修改。</w:t>
      </w:r>
    </w:p>
    <w:p w14:paraId="3FDB9FFE">
      <w:pPr>
        <w:pStyle w:val="23"/>
        <w:tabs>
          <w:tab w:val="left" w:pos="2127"/>
        </w:tabs>
        <w:kinsoku/>
        <w:overflowPunct/>
        <w:bidi w:val="0"/>
        <w:spacing w:line="360" w:lineRule="auto"/>
        <w:ind w:firstLine="420" w:firstLineChars="200"/>
        <w:textAlignment w:val="auto"/>
        <w:rPr>
          <w:rFonts w:hint="eastAsia" w:hAnsi="宋体"/>
          <w:color w:val="auto"/>
          <w:szCs w:val="21"/>
          <w:highlight w:val="none"/>
        </w:rPr>
      </w:pPr>
      <w:r>
        <w:rPr>
          <w:rFonts w:hint="eastAsia" w:hAnsi="宋体"/>
          <w:color w:val="auto"/>
          <w:highlight w:val="none"/>
        </w:rPr>
        <w:t>2.3.3</w:t>
      </w:r>
      <w:r>
        <w:rPr>
          <w:rFonts w:hint="eastAsia" w:hAnsi="宋体"/>
          <w:color w:val="auto"/>
          <w:szCs w:val="21"/>
          <w:highlight w:val="none"/>
          <w:lang w:val="en-US" w:eastAsia="zh-CN"/>
        </w:rPr>
        <w:t>招标</w:t>
      </w:r>
      <w:r>
        <w:rPr>
          <w:rFonts w:hint="eastAsia" w:hAnsi="宋体"/>
          <w:color w:val="auto"/>
          <w:szCs w:val="21"/>
          <w:highlight w:val="none"/>
        </w:rPr>
        <w:t>文件的修改作为</w:t>
      </w:r>
      <w:r>
        <w:rPr>
          <w:rFonts w:hint="eastAsia" w:hAnsi="宋体"/>
          <w:color w:val="auto"/>
          <w:szCs w:val="21"/>
          <w:highlight w:val="none"/>
          <w:lang w:val="en-US" w:eastAsia="zh-CN"/>
        </w:rPr>
        <w:t>招标</w:t>
      </w:r>
      <w:r>
        <w:rPr>
          <w:rFonts w:hint="eastAsia" w:hAnsi="宋体"/>
          <w:color w:val="auto"/>
          <w:szCs w:val="21"/>
          <w:highlight w:val="none"/>
        </w:rPr>
        <w:t>文件的组成部分，具有约束作用。</w:t>
      </w:r>
    </w:p>
    <w:p w14:paraId="192009EA">
      <w:pPr>
        <w:pStyle w:val="23"/>
        <w:kinsoku/>
        <w:overflowPunct/>
        <w:bidi w:val="0"/>
        <w:spacing w:line="360" w:lineRule="auto"/>
        <w:textAlignment w:val="auto"/>
        <w:outlineLvl w:val="2"/>
        <w:rPr>
          <w:rFonts w:hint="eastAsia" w:hAnsi="宋体"/>
          <w:b/>
          <w:color w:val="auto"/>
          <w:highlight w:val="none"/>
        </w:rPr>
      </w:pPr>
      <w:bookmarkStart w:id="658" w:name="_Toc29190"/>
      <w:bookmarkStart w:id="659" w:name="_Toc5122"/>
      <w:bookmarkStart w:id="660" w:name="_Toc14319"/>
      <w:r>
        <w:rPr>
          <w:rFonts w:hint="eastAsia" w:hAnsi="宋体"/>
          <w:b/>
          <w:color w:val="auto"/>
          <w:highlight w:val="none"/>
        </w:rPr>
        <w:t>2.4</w:t>
      </w:r>
      <w:r>
        <w:rPr>
          <w:rFonts w:hint="eastAsia" w:hAnsi="宋体"/>
          <w:b/>
          <w:color w:val="auto"/>
          <w:highlight w:val="none"/>
          <w:lang w:val="en-US" w:eastAsia="zh-CN"/>
        </w:rPr>
        <w:t>招标</w:t>
      </w:r>
      <w:r>
        <w:rPr>
          <w:rFonts w:hint="eastAsia" w:hAnsi="宋体"/>
          <w:b/>
          <w:color w:val="auto"/>
          <w:highlight w:val="none"/>
          <w:lang w:eastAsia="zh-CN"/>
        </w:rPr>
        <w:t>文件</w:t>
      </w:r>
      <w:r>
        <w:rPr>
          <w:rFonts w:hint="eastAsia" w:hAnsi="宋体"/>
          <w:b/>
          <w:color w:val="auto"/>
          <w:highlight w:val="none"/>
        </w:rPr>
        <w:t>的补充说明</w:t>
      </w:r>
      <w:bookmarkEnd w:id="658"/>
      <w:bookmarkEnd w:id="659"/>
      <w:bookmarkEnd w:id="660"/>
    </w:p>
    <w:p w14:paraId="733D1B65">
      <w:pPr>
        <w:pStyle w:val="23"/>
        <w:kinsoku/>
        <w:overflowPunct/>
        <w:bidi w:val="0"/>
        <w:spacing w:line="360" w:lineRule="auto"/>
        <w:ind w:firstLine="420" w:firstLineChars="200"/>
        <w:textAlignment w:val="auto"/>
        <w:rPr>
          <w:rFonts w:hint="eastAsia" w:hAnsi="宋体"/>
          <w:color w:val="auto"/>
          <w:highlight w:val="none"/>
          <w:u w:val="none"/>
        </w:rPr>
      </w:pPr>
      <w:r>
        <w:rPr>
          <w:rFonts w:hint="eastAsia" w:hAnsi="宋体"/>
          <w:color w:val="auto"/>
          <w:highlight w:val="none"/>
        </w:rPr>
        <w:t>当招标</w:t>
      </w:r>
      <w:r>
        <w:rPr>
          <w:rFonts w:hint="eastAsia" w:hAnsi="宋体"/>
          <w:color w:val="auto"/>
          <w:highlight w:val="none"/>
          <w:lang w:eastAsia="zh-CN"/>
        </w:rPr>
        <w:t>文件</w:t>
      </w:r>
      <w:r>
        <w:rPr>
          <w:rFonts w:hint="eastAsia" w:hAnsi="宋体"/>
          <w:color w:val="auto"/>
          <w:highlight w:val="none"/>
        </w:rPr>
        <w:t>的澄清、修改等在同一内容的表述不一致时，</w:t>
      </w:r>
      <w:r>
        <w:rPr>
          <w:rFonts w:hint="eastAsia" w:ascii="宋体" w:hAnsi="宋体" w:eastAsia="宋体" w:cs="宋体"/>
          <w:color w:val="auto"/>
          <w:highlight w:val="none"/>
          <w:u w:val="none"/>
        </w:rPr>
        <w:t>以最后</w:t>
      </w:r>
      <w:r>
        <w:rPr>
          <w:rFonts w:hint="eastAsia" w:ascii="宋体" w:hAnsi="宋体" w:eastAsia="宋体" w:cs="宋体"/>
          <w:color w:val="auto"/>
          <w:highlight w:val="none"/>
          <w:u w:val="none"/>
          <w:lang w:eastAsia="zh-CN"/>
        </w:rPr>
        <w:t>时间</w:t>
      </w:r>
      <w:r>
        <w:rPr>
          <w:rFonts w:hint="eastAsia" w:ascii="宋体" w:hAnsi="宋体" w:eastAsia="宋体" w:cs="宋体"/>
          <w:color w:val="auto"/>
          <w:highlight w:val="none"/>
          <w:u w:val="none"/>
        </w:rPr>
        <w:t>发布的内容为准</w:t>
      </w:r>
      <w:r>
        <w:rPr>
          <w:rFonts w:hint="eastAsia" w:hAnsi="宋体"/>
          <w:color w:val="auto"/>
          <w:highlight w:val="none"/>
          <w:u w:val="none"/>
        </w:rPr>
        <w:t>。</w:t>
      </w:r>
    </w:p>
    <w:p w14:paraId="6DBD1227">
      <w:pPr>
        <w:pStyle w:val="23"/>
        <w:tabs>
          <w:tab w:val="left" w:pos="2127"/>
        </w:tabs>
        <w:kinsoku/>
        <w:overflowPunct/>
        <w:bidi w:val="0"/>
        <w:spacing w:line="360" w:lineRule="auto"/>
        <w:textAlignment w:val="auto"/>
        <w:rPr>
          <w:rFonts w:hint="eastAsia" w:hAnsi="宋体"/>
          <w:b/>
          <w:color w:val="auto"/>
          <w:highlight w:val="none"/>
        </w:rPr>
      </w:pPr>
      <w:r>
        <w:rPr>
          <w:rFonts w:hint="eastAsia" w:hAnsi="宋体"/>
          <w:b/>
          <w:color w:val="auto"/>
          <w:highlight w:val="none"/>
        </w:rPr>
        <w:t>2.5招标文件的异议</w:t>
      </w:r>
    </w:p>
    <w:p w14:paraId="47C88EC4">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宋体"/>
          <w:color w:val="auto"/>
          <w:kern w:val="0"/>
          <w:szCs w:val="21"/>
          <w:highlight w:val="none"/>
        </w:rPr>
        <w:t>投标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或</w:t>
      </w:r>
      <w:r>
        <w:rPr>
          <w:rFonts w:hint="eastAsia" w:ascii="宋体" w:hAnsi="宋体" w:cs="宋体"/>
          <w:color w:val="auto"/>
          <w:spacing w:val="-2"/>
          <w:kern w:val="0"/>
          <w:szCs w:val="21"/>
          <w:highlight w:val="none"/>
        </w:rPr>
        <w:t>者</w:t>
      </w:r>
      <w:r>
        <w:rPr>
          <w:rFonts w:hint="eastAsia" w:ascii="宋体" w:hAnsi="宋体" w:cs="宋体"/>
          <w:color w:val="auto"/>
          <w:kern w:val="0"/>
          <w:szCs w:val="21"/>
          <w:highlight w:val="none"/>
        </w:rPr>
        <w:t>其</w:t>
      </w:r>
      <w:r>
        <w:rPr>
          <w:rFonts w:hint="eastAsia" w:ascii="宋体" w:hAnsi="宋体" w:cs="宋体"/>
          <w:color w:val="auto"/>
          <w:spacing w:val="-2"/>
          <w:kern w:val="0"/>
          <w:szCs w:val="21"/>
          <w:highlight w:val="none"/>
        </w:rPr>
        <w:t>他</w:t>
      </w:r>
      <w:r>
        <w:rPr>
          <w:rFonts w:hint="eastAsia" w:ascii="宋体" w:hAnsi="宋体" w:cs="宋体"/>
          <w:color w:val="auto"/>
          <w:kern w:val="0"/>
          <w:szCs w:val="21"/>
          <w:highlight w:val="none"/>
        </w:rPr>
        <w:t>利</w:t>
      </w:r>
      <w:r>
        <w:rPr>
          <w:rFonts w:hint="eastAsia" w:ascii="宋体" w:hAnsi="宋体" w:cs="宋体"/>
          <w:color w:val="auto"/>
          <w:spacing w:val="-2"/>
          <w:kern w:val="0"/>
          <w:szCs w:val="21"/>
          <w:highlight w:val="none"/>
        </w:rPr>
        <w:t>害</w:t>
      </w:r>
      <w:r>
        <w:rPr>
          <w:rFonts w:hint="eastAsia" w:ascii="宋体" w:hAnsi="宋体" w:cs="宋体"/>
          <w:color w:val="auto"/>
          <w:kern w:val="0"/>
          <w:szCs w:val="21"/>
          <w:highlight w:val="none"/>
        </w:rPr>
        <w:t>关</w:t>
      </w:r>
      <w:r>
        <w:rPr>
          <w:rFonts w:hint="eastAsia" w:ascii="宋体" w:hAnsi="宋体" w:cs="宋体"/>
          <w:color w:val="auto"/>
          <w:spacing w:val="-2"/>
          <w:kern w:val="0"/>
          <w:szCs w:val="21"/>
          <w:highlight w:val="none"/>
        </w:rPr>
        <w:t>系</w:t>
      </w:r>
      <w:r>
        <w:rPr>
          <w:rFonts w:hint="eastAsia" w:ascii="宋体" w:hAnsi="宋体" w:cs="宋体"/>
          <w:color w:val="auto"/>
          <w:kern w:val="0"/>
          <w:szCs w:val="21"/>
          <w:highlight w:val="none"/>
        </w:rPr>
        <w:t>人对</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文</w:t>
      </w:r>
      <w:r>
        <w:rPr>
          <w:rFonts w:hint="eastAsia" w:ascii="宋体" w:hAnsi="宋体" w:cs="宋体"/>
          <w:color w:val="auto"/>
          <w:kern w:val="0"/>
          <w:szCs w:val="21"/>
          <w:highlight w:val="none"/>
        </w:rPr>
        <w:t>件</w:t>
      </w:r>
      <w:r>
        <w:rPr>
          <w:rFonts w:hint="eastAsia" w:ascii="宋体" w:hAnsi="宋体" w:cs="宋体"/>
          <w:color w:val="auto"/>
          <w:spacing w:val="-2"/>
          <w:kern w:val="0"/>
          <w:szCs w:val="21"/>
          <w:highlight w:val="none"/>
        </w:rPr>
        <w:t>有</w:t>
      </w:r>
      <w:r>
        <w:rPr>
          <w:rFonts w:hint="eastAsia" w:ascii="宋体" w:hAnsi="宋体" w:cs="宋体"/>
          <w:color w:val="auto"/>
          <w:kern w:val="0"/>
          <w:szCs w:val="21"/>
          <w:highlight w:val="none"/>
        </w:rPr>
        <w:t>异</w:t>
      </w:r>
      <w:r>
        <w:rPr>
          <w:rFonts w:hint="eastAsia" w:ascii="宋体" w:hAnsi="宋体" w:cs="宋体"/>
          <w:color w:val="auto"/>
          <w:spacing w:val="-2"/>
          <w:kern w:val="0"/>
          <w:szCs w:val="21"/>
          <w:highlight w:val="none"/>
        </w:rPr>
        <w:t>议的</w:t>
      </w:r>
      <w:r>
        <w:rPr>
          <w:rFonts w:hint="eastAsia" w:ascii="宋体" w:hAnsi="宋体" w:cs="宋体"/>
          <w:color w:val="auto"/>
          <w:spacing w:val="-74"/>
          <w:kern w:val="0"/>
          <w:szCs w:val="21"/>
          <w:highlight w:val="none"/>
        </w:rPr>
        <w:t>，</w:t>
      </w:r>
      <w:r>
        <w:rPr>
          <w:rFonts w:hint="eastAsia" w:ascii="宋体" w:hAnsi="宋体" w:cs="宋体"/>
          <w:color w:val="auto"/>
          <w:spacing w:val="-2"/>
          <w:kern w:val="0"/>
          <w:szCs w:val="21"/>
          <w:highlight w:val="none"/>
        </w:rPr>
        <w:t>应</w:t>
      </w:r>
      <w:r>
        <w:rPr>
          <w:rFonts w:hint="eastAsia" w:ascii="宋体" w:hAnsi="宋体" w:cs="宋体"/>
          <w:color w:val="auto"/>
          <w:kern w:val="0"/>
          <w:szCs w:val="21"/>
          <w:highlight w:val="none"/>
        </w:rPr>
        <w:t>当在</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截</w:t>
      </w:r>
      <w:r>
        <w:rPr>
          <w:rFonts w:hint="eastAsia" w:ascii="宋体" w:hAnsi="宋体" w:cs="宋体"/>
          <w:color w:val="auto"/>
          <w:kern w:val="0"/>
          <w:szCs w:val="21"/>
          <w:highlight w:val="none"/>
        </w:rPr>
        <w:t>止</w:t>
      </w:r>
      <w:r>
        <w:rPr>
          <w:rFonts w:hint="eastAsia" w:ascii="宋体" w:hAnsi="宋体" w:cs="宋体"/>
          <w:color w:val="auto"/>
          <w:spacing w:val="-2"/>
          <w:kern w:val="0"/>
          <w:szCs w:val="21"/>
          <w:highlight w:val="none"/>
        </w:rPr>
        <w:t>时</w:t>
      </w:r>
      <w:r>
        <w:rPr>
          <w:rFonts w:hint="eastAsia" w:ascii="宋体" w:hAnsi="宋体" w:cs="宋体"/>
          <w:color w:val="auto"/>
          <w:kern w:val="0"/>
          <w:szCs w:val="21"/>
          <w:highlight w:val="none"/>
        </w:rPr>
        <w:t>间</w:t>
      </w:r>
      <w:r>
        <w:rPr>
          <w:rFonts w:hint="eastAsia" w:ascii="宋体" w:hAnsi="宋体" w:cs="宋体"/>
          <w:color w:val="auto"/>
          <w:spacing w:val="-2"/>
          <w:kern w:val="0"/>
          <w:szCs w:val="21"/>
          <w:highlight w:val="none"/>
        </w:rPr>
        <w:t>1</w:t>
      </w:r>
      <w:r>
        <w:rPr>
          <w:rFonts w:hint="eastAsia" w:ascii="宋体" w:hAnsi="宋体" w:cs="宋体"/>
          <w:color w:val="auto"/>
          <w:kern w:val="0"/>
          <w:szCs w:val="21"/>
          <w:highlight w:val="none"/>
        </w:rPr>
        <w:t>0</w:t>
      </w:r>
      <w:r>
        <w:rPr>
          <w:rFonts w:hint="eastAsia" w:ascii="宋体" w:hAnsi="宋体" w:cs="宋体"/>
          <w:color w:val="auto"/>
          <w:spacing w:val="-2"/>
          <w:kern w:val="0"/>
          <w:szCs w:val="21"/>
          <w:highlight w:val="none"/>
        </w:rPr>
        <w:t>日前</w:t>
      </w:r>
      <w:r>
        <w:rPr>
          <w:rFonts w:hint="eastAsia" w:ascii="宋体" w:hAnsi="宋体" w:cs="宋体"/>
          <w:color w:val="auto"/>
          <w:kern w:val="0"/>
          <w:szCs w:val="21"/>
          <w:highlight w:val="none"/>
        </w:rPr>
        <w:t>以书</w:t>
      </w:r>
      <w:r>
        <w:rPr>
          <w:rFonts w:hint="eastAsia" w:ascii="宋体" w:hAnsi="宋体" w:cs="宋体"/>
          <w:color w:val="auto"/>
          <w:spacing w:val="-2"/>
          <w:kern w:val="0"/>
          <w:szCs w:val="21"/>
          <w:highlight w:val="none"/>
        </w:rPr>
        <w:t>面</w:t>
      </w:r>
      <w:r>
        <w:rPr>
          <w:rFonts w:hint="eastAsia" w:ascii="宋体" w:hAnsi="宋体" w:cs="宋体"/>
          <w:color w:val="auto"/>
          <w:kern w:val="0"/>
          <w:szCs w:val="21"/>
          <w:highlight w:val="none"/>
        </w:rPr>
        <w:t>形式提出</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收</w:t>
      </w:r>
      <w:r>
        <w:rPr>
          <w:rFonts w:hint="eastAsia" w:ascii="宋体" w:hAnsi="宋体" w:cs="宋体"/>
          <w:color w:val="auto"/>
          <w:kern w:val="0"/>
          <w:szCs w:val="21"/>
          <w:highlight w:val="none"/>
        </w:rPr>
        <w:t>到</w:t>
      </w:r>
      <w:r>
        <w:rPr>
          <w:rFonts w:hint="eastAsia" w:ascii="宋体" w:hAnsi="宋体" w:cs="宋体"/>
          <w:color w:val="auto"/>
          <w:spacing w:val="-2"/>
          <w:kern w:val="0"/>
          <w:szCs w:val="21"/>
          <w:highlight w:val="none"/>
        </w:rPr>
        <w:t>异</w:t>
      </w:r>
      <w:r>
        <w:rPr>
          <w:rFonts w:hint="eastAsia" w:ascii="宋体" w:hAnsi="宋体" w:cs="宋体"/>
          <w:color w:val="auto"/>
          <w:kern w:val="0"/>
          <w:szCs w:val="21"/>
          <w:highlight w:val="none"/>
        </w:rPr>
        <w:t>议之</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起3日</w:t>
      </w:r>
      <w:r>
        <w:rPr>
          <w:rFonts w:hint="eastAsia" w:ascii="宋体" w:hAnsi="宋体" w:cs="宋体"/>
          <w:color w:val="auto"/>
          <w:spacing w:val="-2"/>
          <w:kern w:val="0"/>
          <w:szCs w:val="21"/>
          <w:highlight w:val="none"/>
        </w:rPr>
        <w:t>内</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将</w:t>
      </w:r>
      <w:r>
        <w:rPr>
          <w:rFonts w:hint="eastAsia" w:ascii="宋体" w:hAnsi="宋体" w:cs="宋体"/>
          <w:color w:val="auto"/>
          <w:spacing w:val="-2"/>
          <w:kern w:val="0"/>
          <w:szCs w:val="21"/>
          <w:highlight w:val="none"/>
        </w:rPr>
        <w:t>暂</w:t>
      </w:r>
      <w:r>
        <w:rPr>
          <w:rFonts w:hint="eastAsia" w:ascii="宋体" w:hAnsi="宋体" w:cs="宋体"/>
          <w:color w:val="auto"/>
          <w:kern w:val="0"/>
          <w:szCs w:val="21"/>
          <w:highlight w:val="none"/>
        </w:rPr>
        <w:t>停</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活</w:t>
      </w:r>
      <w:r>
        <w:rPr>
          <w:rFonts w:hint="eastAsia" w:ascii="宋体" w:hAnsi="宋体" w:cs="宋体"/>
          <w:color w:val="auto"/>
          <w:spacing w:val="-2"/>
          <w:kern w:val="0"/>
          <w:szCs w:val="21"/>
          <w:highlight w:val="none"/>
        </w:rPr>
        <w:t>动</w:t>
      </w:r>
      <w:r>
        <w:rPr>
          <w:rFonts w:hint="eastAsia" w:ascii="宋体" w:hAnsi="宋体" w:eastAsia="宋体" w:cs="Times New Roman"/>
          <w:color w:val="auto"/>
          <w:szCs w:val="21"/>
          <w:highlight w:val="none"/>
        </w:rPr>
        <w:t>。异议函包括但不限于下列内容：</w:t>
      </w:r>
    </w:p>
    <w:p w14:paraId="4B1302B5">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（1）异议人名称、地址、邮政编码、联系人及联系电话；</w:t>
      </w:r>
    </w:p>
    <w:p w14:paraId="12F09982">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（2）具体、明确的异议事项、事实依据及与异议事项相关的请求。</w:t>
      </w:r>
    </w:p>
    <w:p w14:paraId="547B06BB">
      <w:pPr>
        <w:pStyle w:val="23"/>
        <w:kinsoku/>
        <w:overflowPunct/>
        <w:bidi w:val="0"/>
        <w:spacing w:line="360" w:lineRule="auto"/>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异议函应由异议人的法定代表人或其授权的代理人签字并加盖单位章</w:t>
      </w:r>
      <w:r>
        <w:rPr>
          <w:rFonts w:hint="eastAsia" w:ascii="宋体" w:hAnsi="宋体" w:eastAsia="宋体" w:cs="Times New Roman"/>
          <w:color w:val="auto"/>
          <w:szCs w:val="21"/>
          <w:highlight w:val="none"/>
          <w:lang w:eastAsia="zh-CN"/>
        </w:rPr>
        <w:t>。</w:t>
      </w:r>
    </w:p>
    <w:p w14:paraId="7F4407FB">
      <w:pPr>
        <w:pStyle w:val="4"/>
        <w:tabs>
          <w:tab w:val="left" w:pos="2127"/>
        </w:tabs>
        <w:kinsoku/>
        <w:overflowPunct/>
        <w:bidi w:val="0"/>
        <w:spacing w:before="0" w:after="0" w:line="360" w:lineRule="auto"/>
        <w:textAlignment w:val="auto"/>
        <w:rPr>
          <w:rFonts w:hint="eastAsia" w:ascii="宋体" w:hAnsi="宋体" w:eastAsia="宋体"/>
          <w:color w:val="auto"/>
          <w:sz w:val="24"/>
          <w:szCs w:val="24"/>
          <w:highlight w:val="none"/>
          <w:lang w:eastAsia="zh-CN"/>
        </w:rPr>
      </w:pPr>
      <w:bookmarkStart w:id="661" w:name="_Toc5516"/>
      <w:bookmarkStart w:id="662" w:name="_Toc5227"/>
      <w:bookmarkStart w:id="663" w:name="_Toc14234"/>
      <w:bookmarkStart w:id="664" w:name="_Toc16530"/>
      <w:bookmarkStart w:id="665" w:name="_Toc17154"/>
      <w:bookmarkStart w:id="666" w:name="_Toc27701"/>
      <w:bookmarkStart w:id="667" w:name="_Toc30851"/>
      <w:bookmarkStart w:id="668" w:name="_Toc14853"/>
      <w:bookmarkStart w:id="669" w:name="_Toc7211"/>
      <w:bookmarkStart w:id="670" w:name="_Toc15486"/>
      <w:bookmarkStart w:id="671" w:name="_Toc32393"/>
      <w:bookmarkStart w:id="672" w:name="_Toc7259"/>
      <w:bookmarkStart w:id="673" w:name="_Toc21510"/>
      <w:bookmarkStart w:id="674" w:name="_Toc9836"/>
      <w:bookmarkStart w:id="675" w:name="_Toc32213"/>
      <w:bookmarkStart w:id="676" w:name="_Toc11366"/>
      <w:bookmarkStart w:id="677" w:name="_Toc1689"/>
      <w:bookmarkStart w:id="678" w:name="_Toc4029"/>
      <w:r>
        <w:rPr>
          <w:rFonts w:hint="eastAsia" w:ascii="宋体" w:hAnsi="宋体" w:eastAsia="宋体"/>
          <w:color w:val="auto"/>
          <w:sz w:val="24"/>
          <w:szCs w:val="24"/>
          <w:highlight w:val="none"/>
        </w:rPr>
        <w:t>3. 投标文件</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Pr>
          <w:rFonts w:hint="eastAsia" w:ascii="宋体" w:hAnsi="宋体" w:eastAsia="宋体"/>
          <w:color w:val="auto"/>
          <w:sz w:val="24"/>
          <w:szCs w:val="24"/>
          <w:highlight w:val="none"/>
          <w:lang w:eastAsia="zh-CN"/>
        </w:rPr>
        <w:t>（含定标文件）</w:t>
      </w:r>
    </w:p>
    <w:p w14:paraId="190FE7D9">
      <w:pPr>
        <w:pStyle w:val="23"/>
        <w:tabs>
          <w:tab w:val="left" w:pos="2127"/>
        </w:tabs>
        <w:kinsoku/>
        <w:overflowPunct/>
        <w:bidi w:val="0"/>
        <w:spacing w:line="360" w:lineRule="auto"/>
        <w:textAlignment w:val="auto"/>
        <w:outlineLvl w:val="2"/>
        <w:rPr>
          <w:rFonts w:hAnsi="宋体"/>
          <w:b/>
          <w:color w:val="auto"/>
          <w:highlight w:val="none"/>
        </w:rPr>
      </w:pPr>
      <w:bookmarkStart w:id="679" w:name="_Toc29527"/>
      <w:bookmarkStart w:id="680" w:name="_Toc12361"/>
      <w:bookmarkStart w:id="681" w:name="_Toc26075"/>
      <w:bookmarkStart w:id="682" w:name="_Toc3136"/>
      <w:bookmarkStart w:id="683" w:name="_Toc5969"/>
      <w:bookmarkStart w:id="684" w:name="_Toc22028"/>
      <w:bookmarkStart w:id="685" w:name="_Toc484792198"/>
      <w:bookmarkStart w:id="686" w:name="_Toc4866"/>
      <w:bookmarkStart w:id="687" w:name="_Toc29847"/>
      <w:bookmarkStart w:id="688" w:name="_Toc24653"/>
      <w:bookmarkStart w:id="689" w:name="_Toc12091"/>
      <w:bookmarkStart w:id="690" w:name="_Toc14954"/>
      <w:bookmarkStart w:id="691" w:name="_Toc31691"/>
      <w:bookmarkStart w:id="692" w:name="_Toc13759"/>
      <w:bookmarkStart w:id="693" w:name="_Toc10081"/>
      <w:bookmarkStart w:id="694" w:name="_Toc31034"/>
      <w:bookmarkStart w:id="695" w:name="_Toc27138"/>
      <w:bookmarkStart w:id="696" w:name="_Toc5925"/>
      <w:bookmarkStart w:id="697" w:name="_Toc31753"/>
      <w:bookmarkStart w:id="698" w:name="_Toc11241"/>
      <w:bookmarkStart w:id="699" w:name="_Toc14082"/>
      <w:bookmarkStart w:id="700" w:name="_Toc482803085"/>
      <w:bookmarkStart w:id="701" w:name="_Toc7989"/>
      <w:bookmarkStart w:id="702" w:name="_Toc30441"/>
      <w:bookmarkStart w:id="703" w:name="_Toc12398"/>
      <w:bookmarkStart w:id="704" w:name="_Toc391"/>
      <w:bookmarkStart w:id="705" w:name="_Toc5367"/>
      <w:bookmarkStart w:id="706" w:name="_Toc13873"/>
      <w:bookmarkStart w:id="707" w:name="_Toc28617"/>
      <w:bookmarkStart w:id="708" w:name="_Toc20563"/>
      <w:bookmarkStart w:id="709" w:name="_Toc15122"/>
      <w:bookmarkStart w:id="710" w:name="_Toc2857"/>
      <w:bookmarkStart w:id="711" w:name="_Toc9805"/>
      <w:bookmarkStart w:id="712" w:name="_Toc13131"/>
      <w:bookmarkStart w:id="713" w:name="_Toc16133"/>
      <w:bookmarkStart w:id="714" w:name="_Toc5335"/>
      <w:bookmarkStart w:id="715" w:name="_Toc11463"/>
      <w:bookmarkStart w:id="716" w:name="_Toc1074"/>
      <w:bookmarkStart w:id="717" w:name="_Toc18232"/>
      <w:bookmarkStart w:id="718" w:name="_Toc14585"/>
      <w:bookmarkStart w:id="719" w:name="_Toc10165"/>
      <w:bookmarkStart w:id="720" w:name="_Toc20625"/>
      <w:bookmarkStart w:id="721" w:name="_Toc8531"/>
      <w:bookmarkStart w:id="722" w:name="_Toc13821"/>
      <w:bookmarkStart w:id="723" w:name="_Toc7573"/>
      <w:bookmarkStart w:id="724" w:name="_Toc5656"/>
      <w:bookmarkStart w:id="725" w:name="_Toc23250"/>
      <w:bookmarkStart w:id="726" w:name="_Toc18546"/>
      <w:bookmarkStart w:id="727" w:name="_Toc25995"/>
      <w:bookmarkStart w:id="728" w:name="_Toc31709"/>
      <w:r>
        <w:rPr>
          <w:rFonts w:hint="eastAsia" w:hAnsi="宋体"/>
          <w:b/>
          <w:color w:val="auto"/>
          <w:highlight w:val="none"/>
        </w:rPr>
        <w:t>3.1 投标文件</w:t>
      </w:r>
      <w:r>
        <w:rPr>
          <w:rFonts w:hint="eastAsia" w:hAnsi="宋体"/>
          <w:b/>
          <w:color w:val="auto"/>
          <w:highlight w:val="none"/>
          <w:lang w:eastAsia="zh-CN"/>
        </w:rPr>
        <w:t>（含定标文件）</w:t>
      </w:r>
      <w:r>
        <w:rPr>
          <w:rFonts w:hint="eastAsia" w:hAnsi="宋体"/>
          <w:b/>
          <w:color w:val="auto"/>
          <w:highlight w:val="none"/>
        </w:rPr>
        <w:t>的组成</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1C33AFAB">
      <w:pPr>
        <w:pStyle w:val="23"/>
        <w:kinsoku/>
        <w:overflowPunct/>
        <w:bidi w:val="0"/>
        <w:spacing w:line="360" w:lineRule="auto"/>
        <w:ind w:firstLine="420" w:firstLineChars="200"/>
        <w:textAlignment w:val="auto"/>
        <w:rPr>
          <w:rFonts w:hint="eastAsia" w:hAnsi="宋体" w:eastAsia="宋体" w:cs="Times New Roman"/>
          <w:color w:val="auto"/>
          <w:szCs w:val="21"/>
          <w:highlight w:val="none"/>
          <w:lang w:eastAsia="zh-CN"/>
        </w:rPr>
      </w:pPr>
      <w:r>
        <w:rPr>
          <w:rFonts w:hint="eastAsia" w:hAnsi="宋体" w:cs="Times New Roman"/>
          <w:color w:val="auto"/>
          <w:szCs w:val="21"/>
          <w:highlight w:val="none"/>
        </w:rPr>
        <w:t>3.1.1</w:t>
      </w:r>
      <w:r>
        <w:rPr>
          <w:rFonts w:hint="eastAsia" w:hAnsi="宋体" w:cs="Times New Roman"/>
          <w:color w:val="auto"/>
          <w:szCs w:val="21"/>
          <w:highlight w:val="none"/>
          <w:lang w:val="en-US" w:eastAsia="zh-CN"/>
        </w:rPr>
        <w:t xml:space="preserve"> </w:t>
      </w:r>
      <w:r>
        <w:rPr>
          <w:rFonts w:hint="eastAsia" w:hAnsi="宋体" w:cs="Times New Roman"/>
          <w:color w:val="auto"/>
          <w:szCs w:val="21"/>
          <w:highlight w:val="none"/>
        </w:rPr>
        <w:t>投标文件</w:t>
      </w:r>
      <w:r>
        <w:rPr>
          <w:rFonts w:hint="eastAsia" w:hAnsi="宋体" w:cs="Times New Roman"/>
          <w:color w:val="auto"/>
          <w:szCs w:val="21"/>
          <w:highlight w:val="none"/>
          <w:u w:val="none"/>
        </w:rPr>
        <w:t>（含</w:t>
      </w:r>
      <w:r>
        <w:rPr>
          <w:rFonts w:hint="eastAsia" w:hAnsi="宋体" w:cs="Times New Roman"/>
          <w:color w:val="auto"/>
          <w:szCs w:val="21"/>
          <w:highlight w:val="none"/>
          <w:u w:val="none"/>
          <w:lang w:eastAsia="zh-CN"/>
        </w:rPr>
        <w:t>定标文件</w:t>
      </w:r>
      <w:r>
        <w:rPr>
          <w:rFonts w:hint="eastAsia" w:hAnsi="宋体" w:cs="Times New Roman"/>
          <w:color w:val="auto"/>
          <w:szCs w:val="21"/>
          <w:highlight w:val="none"/>
          <w:u w:val="none"/>
        </w:rPr>
        <w:t>）</w:t>
      </w:r>
      <w:r>
        <w:rPr>
          <w:rFonts w:hint="eastAsia" w:hAnsi="宋体" w:cs="Times New Roman"/>
          <w:color w:val="auto"/>
          <w:szCs w:val="21"/>
          <w:highlight w:val="none"/>
          <w:u w:val="none"/>
          <w:lang w:eastAsia="zh-CN"/>
        </w:rPr>
        <w:t>主要</w:t>
      </w:r>
      <w:r>
        <w:rPr>
          <w:rFonts w:hint="eastAsia" w:hAnsi="宋体" w:cs="Times New Roman"/>
          <w:color w:val="auto"/>
          <w:szCs w:val="21"/>
          <w:highlight w:val="none"/>
        </w:rPr>
        <w:t>包括内容详见第六章的“投标文件</w:t>
      </w:r>
      <w:r>
        <w:rPr>
          <w:rFonts w:hint="eastAsia" w:ascii="宋体" w:hAnsi="宋体" w:eastAsia="宋体" w:cs="Times New Roman"/>
          <w:color w:val="auto"/>
          <w:kern w:val="2"/>
          <w:sz w:val="21"/>
          <w:szCs w:val="21"/>
          <w:highlight w:val="none"/>
          <w:lang w:val="en-US" w:eastAsia="zh-CN" w:bidi="ar-SA"/>
        </w:rPr>
        <w:t>（含定标文件）</w:t>
      </w:r>
      <w:r>
        <w:rPr>
          <w:rFonts w:hint="eastAsia" w:hAnsi="宋体" w:cs="Times New Roman"/>
          <w:color w:val="auto"/>
          <w:szCs w:val="21"/>
          <w:highlight w:val="none"/>
        </w:rPr>
        <w:t>格式”</w:t>
      </w:r>
      <w:r>
        <w:rPr>
          <w:rFonts w:hint="eastAsia" w:hAnsi="宋体" w:cs="Times New Roman"/>
          <w:color w:val="auto"/>
          <w:szCs w:val="21"/>
          <w:highlight w:val="none"/>
          <w:lang w:eastAsia="zh-CN"/>
        </w:rPr>
        <w:t>。</w:t>
      </w:r>
    </w:p>
    <w:p w14:paraId="2C36F818">
      <w:pPr>
        <w:pStyle w:val="23"/>
        <w:kinsoku/>
        <w:overflowPunct/>
        <w:bidi w:val="0"/>
        <w:spacing w:line="360" w:lineRule="auto"/>
        <w:ind w:firstLine="420" w:firstLineChars="200"/>
        <w:textAlignment w:val="auto"/>
        <w:rPr>
          <w:rFonts w:hint="eastAsia" w:hAnsi="宋体" w:cs="Times New Roman"/>
          <w:color w:val="auto"/>
          <w:szCs w:val="21"/>
          <w:highlight w:val="none"/>
        </w:rPr>
      </w:pPr>
      <w:r>
        <w:rPr>
          <w:rFonts w:hint="eastAsia" w:hAnsi="宋体" w:cs="Times New Roman"/>
          <w:color w:val="auto"/>
          <w:szCs w:val="21"/>
          <w:highlight w:val="none"/>
        </w:rPr>
        <w:t>3.1.</w:t>
      </w:r>
      <w:r>
        <w:rPr>
          <w:rFonts w:hint="eastAsia" w:hAnsi="宋体" w:cs="Times New Roman"/>
          <w:color w:val="auto"/>
          <w:szCs w:val="21"/>
          <w:highlight w:val="none"/>
          <w:lang w:val="en-US" w:eastAsia="zh-CN"/>
        </w:rPr>
        <w:t>2</w:t>
      </w:r>
      <w:r>
        <w:rPr>
          <w:rFonts w:hint="eastAsia" w:hAnsi="宋体" w:cs="Times New Roman"/>
          <w:color w:val="auto"/>
          <w:szCs w:val="21"/>
          <w:highlight w:val="none"/>
        </w:rPr>
        <w:t xml:space="preserve"> 投标人须知前附表规定不接受联合体投标的，或投标人没有组成联合体的，</w:t>
      </w:r>
      <w:r>
        <w:rPr>
          <w:rFonts w:hint="eastAsia" w:hAnsi="宋体" w:cs="Times New Roman"/>
          <w:color w:val="auto"/>
          <w:szCs w:val="21"/>
          <w:highlight w:val="none"/>
          <w:lang w:eastAsia="zh-CN"/>
        </w:rPr>
        <w:t>投标文件（含定标文件）</w:t>
      </w:r>
      <w:r>
        <w:rPr>
          <w:rFonts w:hint="eastAsia" w:hAnsi="宋体" w:cs="Times New Roman"/>
          <w:color w:val="auto"/>
          <w:szCs w:val="21"/>
          <w:highlight w:val="none"/>
        </w:rPr>
        <w:t>不包括联合体协议书。</w:t>
      </w:r>
    </w:p>
    <w:p w14:paraId="6C68C9D3">
      <w:pPr>
        <w:pStyle w:val="23"/>
        <w:kinsoku/>
        <w:overflowPunct/>
        <w:bidi w:val="0"/>
        <w:spacing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3.1.</w:t>
      </w:r>
      <w:r>
        <w:rPr>
          <w:rFonts w:hint="eastAsia" w:hAnsi="宋体"/>
          <w:color w:val="auto"/>
          <w:szCs w:val="21"/>
          <w:highlight w:val="none"/>
          <w:lang w:val="en-US" w:eastAsia="zh-CN"/>
        </w:rPr>
        <w:t>3</w:t>
      </w:r>
      <w:r>
        <w:rPr>
          <w:rFonts w:hint="eastAsia" w:hAnsi="宋体"/>
          <w:color w:val="auto"/>
          <w:szCs w:val="21"/>
          <w:highlight w:val="none"/>
        </w:rPr>
        <w:t xml:space="preserve"> </w:t>
      </w:r>
      <w:r>
        <w:rPr>
          <w:rFonts w:hint="eastAsia" w:hAnsi="宋体" w:cs="Times New Roman"/>
          <w:color w:val="auto"/>
          <w:szCs w:val="21"/>
          <w:highlight w:val="none"/>
        </w:rPr>
        <w:t>投标人须知前附表</w:t>
      </w:r>
      <w:r>
        <w:rPr>
          <w:rFonts w:hint="eastAsia" w:hAnsi="宋体"/>
          <w:color w:val="auto"/>
          <w:szCs w:val="21"/>
          <w:highlight w:val="none"/>
        </w:rPr>
        <w:t>未要求提交</w:t>
      </w:r>
      <w:r>
        <w:rPr>
          <w:rFonts w:hint="eastAsia" w:hAnsi="宋体"/>
          <w:color w:val="auto"/>
          <w:szCs w:val="21"/>
          <w:highlight w:val="none"/>
          <w:lang w:val="en-US" w:eastAsia="zh-CN"/>
        </w:rPr>
        <w:t>投标</w:t>
      </w:r>
      <w:r>
        <w:rPr>
          <w:rFonts w:hint="eastAsia" w:hAnsi="宋体"/>
          <w:color w:val="auto"/>
          <w:szCs w:val="21"/>
          <w:highlight w:val="none"/>
        </w:rPr>
        <w:t>保证金的，</w:t>
      </w:r>
      <w:r>
        <w:rPr>
          <w:rFonts w:hint="eastAsia" w:hAnsi="宋体"/>
          <w:color w:val="auto"/>
          <w:szCs w:val="21"/>
          <w:highlight w:val="none"/>
          <w:lang w:val="en-US" w:eastAsia="zh-CN"/>
        </w:rPr>
        <w:t>投标文件（含定标文件）</w:t>
      </w:r>
      <w:r>
        <w:rPr>
          <w:rFonts w:hint="eastAsia" w:hAnsi="宋体"/>
          <w:color w:val="auto"/>
          <w:szCs w:val="21"/>
          <w:highlight w:val="none"/>
        </w:rPr>
        <w:t>不包括</w:t>
      </w:r>
      <w:r>
        <w:rPr>
          <w:rFonts w:hint="eastAsia" w:hAnsi="宋体"/>
          <w:color w:val="auto"/>
          <w:szCs w:val="21"/>
          <w:highlight w:val="none"/>
          <w:lang w:val="en-US" w:eastAsia="zh-CN"/>
        </w:rPr>
        <w:t>投标</w:t>
      </w:r>
      <w:r>
        <w:rPr>
          <w:rFonts w:hint="eastAsia" w:hAnsi="宋体"/>
          <w:color w:val="auto"/>
          <w:szCs w:val="21"/>
          <w:highlight w:val="none"/>
        </w:rPr>
        <w:t>保证金证明材料。</w:t>
      </w:r>
    </w:p>
    <w:p w14:paraId="54E01747">
      <w:pPr>
        <w:pStyle w:val="23"/>
        <w:tabs>
          <w:tab w:val="left" w:pos="2127"/>
        </w:tabs>
        <w:kinsoku/>
        <w:overflowPunct/>
        <w:bidi w:val="0"/>
        <w:spacing w:line="360" w:lineRule="auto"/>
        <w:textAlignment w:val="auto"/>
        <w:outlineLvl w:val="2"/>
        <w:rPr>
          <w:rFonts w:hint="eastAsia" w:hAnsi="宋体" w:eastAsia="宋体"/>
          <w:b/>
          <w:color w:val="auto"/>
          <w:highlight w:val="none"/>
          <w:lang w:eastAsia="zh-CN"/>
        </w:rPr>
      </w:pPr>
      <w:bookmarkStart w:id="729" w:name="_Toc29103"/>
      <w:bookmarkStart w:id="730" w:name="_Toc10394"/>
      <w:bookmarkStart w:id="731" w:name="_Toc32027"/>
      <w:bookmarkStart w:id="732" w:name="_Toc28835"/>
      <w:bookmarkStart w:id="733" w:name="_Toc5694"/>
      <w:bookmarkStart w:id="734" w:name="_Toc20722"/>
      <w:bookmarkStart w:id="735" w:name="_Toc30735"/>
      <w:bookmarkStart w:id="736" w:name="_Toc14465"/>
      <w:bookmarkStart w:id="737" w:name="_Toc7316"/>
      <w:bookmarkStart w:id="738" w:name="_Toc29396"/>
      <w:bookmarkStart w:id="739" w:name="_Toc2511"/>
      <w:bookmarkStart w:id="740" w:name="_Toc2234"/>
      <w:bookmarkStart w:id="741" w:name="_Toc1512"/>
      <w:bookmarkStart w:id="742" w:name="_Toc26829"/>
      <w:bookmarkStart w:id="743" w:name="_Toc25013"/>
      <w:bookmarkStart w:id="744" w:name="_Toc26923"/>
      <w:bookmarkStart w:id="745" w:name="_Toc14222"/>
      <w:bookmarkStart w:id="746" w:name="_Toc29134"/>
      <w:bookmarkStart w:id="747" w:name="_Toc18208"/>
      <w:bookmarkStart w:id="748" w:name="_Toc18466"/>
      <w:bookmarkStart w:id="749" w:name="_Toc18084"/>
      <w:bookmarkStart w:id="750" w:name="_Toc31431"/>
      <w:bookmarkStart w:id="751" w:name="_Toc482803086"/>
      <w:bookmarkStart w:id="752" w:name="_Toc19741"/>
      <w:bookmarkStart w:id="753" w:name="_Toc16462"/>
      <w:bookmarkStart w:id="754" w:name="_Toc338"/>
      <w:bookmarkStart w:id="755" w:name="_Toc28418"/>
      <w:bookmarkStart w:id="756" w:name="_Toc5323"/>
      <w:bookmarkStart w:id="757" w:name="_Toc31357"/>
      <w:bookmarkStart w:id="758" w:name="_Toc15680"/>
      <w:bookmarkStart w:id="759" w:name="_Toc15625"/>
      <w:bookmarkStart w:id="760" w:name="_Toc23820"/>
      <w:bookmarkStart w:id="761" w:name="_Toc30120"/>
      <w:bookmarkStart w:id="762" w:name="_Toc9732"/>
      <w:bookmarkStart w:id="763" w:name="_Toc3753"/>
      <w:bookmarkStart w:id="764" w:name="_Toc8577"/>
      <w:bookmarkStart w:id="765" w:name="_Toc13238"/>
      <w:bookmarkStart w:id="766" w:name="_Toc5742"/>
      <w:bookmarkStart w:id="767" w:name="_Toc17583"/>
      <w:bookmarkStart w:id="768" w:name="_Toc15975"/>
      <w:bookmarkStart w:id="769" w:name="_Toc25065"/>
      <w:bookmarkStart w:id="770" w:name="_Toc25732"/>
      <w:bookmarkStart w:id="771" w:name="_Toc29452"/>
      <w:bookmarkStart w:id="772" w:name="_Toc30563"/>
      <w:bookmarkStart w:id="773" w:name="_Toc22698"/>
      <w:bookmarkStart w:id="774" w:name="_Toc26146"/>
      <w:bookmarkStart w:id="775" w:name="_Toc27385"/>
      <w:bookmarkStart w:id="776" w:name="_Toc484792199"/>
      <w:bookmarkStart w:id="777" w:name="_Toc7748"/>
      <w:bookmarkStart w:id="778" w:name="_Toc4644"/>
      <w:r>
        <w:rPr>
          <w:rFonts w:hint="eastAsia" w:hAnsi="宋体"/>
          <w:b/>
          <w:color w:val="auto"/>
          <w:highlight w:val="none"/>
        </w:rPr>
        <w:t>3.2 投标报价</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7E0A5E5">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bookmarkStart w:id="779" w:name="_Toc482803087"/>
      <w:bookmarkStart w:id="780" w:name="_Toc20919"/>
      <w:bookmarkStart w:id="781" w:name="_Toc16776"/>
      <w:bookmarkStart w:id="782" w:name="_Toc12276"/>
      <w:bookmarkStart w:id="783" w:name="_Toc19378"/>
      <w:bookmarkStart w:id="784" w:name="_Toc9847"/>
      <w:bookmarkStart w:id="785" w:name="_Toc9168"/>
      <w:bookmarkStart w:id="786" w:name="_Toc23100"/>
      <w:bookmarkStart w:id="787" w:name="_Toc13357"/>
      <w:bookmarkStart w:id="788" w:name="_Toc18672"/>
      <w:bookmarkStart w:id="789" w:name="_Toc3662"/>
      <w:bookmarkStart w:id="790" w:name="_Toc10932"/>
      <w:bookmarkStart w:id="791" w:name="_Toc22840"/>
      <w:bookmarkStart w:id="792" w:name="_Toc524"/>
      <w:bookmarkStart w:id="793" w:name="_Toc11060"/>
      <w:bookmarkStart w:id="794" w:name="_Toc19258"/>
      <w:bookmarkStart w:id="795" w:name="_Toc6370"/>
      <w:bookmarkStart w:id="796" w:name="_Toc7949"/>
      <w:bookmarkStart w:id="797" w:name="_Toc14285"/>
      <w:bookmarkStart w:id="798" w:name="_Toc25913"/>
      <w:bookmarkStart w:id="799" w:name="_Toc9439"/>
      <w:bookmarkStart w:id="800" w:name="_Toc21236"/>
      <w:bookmarkStart w:id="801" w:name="_Toc1897"/>
      <w:bookmarkStart w:id="802" w:name="_Toc27326"/>
      <w:bookmarkStart w:id="803" w:name="_Toc17074"/>
      <w:bookmarkStart w:id="804" w:name="_Toc9882"/>
      <w:bookmarkStart w:id="805" w:name="_Toc5654"/>
      <w:bookmarkStart w:id="806" w:name="_Toc19913"/>
      <w:bookmarkStart w:id="807" w:name="_Toc5442"/>
      <w:bookmarkStart w:id="808" w:name="_Toc7545"/>
      <w:bookmarkStart w:id="809" w:name="_Toc8797"/>
      <w:bookmarkStart w:id="810" w:name="_Toc15806"/>
      <w:bookmarkStart w:id="811" w:name="_Toc2476"/>
      <w:bookmarkStart w:id="812" w:name="_Toc7551"/>
      <w:bookmarkStart w:id="813" w:name="_Toc30989"/>
      <w:bookmarkStart w:id="814" w:name="_Toc23681"/>
      <w:bookmarkStart w:id="815" w:name="_Toc484792200"/>
      <w:bookmarkStart w:id="816" w:name="_Toc27231"/>
      <w:bookmarkStart w:id="817" w:name="_Toc4476"/>
      <w:bookmarkStart w:id="818" w:name="_Toc19544"/>
      <w:bookmarkStart w:id="819" w:name="_Toc31017"/>
      <w:bookmarkStart w:id="820" w:name="_Toc15869"/>
      <w:bookmarkStart w:id="821" w:name="_Toc23283"/>
      <w:bookmarkStart w:id="822" w:name="_Toc22229"/>
      <w:bookmarkStart w:id="823" w:name="_Toc30716"/>
      <w:bookmarkStart w:id="824" w:name="_Toc11156"/>
      <w:bookmarkStart w:id="825" w:name="_Toc30138"/>
      <w:r>
        <w:rPr>
          <w:rFonts w:hint="eastAsia" w:hAnsi="宋体"/>
          <w:color w:val="auto"/>
          <w:szCs w:val="21"/>
          <w:highlight w:val="none"/>
        </w:rPr>
        <w:t>3.2.1</w:t>
      </w:r>
      <w:r>
        <w:rPr>
          <w:rFonts w:hint="eastAsia" w:hAnsi="宋体"/>
          <w:color w:val="auto"/>
          <w:szCs w:val="21"/>
          <w:highlight w:val="none"/>
          <w:lang w:val="en-US" w:eastAsia="zh-CN"/>
        </w:rPr>
        <w:t xml:space="preserve"> 投标人</w:t>
      </w:r>
      <w:r>
        <w:rPr>
          <w:rFonts w:hint="eastAsia" w:hAnsi="宋体"/>
          <w:color w:val="auto"/>
          <w:szCs w:val="21"/>
          <w:highlight w:val="none"/>
        </w:rPr>
        <w:t>应按第六章“</w:t>
      </w:r>
      <w:r>
        <w:rPr>
          <w:rFonts w:hint="eastAsia" w:hAnsi="宋体" w:cs="宋体"/>
          <w:color w:val="auto"/>
          <w:szCs w:val="21"/>
          <w:highlight w:val="none"/>
          <w:lang w:val="en-US" w:eastAsia="zh-CN"/>
        </w:rPr>
        <w:t>投标文件（含定标文件）</w:t>
      </w:r>
      <w:r>
        <w:rPr>
          <w:rFonts w:hint="eastAsia" w:ascii="宋体" w:hAnsi="宋体" w:eastAsia="宋体" w:cs="宋体"/>
          <w:color w:val="auto"/>
          <w:szCs w:val="21"/>
          <w:highlight w:val="none"/>
          <w:lang w:val="en-US" w:eastAsia="zh-CN"/>
        </w:rPr>
        <w:t>格式</w:t>
      </w:r>
      <w:r>
        <w:rPr>
          <w:rFonts w:hint="eastAsia" w:hAnsi="宋体"/>
          <w:color w:val="auto"/>
          <w:szCs w:val="21"/>
          <w:highlight w:val="none"/>
        </w:rPr>
        <w:t>”的要求在</w:t>
      </w:r>
      <w:r>
        <w:rPr>
          <w:rFonts w:hint="eastAsia" w:hAnsi="宋体"/>
          <w:color w:val="auto"/>
          <w:szCs w:val="21"/>
          <w:highlight w:val="none"/>
          <w:lang w:val="en-US" w:eastAsia="zh-CN"/>
        </w:rPr>
        <w:t>投标</w:t>
      </w:r>
      <w:r>
        <w:rPr>
          <w:rFonts w:hint="eastAsia" w:hAnsi="宋体"/>
          <w:color w:val="auto"/>
          <w:szCs w:val="21"/>
          <w:highlight w:val="none"/>
        </w:rPr>
        <w:t>函和报价书（如有）中进行报价。</w:t>
      </w:r>
    </w:p>
    <w:p w14:paraId="586FD00F">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 xml:space="preserve">3.2.2 </w:t>
      </w:r>
      <w:r>
        <w:rPr>
          <w:rFonts w:hint="eastAsia" w:hAnsi="宋体"/>
          <w:color w:val="auto"/>
          <w:szCs w:val="21"/>
          <w:highlight w:val="none"/>
          <w:lang w:val="en-US" w:eastAsia="zh-CN"/>
        </w:rPr>
        <w:t>投标人</w:t>
      </w:r>
      <w:r>
        <w:rPr>
          <w:rFonts w:hint="eastAsia" w:hAnsi="宋体"/>
          <w:color w:val="auto"/>
          <w:szCs w:val="21"/>
          <w:highlight w:val="none"/>
        </w:rPr>
        <w:t>应充分了解该项目的总体情况以及影响报价的其他要素。对于设置有成交权重分配偏差与采购需求预测下限的，</w:t>
      </w:r>
      <w:r>
        <w:rPr>
          <w:rFonts w:hint="eastAsia" w:hAnsi="宋体"/>
          <w:color w:val="auto"/>
          <w:szCs w:val="21"/>
          <w:highlight w:val="none"/>
          <w:lang w:val="en-US" w:eastAsia="zh-CN"/>
        </w:rPr>
        <w:t>招标</w:t>
      </w:r>
      <w:r>
        <w:rPr>
          <w:rFonts w:hint="eastAsia" w:hAnsi="宋体"/>
          <w:color w:val="auto"/>
          <w:szCs w:val="21"/>
          <w:highlight w:val="none"/>
        </w:rPr>
        <w:t>人在签署采购合同时及合同履行过程中，有权在</w:t>
      </w:r>
      <w:r>
        <w:rPr>
          <w:rFonts w:hint="eastAsia" w:hAnsi="宋体"/>
          <w:color w:val="auto"/>
          <w:szCs w:val="21"/>
          <w:highlight w:val="none"/>
          <w:lang w:val="en-US" w:eastAsia="zh-CN"/>
        </w:rPr>
        <w:t>投标人</w:t>
      </w:r>
      <w:r>
        <w:rPr>
          <w:rFonts w:hint="eastAsia" w:hAnsi="宋体"/>
          <w:color w:val="auto"/>
          <w:szCs w:val="21"/>
          <w:highlight w:val="none"/>
        </w:rPr>
        <w:t>须知前附表规定范围内进行调整。</w:t>
      </w:r>
    </w:p>
    <w:p w14:paraId="41D75261">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3.2.3 本项目报价方式见</w:t>
      </w:r>
      <w:r>
        <w:rPr>
          <w:rFonts w:hint="eastAsia" w:hAnsi="宋体"/>
          <w:color w:val="auto"/>
          <w:szCs w:val="21"/>
          <w:highlight w:val="none"/>
          <w:lang w:val="en-US" w:eastAsia="zh-CN"/>
        </w:rPr>
        <w:t>投标人</w:t>
      </w:r>
      <w:r>
        <w:rPr>
          <w:rFonts w:hint="eastAsia" w:hAnsi="宋体"/>
          <w:color w:val="auto"/>
          <w:szCs w:val="21"/>
          <w:highlight w:val="none"/>
        </w:rPr>
        <w:t>须知前附表。</w:t>
      </w:r>
      <w:r>
        <w:rPr>
          <w:rFonts w:hint="eastAsia" w:hAnsi="宋体"/>
          <w:color w:val="auto"/>
          <w:szCs w:val="21"/>
          <w:highlight w:val="none"/>
          <w:lang w:val="en-US" w:eastAsia="zh-CN"/>
        </w:rPr>
        <w:t>投标人</w:t>
      </w:r>
      <w:r>
        <w:rPr>
          <w:rFonts w:hint="eastAsia" w:hAnsi="宋体"/>
          <w:color w:val="auto"/>
          <w:szCs w:val="21"/>
          <w:highlight w:val="none"/>
        </w:rPr>
        <w:t>的报价为充分了解本章第3.2.2项后，为完成</w:t>
      </w:r>
      <w:r>
        <w:rPr>
          <w:rFonts w:hint="eastAsia" w:hAnsi="宋体"/>
          <w:color w:val="auto"/>
          <w:szCs w:val="21"/>
          <w:highlight w:val="none"/>
          <w:lang w:val="en-US" w:eastAsia="zh-CN"/>
        </w:rPr>
        <w:t>招标</w:t>
      </w:r>
      <w:r>
        <w:rPr>
          <w:rFonts w:hint="eastAsia" w:hAnsi="宋体"/>
          <w:color w:val="auto"/>
          <w:szCs w:val="21"/>
          <w:highlight w:val="none"/>
        </w:rPr>
        <w:t>文件规定的工作内容的各项费用。合同履约过程中，</w:t>
      </w:r>
      <w:r>
        <w:rPr>
          <w:rFonts w:hint="eastAsia" w:hAnsi="宋体"/>
          <w:color w:val="auto"/>
          <w:szCs w:val="21"/>
          <w:highlight w:val="none"/>
          <w:lang w:val="en-US" w:eastAsia="zh-CN"/>
        </w:rPr>
        <w:t>中标单位</w:t>
      </w:r>
      <w:r>
        <w:rPr>
          <w:rFonts w:hint="eastAsia" w:hAnsi="宋体"/>
          <w:color w:val="auto"/>
          <w:szCs w:val="21"/>
          <w:highlight w:val="none"/>
        </w:rPr>
        <w:t>对外的交涉与纠纷，以及所造成的损失，除</w:t>
      </w:r>
      <w:r>
        <w:rPr>
          <w:rFonts w:hint="eastAsia" w:hAnsi="宋体"/>
          <w:color w:val="auto"/>
          <w:szCs w:val="21"/>
          <w:highlight w:val="none"/>
          <w:lang w:val="en-US" w:eastAsia="zh-CN"/>
        </w:rPr>
        <w:t>招标</w:t>
      </w:r>
      <w:r>
        <w:rPr>
          <w:rFonts w:hint="eastAsia" w:hAnsi="宋体"/>
          <w:color w:val="auto"/>
          <w:szCs w:val="21"/>
          <w:highlight w:val="none"/>
        </w:rPr>
        <w:t>文件中有明确规定者外，均由</w:t>
      </w:r>
      <w:r>
        <w:rPr>
          <w:rFonts w:hint="eastAsia" w:hAnsi="宋体"/>
          <w:color w:val="auto"/>
          <w:szCs w:val="21"/>
          <w:highlight w:val="none"/>
          <w:lang w:val="en-US" w:eastAsia="zh-CN"/>
        </w:rPr>
        <w:t>中标单位</w:t>
      </w:r>
      <w:r>
        <w:rPr>
          <w:rFonts w:hint="eastAsia" w:hAnsi="宋体"/>
          <w:color w:val="auto"/>
          <w:szCs w:val="21"/>
          <w:highlight w:val="none"/>
        </w:rPr>
        <w:t>自行解决。如确需</w:t>
      </w:r>
      <w:r>
        <w:rPr>
          <w:rFonts w:hint="eastAsia" w:hAnsi="宋体"/>
          <w:color w:val="auto"/>
          <w:szCs w:val="21"/>
          <w:highlight w:val="none"/>
          <w:lang w:val="en-US" w:eastAsia="zh-CN"/>
        </w:rPr>
        <w:t>招标</w:t>
      </w:r>
      <w:r>
        <w:rPr>
          <w:rFonts w:hint="eastAsia" w:hAnsi="宋体"/>
          <w:color w:val="auto"/>
          <w:szCs w:val="21"/>
          <w:highlight w:val="none"/>
        </w:rPr>
        <w:t>人进行协调时，协调解决问题所发生的一切费用仍由</w:t>
      </w:r>
      <w:r>
        <w:rPr>
          <w:rFonts w:hint="eastAsia" w:hAnsi="宋体"/>
          <w:color w:val="auto"/>
          <w:szCs w:val="21"/>
          <w:highlight w:val="none"/>
          <w:lang w:val="en-US" w:eastAsia="zh-CN"/>
        </w:rPr>
        <w:t>中标单位</w:t>
      </w:r>
      <w:r>
        <w:rPr>
          <w:rFonts w:hint="eastAsia" w:hAnsi="宋体"/>
          <w:color w:val="auto"/>
          <w:szCs w:val="21"/>
          <w:highlight w:val="none"/>
        </w:rPr>
        <w:t>承担。</w:t>
      </w:r>
    </w:p>
    <w:p w14:paraId="610FBD49">
      <w:pPr>
        <w:pStyle w:val="23"/>
        <w:kinsoku/>
        <w:wordWrap/>
        <w:overflowPunct/>
        <w:topLinePunct w:val="0"/>
        <w:bidi w:val="0"/>
        <w:snapToGrid/>
        <w:spacing w:beforeAutospacing="0" w:afterAutospacing="0" w:line="360" w:lineRule="auto"/>
        <w:ind w:firstLine="420" w:firstLineChars="200"/>
        <w:textAlignment w:val="auto"/>
        <w:rPr>
          <w:rFonts w:hint="eastAsia" w:hAnsi="宋体"/>
          <w:color w:val="auto"/>
          <w:szCs w:val="21"/>
          <w:highlight w:val="none"/>
        </w:rPr>
      </w:pPr>
      <w:r>
        <w:rPr>
          <w:rFonts w:hint="eastAsia" w:hAnsi="宋体"/>
          <w:color w:val="auto"/>
          <w:szCs w:val="21"/>
          <w:highlight w:val="none"/>
        </w:rPr>
        <w:t xml:space="preserve">3.2.4 </w:t>
      </w:r>
      <w:r>
        <w:rPr>
          <w:rFonts w:hint="eastAsia" w:hAnsi="宋体"/>
          <w:color w:val="auto"/>
          <w:szCs w:val="21"/>
          <w:highlight w:val="none"/>
          <w:lang w:val="en-US" w:eastAsia="zh-CN"/>
        </w:rPr>
        <w:t>招标</w:t>
      </w:r>
      <w:r>
        <w:rPr>
          <w:rFonts w:hint="eastAsia" w:hAnsi="宋体"/>
          <w:color w:val="auto"/>
          <w:szCs w:val="21"/>
          <w:highlight w:val="none"/>
        </w:rPr>
        <w:t>人设有最高限价的，</w:t>
      </w:r>
      <w:r>
        <w:rPr>
          <w:rFonts w:hint="eastAsia" w:hAnsi="宋体"/>
          <w:color w:val="auto"/>
          <w:szCs w:val="21"/>
          <w:highlight w:val="none"/>
          <w:lang w:val="en-US" w:eastAsia="zh-CN"/>
        </w:rPr>
        <w:t>投标人</w:t>
      </w:r>
      <w:r>
        <w:rPr>
          <w:rFonts w:hint="eastAsia" w:hAnsi="宋体"/>
          <w:color w:val="auto"/>
          <w:szCs w:val="21"/>
          <w:highlight w:val="none"/>
        </w:rPr>
        <w:t>的报价不得超过最高限价；</w:t>
      </w:r>
      <w:r>
        <w:rPr>
          <w:rFonts w:hint="eastAsia" w:hAnsi="宋体"/>
          <w:color w:val="auto"/>
          <w:szCs w:val="21"/>
          <w:highlight w:val="none"/>
          <w:lang w:val="en-US" w:eastAsia="zh-CN"/>
        </w:rPr>
        <w:t>招标</w:t>
      </w:r>
      <w:r>
        <w:rPr>
          <w:rFonts w:hint="eastAsia" w:hAnsi="宋体"/>
          <w:color w:val="auto"/>
          <w:szCs w:val="21"/>
          <w:highlight w:val="none"/>
        </w:rPr>
        <w:t>人只设有</w:t>
      </w:r>
      <w:r>
        <w:rPr>
          <w:rFonts w:hint="eastAsia" w:hAnsi="宋体"/>
          <w:color w:val="auto"/>
          <w:szCs w:val="21"/>
          <w:highlight w:val="none"/>
          <w:lang w:eastAsia="zh-CN"/>
        </w:rPr>
        <w:t>合同估算金额</w:t>
      </w:r>
      <w:r>
        <w:rPr>
          <w:rFonts w:hint="eastAsia" w:hAnsi="宋体"/>
          <w:color w:val="auto"/>
          <w:szCs w:val="21"/>
          <w:highlight w:val="none"/>
        </w:rPr>
        <w:t>的，</w:t>
      </w:r>
      <w:r>
        <w:rPr>
          <w:rFonts w:hint="eastAsia" w:hAnsi="宋体"/>
          <w:color w:val="auto"/>
          <w:szCs w:val="21"/>
          <w:highlight w:val="none"/>
          <w:lang w:val="en-US" w:eastAsia="zh-CN"/>
        </w:rPr>
        <w:t>投标人</w:t>
      </w:r>
      <w:r>
        <w:rPr>
          <w:rFonts w:hint="eastAsia" w:hAnsi="宋体"/>
          <w:color w:val="auto"/>
          <w:szCs w:val="21"/>
          <w:highlight w:val="none"/>
        </w:rPr>
        <w:t>的报价不得超过</w:t>
      </w:r>
      <w:r>
        <w:rPr>
          <w:rFonts w:hint="eastAsia" w:hAnsi="宋体"/>
          <w:color w:val="auto"/>
          <w:szCs w:val="21"/>
          <w:highlight w:val="none"/>
          <w:lang w:eastAsia="zh-CN"/>
        </w:rPr>
        <w:t>合同估算金额</w:t>
      </w:r>
      <w:r>
        <w:rPr>
          <w:rFonts w:hint="eastAsia" w:hAnsi="宋体"/>
          <w:color w:val="auto"/>
          <w:szCs w:val="21"/>
          <w:highlight w:val="none"/>
        </w:rPr>
        <w:t>。最高限价与</w:t>
      </w:r>
      <w:r>
        <w:rPr>
          <w:rFonts w:hint="eastAsia" w:hAnsi="宋体"/>
          <w:color w:val="auto"/>
          <w:szCs w:val="21"/>
          <w:highlight w:val="none"/>
          <w:lang w:eastAsia="zh-CN"/>
        </w:rPr>
        <w:t>合同估算金额</w:t>
      </w:r>
      <w:r>
        <w:rPr>
          <w:rFonts w:hint="eastAsia" w:hAnsi="宋体"/>
          <w:color w:val="auto"/>
          <w:szCs w:val="21"/>
          <w:highlight w:val="none"/>
        </w:rPr>
        <w:t>在</w:t>
      </w:r>
      <w:r>
        <w:rPr>
          <w:rFonts w:hint="eastAsia" w:hAnsi="宋体"/>
          <w:color w:val="auto"/>
          <w:szCs w:val="21"/>
          <w:highlight w:val="none"/>
          <w:lang w:val="en-US" w:eastAsia="zh-CN"/>
        </w:rPr>
        <w:t>投标人</w:t>
      </w:r>
      <w:r>
        <w:rPr>
          <w:rFonts w:hint="eastAsia" w:hAnsi="宋体"/>
          <w:color w:val="auto"/>
          <w:szCs w:val="21"/>
          <w:highlight w:val="none"/>
        </w:rPr>
        <w:t>须知前附表中载明。</w:t>
      </w:r>
    </w:p>
    <w:p w14:paraId="0DDCF1B0">
      <w:pPr>
        <w:pStyle w:val="23"/>
        <w:kinsoku/>
        <w:wordWrap/>
        <w:overflowPunct/>
        <w:topLinePunct w:val="0"/>
        <w:bidi w:val="0"/>
        <w:snapToGrid/>
        <w:spacing w:beforeAutospacing="0" w:afterAutospacing="0"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hAnsi="宋体"/>
          <w:color w:val="auto"/>
          <w:szCs w:val="21"/>
          <w:highlight w:val="none"/>
        </w:rPr>
        <w:t xml:space="preserve">3.2.5 </w:t>
      </w:r>
      <w:r>
        <w:rPr>
          <w:rFonts w:hint="eastAsia" w:hAnsi="宋体"/>
          <w:color w:val="auto"/>
          <w:szCs w:val="21"/>
          <w:highlight w:val="none"/>
          <w:lang w:val="en-US" w:eastAsia="zh-CN"/>
        </w:rPr>
        <w:t>投标人</w:t>
      </w:r>
      <w:r>
        <w:rPr>
          <w:rFonts w:hint="eastAsia" w:hAnsi="宋体"/>
          <w:color w:val="auto"/>
          <w:szCs w:val="21"/>
          <w:highlight w:val="none"/>
        </w:rPr>
        <w:t>报价的其他要求见</w:t>
      </w:r>
      <w:r>
        <w:rPr>
          <w:rFonts w:hint="eastAsia" w:hAnsi="宋体"/>
          <w:color w:val="auto"/>
          <w:szCs w:val="21"/>
          <w:highlight w:val="none"/>
          <w:lang w:val="en-US" w:eastAsia="zh-CN"/>
        </w:rPr>
        <w:t>投标人</w:t>
      </w:r>
      <w:r>
        <w:rPr>
          <w:rFonts w:hint="eastAsia" w:hAnsi="宋体"/>
          <w:color w:val="auto"/>
          <w:szCs w:val="21"/>
          <w:highlight w:val="none"/>
        </w:rPr>
        <w:t>须知前附表</w:t>
      </w:r>
      <w:r>
        <w:rPr>
          <w:rFonts w:hint="eastAsia" w:ascii="宋体" w:hAnsi="宋体" w:eastAsia="宋体" w:cs="宋体"/>
          <w:color w:val="auto"/>
          <w:szCs w:val="21"/>
          <w:highlight w:val="none"/>
          <w:lang w:val="en-US" w:eastAsia="zh-CN"/>
        </w:rPr>
        <w:t>。</w:t>
      </w:r>
    </w:p>
    <w:p w14:paraId="5471BA5B">
      <w:pPr>
        <w:pStyle w:val="23"/>
        <w:tabs>
          <w:tab w:val="left" w:pos="2127"/>
        </w:tabs>
        <w:kinsoku/>
        <w:overflowPunct/>
        <w:bidi w:val="0"/>
        <w:spacing w:line="360" w:lineRule="auto"/>
        <w:textAlignment w:val="auto"/>
        <w:outlineLvl w:val="2"/>
        <w:rPr>
          <w:rFonts w:hAnsi="宋体"/>
          <w:b/>
          <w:color w:val="auto"/>
          <w:highlight w:val="none"/>
        </w:rPr>
      </w:pPr>
      <w:bookmarkStart w:id="826" w:name="_Toc114"/>
      <w:bookmarkStart w:id="827" w:name="_Toc19799"/>
      <w:bookmarkStart w:id="828" w:name="_Toc17964"/>
      <w:r>
        <w:rPr>
          <w:rFonts w:hint="eastAsia" w:hAnsi="宋体"/>
          <w:b/>
          <w:color w:val="auto"/>
          <w:highlight w:val="none"/>
        </w:rPr>
        <w:t>3.3 投标有效期</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07111597">
      <w:pPr>
        <w:tabs>
          <w:tab w:val="left" w:pos="2127"/>
        </w:tabs>
        <w:kinsoku/>
        <w:overflowPunct/>
        <w:bidi w:val="0"/>
        <w:spacing w:line="360" w:lineRule="auto"/>
        <w:ind w:firstLine="420" w:firstLineChars="200"/>
        <w:textAlignment w:val="auto"/>
        <w:rPr>
          <w:rFonts w:hint="default" w:ascii="宋体" w:hAnsi="宋体" w:eastAsia="宋体"/>
          <w:color w:val="auto"/>
          <w:highlight w:val="none"/>
          <w:lang w:val="en-US" w:eastAsia="zh-CN"/>
        </w:rPr>
      </w:pPr>
      <w:r>
        <w:rPr>
          <w:rFonts w:hint="eastAsia" w:ascii="宋体" w:hAnsi="宋体"/>
          <w:color w:val="auto"/>
          <w:highlight w:val="none"/>
        </w:rPr>
        <w:t xml:space="preserve">3.3.1 </w:t>
      </w:r>
      <w:r>
        <w:rPr>
          <w:rFonts w:hint="eastAsia" w:ascii="宋体" w:hAnsi="宋体"/>
          <w:color w:val="auto"/>
          <w:highlight w:val="none"/>
          <w:lang w:val="en-US" w:eastAsia="zh-CN"/>
        </w:rPr>
        <w:t>投标有效期：</w:t>
      </w:r>
      <w:r>
        <w:rPr>
          <w:rFonts w:hint="eastAsia" w:hAnsi="宋体"/>
          <w:color w:val="auto"/>
          <w:szCs w:val="21"/>
          <w:highlight w:val="none"/>
        </w:rPr>
        <w:t>见投标人须知前附表。</w:t>
      </w:r>
    </w:p>
    <w:p w14:paraId="74B2FFD5">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lang w:val="en-US" w:eastAsia="zh-CN"/>
        </w:rPr>
        <w:t>3.3.2在投标有效期内，投标人撤销投标文件（含定标文件）的，应承担招标文件和法律规定的责任。</w:t>
      </w:r>
    </w:p>
    <w:p w14:paraId="2183DC6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3.3.</w:t>
      </w:r>
      <w:r>
        <w:rPr>
          <w:rFonts w:hint="eastAsia" w:ascii="宋体" w:hAnsi="宋体"/>
          <w:color w:val="auto"/>
          <w:highlight w:val="none"/>
          <w:lang w:val="en-US" w:eastAsia="zh-CN"/>
        </w:rPr>
        <w:t>3</w:t>
      </w:r>
      <w:r>
        <w:rPr>
          <w:rFonts w:hint="eastAsia" w:ascii="宋体" w:hAnsi="宋体"/>
          <w:color w:val="auto"/>
          <w:highlight w:val="none"/>
        </w:rPr>
        <w:t>出现特殊情况需要延长投标有效期的，招标人以书面形式通知所有投标人延长投标有效期。投标人同意延长的，应相应延长其投标保证金的有效期，但不得要求或被允许修改或撤销其</w:t>
      </w:r>
      <w:r>
        <w:rPr>
          <w:rFonts w:hint="eastAsia" w:ascii="宋体" w:hAnsi="宋体"/>
          <w:color w:val="auto"/>
          <w:highlight w:val="none"/>
          <w:lang w:eastAsia="zh-CN"/>
        </w:rPr>
        <w:t>投标文件（含定标文件）</w:t>
      </w:r>
      <w:r>
        <w:rPr>
          <w:rFonts w:hint="eastAsia" w:ascii="宋体" w:hAnsi="宋体"/>
          <w:color w:val="auto"/>
          <w:highlight w:val="none"/>
        </w:rPr>
        <w:t>；投标人拒绝延长的，其投标失效，但投标人有权收回其投标保证金。</w:t>
      </w:r>
    </w:p>
    <w:p w14:paraId="480623BE">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829" w:name="_Toc4920"/>
      <w:bookmarkStart w:id="830" w:name="_Toc8752"/>
      <w:bookmarkStart w:id="831" w:name="_Toc29258"/>
      <w:bookmarkStart w:id="832" w:name="_Toc21590"/>
      <w:bookmarkStart w:id="833" w:name="_Toc12041"/>
      <w:bookmarkStart w:id="834" w:name="_Toc14341"/>
      <w:bookmarkStart w:id="835" w:name="_Toc28699"/>
      <w:bookmarkStart w:id="836" w:name="_Toc16642"/>
      <w:bookmarkStart w:id="837" w:name="_Toc17148"/>
      <w:bookmarkStart w:id="838" w:name="_Toc15853"/>
      <w:bookmarkStart w:id="839" w:name="_Toc19370"/>
      <w:bookmarkStart w:id="840" w:name="_Toc4299"/>
      <w:bookmarkStart w:id="841" w:name="_Toc13432"/>
      <w:bookmarkStart w:id="842" w:name="_Toc6076"/>
      <w:bookmarkStart w:id="843" w:name="_Toc484792201"/>
      <w:bookmarkStart w:id="844" w:name="_Toc8500"/>
      <w:bookmarkStart w:id="845" w:name="_Toc26613"/>
      <w:bookmarkStart w:id="846" w:name="_Toc20878"/>
      <w:bookmarkStart w:id="847" w:name="_Toc12704"/>
      <w:bookmarkStart w:id="848" w:name="_Toc1303"/>
      <w:bookmarkStart w:id="849" w:name="_Toc8924"/>
      <w:bookmarkStart w:id="850" w:name="_Toc22621"/>
      <w:bookmarkStart w:id="851" w:name="_Toc4995"/>
      <w:bookmarkStart w:id="852" w:name="_Toc3589"/>
      <w:bookmarkStart w:id="853" w:name="_Toc17377"/>
      <w:bookmarkStart w:id="854" w:name="_Toc11816"/>
      <w:bookmarkStart w:id="855" w:name="_Toc22596"/>
      <w:bookmarkStart w:id="856" w:name="_Toc482803088"/>
      <w:bookmarkStart w:id="857" w:name="_Toc17042"/>
      <w:bookmarkStart w:id="858" w:name="_Toc21106"/>
      <w:bookmarkStart w:id="859" w:name="_Toc14530"/>
      <w:bookmarkStart w:id="860" w:name="_Toc27694"/>
      <w:bookmarkStart w:id="861" w:name="_Toc20909"/>
      <w:bookmarkStart w:id="862" w:name="_Toc13112"/>
      <w:bookmarkStart w:id="863" w:name="_Toc875"/>
      <w:bookmarkStart w:id="864" w:name="_Toc7083"/>
      <w:bookmarkStart w:id="865" w:name="_Toc16217"/>
      <w:bookmarkStart w:id="866" w:name="_Toc30436"/>
      <w:bookmarkStart w:id="867" w:name="_Toc2373"/>
      <w:bookmarkStart w:id="868" w:name="_Toc31454"/>
      <w:bookmarkStart w:id="869" w:name="_Toc17751"/>
      <w:bookmarkStart w:id="870" w:name="_Toc32291"/>
      <w:bookmarkStart w:id="871" w:name="_Toc22574"/>
      <w:bookmarkStart w:id="872" w:name="_Toc32306"/>
      <w:bookmarkStart w:id="873" w:name="_Toc24560"/>
      <w:bookmarkStart w:id="874" w:name="_Toc17083"/>
      <w:bookmarkStart w:id="875" w:name="_Toc26872"/>
      <w:bookmarkStart w:id="876" w:name="_Toc18843"/>
      <w:bookmarkStart w:id="877" w:name="_Toc20555"/>
      <w:bookmarkStart w:id="878" w:name="_Toc21572"/>
      <w:r>
        <w:rPr>
          <w:rFonts w:hint="eastAsia" w:hAnsi="宋体"/>
          <w:b/>
          <w:color w:val="auto"/>
          <w:highlight w:val="none"/>
        </w:rPr>
        <w:t>3.4 投标保证金</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5DC22D4B">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3.4.1 </w:t>
      </w:r>
      <w:r>
        <w:rPr>
          <w:rFonts w:hint="eastAsia" w:ascii="宋体" w:hAnsi="宋体"/>
          <w:color w:val="auto"/>
          <w:highlight w:val="none"/>
        </w:rPr>
        <w:t>投标人在递交</w:t>
      </w:r>
      <w:r>
        <w:rPr>
          <w:rFonts w:hint="eastAsia" w:ascii="宋体" w:hAnsi="宋体"/>
          <w:color w:val="auto"/>
          <w:highlight w:val="none"/>
          <w:lang w:eastAsia="zh-CN"/>
        </w:rPr>
        <w:t>投标文件（含定标文件）</w:t>
      </w:r>
      <w:r>
        <w:rPr>
          <w:rFonts w:hint="eastAsia" w:ascii="宋体" w:hAnsi="宋体"/>
          <w:color w:val="auto"/>
          <w:highlight w:val="none"/>
        </w:rPr>
        <w:t>的同时，应按投标人须知前附表规定的金额、形式和第</w:t>
      </w:r>
      <w:r>
        <w:rPr>
          <w:rFonts w:hint="eastAsia" w:ascii="宋体" w:hAnsi="宋体"/>
          <w:color w:val="auto"/>
          <w:highlight w:val="none"/>
          <w:lang w:val="en-US" w:eastAsia="zh-CN"/>
        </w:rPr>
        <w:t>六</w:t>
      </w:r>
      <w:r>
        <w:rPr>
          <w:rFonts w:hint="eastAsia" w:ascii="宋体" w:hAnsi="宋体"/>
          <w:color w:val="auto"/>
          <w:highlight w:val="none"/>
        </w:rPr>
        <w:t>章“</w:t>
      </w:r>
      <w:r>
        <w:rPr>
          <w:rFonts w:hint="eastAsia" w:ascii="宋体" w:hAnsi="宋体"/>
          <w:color w:val="auto"/>
          <w:highlight w:val="none"/>
          <w:lang w:eastAsia="zh-CN"/>
        </w:rPr>
        <w:t>投标文件（含定标文件）</w:t>
      </w:r>
      <w:r>
        <w:rPr>
          <w:rFonts w:hint="eastAsia" w:ascii="宋体" w:hAnsi="宋体"/>
          <w:color w:val="auto"/>
          <w:highlight w:val="none"/>
        </w:rPr>
        <w:t>格式”规定的投标保证金格式递交投标保证金（证明），并作为其</w:t>
      </w:r>
      <w:r>
        <w:rPr>
          <w:rFonts w:hint="eastAsia" w:ascii="宋体" w:hAnsi="宋体"/>
          <w:color w:val="auto"/>
          <w:highlight w:val="none"/>
          <w:lang w:eastAsia="zh-CN"/>
        </w:rPr>
        <w:t>投标文件（含定标文件）</w:t>
      </w:r>
      <w:r>
        <w:rPr>
          <w:rFonts w:hint="eastAsia" w:ascii="宋体" w:hAnsi="宋体"/>
          <w:color w:val="auto"/>
          <w:highlight w:val="none"/>
        </w:rPr>
        <w:t>的组成部分。联合体投标的，其投标保证金由牵头人递交，并应符合投标人须知前附表的规定。</w:t>
      </w:r>
    </w:p>
    <w:p w14:paraId="0DF542B3">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3.4.1.1采用现金或者支票形式提交的，投标保证金须从投标人的银行基本账户转出。</w:t>
      </w:r>
    </w:p>
    <w:p w14:paraId="10A3B412">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3.4.1.2如采用非电子形式的银行保函、专业工程担保公司担保或保证保险提交投标保证金的，在开标前不强制要求投标人提交纸质原件，由中标候选人在中标候选人公示前提交并在网上公示，投标人应在</w:t>
      </w:r>
      <w:r>
        <w:rPr>
          <w:rFonts w:hint="eastAsia" w:ascii="宋体" w:hAnsi="宋体"/>
          <w:color w:val="auto"/>
          <w:highlight w:val="none"/>
          <w:lang w:eastAsia="zh-CN"/>
        </w:rPr>
        <w:t>投标文件（含定标文件）</w:t>
      </w:r>
      <w:r>
        <w:rPr>
          <w:rFonts w:hint="eastAsia" w:ascii="宋体" w:hAnsi="宋体"/>
          <w:color w:val="auto"/>
          <w:highlight w:val="none"/>
        </w:rPr>
        <w:t>中提交保函、担保或保证保险扫描件并加盖投标人电子印章。如投标人存在3.4.4条款所列情形的，应将纸质原件提交给招标人。</w:t>
      </w:r>
    </w:p>
    <w:p w14:paraId="00AF0E4C">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3.4.1.3采用电子形式的保函、担保或保证保险提交投标保证金的，应在招标文件中明确电子递交途径。</w:t>
      </w:r>
    </w:p>
    <w:p w14:paraId="620D4C74">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3.4.2 </w:t>
      </w:r>
      <w:r>
        <w:rPr>
          <w:rFonts w:hint="eastAsia" w:ascii="宋体" w:hAnsi="宋体"/>
          <w:color w:val="auto"/>
          <w:highlight w:val="none"/>
        </w:rPr>
        <w:t>投标人不按本章第</w:t>
      </w:r>
      <w:r>
        <w:rPr>
          <w:rFonts w:ascii="宋体" w:hAnsi="宋体"/>
          <w:color w:val="auto"/>
          <w:highlight w:val="none"/>
        </w:rPr>
        <w:t xml:space="preserve">3.4.1 </w:t>
      </w:r>
      <w:r>
        <w:rPr>
          <w:rFonts w:hint="eastAsia" w:ascii="宋体" w:hAnsi="宋体"/>
          <w:color w:val="auto"/>
          <w:highlight w:val="none"/>
        </w:rPr>
        <w:t>项要求提交投标保证金的，其</w:t>
      </w:r>
      <w:r>
        <w:rPr>
          <w:rFonts w:hint="eastAsia" w:ascii="宋体" w:hAnsi="宋体"/>
          <w:color w:val="auto"/>
          <w:highlight w:val="none"/>
          <w:lang w:eastAsia="zh-CN"/>
        </w:rPr>
        <w:t>投标文件（含定标文件）</w:t>
      </w:r>
      <w:r>
        <w:rPr>
          <w:rFonts w:hint="eastAsia" w:ascii="宋体" w:hAnsi="宋体"/>
          <w:color w:val="auto"/>
          <w:highlight w:val="none"/>
        </w:rPr>
        <w:t>作否决投标处理。</w:t>
      </w:r>
    </w:p>
    <w:p w14:paraId="756955BE">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3.4.3</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最</w:t>
      </w:r>
      <w:r>
        <w:rPr>
          <w:rFonts w:hint="eastAsia" w:ascii="宋体" w:hAnsi="宋体" w:cs="宋体"/>
          <w:color w:val="auto"/>
          <w:kern w:val="0"/>
          <w:szCs w:val="21"/>
          <w:highlight w:val="none"/>
        </w:rPr>
        <w:t>迟</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在</w:t>
      </w:r>
      <w:r>
        <w:rPr>
          <w:rFonts w:hint="eastAsia" w:ascii="宋体" w:hAnsi="宋体" w:cs="宋体"/>
          <w:color w:val="auto"/>
          <w:spacing w:val="-2"/>
          <w:kern w:val="0"/>
          <w:szCs w:val="21"/>
          <w:highlight w:val="none"/>
        </w:rPr>
        <w:t>与中</w:t>
      </w:r>
      <w:r>
        <w:rPr>
          <w:rFonts w:hint="eastAsia" w:ascii="宋体" w:hAnsi="宋体" w:cs="宋体"/>
          <w:color w:val="auto"/>
          <w:kern w:val="0"/>
          <w:szCs w:val="21"/>
          <w:highlight w:val="none"/>
        </w:rPr>
        <w:t>标人</w:t>
      </w:r>
      <w:r>
        <w:rPr>
          <w:rFonts w:hint="eastAsia" w:ascii="宋体" w:hAnsi="宋体" w:cs="宋体"/>
          <w:color w:val="auto"/>
          <w:spacing w:val="-2"/>
          <w:kern w:val="0"/>
          <w:szCs w:val="21"/>
          <w:highlight w:val="none"/>
        </w:rPr>
        <w:t>签</w:t>
      </w:r>
      <w:r>
        <w:rPr>
          <w:rFonts w:hint="eastAsia" w:ascii="宋体" w:hAnsi="宋体" w:cs="宋体"/>
          <w:color w:val="auto"/>
          <w:kern w:val="0"/>
          <w:szCs w:val="21"/>
          <w:highlight w:val="none"/>
        </w:rPr>
        <w:t>订</w:t>
      </w:r>
      <w:r>
        <w:rPr>
          <w:rFonts w:hint="eastAsia" w:ascii="宋体" w:hAnsi="宋体" w:cs="宋体"/>
          <w:color w:val="auto"/>
          <w:spacing w:val="-2"/>
          <w:kern w:val="0"/>
          <w:szCs w:val="21"/>
          <w:highlight w:val="none"/>
        </w:rPr>
        <w:t>合同</w:t>
      </w:r>
      <w:r>
        <w:rPr>
          <w:rFonts w:hint="eastAsia" w:ascii="宋体" w:hAnsi="宋体" w:cs="宋体"/>
          <w:color w:val="auto"/>
          <w:kern w:val="0"/>
          <w:szCs w:val="21"/>
          <w:highlight w:val="none"/>
        </w:rPr>
        <w:t>后5</w:t>
      </w:r>
      <w:r>
        <w:rPr>
          <w:rFonts w:hint="eastAsia" w:ascii="宋体" w:hAnsi="宋体" w:cs="宋体"/>
          <w:color w:val="auto"/>
          <w:spacing w:val="-2"/>
          <w:kern w:val="0"/>
          <w:szCs w:val="21"/>
          <w:highlight w:val="none"/>
        </w:rPr>
        <w:t>日内向</w:t>
      </w:r>
      <w:r>
        <w:rPr>
          <w:rFonts w:hint="eastAsia" w:ascii="宋体" w:hAnsi="宋体" w:cs="宋体"/>
          <w:color w:val="auto"/>
          <w:kern w:val="0"/>
          <w:szCs w:val="21"/>
          <w:highlight w:val="none"/>
        </w:rPr>
        <w:t>未中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和</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退还</w:t>
      </w:r>
      <w:r>
        <w:rPr>
          <w:rFonts w:hint="eastAsia" w:ascii="宋体" w:hAnsi="宋体" w:cs="宋体"/>
          <w:color w:val="auto"/>
          <w:spacing w:val="-2"/>
          <w:kern w:val="0"/>
          <w:szCs w:val="21"/>
          <w:highlight w:val="none"/>
        </w:rPr>
        <w:t>投</w:t>
      </w:r>
      <w:r>
        <w:rPr>
          <w:rFonts w:hint="eastAsia" w:ascii="宋体" w:hAnsi="宋体" w:cs="宋体"/>
          <w:color w:val="auto"/>
          <w:kern w:val="0"/>
          <w:szCs w:val="21"/>
          <w:highlight w:val="none"/>
        </w:rPr>
        <w:t>标保证金</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w:t>
      </w:r>
      <w:r>
        <w:rPr>
          <w:rFonts w:hint="eastAsia" w:ascii="宋体" w:hAnsi="宋体" w:cs="宋体"/>
          <w:color w:val="auto"/>
          <w:spacing w:val="-2"/>
          <w:kern w:val="0"/>
          <w:szCs w:val="21"/>
          <w:highlight w:val="none"/>
        </w:rPr>
        <w:t>以</w:t>
      </w:r>
      <w:r>
        <w:rPr>
          <w:rFonts w:hint="eastAsia" w:ascii="宋体" w:hAnsi="宋体" w:cs="宋体"/>
          <w:color w:val="auto"/>
          <w:kern w:val="0"/>
          <w:szCs w:val="21"/>
          <w:highlight w:val="none"/>
        </w:rPr>
        <w:t>现</w:t>
      </w:r>
      <w:r>
        <w:rPr>
          <w:rFonts w:hint="eastAsia" w:ascii="宋体" w:hAnsi="宋体" w:cs="宋体"/>
          <w:color w:val="auto"/>
          <w:spacing w:val="-2"/>
          <w:kern w:val="0"/>
          <w:szCs w:val="21"/>
          <w:highlight w:val="none"/>
        </w:rPr>
        <w:t>金</w:t>
      </w:r>
      <w:r>
        <w:rPr>
          <w:rFonts w:hint="eastAsia" w:ascii="宋体" w:hAnsi="宋体" w:cs="宋体"/>
          <w:color w:val="auto"/>
          <w:kern w:val="0"/>
          <w:szCs w:val="21"/>
          <w:highlight w:val="none"/>
        </w:rPr>
        <w:t>或者</w:t>
      </w:r>
      <w:r>
        <w:rPr>
          <w:rFonts w:hint="eastAsia" w:ascii="宋体" w:hAnsi="宋体" w:cs="宋体"/>
          <w:color w:val="auto"/>
          <w:spacing w:val="-2"/>
          <w:kern w:val="0"/>
          <w:szCs w:val="21"/>
          <w:highlight w:val="none"/>
        </w:rPr>
        <w:t>支</w:t>
      </w:r>
      <w:r>
        <w:rPr>
          <w:rFonts w:hint="eastAsia" w:ascii="宋体" w:hAnsi="宋体" w:cs="宋体"/>
          <w:color w:val="auto"/>
          <w:kern w:val="0"/>
          <w:szCs w:val="21"/>
          <w:highlight w:val="none"/>
        </w:rPr>
        <w:t>票</w:t>
      </w:r>
      <w:r>
        <w:rPr>
          <w:rFonts w:hint="eastAsia" w:ascii="宋体" w:hAnsi="宋体" w:cs="宋体"/>
          <w:color w:val="auto"/>
          <w:spacing w:val="-2"/>
          <w:kern w:val="0"/>
          <w:szCs w:val="21"/>
          <w:highlight w:val="none"/>
        </w:rPr>
        <w:t>形</w:t>
      </w:r>
      <w:r>
        <w:rPr>
          <w:rFonts w:hint="eastAsia" w:ascii="宋体" w:hAnsi="宋体" w:cs="宋体"/>
          <w:color w:val="auto"/>
          <w:kern w:val="0"/>
          <w:szCs w:val="21"/>
          <w:highlight w:val="none"/>
        </w:rPr>
        <w:t>式</w:t>
      </w:r>
      <w:r>
        <w:rPr>
          <w:rFonts w:hint="eastAsia" w:ascii="宋体" w:hAnsi="宋体" w:cs="宋体"/>
          <w:color w:val="auto"/>
          <w:spacing w:val="-2"/>
          <w:kern w:val="0"/>
          <w:szCs w:val="21"/>
          <w:highlight w:val="none"/>
        </w:rPr>
        <w:t>递</w:t>
      </w:r>
      <w:r>
        <w:rPr>
          <w:rFonts w:hint="eastAsia" w:ascii="宋体" w:hAnsi="宋体" w:cs="宋体"/>
          <w:color w:val="auto"/>
          <w:kern w:val="0"/>
          <w:szCs w:val="21"/>
          <w:highlight w:val="none"/>
        </w:rPr>
        <w:t>交</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rPr>
        <w:t>，</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应退</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银</w:t>
      </w:r>
      <w:r>
        <w:rPr>
          <w:rFonts w:hint="eastAsia" w:ascii="宋体" w:hAnsi="宋体" w:cs="宋体"/>
          <w:color w:val="auto"/>
          <w:spacing w:val="-2"/>
          <w:kern w:val="0"/>
          <w:szCs w:val="21"/>
          <w:highlight w:val="none"/>
        </w:rPr>
        <w:t>行</w:t>
      </w:r>
      <w:r>
        <w:rPr>
          <w:rFonts w:hint="eastAsia" w:ascii="宋体" w:hAnsi="宋体" w:cs="宋体"/>
          <w:color w:val="auto"/>
          <w:kern w:val="0"/>
          <w:szCs w:val="21"/>
          <w:highlight w:val="none"/>
        </w:rPr>
        <w:t>同</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存</w:t>
      </w:r>
      <w:r>
        <w:rPr>
          <w:rFonts w:hint="eastAsia" w:ascii="宋体" w:hAnsi="宋体" w:cs="宋体"/>
          <w:color w:val="auto"/>
          <w:spacing w:val="-2"/>
          <w:kern w:val="0"/>
          <w:szCs w:val="21"/>
          <w:highlight w:val="none"/>
        </w:rPr>
        <w:t>款</w:t>
      </w:r>
      <w:r>
        <w:rPr>
          <w:rFonts w:hint="eastAsia" w:ascii="宋体" w:hAnsi="宋体" w:cs="宋体"/>
          <w:color w:val="auto"/>
          <w:kern w:val="0"/>
          <w:szCs w:val="21"/>
          <w:highlight w:val="none"/>
        </w:rPr>
        <w:t>利</w:t>
      </w:r>
      <w:r>
        <w:rPr>
          <w:rFonts w:hint="eastAsia" w:ascii="宋体" w:hAnsi="宋体" w:cs="宋体"/>
          <w:color w:val="auto"/>
          <w:spacing w:val="-2"/>
          <w:kern w:val="0"/>
          <w:szCs w:val="21"/>
          <w:highlight w:val="none"/>
        </w:rPr>
        <w:t>息</w:t>
      </w:r>
      <w:r>
        <w:rPr>
          <w:rFonts w:hint="eastAsia" w:ascii="宋体" w:hAnsi="宋体" w:cs="宋体"/>
          <w:color w:val="auto"/>
          <w:kern w:val="0"/>
          <w:szCs w:val="21"/>
          <w:highlight w:val="none"/>
        </w:rPr>
        <w:t>。</w:t>
      </w:r>
    </w:p>
    <w:p w14:paraId="27CD9CF9">
      <w:pPr>
        <w:tabs>
          <w:tab w:val="left" w:pos="2127"/>
        </w:tabs>
        <w:kinsoku/>
        <w:overflowPunct/>
        <w:bidi w:val="0"/>
        <w:spacing w:line="360" w:lineRule="auto"/>
        <w:ind w:firstLine="420" w:firstLineChars="200"/>
        <w:textAlignment w:val="auto"/>
        <w:rPr>
          <w:rFonts w:ascii="宋体" w:hAnsi="宋体"/>
          <w:color w:val="auto"/>
          <w:highlight w:val="none"/>
        </w:rPr>
      </w:pPr>
      <w:r>
        <w:rPr>
          <w:rFonts w:ascii="宋体" w:hAnsi="宋体"/>
          <w:color w:val="auto"/>
          <w:highlight w:val="none"/>
        </w:rPr>
        <w:t xml:space="preserve">3.4.4 </w:t>
      </w:r>
      <w:r>
        <w:rPr>
          <w:rFonts w:hint="eastAsia" w:ascii="宋体" w:hAnsi="宋体"/>
          <w:color w:val="auto"/>
          <w:highlight w:val="none"/>
        </w:rPr>
        <w:t>有下列情形之一的，投标保证金将不予退还：</w:t>
      </w:r>
    </w:p>
    <w:p w14:paraId="034A420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1</w:t>
      </w:r>
      <w:r>
        <w:rPr>
          <w:rFonts w:hint="eastAsia" w:ascii="宋体" w:hAnsi="宋体"/>
          <w:color w:val="auto"/>
          <w:highlight w:val="none"/>
        </w:rPr>
        <w:t>）投标人在规定的投标有效期内撤销或修改其</w:t>
      </w:r>
      <w:r>
        <w:rPr>
          <w:rFonts w:hint="eastAsia" w:ascii="宋体" w:hAnsi="宋体"/>
          <w:color w:val="auto"/>
          <w:highlight w:val="none"/>
          <w:lang w:eastAsia="zh-CN"/>
        </w:rPr>
        <w:t>投标文件（含定标文件）</w:t>
      </w:r>
      <w:r>
        <w:rPr>
          <w:rFonts w:hint="eastAsia" w:ascii="宋体" w:hAnsi="宋体"/>
          <w:color w:val="auto"/>
          <w:highlight w:val="none"/>
        </w:rPr>
        <w:t>；</w:t>
      </w:r>
    </w:p>
    <w:p w14:paraId="3BE49E11">
      <w:pPr>
        <w:autoSpaceDE w:val="0"/>
        <w:autoSpaceDN w:val="0"/>
        <w:adjustRightInd w:val="0"/>
        <w:spacing w:before="40" w:line="360" w:lineRule="auto"/>
        <w:ind w:right="40" w:firstLine="420" w:firstLineChars="200"/>
        <w:rPr>
          <w:rFonts w:hint="eastAsia" w:ascii="宋体" w:hAnsi="宋体" w:cs="宋体"/>
          <w:color w:val="auto"/>
          <w:kern w:val="0"/>
          <w:szCs w:val="21"/>
          <w:highlight w:val="none"/>
        </w:rPr>
      </w:pPr>
      <w:bookmarkStart w:id="879" w:name="_Toc7887"/>
      <w:bookmarkStart w:id="880" w:name="_Toc24140"/>
      <w:bookmarkStart w:id="881" w:name="_Toc19954"/>
      <w:bookmarkStart w:id="882" w:name="_Toc26516"/>
      <w:bookmarkStart w:id="883" w:name="_Toc2531"/>
      <w:bookmarkStart w:id="884" w:name="_Toc29877"/>
      <w:bookmarkStart w:id="885" w:name="_Toc28914"/>
      <w:bookmarkStart w:id="886" w:name="_Toc14425"/>
      <w:bookmarkStart w:id="887" w:name="_Toc1178"/>
      <w:bookmarkStart w:id="888" w:name="_Toc27171"/>
      <w:bookmarkStart w:id="889" w:name="_Toc6072"/>
      <w:bookmarkStart w:id="890" w:name="_Toc482803089"/>
      <w:bookmarkStart w:id="891" w:name="_Toc3362"/>
      <w:bookmarkStart w:id="892" w:name="_Toc4526"/>
      <w:bookmarkStart w:id="893" w:name="_Toc27832"/>
      <w:bookmarkStart w:id="894" w:name="_Toc17756"/>
      <w:bookmarkStart w:id="895" w:name="_Toc635"/>
      <w:bookmarkStart w:id="896" w:name="_Toc20952"/>
      <w:bookmarkStart w:id="897" w:name="_Toc29375"/>
      <w:bookmarkStart w:id="898" w:name="_Toc6447"/>
      <w:bookmarkStart w:id="899" w:name="_Toc7660"/>
      <w:bookmarkStart w:id="900" w:name="_Toc26999"/>
      <w:bookmarkStart w:id="901" w:name="_Toc29187"/>
      <w:bookmarkStart w:id="902" w:name="_Toc10857"/>
      <w:bookmarkStart w:id="903" w:name="_Toc11024"/>
      <w:bookmarkStart w:id="904" w:name="_Toc17356"/>
      <w:bookmarkStart w:id="905" w:name="_Toc21879"/>
      <w:bookmarkStart w:id="906" w:name="_Toc21738"/>
      <w:bookmarkStart w:id="907" w:name="_Toc31214"/>
      <w:bookmarkStart w:id="908" w:name="_Toc15852"/>
      <w:bookmarkStart w:id="909" w:name="_Toc15026"/>
      <w:bookmarkStart w:id="910" w:name="_Toc3330"/>
      <w:bookmarkStart w:id="911" w:name="_Toc13319"/>
      <w:bookmarkStart w:id="912" w:name="_Toc13351"/>
      <w:bookmarkStart w:id="913" w:name="_Toc6685"/>
      <w:bookmarkStart w:id="914" w:name="_Toc22004"/>
      <w:bookmarkStart w:id="915" w:name="_Toc20459"/>
      <w:bookmarkStart w:id="916" w:name="_Toc15308"/>
      <w:bookmarkStart w:id="917" w:name="_Toc6137"/>
      <w:bookmarkStart w:id="918" w:name="_Toc22508"/>
      <w:bookmarkStart w:id="919" w:name="_Toc23091"/>
      <w:bookmarkStart w:id="920" w:name="_Toc23884"/>
      <w:bookmarkStart w:id="921" w:name="_Toc484792202"/>
      <w:bookmarkStart w:id="922" w:name="_Toc11537"/>
      <w:bookmarkStart w:id="923" w:name="_Toc30129"/>
      <w:bookmarkStart w:id="924" w:name="_Toc26826"/>
      <w:bookmarkStart w:id="925" w:name="_Toc11534"/>
      <w:r>
        <w:rPr>
          <w:rFonts w:hint="eastAsia" w:ascii="宋体" w:hAnsi="宋体" w:cs="宋体"/>
          <w:color w:val="auto"/>
          <w:kern w:val="0"/>
          <w:szCs w:val="21"/>
          <w:highlight w:val="none"/>
        </w:rPr>
        <w:t>（2）中标人在收到中标通知书后，无正当理由不与招标人订立合同，在签订合同时向招标人提出附加条件，或者不按照招标文件要求提交履约保证金。</w:t>
      </w:r>
    </w:p>
    <w:p w14:paraId="77A59073">
      <w:pPr>
        <w:autoSpaceDE w:val="0"/>
        <w:autoSpaceDN w:val="0"/>
        <w:adjustRightInd w:val="0"/>
        <w:spacing w:before="40" w:line="360" w:lineRule="auto"/>
        <w:ind w:right="40"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（3）国家法律、法规和规章规定的其他可以不予退还投标保证金的情形。</w:t>
      </w:r>
    </w:p>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14:paraId="004777F0">
      <w:pPr>
        <w:kinsoku/>
        <w:overflowPunct/>
        <w:bidi w:val="0"/>
        <w:spacing w:line="360" w:lineRule="auto"/>
        <w:ind w:firstLine="422" w:firstLineChars="200"/>
        <w:textAlignment w:val="auto"/>
        <w:rPr>
          <w:rFonts w:hint="eastAsia" w:hAnsi="宋体"/>
          <w:b/>
          <w:color w:val="auto"/>
          <w:highlight w:val="none"/>
        </w:rPr>
      </w:pPr>
      <w:r>
        <w:rPr>
          <w:rFonts w:hint="eastAsia" w:hAnsi="宋体"/>
          <w:b/>
          <w:color w:val="auto"/>
          <w:highlight w:val="none"/>
        </w:rPr>
        <w:t>3.5 资格审查资料</w:t>
      </w:r>
    </w:p>
    <w:p w14:paraId="7FDE2DBD">
      <w:pPr>
        <w:kinsoku/>
        <w:overflowPunct/>
        <w:bidi w:val="0"/>
        <w:spacing w:line="360" w:lineRule="auto"/>
        <w:ind w:firstLine="420" w:firstLineChars="200"/>
        <w:textAlignment w:val="auto"/>
        <w:rPr>
          <w:rFonts w:hint="eastAsia" w:hAnsi="宋体"/>
          <w:b w:val="0"/>
          <w:bCs/>
          <w:color w:val="auto"/>
          <w:highlight w:val="none"/>
          <w:u w:val="none"/>
        </w:rPr>
      </w:pPr>
      <w:r>
        <w:rPr>
          <w:rFonts w:hint="eastAsia" w:hAnsi="宋体"/>
          <w:b w:val="0"/>
          <w:bCs/>
          <w:color w:val="auto"/>
          <w:highlight w:val="none"/>
          <w:u w:val="none"/>
        </w:rPr>
        <w:t>资格审查资料要求详见本章3.1.1</w:t>
      </w:r>
      <w:r>
        <w:rPr>
          <w:rFonts w:hint="eastAsia" w:hAnsi="宋体"/>
          <w:b w:val="0"/>
          <w:bCs/>
          <w:color w:val="auto"/>
          <w:highlight w:val="none"/>
          <w:u w:val="none"/>
          <w:lang w:val="en-US" w:eastAsia="zh-CN"/>
        </w:rPr>
        <w:t>投标文件（含定标文件）</w:t>
      </w:r>
      <w:r>
        <w:rPr>
          <w:rFonts w:hint="eastAsia" w:hAnsi="宋体"/>
          <w:b w:val="0"/>
          <w:bCs/>
          <w:color w:val="auto"/>
          <w:highlight w:val="none"/>
          <w:u w:val="none"/>
        </w:rPr>
        <w:t>组成。</w:t>
      </w:r>
    </w:p>
    <w:p w14:paraId="51F9456E">
      <w:pPr>
        <w:kinsoku/>
        <w:overflowPunct/>
        <w:bidi w:val="0"/>
        <w:spacing w:line="360" w:lineRule="auto"/>
        <w:ind w:firstLine="420" w:firstLineChars="200"/>
        <w:textAlignment w:val="auto"/>
        <w:rPr>
          <w:rFonts w:ascii="宋体" w:hAnsi="宋体"/>
          <w:color w:val="auto"/>
          <w:highlight w:val="none"/>
          <w:u w:val="none"/>
        </w:rPr>
      </w:pPr>
      <w:r>
        <w:rPr>
          <w:rFonts w:hint="eastAsia" w:hAnsi="宋体"/>
          <w:b w:val="0"/>
          <w:bCs/>
          <w:color w:val="auto"/>
          <w:highlight w:val="none"/>
          <w:u w:val="none"/>
        </w:rPr>
        <w:t>采用电子化资格后审，由综合评标委员会负责对投标人的资格进行审查。</w:t>
      </w:r>
    </w:p>
    <w:p w14:paraId="6A4017CC">
      <w:pPr>
        <w:pStyle w:val="23"/>
        <w:tabs>
          <w:tab w:val="left" w:pos="2127"/>
        </w:tabs>
        <w:kinsoku/>
        <w:overflowPunct/>
        <w:bidi w:val="0"/>
        <w:spacing w:line="360" w:lineRule="auto"/>
        <w:textAlignment w:val="auto"/>
        <w:outlineLvl w:val="2"/>
        <w:rPr>
          <w:rFonts w:hAnsi="宋体"/>
          <w:b/>
          <w:color w:val="auto"/>
          <w:highlight w:val="none"/>
        </w:rPr>
      </w:pPr>
      <w:bookmarkStart w:id="926" w:name="_Toc28628"/>
      <w:bookmarkStart w:id="927" w:name="_Toc31950"/>
      <w:bookmarkStart w:id="928" w:name="_Toc29559"/>
      <w:bookmarkStart w:id="929" w:name="_Toc484792203"/>
      <w:bookmarkStart w:id="930" w:name="_Toc15554"/>
      <w:bookmarkStart w:id="931" w:name="_Toc10586"/>
      <w:bookmarkStart w:id="932" w:name="_Toc1282"/>
      <w:bookmarkStart w:id="933" w:name="_Toc15100"/>
      <w:bookmarkStart w:id="934" w:name="_Toc900"/>
      <w:bookmarkStart w:id="935" w:name="_Toc26885"/>
      <w:bookmarkStart w:id="936" w:name="_Toc25999"/>
      <w:bookmarkStart w:id="937" w:name="_Toc21096"/>
      <w:bookmarkStart w:id="938" w:name="_Toc2315"/>
      <w:bookmarkStart w:id="939" w:name="_Toc28305"/>
      <w:bookmarkStart w:id="940" w:name="_Toc19450"/>
      <w:bookmarkStart w:id="941" w:name="_Toc14547"/>
      <w:bookmarkStart w:id="942" w:name="_Toc23243"/>
      <w:bookmarkStart w:id="943" w:name="_Toc8052"/>
      <w:bookmarkStart w:id="944" w:name="_Toc25501"/>
      <w:bookmarkStart w:id="945" w:name="_Toc7293"/>
      <w:bookmarkStart w:id="946" w:name="_Toc5660"/>
      <w:bookmarkStart w:id="947" w:name="_Toc14272"/>
      <w:bookmarkStart w:id="948" w:name="_Toc22558"/>
      <w:bookmarkStart w:id="949" w:name="_Toc4203"/>
      <w:bookmarkStart w:id="950" w:name="_Toc8218"/>
      <w:bookmarkStart w:id="951" w:name="_Toc28326"/>
      <w:bookmarkStart w:id="952" w:name="_Toc22054"/>
      <w:bookmarkStart w:id="953" w:name="_Toc30561"/>
      <w:bookmarkStart w:id="954" w:name="_Toc2590"/>
      <w:bookmarkStart w:id="955" w:name="_Toc21825"/>
      <w:bookmarkStart w:id="956" w:name="_Toc13650"/>
      <w:bookmarkStart w:id="957" w:name="_Toc29051"/>
      <w:bookmarkStart w:id="958" w:name="_Toc8131"/>
      <w:bookmarkStart w:id="959" w:name="_Toc25731"/>
      <w:bookmarkStart w:id="960" w:name="_Toc31682"/>
      <w:bookmarkStart w:id="961" w:name="_Toc28862"/>
      <w:bookmarkStart w:id="962" w:name="_Toc4657"/>
      <w:bookmarkStart w:id="963" w:name="_Toc4603"/>
      <w:bookmarkStart w:id="964" w:name="_Toc27679"/>
      <w:bookmarkStart w:id="965" w:name="_Toc14370"/>
      <w:bookmarkStart w:id="966" w:name="_Toc32335"/>
      <w:bookmarkStart w:id="967" w:name="_Toc14790"/>
      <w:bookmarkStart w:id="968" w:name="_Toc13020"/>
      <w:bookmarkStart w:id="969" w:name="_Toc28039"/>
      <w:bookmarkStart w:id="970" w:name="_Toc12850"/>
      <w:bookmarkStart w:id="971" w:name="_Toc12520"/>
      <w:bookmarkStart w:id="972" w:name="_Toc10012"/>
      <w:bookmarkStart w:id="973" w:name="_Toc6139"/>
      <w:bookmarkStart w:id="974" w:name="_Toc2517"/>
      <w:bookmarkStart w:id="975" w:name="_Toc482803090"/>
      <w:r>
        <w:rPr>
          <w:rFonts w:hAnsi="宋体"/>
          <w:b/>
          <w:color w:val="auto"/>
          <w:highlight w:val="none"/>
        </w:rPr>
        <w:t xml:space="preserve">3.6 </w:t>
      </w:r>
      <w:r>
        <w:rPr>
          <w:rFonts w:hint="eastAsia" w:hAnsi="宋体"/>
          <w:b/>
          <w:color w:val="auto"/>
          <w:highlight w:val="none"/>
        </w:rPr>
        <w:t>备选投标方案</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6D8E5EA8">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40C8134B">
      <w:pPr>
        <w:pStyle w:val="23"/>
        <w:tabs>
          <w:tab w:val="left" w:pos="2127"/>
        </w:tabs>
        <w:kinsoku/>
        <w:overflowPunct/>
        <w:bidi w:val="0"/>
        <w:spacing w:line="360" w:lineRule="auto"/>
        <w:textAlignment w:val="auto"/>
        <w:outlineLvl w:val="2"/>
        <w:rPr>
          <w:rFonts w:hAnsi="宋体"/>
          <w:b/>
          <w:color w:val="auto"/>
          <w:highlight w:val="none"/>
          <w:u w:val="none"/>
        </w:rPr>
      </w:pPr>
      <w:bookmarkStart w:id="976" w:name="_Toc2129"/>
      <w:bookmarkStart w:id="977" w:name="_Toc23155"/>
      <w:bookmarkStart w:id="978" w:name="_Toc89"/>
      <w:bookmarkStart w:id="979" w:name="_Toc17423"/>
      <w:bookmarkStart w:id="980" w:name="_Toc5793"/>
      <w:bookmarkStart w:id="981" w:name="_Toc18461"/>
      <w:bookmarkStart w:id="982" w:name="_Toc32098"/>
      <w:bookmarkStart w:id="983" w:name="_Toc16535"/>
      <w:bookmarkStart w:id="984" w:name="_Toc30828"/>
      <w:bookmarkStart w:id="985" w:name="_Toc30512"/>
      <w:bookmarkStart w:id="986" w:name="_Toc414"/>
      <w:bookmarkStart w:id="987" w:name="_Toc13364"/>
      <w:bookmarkStart w:id="988" w:name="_Toc1818"/>
      <w:bookmarkStart w:id="989" w:name="_Toc29034"/>
      <w:bookmarkStart w:id="990" w:name="_Toc21783"/>
      <w:bookmarkStart w:id="991" w:name="_Toc13799"/>
      <w:bookmarkStart w:id="992" w:name="_Toc25264"/>
      <w:bookmarkStart w:id="993" w:name="_Toc482803091"/>
      <w:bookmarkStart w:id="994" w:name="_Toc15085"/>
      <w:bookmarkStart w:id="995" w:name="_Toc32149"/>
      <w:bookmarkStart w:id="996" w:name="_Toc12594"/>
      <w:bookmarkStart w:id="997" w:name="_Toc9606"/>
      <w:bookmarkStart w:id="998" w:name="_Toc14318"/>
      <w:bookmarkStart w:id="999" w:name="_Toc15971"/>
      <w:bookmarkStart w:id="1000" w:name="_Toc29620"/>
      <w:bookmarkStart w:id="1001" w:name="_Toc484792204"/>
      <w:bookmarkStart w:id="1002" w:name="_Toc5186"/>
      <w:bookmarkStart w:id="1003" w:name="_Toc32250"/>
      <w:bookmarkStart w:id="1004" w:name="_Toc3298"/>
      <w:bookmarkStart w:id="1005" w:name="_Toc2475"/>
      <w:bookmarkStart w:id="1006" w:name="_Toc4530"/>
      <w:bookmarkStart w:id="1007" w:name="_Toc15022"/>
      <w:bookmarkStart w:id="1008" w:name="_Toc28850"/>
      <w:bookmarkStart w:id="1009" w:name="_Toc25873"/>
      <w:bookmarkStart w:id="1010" w:name="_Toc522"/>
      <w:bookmarkStart w:id="1011" w:name="_Toc8200"/>
      <w:bookmarkStart w:id="1012" w:name="_Toc5553"/>
      <w:bookmarkStart w:id="1013" w:name="_Toc2059"/>
      <w:bookmarkStart w:id="1014" w:name="_Toc25619"/>
      <w:bookmarkStart w:id="1015" w:name="_Toc5613"/>
      <w:bookmarkStart w:id="1016" w:name="_Toc14394"/>
      <w:bookmarkStart w:id="1017" w:name="_Toc11365"/>
      <w:bookmarkStart w:id="1018" w:name="_Toc24042"/>
      <w:bookmarkStart w:id="1019" w:name="_Toc8056"/>
      <w:bookmarkStart w:id="1020" w:name="_Toc11518"/>
      <w:bookmarkStart w:id="1021" w:name="_Toc192"/>
      <w:bookmarkStart w:id="1022" w:name="_Toc29841"/>
      <w:bookmarkStart w:id="1023" w:name="_Toc11746"/>
      <w:bookmarkStart w:id="1024" w:name="_Toc23645"/>
      <w:bookmarkStart w:id="1025" w:name="_Toc1257"/>
      <w:r>
        <w:rPr>
          <w:rFonts w:hint="eastAsia" w:hAnsi="宋体"/>
          <w:b/>
          <w:color w:val="auto"/>
          <w:highlight w:val="none"/>
          <w:u w:val="none"/>
        </w:rPr>
        <w:t>3.7 投标文件</w:t>
      </w:r>
      <w:r>
        <w:rPr>
          <w:rFonts w:hint="eastAsia" w:hAnsi="宋体"/>
          <w:b/>
          <w:color w:val="auto"/>
          <w:highlight w:val="none"/>
          <w:u w:val="none"/>
          <w:lang w:eastAsia="zh-CN"/>
        </w:rPr>
        <w:t>（含定标文件）</w:t>
      </w:r>
      <w:r>
        <w:rPr>
          <w:rFonts w:hint="eastAsia" w:hAnsi="宋体"/>
          <w:b/>
          <w:color w:val="auto"/>
          <w:highlight w:val="none"/>
          <w:u w:val="none"/>
        </w:rPr>
        <w:t>的编制</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7B9160E5">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u w:val="none"/>
        </w:rPr>
        <w:t>3.7.1</w:t>
      </w:r>
      <w:r>
        <w:rPr>
          <w:rFonts w:hint="eastAsia" w:ascii="宋体" w:hAnsi="宋体"/>
          <w:color w:val="auto"/>
          <w:highlight w:val="none"/>
          <w:u w:val="none"/>
          <w:lang w:eastAsia="zh-CN"/>
        </w:rPr>
        <w:t>招标文件</w:t>
      </w:r>
      <w:r>
        <w:rPr>
          <w:rFonts w:hint="eastAsia" w:ascii="宋体" w:hAnsi="宋体"/>
          <w:color w:val="auto"/>
          <w:highlight w:val="none"/>
          <w:u w:val="none"/>
        </w:rPr>
        <w:t>第</w:t>
      </w:r>
      <w:r>
        <w:rPr>
          <w:rFonts w:hint="eastAsia" w:ascii="宋体" w:hAnsi="宋体"/>
          <w:color w:val="auto"/>
          <w:highlight w:val="none"/>
          <w:u w:val="none"/>
          <w:lang w:val="en-US" w:eastAsia="zh-CN"/>
        </w:rPr>
        <w:t>六</w:t>
      </w:r>
      <w:r>
        <w:rPr>
          <w:rFonts w:hint="eastAsia" w:ascii="宋体" w:hAnsi="宋体"/>
          <w:color w:val="auto"/>
          <w:highlight w:val="none"/>
          <w:u w:val="none"/>
        </w:rPr>
        <w:t>章“</w:t>
      </w:r>
      <w:r>
        <w:rPr>
          <w:rFonts w:hint="eastAsia" w:ascii="宋体" w:hAnsi="宋体"/>
          <w:color w:val="auto"/>
          <w:highlight w:val="none"/>
          <w:u w:val="none"/>
          <w:lang w:eastAsia="zh-CN"/>
        </w:rPr>
        <w:t>投标文件（含定标文件）</w:t>
      </w:r>
      <w:r>
        <w:rPr>
          <w:rFonts w:hint="eastAsia" w:ascii="宋体" w:hAnsi="宋体"/>
          <w:color w:val="auto"/>
          <w:highlight w:val="none"/>
          <w:u w:val="none"/>
        </w:rPr>
        <w:t>格式”有提供格式要求的</w:t>
      </w:r>
      <w:r>
        <w:rPr>
          <w:rFonts w:hint="eastAsia" w:ascii="宋体" w:hAnsi="宋体"/>
          <w:color w:val="auto"/>
          <w:highlight w:val="none"/>
          <w:u w:val="none"/>
          <w:lang w:eastAsia="zh-CN"/>
        </w:rPr>
        <w:t>，</w:t>
      </w:r>
      <w:r>
        <w:rPr>
          <w:rFonts w:hint="eastAsia" w:ascii="宋体" w:hAnsi="宋体"/>
          <w:color w:val="auto"/>
          <w:highlight w:val="none"/>
          <w:u w:val="none"/>
        </w:rPr>
        <w:t>投标文件</w:t>
      </w:r>
      <w:r>
        <w:rPr>
          <w:rFonts w:hint="eastAsia" w:ascii="宋体" w:hAnsi="宋体"/>
          <w:color w:val="auto"/>
          <w:highlight w:val="none"/>
          <w:u w:val="none"/>
          <w:lang w:eastAsia="zh-CN"/>
        </w:rPr>
        <w:t>（含定标文件）</w:t>
      </w:r>
      <w:r>
        <w:rPr>
          <w:rFonts w:hint="eastAsia" w:ascii="宋体" w:hAnsi="宋体"/>
          <w:color w:val="auto"/>
          <w:highlight w:val="none"/>
          <w:u w:val="none"/>
        </w:rPr>
        <w:t>应按其进行编写盖章，如有必要，</w:t>
      </w:r>
      <w:r>
        <w:rPr>
          <w:rFonts w:hint="eastAsia" w:ascii="宋体" w:hAnsi="宋体"/>
          <w:color w:val="auto"/>
          <w:highlight w:val="none"/>
        </w:rPr>
        <w:t>可以增加附页，作为</w:t>
      </w:r>
      <w:r>
        <w:rPr>
          <w:rFonts w:hint="eastAsia" w:ascii="宋体" w:hAnsi="宋体"/>
          <w:color w:val="auto"/>
          <w:highlight w:val="none"/>
          <w:lang w:eastAsia="zh-CN"/>
        </w:rPr>
        <w:t>投标文件（含定标文件）</w:t>
      </w:r>
      <w:r>
        <w:rPr>
          <w:rFonts w:hint="eastAsia" w:ascii="宋体" w:hAnsi="宋体"/>
          <w:color w:val="auto"/>
          <w:highlight w:val="none"/>
        </w:rPr>
        <w:t>的组成部分。</w:t>
      </w:r>
    </w:p>
    <w:p w14:paraId="7C945C6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3.7.2</w:t>
      </w:r>
      <w:r>
        <w:rPr>
          <w:rFonts w:hint="eastAsia" w:ascii="宋体" w:hAnsi="宋体"/>
          <w:color w:val="auto"/>
          <w:highlight w:val="none"/>
          <w:lang w:eastAsia="zh-CN"/>
        </w:rPr>
        <w:t>投标文件（含定标文件）</w:t>
      </w:r>
      <w:r>
        <w:rPr>
          <w:rFonts w:hint="eastAsia" w:ascii="宋体" w:hAnsi="宋体"/>
          <w:color w:val="auto"/>
          <w:highlight w:val="none"/>
        </w:rPr>
        <w:t>应当对招标文件有关监理服务期限</w:t>
      </w:r>
      <w:r>
        <w:rPr>
          <w:rFonts w:hint="eastAsia" w:ascii="宋体" w:hAnsi="宋体"/>
          <w:color w:val="auto"/>
          <w:highlight w:val="none"/>
          <w:lang w:eastAsia="zh-CN"/>
        </w:rPr>
        <w:t>、</w:t>
      </w:r>
      <w:r>
        <w:rPr>
          <w:rFonts w:hint="eastAsia" w:ascii="宋体" w:hAnsi="宋体"/>
          <w:color w:val="auto"/>
          <w:highlight w:val="none"/>
        </w:rPr>
        <w:t>投标有效期、质量要求、技术标准和要求、招标范围等实质性内容作出响应。</w:t>
      </w:r>
    </w:p>
    <w:p w14:paraId="4B5B116E">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3.7.3</w:t>
      </w:r>
      <w:r>
        <w:rPr>
          <w:rFonts w:hint="eastAsia" w:ascii="宋体" w:hAnsi="宋体" w:cs="宋体"/>
          <w:color w:val="auto"/>
          <w:spacing w:val="-2"/>
          <w:kern w:val="0"/>
          <w:szCs w:val="21"/>
          <w:highlight w:val="none"/>
          <w:lang w:eastAsia="zh-CN"/>
        </w:rPr>
        <w:t>投标文件（含定标文件）</w:t>
      </w:r>
      <w:r>
        <w:rPr>
          <w:rFonts w:hint="eastAsia" w:ascii="宋体" w:hAnsi="宋体" w:eastAsia="宋体" w:cs="宋体"/>
          <w:color w:val="auto"/>
          <w:spacing w:val="-2"/>
          <w:kern w:val="0"/>
          <w:szCs w:val="21"/>
          <w:highlight w:val="none"/>
        </w:rPr>
        <w:t>全部采用电子文档，除投标人须知前附表另有规定外，</w:t>
      </w:r>
      <w:r>
        <w:rPr>
          <w:rFonts w:hint="eastAsia" w:ascii="宋体" w:hAnsi="宋体" w:cs="宋体"/>
          <w:color w:val="auto"/>
          <w:spacing w:val="-2"/>
          <w:kern w:val="0"/>
          <w:szCs w:val="21"/>
          <w:highlight w:val="none"/>
          <w:lang w:eastAsia="zh-CN"/>
        </w:rPr>
        <w:t>投标文件（含定标文件）</w:t>
      </w:r>
      <w:r>
        <w:rPr>
          <w:rFonts w:hint="eastAsia" w:ascii="宋体" w:hAnsi="宋体" w:eastAsia="宋体" w:cs="宋体"/>
          <w:color w:val="auto"/>
          <w:spacing w:val="-2"/>
          <w:kern w:val="0"/>
          <w:szCs w:val="21"/>
          <w:highlight w:val="none"/>
        </w:rPr>
        <w:t>所附证书证件均为原件扫描件。</w:t>
      </w:r>
      <w:r>
        <w:rPr>
          <w:rFonts w:hint="eastAsia" w:hAnsi="宋体"/>
          <w:color w:val="auto"/>
          <w:szCs w:val="21"/>
          <w:highlight w:val="none"/>
        </w:rPr>
        <w:t>签字或盖章的具体要求见</w:t>
      </w:r>
      <w:r>
        <w:rPr>
          <w:rFonts w:hint="eastAsia" w:hAnsi="宋体"/>
          <w:color w:val="auto"/>
          <w:szCs w:val="21"/>
          <w:highlight w:val="none"/>
          <w:lang w:val="en-US" w:eastAsia="zh-CN"/>
        </w:rPr>
        <w:t>投标人</w:t>
      </w:r>
      <w:r>
        <w:rPr>
          <w:rFonts w:hint="eastAsia" w:hAnsi="宋体"/>
          <w:color w:val="auto"/>
          <w:szCs w:val="21"/>
          <w:highlight w:val="none"/>
        </w:rPr>
        <w:t>须知前附表。</w:t>
      </w:r>
    </w:p>
    <w:p w14:paraId="0921487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3.7.4</w:t>
      </w:r>
      <w:r>
        <w:rPr>
          <w:rFonts w:hint="eastAsia" w:ascii="宋体" w:hAnsi="宋体"/>
          <w:color w:val="auto"/>
          <w:highlight w:val="none"/>
          <w:lang w:eastAsia="zh-CN"/>
        </w:rPr>
        <w:t>投标文件（含定标文件）</w:t>
      </w:r>
      <w:r>
        <w:rPr>
          <w:rFonts w:hint="eastAsia" w:ascii="宋体" w:hAnsi="宋体"/>
          <w:color w:val="auto"/>
          <w:highlight w:val="none"/>
        </w:rPr>
        <w:t>编制的其他要求：见投标人须知前附表。</w:t>
      </w:r>
    </w:p>
    <w:p w14:paraId="6B9981EB">
      <w:pPr>
        <w:pStyle w:val="23"/>
        <w:tabs>
          <w:tab w:val="left" w:pos="2127"/>
        </w:tabs>
        <w:kinsoku/>
        <w:overflowPunct/>
        <w:bidi w:val="0"/>
        <w:spacing w:line="360" w:lineRule="auto"/>
        <w:ind w:firstLine="420" w:firstLineChars="200"/>
        <w:textAlignment w:val="auto"/>
        <w:rPr>
          <w:rFonts w:hAnsi="宋体"/>
          <w:color w:val="auto"/>
          <w:highlight w:val="none"/>
        </w:rPr>
      </w:pPr>
    </w:p>
    <w:p w14:paraId="0BC9CE82">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026" w:name="_Toc3446"/>
      <w:bookmarkStart w:id="1027" w:name="_Toc30613"/>
      <w:bookmarkStart w:id="1028" w:name="_Toc25213"/>
      <w:bookmarkStart w:id="1029" w:name="_Toc28989"/>
      <w:bookmarkStart w:id="1030" w:name="_Toc32373"/>
      <w:bookmarkStart w:id="1031" w:name="_Toc28919"/>
      <w:bookmarkStart w:id="1032" w:name="_Toc572"/>
      <w:bookmarkStart w:id="1033" w:name="_Toc31307"/>
      <w:bookmarkStart w:id="1034" w:name="_Toc7385"/>
      <w:bookmarkStart w:id="1035" w:name="_Toc23988"/>
      <w:bookmarkStart w:id="1036" w:name="_Toc9388"/>
      <w:bookmarkStart w:id="1037" w:name="_Toc25067"/>
      <w:bookmarkStart w:id="1038" w:name="_Toc27487"/>
      <w:bookmarkStart w:id="1039" w:name="_Toc8437"/>
      <w:bookmarkStart w:id="1040" w:name="_Toc31888"/>
      <w:bookmarkStart w:id="1041" w:name="_Toc163"/>
      <w:bookmarkStart w:id="1042" w:name="_Toc3230"/>
      <w:bookmarkStart w:id="1043" w:name="_Toc30211"/>
      <w:r>
        <w:rPr>
          <w:rFonts w:hint="eastAsia" w:ascii="宋体" w:hAnsi="宋体" w:eastAsia="宋体"/>
          <w:color w:val="auto"/>
          <w:sz w:val="24"/>
          <w:szCs w:val="24"/>
          <w:highlight w:val="none"/>
        </w:rPr>
        <w:t>4. 投标</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177E0AF1">
      <w:pPr>
        <w:pStyle w:val="23"/>
        <w:tabs>
          <w:tab w:val="left" w:pos="2127"/>
        </w:tabs>
        <w:kinsoku/>
        <w:overflowPunct/>
        <w:bidi w:val="0"/>
        <w:spacing w:line="360" w:lineRule="auto"/>
        <w:textAlignment w:val="auto"/>
        <w:outlineLvl w:val="2"/>
        <w:rPr>
          <w:rFonts w:hint="eastAsia" w:hAnsi="宋体"/>
          <w:b/>
          <w:color w:val="auto"/>
          <w:highlight w:val="none"/>
          <w:lang w:val="en-US" w:eastAsia="zh-CN"/>
        </w:rPr>
      </w:pPr>
      <w:bookmarkStart w:id="1044" w:name="_Toc3792"/>
      <w:bookmarkStart w:id="1045" w:name="_Toc21088"/>
      <w:bookmarkStart w:id="1046" w:name="_Toc25377"/>
      <w:bookmarkStart w:id="1047" w:name="_Toc16839"/>
      <w:bookmarkStart w:id="1048" w:name="_Toc11091"/>
      <w:bookmarkStart w:id="1049" w:name="_Toc9709"/>
      <w:bookmarkStart w:id="1050" w:name="_Toc20266"/>
      <w:bookmarkStart w:id="1051" w:name="_Toc8422"/>
      <w:bookmarkStart w:id="1052" w:name="_Toc13252"/>
      <w:bookmarkStart w:id="1053" w:name="_Toc16565"/>
      <w:bookmarkStart w:id="1054" w:name="_Toc8700"/>
      <w:bookmarkStart w:id="1055" w:name="_Toc29457"/>
      <w:bookmarkStart w:id="1056" w:name="_Toc26903"/>
      <w:bookmarkStart w:id="1057" w:name="_Toc5876"/>
      <w:bookmarkStart w:id="1058" w:name="_Toc27630"/>
      <w:bookmarkStart w:id="1059" w:name="_Toc946"/>
      <w:bookmarkStart w:id="1060" w:name="_Toc25682"/>
      <w:bookmarkStart w:id="1061" w:name="_Toc5619"/>
      <w:bookmarkStart w:id="1062" w:name="_Toc815"/>
      <w:bookmarkStart w:id="1063" w:name="_Toc26980"/>
      <w:bookmarkStart w:id="1064" w:name="_Toc24851"/>
      <w:bookmarkStart w:id="1065" w:name="_Toc25601"/>
      <w:bookmarkStart w:id="1066" w:name="_Toc4883"/>
      <w:bookmarkStart w:id="1067" w:name="_Toc10662"/>
      <w:bookmarkStart w:id="1068" w:name="_Toc24406"/>
      <w:bookmarkStart w:id="1069" w:name="_Toc20538"/>
      <w:bookmarkStart w:id="1070" w:name="_Toc16563"/>
      <w:bookmarkStart w:id="1071" w:name="_Toc29636"/>
      <w:bookmarkStart w:id="1072" w:name="_Toc482803093"/>
      <w:bookmarkStart w:id="1073" w:name="_Toc24967"/>
      <w:bookmarkStart w:id="1074" w:name="_Toc3135"/>
      <w:bookmarkStart w:id="1075" w:name="_Toc22951"/>
      <w:bookmarkStart w:id="1076" w:name="_Toc3680"/>
      <w:bookmarkStart w:id="1077" w:name="_Toc23452"/>
      <w:bookmarkStart w:id="1078" w:name="_Toc4237"/>
      <w:bookmarkStart w:id="1079" w:name="_Toc25292"/>
      <w:bookmarkStart w:id="1080" w:name="_Toc29793"/>
      <w:bookmarkStart w:id="1081" w:name="_Toc18782"/>
      <w:bookmarkStart w:id="1082" w:name="_Toc15455"/>
      <w:bookmarkStart w:id="1083" w:name="_Toc8876"/>
      <w:bookmarkStart w:id="1084" w:name="_Toc1453"/>
      <w:bookmarkStart w:id="1085" w:name="_Toc1740"/>
      <w:bookmarkStart w:id="1086" w:name="_Toc484792206"/>
      <w:bookmarkStart w:id="1087" w:name="_Toc26432"/>
      <w:bookmarkStart w:id="1088" w:name="_Toc7069"/>
      <w:bookmarkStart w:id="1089" w:name="_Toc4189"/>
      <w:bookmarkStart w:id="1090" w:name="_Toc14308"/>
      <w:bookmarkStart w:id="1091" w:name="_Toc12806"/>
      <w:bookmarkStart w:id="1092" w:name="_Toc10977"/>
      <w:bookmarkStart w:id="1093" w:name="_Toc12474"/>
      <w:r>
        <w:rPr>
          <w:rFonts w:hint="eastAsia" w:hAnsi="宋体"/>
          <w:b/>
          <w:color w:val="auto"/>
          <w:highlight w:val="none"/>
          <w:lang w:val="en-US" w:eastAsia="zh-CN"/>
        </w:rPr>
        <w:t>4.1投标文件（含定标文件）的密封和标记</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2CF37765">
      <w:pPr>
        <w:pStyle w:val="23"/>
        <w:keepNext w:val="0"/>
        <w:keepLines w:val="0"/>
        <w:pageBreakBefore w:val="0"/>
        <w:widowControl w:val="0"/>
        <w:tabs>
          <w:tab w:val="left" w:pos="2127"/>
        </w:tabs>
        <w:kinsoku/>
        <w:wordWrap/>
        <w:overflowPunct/>
        <w:topLinePunct w:val="0"/>
        <w:autoSpaceDE/>
        <w:autoSpaceDN/>
        <w:bidi w:val="0"/>
        <w:adjustRightInd/>
        <w:snapToGrid/>
        <w:spacing w:line="360" w:lineRule="auto"/>
        <w:ind w:firstLine="420" w:firstLineChars="200"/>
        <w:textAlignment w:val="auto"/>
        <w:outlineLvl w:val="9"/>
        <w:rPr>
          <w:rFonts w:hint="default" w:hAnsi="宋体"/>
          <w:b w:val="0"/>
          <w:bCs w:val="0"/>
          <w:color w:val="auto"/>
          <w:highlight w:val="none"/>
          <w:lang w:val="en-US" w:eastAsia="zh-CN"/>
        </w:rPr>
      </w:pPr>
      <w:bookmarkStart w:id="1094" w:name="_Toc24883"/>
      <w:bookmarkStart w:id="1095" w:name="_Toc22872"/>
      <w:bookmarkStart w:id="1096" w:name="_Toc24146"/>
      <w:bookmarkStart w:id="1097" w:name="_Toc11300"/>
      <w:bookmarkStart w:id="1098" w:name="_Toc5387"/>
      <w:bookmarkStart w:id="1099" w:name="_Toc13438"/>
      <w:bookmarkStart w:id="1100" w:name="_Toc17458"/>
      <w:bookmarkStart w:id="1101" w:name="_Toc22502"/>
      <w:bookmarkStart w:id="1102" w:name="_Toc13690"/>
      <w:bookmarkStart w:id="1103" w:name="_Toc8627"/>
      <w:bookmarkStart w:id="1104" w:name="_Toc11484"/>
      <w:bookmarkStart w:id="1105" w:name="_Toc9527"/>
      <w:bookmarkStart w:id="1106" w:name="_Toc5257"/>
      <w:bookmarkStart w:id="1107" w:name="_Toc11299"/>
      <w:bookmarkStart w:id="1108" w:name="_Toc28486"/>
      <w:bookmarkStart w:id="1109" w:name="_Toc26034"/>
      <w:bookmarkStart w:id="1110" w:name="_Toc5675"/>
      <w:bookmarkStart w:id="1111" w:name="_Toc7815"/>
      <w:bookmarkStart w:id="1112" w:name="_Toc6402"/>
      <w:bookmarkStart w:id="1113" w:name="_Toc24166"/>
      <w:bookmarkStart w:id="1114" w:name="_Toc25728"/>
      <w:r>
        <w:rPr>
          <w:rFonts w:hint="eastAsia" w:hAnsi="宋体"/>
          <w:b w:val="0"/>
          <w:bCs w:val="0"/>
          <w:color w:val="auto"/>
          <w:highlight w:val="none"/>
          <w:lang w:val="en-US" w:eastAsia="zh-CN"/>
        </w:rPr>
        <w:t>4.1.1 投标人应当按照招标文件和</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hAnsi="宋体"/>
          <w:b w:val="0"/>
          <w:bCs w:val="0"/>
          <w:color w:val="auto"/>
          <w:highlight w:val="none"/>
          <w:lang w:val="en-US" w:eastAsia="zh-CN"/>
        </w:rPr>
        <w:t>的要求加密投标</w:t>
      </w:r>
      <w:r>
        <w:rPr>
          <w:rFonts w:hint="default" w:hAnsi="宋体"/>
          <w:b w:val="0"/>
          <w:bCs w:val="0"/>
          <w:color w:val="auto"/>
          <w:highlight w:val="none"/>
          <w:lang w:val="en-US" w:eastAsia="zh-CN"/>
        </w:rPr>
        <w:t>文件</w:t>
      </w:r>
      <w:r>
        <w:rPr>
          <w:rFonts w:hint="eastAsia" w:hAnsi="宋体"/>
          <w:b w:val="0"/>
          <w:bCs w:val="0"/>
          <w:color w:val="auto"/>
          <w:highlight w:val="none"/>
          <w:lang w:val="en-US" w:eastAsia="zh-CN"/>
        </w:rPr>
        <w:t>（含定标文件）</w:t>
      </w:r>
      <w:r>
        <w:rPr>
          <w:rFonts w:hint="default" w:hAnsi="宋体"/>
          <w:b w:val="0"/>
          <w:bCs w:val="0"/>
          <w:color w:val="auto"/>
          <w:highlight w:val="none"/>
          <w:lang w:val="en-US" w:eastAsia="zh-CN"/>
        </w:rPr>
        <w:t>。</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046D6DF">
      <w:pPr>
        <w:pStyle w:val="23"/>
        <w:tabs>
          <w:tab w:val="left" w:pos="2127"/>
        </w:tabs>
        <w:kinsoku/>
        <w:overflowPunct/>
        <w:bidi w:val="0"/>
        <w:spacing w:line="360" w:lineRule="auto"/>
        <w:textAlignment w:val="auto"/>
        <w:outlineLvl w:val="2"/>
        <w:rPr>
          <w:rFonts w:hint="eastAsia" w:hAnsi="宋体" w:eastAsia="宋体"/>
          <w:b/>
          <w:color w:val="auto"/>
          <w:highlight w:val="none"/>
          <w:lang w:val="en-US" w:eastAsia="zh-CN"/>
        </w:rPr>
      </w:pPr>
      <w:bookmarkStart w:id="1115" w:name="_Toc26671"/>
      <w:bookmarkStart w:id="1116" w:name="_Toc18866"/>
      <w:bookmarkStart w:id="1117" w:name="_Toc18490"/>
      <w:bookmarkStart w:id="1118" w:name="_Toc28543"/>
      <w:bookmarkStart w:id="1119" w:name="_Toc15552"/>
      <w:bookmarkStart w:id="1120" w:name="_Toc31130"/>
      <w:bookmarkStart w:id="1121" w:name="_Toc16201"/>
      <w:bookmarkStart w:id="1122" w:name="_Toc22993"/>
      <w:bookmarkStart w:id="1123" w:name="_Toc5302"/>
      <w:bookmarkStart w:id="1124" w:name="_Toc16605"/>
      <w:bookmarkStart w:id="1125" w:name="_Toc30692"/>
      <w:bookmarkStart w:id="1126" w:name="_Toc5578"/>
      <w:bookmarkStart w:id="1127" w:name="_Toc158"/>
      <w:bookmarkStart w:id="1128" w:name="_Toc7931"/>
      <w:bookmarkStart w:id="1129" w:name="_Toc23995"/>
      <w:bookmarkStart w:id="1130" w:name="_Toc24302"/>
      <w:bookmarkStart w:id="1131" w:name="_Toc8552"/>
      <w:bookmarkStart w:id="1132" w:name="_Toc23535"/>
      <w:bookmarkStart w:id="1133" w:name="_Toc194"/>
      <w:bookmarkStart w:id="1134" w:name="_Toc26153"/>
      <w:bookmarkStart w:id="1135" w:name="_Toc8395"/>
      <w:bookmarkStart w:id="1136" w:name="_Toc32249"/>
      <w:bookmarkStart w:id="1137" w:name="_Toc24925"/>
      <w:r>
        <w:rPr>
          <w:rFonts w:hint="eastAsia" w:hAnsi="宋体"/>
          <w:b/>
          <w:color w:val="auto"/>
          <w:highlight w:val="none"/>
        </w:rPr>
        <w:t>4.</w:t>
      </w:r>
      <w:r>
        <w:rPr>
          <w:rFonts w:hint="eastAsia" w:hAnsi="宋体"/>
          <w:b/>
          <w:color w:val="auto"/>
          <w:highlight w:val="none"/>
          <w:lang w:val="en-US" w:eastAsia="zh-CN"/>
        </w:rPr>
        <w:t>2</w:t>
      </w:r>
      <w:r>
        <w:rPr>
          <w:rFonts w:hint="eastAsia" w:hAnsi="宋体"/>
          <w:b/>
          <w:color w:val="auto"/>
          <w:highlight w:val="none"/>
        </w:rPr>
        <w:t xml:space="preserve"> 投标文件</w:t>
      </w:r>
      <w:r>
        <w:rPr>
          <w:rFonts w:hint="eastAsia" w:hAnsi="宋体"/>
          <w:b/>
          <w:color w:val="auto"/>
          <w:highlight w:val="none"/>
          <w:lang w:val="en-US" w:eastAsia="zh-CN"/>
        </w:rPr>
        <w:t>（含定标文件）</w:t>
      </w:r>
      <w:r>
        <w:rPr>
          <w:rFonts w:hint="eastAsia" w:hAnsi="宋体"/>
          <w:b/>
          <w:color w:val="auto"/>
          <w:highlight w:val="none"/>
        </w:rPr>
        <w:t>的</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Pr>
          <w:rFonts w:hint="eastAsia" w:hAnsi="宋体"/>
          <w:b/>
          <w:color w:val="auto"/>
          <w:highlight w:val="none"/>
          <w:lang w:val="en-US" w:eastAsia="zh-CN"/>
        </w:rPr>
        <w:t>递交</w:t>
      </w:r>
      <w:bookmarkEnd w:id="1115"/>
      <w:bookmarkEnd w:id="1116"/>
      <w:bookmarkEnd w:id="1117"/>
    </w:p>
    <w:p w14:paraId="7F5E1EA2">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4.2.1 投标人应在</w:t>
      </w:r>
      <w:r>
        <w:rPr>
          <w:rFonts w:hint="eastAsia" w:ascii="宋体" w:hAnsi="宋体"/>
          <w:color w:val="auto"/>
          <w:szCs w:val="21"/>
          <w:highlight w:val="none"/>
          <w:lang w:val="en-US" w:eastAsia="zh-CN"/>
        </w:rPr>
        <w:t>投标人</w:t>
      </w:r>
      <w:r>
        <w:rPr>
          <w:rFonts w:hint="eastAsia" w:ascii="宋体" w:hAnsi="宋体"/>
          <w:color w:val="auto"/>
          <w:szCs w:val="21"/>
          <w:highlight w:val="none"/>
        </w:rPr>
        <w:t>须知前附表</w:t>
      </w:r>
      <w:r>
        <w:rPr>
          <w:rFonts w:hint="eastAsia" w:ascii="宋体" w:hAnsi="宋体" w:cs="宋体"/>
          <w:color w:val="auto"/>
          <w:kern w:val="0"/>
          <w:szCs w:val="21"/>
          <w:highlight w:val="none"/>
        </w:rPr>
        <w:t>规定的投标截止时间前递交投标文件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w:t>
      </w:r>
    </w:p>
    <w:p w14:paraId="70267BD5">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4.2.2 投标人通过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cs="宋体"/>
          <w:color w:val="auto"/>
          <w:kern w:val="0"/>
          <w:szCs w:val="21"/>
          <w:highlight w:val="none"/>
        </w:rPr>
        <w:t>递交电子</w:t>
      </w:r>
      <w:r>
        <w:rPr>
          <w:rFonts w:hint="eastAsia" w:ascii="宋体" w:hAnsi="宋体" w:cs="宋体"/>
          <w:color w:val="auto"/>
          <w:kern w:val="0"/>
          <w:szCs w:val="21"/>
          <w:highlight w:val="none"/>
          <w:lang w:eastAsia="zh-CN"/>
        </w:rPr>
        <w:t>投标文件（含定标文件）</w:t>
      </w:r>
      <w:r>
        <w:rPr>
          <w:rFonts w:hint="eastAsia" w:ascii="宋体" w:hAnsi="宋体" w:cs="宋体"/>
          <w:color w:val="auto"/>
          <w:kern w:val="0"/>
          <w:szCs w:val="21"/>
          <w:highlight w:val="none"/>
        </w:rPr>
        <w:t>。</w:t>
      </w:r>
    </w:p>
    <w:p w14:paraId="39A927E1">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4.2.3 除投标人须知前附表另有规定外</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投标人所递交的投标文件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不予退还。</w:t>
      </w:r>
    </w:p>
    <w:p w14:paraId="03405DF0">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 逾期上传的投标文件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招标人及电子招标投标交易平台将予以拒收。</w:t>
      </w:r>
    </w:p>
    <w:p w14:paraId="62ECA285">
      <w:pPr>
        <w:autoSpaceDE w:val="0"/>
        <w:autoSpaceDN w:val="0"/>
        <w:adjustRightInd w:val="0"/>
        <w:spacing w:before="42" w:line="360" w:lineRule="auto"/>
        <w:ind w:right="-20" w:firstLine="420" w:firstLineChars="200"/>
        <w:jc w:val="left"/>
        <w:rPr>
          <w:rFonts w:hint="eastAsia" w:hAnsi="宋体"/>
          <w:b/>
          <w:color w:val="auto"/>
          <w:highlight w:val="none"/>
        </w:rPr>
      </w:pPr>
      <w:r>
        <w:rPr>
          <w:rFonts w:hint="eastAsia" w:ascii="宋体" w:hAnsi="宋体" w:cs="宋体"/>
          <w:color w:val="auto"/>
          <w:kern w:val="0"/>
          <w:szCs w:val="21"/>
          <w:highlight w:val="none"/>
        </w:rPr>
        <w:t xml:space="preserve">4.2.6 投标其他要求：见投标人须知前附表。 </w:t>
      </w:r>
    </w:p>
    <w:bookmarkEnd w:id="1093"/>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43BCA2D8">
      <w:pPr>
        <w:pStyle w:val="23"/>
        <w:tabs>
          <w:tab w:val="left" w:pos="2127"/>
        </w:tabs>
        <w:kinsoku/>
        <w:overflowPunct/>
        <w:bidi w:val="0"/>
        <w:spacing w:line="360" w:lineRule="auto"/>
        <w:textAlignment w:val="auto"/>
        <w:outlineLvl w:val="2"/>
        <w:rPr>
          <w:rFonts w:hAnsi="宋体"/>
          <w:b/>
          <w:color w:val="auto"/>
          <w:highlight w:val="none"/>
        </w:rPr>
      </w:pPr>
      <w:bookmarkStart w:id="1138" w:name="_Toc22625"/>
      <w:bookmarkStart w:id="1139" w:name="_Toc4965"/>
      <w:bookmarkStart w:id="1140" w:name="_Toc7086"/>
      <w:bookmarkStart w:id="1141" w:name="_Toc30401"/>
      <w:bookmarkStart w:id="1142" w:name="_Toc16717"/>
      <w:bookmarkStart w:id="1143" w:name="_Toc2253"/>
      <w:bookmarkStart w:id="1144" w:name="_Toc21187"/>
      <w:bookmarkStart w:id="1145" w:name="_Toc10390"/>
      <w:bookmarkStart w:id="1146" w:name="_Toc27586"/>
      <w:bookmarkStart w:id="1147" w:name="_Toc23195"/>
      <w:bookmarkStart w:id="1148" w:name="_Toc12069"/>
      <w:bookmarkStart w:id="1149" w:name="_Toc29753"/>
      <w:bookmarkStart w:id="1150" w:name="_Toc482803095"/>
      <w:bookmarkStart w:id="1151" w:name="_Toc12190"/>
      <w:bookmarkStart w:id="1152" w:name="_Toc20715"/>
      <w:bookmarkStart w:id="1153" w:name="_Toc9291"/>
      <w:bookmarkStart w:id="1154" w:name="_Toc6201"/>
      <w:bookmarkStart w:id="1155" w:name="_Toc3032"/>
      <w:bookmarkStart w:id="1156" w:name="_Toc19852"/>
      <w:bookmarkStart w:id="1157" w:name="_Toc18705"/>
      <w:bookmarkStart w:id="1158" w:name="_Toc26463"/>
      <w:bookmarkStart w:id="1159" w:name="_Toc9651"/>
      <w:bookmarkStart w:id="1160" w:name="_Toc25404"/>
      <w:bookmarkStart w:id="1161" w:name="_Toc25259"/>
      <w:bookmarkStart w:id="1162" w:name="_Toc24349"/>
      <w:bookmarkStart w:id="1163" w:name="_Toc12355"/>
      <w:bookmarkStart w:id="1164" w:name="_Toc12930"/>
      <w:bookmarkStart w:id="1165" w:name="_Toc16555"/>
      <w:bookmarkStart w:id="1166" w:name="_Toc21795"/>
      <w:bookmarkStart w:id="1167" w:name="_Toc17516"/>
      <w:bookmarkStart w:id="1168" w:name="_Toc12162"/>
      <w:bookmarkStart w:id="1169" w:name="_Toc9285"/>
      <w:bookmarkStart w:id="1170" w:name="_Toc26139"/>
      <w:bookmarkStart w:id="1171" w:name="_Toc9007"/>
      <w:bookmarkStart w:id="1172" w:name="_Toc9715"/>
      <w:bookmarkStart w:id="1173" w:name="_Toc28179"/>
      <w:bookmarkStart w:id="1174" w:name="_Toc5939"/>
      <w:bookmarkStart w:id="1175" w:name="_Toc19265"/>
      <w:bookmarkStart w:id="1176" w:name="_Toc1914"/>
      <w:bookmarkStart w:id="1177" w:name="_Toc20554"/>
      <w:bookmarkStart w:id="1178" w:name="_Toc484792208"/>
      <w:bookmarkStart w:id="1179" w:name="_Toc11270"/>
      <w:bookmarkStart w:id="1180" w:name="_Toc9370"/>
      <w:bookmarkStart w:id="1181" w:name="_Toc20643"/>
      <w:bookmarkStart w:id="1182" w:name="_Toc27125"/>
      <w:bookmarkStart w:id="1183" w:name="_Toc21452"/>
      <w:bookmarkStart w:id="1184" w:name="_Toc4592"/>
      <w:bookmarkStart w:id="1185" w:name="_Toc17702"/>
      <w:bookmarkStart w:id="1186" w:name="_Toc26886"/>
      <w:bookmarkStart w:id="1187" w:name="_Toc7456"/>
      <w:r>
        <w:rPr>
          <w:rFonts w:hint="eastAsia" w:hAnsi="宋体"/>
          <w:b/>
          <w:color w:val="auto"/>
          <w:highlight w:val="none"/>
        </w:rPr>
        <w:t>4.</w:t>
      </w:r>
      <w:r>
        <w:rPr>
          <w:rFonts w:hint="eastAsia" w:hAnsi="宋体"/>
          <w:b/>
          <w:color w:val="auto"/>
          <w:highlight w:val="none"/>
          <w:lang w:val="en-US" w:eastAsia="zh-CN"/>
        </w:rPr>
        <w:t>3</w:t>
      </w:r>
      <w:r>
        <w:rPr>
          <w:rFonts w:hint="eastAsia" w:hAnsi="宋体"/>
          <w:b/>
          <w:color w:val="auto"/>
          <w:highlight w:val="none"/>
        </w:rPr>
        <w:t>投标文件</w:t>
      </w:r>
      <w:r>
        <w:rPr>
          <w:rFonts w:hint="eastAsia" w:hAnsi="宋体"/>
          <w:b/>
          <w:color w:val="auto"/>
          <w:highlight w:val="none"/>
          <w:lang w:val="en-US" w:eastAsia="zh-CN"/>
        </w:rPr>
        <w:t>（含定标文件）</w:t>
      </w:r>
      <w:r>
        <w:rPr>
          <w:rFonts w:hint="eastAsia" w:hAnsi="宋体"/>
          <w:b/>
          <w:color w:val="auto"/>
          <w:highlight w:val="none"/>
        </w:rPr>
        <w:t>的修改与撤回</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5ED67C8D">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4.3.1 在本章第4.2.1项规定的投标截止时间前投标人可以修改或撤回已递交的投标文件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w:t>
      </w:r>
    </w:p>
    <w:p w14:paraId="5BA8632F">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4.3.2 投标人撤回投标文件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的，招标人自收到投标人书面撤回通知之日起5日内退还已收取的投标保证金。</w:t>
      </w:r>
    </w:p>
    <w:p w14:paraId="126B679A">
      <w:pPr>
        <w:autoSpaceDE w:val="0"/>
        <w:autoSpaceDN w:val="0"/>
        <w:adjustRightInd w:val="0"/>
        <w:spacing w:before="42" w:line="360" w:lineRule="auto"/>
        <w:ind w:right="-2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4.3.3 修改的内容为投标文件</w:t>
      </w:r>
      <w:r>
        <w:rPr>
          <w:rFonts w:hint="eastAsia" w:ascii="宋体" w:hAnsi="宋体" w:cs="宋体"/>
          <w:color w:val="auto"/>
          <w:kern w:val="0"/>
          <w:szCs w:val="21"/>
          <w:highlight w:val="none"/>
          <w:lang w:eastAsia="zh-CN"/>
        </w:rPr>
        <w:t>（含定标文件）</w:t>
      </w:r>
      <w:r>
        <w:rPr>
          <w:rFonts w:hint="eastAsia" w:ascii="宋体" w:hAnsi="宋体" w:cs="宋体"/>
          <w:color w:val="auto"/>
          <w:kern w:val="0"/>
          <w:szCs w:val="21"/>
          <w:highlight w:val="none"/>
        </w:rPr>
        <w:t>的组成部分。修改的投标文件应按照本章第3条、第4条的规定进行编制、重新加密上传。</w:t>
      </w:r>
    </w:p>
    <w:p w14:paraId="3BC629D2">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188" w:name="_Toc4929"/>
      <w:bookmarkStart w:id="1189" w:name="_Toc27366"/>
      <w:bookmarkStart w:id="1190" w:name="_Toc3506"/>
      <w:bookmarkStart w:id="1191" w:name="_Toc26672"/>
      <w:bookmarkStart w:id="1192" w:name="_Toc15687"/>
      <w:bookmarkStart w:id="1193" w:name="_Toc604"/>
      <w:bookmarkStart w:id="1194" w:name="_Toc13145"/>
      <w:bookmarkStart w:id="1195" w:name="_Toc4634"/>
      <w:bookmarkStart w:id="1196" w:name="_Toc20504"/>
      <w:bookmarkStart w:id="1197" w:name="_Toc20956"/>
      <w:bookmarkStart w:id="1198" w:name="_Toc17043"/>
      <w:bookmarkStart w:id="1199" w:name="_Toc12566"/>
      <w:bookmarkStart w:id="1200" w:name="_Toc8713"/>
      <w:bookmarkStart w:id="1201" w:name="_Toc9854"/>
      <w:bookmarkStart w:id="1202" w:name="_Toc8012"/>
      <w:bookmarkStart w:id="1203" w:name="_Toc2889"/>
      <w:bookmarkStart w:id="1204" w:name="_Toc20588"/>
      <w:bookmarkStart w:id="1205" w:name="_Toc32209"/>
      <w:r>
        <w:rPr>
          <w:rFonts w:hint="eastAsia" w:ascii="宋体" w:hAnsi="宋体" w:eastAsia="宋体"/>
          <w:color w:val="auto"/>
          <w:sz w:val="24"/>
          <w:szCs w:val="24"/>
          <w:highlight w:val="none"/>
        </w:rPr>
        <w:t>5. 开标</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D5BDAE0">
      <w:pPr>
        <w:pStyle w:val="23"/>
        <w:tabs>
          <w:tab w:val="left" w:pos="2127"/>
        </w:tabs>
        <w:kinsoku/>
        <w:overflowPunct/>
        <w:bidi w:val="0"/>
        <w:spacing w:line="360" w:lineRule="auto"/>
        <w:textAlignment w:val="auto"/>
        <w:outlineLvl w:val="2"/>
        <w:rPr>
          <w:rFonts w:hAnsi="宋体"/>
          <w:b/>
          <w:color w:val="auto"/>
          <w:highlight w:val="none"/>
        </w:rPr>
      </w:pPr>
      <w:bookmarkStart w:id="1206" w:name="_Toc7680"/>
      <w:bookmarkStart w:id="1207" w:name="_Toc12518"/>
      <w:bookmarkStart w:id="1208" w:name="_Toc26252"/>
      <w:bookmarkStart w:id="1209" w:name="_Toc26140"/>
      <w:bookmarkStart w:id="1210" w:name="_Toc25258"/>
      <w:bookmarkStart w:id="1211" w:name="_Toc143"/>
      <w:bookmarkStart w:id="1212" w:name="_Toc10068"/>
      <w:bookmarkStart w:id="1213" w:name="_Toc21861"/>
      <w:bookmarkStart w:id="1214" w:name="_Toc9803"/>
      <w:bookmarkStart w:id="1215" w:name="_Toc4109"/>
      <w:bookmarkStart w:id="1216" w:name="_Toc10281"/>
      <w:bookmarkStart w:id="1217" w:name="_Toc15102"/>
      <w:bookmarkStart w:id="1218" w:name="_Toc30821"/>
      <w:bookmarkStart w:id="1219" w:name="_Toc23327"/>
      <w:bookmarkStart w:id="1220" w:name="_Toc8028"/>
      <w:bookmarkStart w:id="1221" w:name="_Toc484792210"/>
      <w:bookmarkStart w:id="1222" w:name="_Toc13705"/>
      <w:bookmarkStart w:id="1223" w:name="_Toc20198"/>
      <w:bookmarkStart w:id="1224" w:name="_Toc15298"/>
      <w:bookmarkStart w:id="1225" w:name="_Toc1838"/>
      <w:bookmarkStart w:id="1226" w:name="_Toc8405"/>
      <w:bookmarkStart w:id="1227" w:name="_Toc8303"/>
      <w:bookmarkStart w:id="1228" w:name="_Toc1853"/>
      <w:bookmarkStart w:id="1229" w:name="_Toc22276"/>
      <w:bookmarkStart w:id="1230" w:name="_Toc31727"/>
      <w:bookmarkStart w:id="1231" w:name="_Toc11797"/>
      <w:bookmarkStart w:id="1232" w:name="_Toc482803097"/>
      <w:bookmarkStart w:id="1233" w:name="_Toc22714"/>
      <w:bookmarkStart w:id="1234" w:name="_Toc29689"/>
      <w:bookmarkStart w:id="1235" w:name="_Toc28934"/>
      <w:bookmarkStart w:id="1236" w:name="_Toc12419"/>
      <w:bookmarkStart w:id="1237" w:name="_Toc11125"/>
      <w:bookmarkStart w:id="1238" w:name="_Toc14336"/>
      <w:bookmarkStart w:id="1239" w:name="_Toc8542"/>
      <w:bookmarkStart w:id="1240" w:name="_Toc28534"/>
      <w:bookmarkStart w:id="1241" w:name="_Toc30377"/>
      <w:bookmarkStart w:id="1242" w:name="_Toc17276"/>
      <w:bookmarkStart w:id="1243" w:name="_Toc7500"/>
      <w:bookmarkStart w:id="1244" w:name="_Toc27941"/>
      <w:bookmarkStart w:id="1245" w:name="_Toc3752"/>
      <w:bookmarkStart w:id="1246" w:name="_Toc21762"/>
      <w:bookmarkStart w:id="1247" w:name="_Toc6350"/>
      <w:bookmarkStart w:id="1248" w:name="_Toc7998"/>
      <w:bookmarkStart w:id="1249" w:name="_Toc23192"/>
      <w:bookmarkStart w:id="1250" w:name="_Toc18367"/>
      <w:bookmarkStart w:id="1251" w:name="_Toc8655"/>
      <w:bookmarkStart w:id="1252" w:name="_Toc9471"/>
      <w:bookmarkStart w:id="1253" w:name="_Toc15200"/>
      <w:bookmarkStart w:id="1254" w:name="_Toc5832"/>
      <w:bookmarkStart w:id="1255" w:name="_Toc29295"/>
      <w:r>
        <w:rPr>
          <w:rFonts w:hint="eastAsia" w:hAnsi="宋体"/>
          <w:b/>
          <w:color w:val="auto"/>
          <w:highlight w:val="none"/>
        </w:rPr>
        <w:t>5.1 开标时间和地点</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5A6EE9B5">
      <w:pPr>
        <w:tabs>
          <w:tab w:val="left" w:pos="2127"/>
        </w:tabs>
        <w:kinsoku/>
        <w:overflowPunct/>
        <w:bidi w:val="0"/>
        <w:spacing w:line="360" w:lineRule="auto"/>
        <w:ind w:firstLine="420" w:firstLineChars="200"/>
        <w:textAlignment w:val="auto"/>
        <w:rPr>
          <w:rFonts w:hint="eastAsia" w:ascii="宋体" w:hAnsi="宋体" w:eastAsia="宋体" w:cs="宋体"/>
          <w:color w:val="auto"/>
          <w:sz w:val="21"/>
          <w:szCs w:val="21"/>
          <w:highlight w:val="none"/>
        </w:rPr>
      </w:pPr>
      <w:bookmarkStart w:id="1256" w:name="_Toc12924"/>
      <w:bookmarkStart w:id="1257" w:name="_Toc28373"/>
      <w:bookmarkStart w:id="1258" w:name="_Toc12877"/>
      <w:bookmarkStart w:id="1259" w:name="_Toc8748"/>
      <w:bookmarkStart w:id="1260" w:name="_Toc792"/>
      <w:bookmarkStart w:id="1261" w:name="_Toc13500"/>
      <w:bookmarkStart w:id="1262" w:name="_Toc14139"/>
      <w:bookmarkStart w:id="1263" w:name="_Toc21839"/>
      <w:bookmarkStart w:id="1264" w:name="_Toc18621"/>
      <w:bookmarkStart w:id="1265" w:name="_Toc12494"/>
      <w:bookmarkStart w:id="1266" w:name="_Toc27460"/>
      <w:bookmarkStart w:id="1267" w:name="_Toc8408"/>
      <w:bookmarkStart w:id="1268" w:name="_Toc21401"/>
      <w:bookmarkStart w:id="1269" w:name="_Toc7441"/>
      <w:bookmarkStart w:id="1270" w:name="_Toc484792211"/>
      <w:bookmarkStart w:id="1271" w:name="_Toc6781"/>
      <w:bookmarkStart w:id="1272" w:name="_Toc16225"/>
      <w:bookmarkStart w:id="1273" w:name="_Toc24457"/>
      <w:bookmarkStart w:id="1274" w:name="_Toc5348"/>
      <w:bookmarkStart w:id="1275" w:name="_Toc29480"/>
      <w:bookmarkStart w:id="1276" w:name="_Toc15841"/>
      <w:bookmarkStart w:id="1277" w:name="_Toc28139"/>
      <w:bookmarkStart w:id="1278" w:name="_Toc28145"/>
      <w:bookmarkStart w:id="1279" w:name="_Toc6926"/>
      <w:bookmarkStart w:id="1280" w:name="_Toc10173"/>
      <w:bookmarkStart w:id="1281" w:name="_Toc28302"/>
      <w:bookmarkStart w:id="1282" w:name="_Toc330"/>
      <w:bookmarkStart w:id="1283" w:name="_Toc2462"/>
      <w:bookmarkStart w:id="1284" w:name="_Toc27322"/>
      <w:bookmarkStart w:id="1285" w:name="_Toc25678"/>
      <w:bookmarkStart w:id="1286" w:name="_Toc21505"/>
      <w:bookmarkStart w:id="1287" w:name="_Toc19175"/>
      <w:bookmarkStart w:id="1288" w:name="_Toc8890"/>
      <w:bookmarkStart w:id="1289" w:name="_Toc7515"/>
      <w:bookmarkStart w:id="1290" w:name="_Toc24767"/>
      <w:bookmarkStart w:id="1291" w:name="_Toc4755"/>
      <w:bookmarkStart w:id="1292" w:name="_Toc25564"/>
      <w:bookmarkStart w:id="1293" w:name="_Toc31377"/>
      <w:bookmarkStart w:id="1294" w:name="_Toc20750"/>
      <w:bookmarkStart w:id="1295" w:name="_Toc482803098"/>
      <w:bookmarkStart w:id="1296" w:name="_Toc21750"/>
      <w:bookmarkStart w:id="1297" w:name="_Toc3424"/>
      <w:bookmarkStart w:id="1298" w:name="_Toc14132"/>
      <w:bookmarkStart w:id="1299" w:name="_Toc8554"/>
      <w:bookmarkStart w:id="1300" w:name="_Toc30457"/>
      <w:bookmarkStart w:id="1301" w:name="_Toc20372"/>
      <w:bookmarkStart w:id="1302" w:name="_Toc19097"/>
      <w:r>
        <w:rPr>
          <w:rFonts w:hint="eastAsia" w:ascii="宋体" w:hAnsi="宋体" w:eastAsia="宋体" w:cs="宋体"/>
          <w:color w:val="auto"/>
          <w:sz w:val="21"/>
          <w:szCs w:val="21"/>
          <w:highlight w:val="none"/>
        </w:rPr>
        <w:t>5.1.1 开标时间为本章第4.2.1项规定的递交</w:t>
      </w:r>
      <w:r>
        <w:rPr>
          <w:rFonts w:hint="eastAsia" w:ascii="宋体" w:hAnsi="宋体" w:cs="宋体"/>
          <w:color w:val="auto"/>
          <w:sz w:val="21"/>
          <w:szCs w:val="21"/>
          <w:highlight w:val="none"/>
          <w:lang w:val="en-US" w:eastAsia="zh-CN"/>
        </w:rPr>
        <w:t>投标文件（含定标文件）</w:t>
      </w:r>
      <w:r>
        <w:rPr>
          <w:rFonts w:hint="eastAsia" w:ascii="宋体" w:hAnsi="宋体" w:eastAsia="宋体" w:cs="宋体"/>
          <w:color w:val="auto"/>
          <w:sz w:val="21"/>
          <w:szCs w:val="21"/>
          <w:highlight w:val="none"/>
        </w:rPr>
        <w:t>截止时间的同一时间。</w:t>
      </w:r>
    </w:p>
    <w:p w14:paraId="539339AF">
      <w:pPr>
        <w:tabs>
          <w:tab w:val="left" w:pos="2127"/>
        </w:tabs>
        <w:kinsoku/>
        <w:overflowPunct/>
        <w:bidi w:val="0"/>
        <w:spacing w:line="360" w:lineRule="auto"/>
        <w:ind w:firstLine="420" w:firstLineChars="200"/>
        <w:textAlignment w:val="auto"/>
        <w:rPr>
          <w:rFonts w:hint="eastAsia" w:ascii="宋体" w:hAnsi="宋体"/>
          <w:color w:val="auto"/>
          <w:highlight w:val="none"/>
        </w:rPr>
      </w:pPr>
      <w:r>
        <w:rPr>
          <w:rFonts w:hint="eastAsia" w:ascii="宋体" w:hAnsi="宋体" w:eastAsia="宋体" w:cs="宋体"/>
          <w:color w:val="auto"/>
          <w:sz w:val="21"/>
          <w:szCs w:val="21"/>
          <w:highlight w:val="none"/>
        </w:rPr>
        <w:t>5.1.2 开标地点通过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eastAsia="宋体" w:cs="宋体"/>
          <w:color w:val="auto"/>
          <w:sz w:val="21"/>
          <w:szCs w:val="21"/>
          <w:highlight w:val="none"/>
        </w:rPr>
        <w:t>开标。</w:t>
      </w:r>
    </w:p>
    <w:p w14:paraId="64DAAFFB">
      <w:pPr>
        <w:pStyle w:val="23"/>
        <w:tabs>
          <w:tab w:val="left" w:pos="2127"/>
        </w:tabs>
        <w:kinsoku/>
        <w:overflowPunct/>
        <w:bidi w:val="0"/>
        <w:spacing w:line="360" w:lineRule="auto"/>
        <w:textAlignment w:val="auto"/>
        <w:outlineLvl w:val="2"/>
        <w:rPr>
          <w:rFonts w:hAnsi="宋体"/>
          <w:b/>
          <w:color w:val="auto"/>
          <w:highlight w:val="none"/>
        </w:rPr>
      </w:pPr>
      <w:bookmarkStart w:id="1303" w:name="_Toc15206"/>
      <w:bookmarkStart w:id="1304" w:name="_Toc9401"/>
      <w:bookmarkStart w:id="1305" w:name="_Toc6053"/>
      <w:r>
        <w:rPr>
          <w:rFonts w:hint="eastAsia" w:hAnsi="宋体"/>
          <w:b/>
          <w:color w:val="auto"/>
          <w:highlight w:val="none"/>
        </w:rPr>
        <w:t>5.2 开标程序</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38A83661">
      <w:pPr>
        <w:keepNext w:val="0"/>
        <w:keepLines w:val="0"/>
        <w:pageBreakBefore w:val="0"/>
        <w:widowControl w:val="0"/>
        <w:kinsoku/>
        <w:wordWrap/>
        <w:overflowPunct/>
        <w:topLinePunct w:val="0"/>
        <w:autoSpaceDE/>
        <w:autoSpaceDN/>
        <w:bidi w:val="0"/>
        <w:adjustRightInd/>
        <w:snapToGrid/>
        <w:spacing w:line="360" w:lineRule="auto"/>
        <w:ind w:firstLine="412" w:firstLineChars="200"/>
        <w:textAlignment w:val="auto"/>
        <w:rPr>
          <w:rFonts w:hint="eastAsia" w:ascii="宋体" w:hAnsi="宋体"/>
          <w:color w:val="auto"/>
          <w:highlight w:val="none"/>
          <w:u w:val="none"/>
        </w:rPr>
      </w:pPr>
      <w:r>
        <w:rPr>
          <w:rFonts w:hint="eastAsia" w:ascii="宋体" w:hAnsi="宋体" w:cs="宋体"/>
          <w:color w:val="auto"/>
          <w:spacing w:val="-2"/>
          <w:kern w:val="0"/>
          <w:szCs w:val="21"/>
          <w:highlight w:val="none"/>
        </w:rPr>
        <w:t>招标人在本章第4.2.1项规定的投标截止时间</w:t>
      </w:r>
      <w:r>
        <w:rPr>
          <w:rFonts w:hint="eastAsia" w:ascii="宋体" w:hAnsi="宋体" w:cs="宋体"/>
          <w:color w:val="auto"/>
          <w:spacing w:val="-2"/>
          <w:kern w:val="0"/>
          <w:szCs w:val="21"/>
          <w:highlight w:val="none"/>
          <w:lang w:eastAsia="zh-CN"/>
        </w:rPr>
        <w:t>，</w:t>
      </w:r>
      <w:r>
        <w:rPr>
          <w:rFonts w:hint="eastAsia" w:ascii="宋体" w:hAnsi="宋体" w:cs="宋体"/>
          <w:color w:val="auto"/>
          <w:spacing w:val="-2"/>
          <w:kern w:val="0"/>
          <w:szCs w:val="21"/>
          <w:highlight w:val="none"/>
        </w:rPr>
        <w:t>通过</w:t>
      </w:r>
      <w:r>
        <w:rPr>
          <w:rFonts w:hint="eastAsia" w:ascii="宋体" w:hAnsi="宋体" w:cs="宋体"/>
          <w:b w:val="0"/>
          <w:bCs w:val="0"/>
          <w:color w:val="auto"/>
          <w:szCs w:val="21"/>
          <w:highlight w:val="none"/>
          <w:shd w:val="clear" w:color="auto" w:fill="auto"/>
          <w:lang w:val="en-US" w:eastAsia="zh-CN"/>
        </w:rPr>
        <w:t>广州交易集团有限公司（广州公共资源交易中心）网站交易平台</w:t>
      </w:r>
      <w:r>
        <w:rPr>
          <w:rFonts w:hint="eastAsia" w:ascii="宋体" w:hAnsi="宋体" w:cs="宋体"/>
          <w:color w:val="auto"/>
          <w:spacing w:val="-2"/>
          <w:kern w:val="0"/>
          <w:szCs w:val="21"/>
          <w:highlight w:val="none"/>
        </w:rPr>
        <w:t>在线开标</w:t>
      </w:r>
      <w:r>
        <w:rPr>
          <w:rFonts w:hint="eastAsia" w:ascii="宋体" w:hAnsi="宋体"/>
          <w:color w:val="auto"/>
          <w:highlight w:val="none"/>
          <w:u w:val="none"/>
        </w:rPr>
        <w:t>。</w:t>
      </w:r>
    </w:p>
    <w:p w14:paraId="73CB57C3">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306" w:name="_Toc20946"/>
      <w:bookmarkStart w:id="1307" w:name="_Toc17812"/>
      <w:bookmarkStart w:id="1308" w:name="_Toc24266"/>
      <w:bookmarkStart w:id="1309" w:name="_Toc796"/>
      <w:bookmarkStart w:id="1310" w:name="_Toc5272"/>
      <w:bookmarkStart w:id="1311" w:name="_Toc12005"/>
      <w:bookmarkStart w:id="1312" w:name="_Toc7941"/>
      <w:bookmarkStart w:id="1313" w:name="_Toc27055"/>
      <w:bookmarkStart w:id="1314" w:name="_Toc11053"/>
      <w:bookmarkStart w:id="1315" w:name="_Toc3996"/>
      <w:bookmarkStart w:id="1316" w:name="_Toc12338"/>
      <w:bookmarkStart w:id="1317" w:name="_Toc8399"/>
      <w:bookmarkStart w:id="1318" w:name="_Toc21904"/>
      <w:bookmarkStart w:id="1319" w:name="_Toc2811"/>
      <w:bookmarkStart w:id="1320" w:name="_Toc25639"/>
      <w:bookmarkStart w:id="1321" w:name="_Toc6679"/>
      <w:bookmarkStart w:id="1322" w:name="_Toc17726"/>
      <w:bookmarkStart w:id="1323" w:name="_Toc19770"/>
      <w:r>
        <w:rPr>
          <w:rFonts w:hint="eastAsia" w:ascii="宋体" w:hAnsi="宋体" w:eastAsia="宋体"/>
          <w:color w:val="auto"/>
          <w:sz w:val="24"/>
          <w:szCs w:val="24"/>
          <w:highlight w:val="none"/>
        </w:rPr>
        <w:t>6. 评标</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3A36B6D7">
      <w:pPr>
        <w:pStyle w:val="23"/>
        <w:tabs>
          <w:tab w:val="left" w:pos="2127"/>
        </w:tabs>
        <w:kinsoku/>
        <w:overflowPunct/>
        <w:bidi w:val="0"/>
        <w:spacing w:line="360" w:lineRule="auto"/>
        <w:textAlignment w:val="auto"/>
        <w:outlineLvl w:val="2"/>
        <w:rPr>
          <w:rFonts w:hAnsi="宋体"/>
          <w:b/>
          <w:color w:val="auto"/>
          <w:highlight w:val="none"/>
        </w:rPr>
      </w:pPr>
      <w:bookmarkStart w:id="1324" w:name="_Toc484792213"/>
      <w:bookmarkStart w:id="1325" w:name="_Toc11729"/>
      <w:bookmarkStart w:id="1326" w:name="_Toc24785"/>
      <w:bookmarkStart w:id="1327" w:name="_Toc20511"/>
      <w:bookmarkStart w:id="1328" w:name="_Toc24130"/>
      <w:bookmarkStart w:id="1329" w:name="_Toc31848"/>
      <w:bookmarkStart w:id="1330" w:name="_Toc18718"/>
      <w:bookmarkStart w:id="1331" w:name="_Toc3818"/>
      <w:bookmarkStart w:id="1332" w:name="_Toc16175"/>
      <w:bookmarkStart w:id="1333" w:name="_Toc21508"/>
      <w:bookmarkStart w:id="1334" w:name="_Toc260"/>
      <w:bookmarkStart w:id="1335" w:name="_Toc20784"/>
      <w:bookmarkStart w:id="1336" w:name="_Toc10088"/>
      <w:bookmarkStart w:id="1337" w:name="_Toc30662"/>
      <w:bookmarkStart w:id="1338" w:name="_Toc15672"/>
      <w:bookmarkStart w:id="1339" w:name="_Toc27910"/>
      <w:bookmarkStart w:id="1340" w:name="_Toc6797"/>
      <w:bookmarkStart w:id="1341" w:name="_Toc24960"/>
      <w:bookmarkStart w:id="1342" w:name="_Toc15254"/>
      <w:bookmarkStart w:id="1343" w:name="_Toc31471"/>
      <w:bookmarkStart w:id="1344" w:name="_Toc30545"/>
      <w:bookmarkStart w:id="1345" w:name="_Toc29205"/>
      <w:bookmarkStart w:id="1346" w:name="_Toc15327"/>
      <w:bookmarkStart w:id="1347" w:name="_Toc1336"/>
      <w:bookmarkStart w:id="1348" w:name="_Toc14700"/>
      <w:bookmarkStart w:id="1349" w:name="_Toc14968"/>
      <w:bookmarkStart w:id="1350" w:name="_Toc16493"/>
      <w:bookmarkStart w:id="1351" w:name="_Toc4086"/>
      <w:bookmarkStart w:id="1352" w:name="_Toc13780"/>
      <w:bookmarkStart w:id="1353" w:name="_Toc14001"/>
      <w:bookmarkStart w:id="1354" w:name="_Toc205"/>
      <w:bookmarkStart w:id="1355" w:name="_Toc13503"/>
      <w:bookmarkStart w:id="1356" w:name="_Toc12702"/>
      <w:bookmarkStart w:id="1357" w:name="_Toc22321"/>
      <w:bookmarkStart w:id="1358" w:name="_Toc16379"/>
      <w:bookmarkStart w:id="1359" w:name="_Toc482803100"/>
      <w:bookmarkStart w:id="1360" w:name="_Toc4156"/>
      <w:bookmarkStart w:id="1361" w:name="_Toc29741"/>
      <w:bookmarkStart w:id="1362" w:name="_Toc6179"/>
      <w:bookmarkStart w:id="1363" w:name="_Toc9558"/>
      <w:bookmarkStart w:id="1364" w:name="_Toc22274"/>
      <w:bookmarkStart w:id="1365" w:name="_Toc28374"/>
      <w:bookmarkStart w:id="1366" w:name="_Toc26134"/>
      <w:bookmarkStart w:id="1367" w:name="_Toc14615"/>
      <w:bookmarkStart w:id="1368" w:name="_Toc13073"/>
      <w:bookmarkStart w:id="1369" w:name="_Toc20415"/>
      <w:bookmarkStart w:id="1370" w:name="_Toc18112"/>
      <w:bookmarkStart w:id="1371" w:name="_Toc30390"/>
      <w:bookmarkStart w:id="1372" w:name="_Toc9640"/>
      <w:bookmarkStart w:id="1373" w:name="_Toc9185"/>
      <w:r>
        <w:rPr>
          <w:rFonts w:hint="eastAsia" w:hAnsi="宋体"/>
          <w:b/>
          <w:color w:val="auto"/>
          <w:highlight w:val="none"/>
        </w:rPr>
        <w:t>6.1 评标委员会</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45B739BA">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rPr>
        <w:t>6.1.1</w:t>
      </w:r>
      <w:r>
        <w:rPr>
          <w:rFonts w:hint="eastAsia" w:ascii="宋体" w:hAnsi="宋体" w:eastAsia="宋体" w:cs="宋体"/>
          <w:color w:val="auto"/>
          <w:highlight w:val="none"/>
          <w:u w:val="none"/>
          <w:lang w:val="en-US" w:eastAsia="zh-CN"/>
        </w:rPr>
        <w:t xml:space="preserve"> 评标</w:t>
      </w:r>
      <w:r>
        <w:rPr>
          <w:rFonts w:hint="eastAsia" w:ascii="宋体" w:hAnsi="宋体" w:eastAsia="宋体" w:cs="宋体"/>
          <w:color w:val="auto"/>
          <w:highlight w:val="none"/>
          <w:u w:val="none"/>
        </w:rPr>
        <w:t>由</w:t>
      </w:r>
      <w:r>
        <w:rPr>
          <w:rFonts w:hint="eastAsia" w:ascii="宋体" w:hAnsi="宋体" w:eastAsia="宋体" w:cs="宋体"/>
          <w:color w:val="auto"/>
          <w:highlight w:val="none"/>
          <w:u w:val="none"/>
          <w:lang w:val="en-US" w:eastAsia="zh-CN"/>
        </w:rPr>
        <w:t>招标</w:t>
      </w:r>
      <w:r>
        <w:rPr>
          <w:rFonts w:hint="eastAsia" w:ascii="宋体" w:hAnsi="宋体" w:eastAsia="宋体" w:cs="宋体"/>
          <w:color w:val="auto"/>
          <w:highlight w:val="none"/>
          <w:u w:val="none"/>
          <w:lang w:eastAsia="zh-CN"/>
        </w:rPr>
        <w:t>人</w:t>
      </w:r>
      <w:r>
        <w:rPr>
          <w:rFonts w:hint="eastAsia" w:ascii="宋体" w:hAnsi="宋体" w:eastAsia="宋体" w:cs="宋体"/>
          <w:color w:val="auto"/>
          <w:highlight w:val="none"/>
          <w:u w:val="none"/>
        </w:rPr>
        <w:t>组建的</w:t>
      </w:r>
      <w:r>
        <w:rPr>
          <w:rFonts w:hint="eastAsia" w:ascii="宋体" w:hAnsi="宋体" w:eastAsia="宋体" w:cs="宋体"/>
          <w:color w:val="auto"/>
          <w:highlight w:val="none"/>
          <w:u w:val="none"/>
          <w:lang w:val="en-US" w:eastAsia="zh-CN"/>
        </w:rPr>
        <w:t>评标委员会</w:t>
      </w:r>
      <w:r>
        <w:rPr>
          <w:rFonts w:hint="eastAsia" w:ascii="宋体" w:hAnsi="宋体" w:eastAsia="宋体" w:cs="宋体"/>
          <w:color w:val="auto"/>
          <w:highlight w:val="none"/>
          <w:u w:val="none"/>
        </w:rPr>
        <w:t>负责，评标委员会由招标人依法组建。</w:t>
      </w:r>
    </w:p>
    <w:p w14:paraId="4B4BC41E">
      <w:pPr>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6.1.2 </w:t>
      </w:r>
      <w:r>
        <w:rPr>
          <w:rFonts w:hint="eastAsia" w:ascii="宋体" w:hAnsi="宋体" w:eastAsia="宋体" w:cs="宋体"/>
          <w:color w:val="auto"/>
          <w:highlight w:val="none"/>
          <w:u w:val="none"/>
          <w:lang w:val="en-US" w:eastAsia="zh-CN"/>
        </w:rPr>
        <w:t>评标委员会</w:t>
      </w:r>
      <w:r>
        <w:rPr>
          <w:rFonts w:hint="eastAsia" w:ascii="宋体" w:hAnsi="宋体" w:eastAsia="宋体" w:cs="宋体"/>
          <w:color w:val="auto"/>
          <w:highlight w:val="none"/>
          <w:u w:val="none"/>
        </w:rPr>
        <w:t>成员有下列情形之一的，</w:t>
      </w:r>
      <w:r>
        <w:rPr>
          <w:rFonts w:hint="eastAsia" w:ascii="宋体" w:hAnsi="宋体" w:eastAsia="宋体" w:cs="宋体"/>
          <w:color w:val="auto"/>
          <w:highlight w:val="none"/>
          <w:u w:val="none"/>
          <w:lang w:val="en-US" w:eastAsia="zh-CN"/>
        </w:rPr>
        <w:t>应当回避</w:t>
      </w:r>
      <w:r>
        <w:rPr>
          <w:rFonts w:hint="eastAsia" w:ascii="宋体" w:hAnsi="宋体" w:eastAsia="宋体" w:cs="宋体"/>
          <w:color w:val="auto"/>
          <w:highlight w:val="none"/>
          <w:u w:val="none"/>
        </w:rPr>
        <w:t>：</w:t>
      </w:r>
    </w:p>
    <w:p w14:paraId="2BD784B7">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（1）在投标人任职、兼职或者持有股份</w:t>
      </w:r>
      <w:r>
        <w:rPr>
          <w:rFonts w:hint="eastAsia" w:ascii="宋体" w:hAnsi="宋体" w:cs="宋体"/>
          <w:color w:val="auto"/>
          <w:highlight w:val="none"/>
          <w:lang w:eastAsia="zh-CN"/>
        </w:rPr>
        <w:t>；</w:t>
      </w:r>
    </w:p>
    <w:p w14:paraId="508D10CA">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（2）近亲属在投标人担任领导职务</w:t>
      </w:r>
      <w:r>
        <w:rPr>
          <w:rFonts w:hint="eastAsia" w:ascii="宋体" w:hAnsi="宋体" w:cs="宋体"/>
          <w:color w:val="auto"/>
          <w:highlight w:val="none"/>
          <w:lang w:eastAsia="zh-CN"/>
        </w:rPr>
        <w:t>；</w:t>
      </w:r>
    </w:p>
    <w:p w14:paraId="5DED7915">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（3）为采购承办部门或者监督专家任职单位的人员（招标人代表除外）</w:t>
      </w:r>
      <w:r>
        <w:rPr>
          <w:rFonts w:hint="eastAsia" w:ascii="宋体" w:hAnsi="宋体" w:cs="宋体"/>
          <w:color w:val="auto"/>
          <w:highlight w:val="none"/>
          <w:lang w:eastAsia="zh-CN"/>
        </w:rPr>
        <w:t>；</w:t>
      </w:r>
    </w:p>
    <w:p w14:paraId="770BC6A1">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cs="宋体"/>
          <w:color w:val="auto"/>
          <w:highlight w:val="none"/>
          <w:lang w:eastAsia="zh-CN"/>
        </w:rPr>
      </w:pPr>
      <w:r>
        <w:rPr>
          <w:rFonts w:hint="eastAsia" w:ascii="宋体" w:hAnsi="宋体" w:eastAsia="宋体" w:cs="宋体"/>
          <w:color w:val="auto"/>
          <w:highlight w:val="none"/>
        </w:rPr>
        <w:t>（4）与投标人有经济利益关系，可能影响公正评审的</w:t>
      </w:r>
      <w:r>
        <w:rPr>
          <w:rFonts w:hint="eastAsia" w:ascii="宋体" w:hAnsi="宋体" w:cs="宋体"/>
          <w:color w:val="auto"/>
          <w:highlight w:val="none"/>
          <w:lang w:eastAsia="zh-CN"/>
        </w:rPr>
        <w:t>；</w:t>
      </w:r>
    </w:p>
    <w:p w14:paraId="205CF641">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（5）曾因在招标、评标以及其他与招标投标有关活动中从事违法行为而受过行政处罚或刑事处罚的。</w:t>
      </w:r>
    </w:p>
    <w:p w14:paraId="2CA54C23">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6.1.3</w:t>
      </w:r>
      <w:r>
        <w:rPr>
          <w:rFonts w:hint="eastAsia" w:ascii="宋体" w:hAnsi="宋体" w:eastAsia="宋体" w:cs="宋体"/>
          <w:color w:val="auto"/>
          <w:highlight w:val="none"/>
          <w:lang w:val="en-US" w:eastAsia="zh-CN"/>
        </w:rPr>
        <w:t xml:space="preserve"> 在评审前，评标委员会</w:t>
      </w:r>
      <w:r>
        <w:rPr>
          <w:rFonts w:hint="eastAsia" w:ascii="宋体" w:hAnsi="宋体" w:eastAsia="宋体" w:cs="宋体"/>
          <w:color w:val="auto"/>
          <w:highlight w:val="none"/>
        </w:rPr>
        <w:t>成员有</w:t>
      </w:r>
      <w:r>
        <w:rPr>
          <w:rFonts w:hint="eastAsia" w:ascii="宋体" w:hAnsi="宋体" w:eastAsia="宋体" w:cs="宋体"/>
          <w:color w:val="auto"/>
          <w:highlight w:val="none"/>
          <w:lang w:eastAsia="zh-CN"/>
        </w:rPr>
        <w:t>回避事由、</w:t>
      </w:r>
      <w:r>
        <w:rPr>
          <w:rFonts w:hint="eastAsia" w:ascii="宋体" w:hAnsi="宋体" w:eastAsia="宋体" w:cs="宋体"/>
          <w:color w:val="auto"/>
          <w:highlight w:val="none"/>
          <w:lang w:val="en-US" w:eastAsia="zh-CN"/>
        </w:rPr>
        <w:t>提出请假或实际抽取不足等原因造成专家缺额的，在满足评委人员最低要求的前提下，可在专家缺额的情况下继续评审；不满足评委人员最低要求的，则重新调整评审时间。</w:t>
      </w:r>
    </w:p>
    <w:p w14:paraId="3C578BD9">
      <w:pPr>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 xml:space="preserve">6.1.4 </w:t>
      </w:r>
      <w:r>
        <w:rPr>
          <w:rFonts w:hint="eastAsia" w:ascii="宋体" w:hAnsi="宋体" w:eastAsia="宋体" w:cs="宋体"/>
          <w:color w:val="auto"/>
          <w:highlight w:val="none"/>
          <w:lang w:eastAsia="zh-CN"/>
        </w:rPr>
        <w:t>评审</w:t>
      </w:r>
      <w:r>
        <w:rPr>
          <w:rFonts w:hint="eastAsia" w:ascii="宋体" w:hAnsi="宋体" w:eastAsia="宋体" w:cs="宋体"/>
          <w:color w:val="auto"/>
          <w:highlight w:val="none"/>
        </w:rPr>
        <w:t>过程中，</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成员有回避事由、擅离职守或者因健康等原因不能继续</w:t>
      </w:r>
      <w:r>
        <w:rPr>
          <w:rFonts w:hint="eastAsia" w:ascii="宋体" w:hAnsi="宋体" w:eastAsia="宋体" w:cs="宋体"/>
          <w:color w:val="auto"/>
          <w:highlight w:val="none"/>
          <w:lang w:val="en-US" w:eastAsia="zh-CN"/>
        </w:rPr>
        <w:t>评审</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人有权更换</w:t>
      </w:r>
      <w:r>
        <w:rPr>
          <w:rFonts w:hint="eastAsia" w:ascii="宋体" w:hAnsi="宋体" w:eastAsia="宋体" w:cs="宋体"/>
          <w:color w:val="auto"/>
          <w:highlight w:val="none"/>
          <w:lang w:eastAsia="zh-CN"/>
        </w:rPr>
        <w:t>或在</w:t>
      </w:r>
      <w:r>
        <w:rPr>
          <w:rFonts w:hint="eastAsia" w:ascii="宋体" w:hAnsi="宋体" w:eastAsia="宋体" w:cs="宋体"/>
          <w:color w:val="auto"/>
          <w:highlight w:val="none"/>
          <w:lang w:val="en-US" w:eastAsia="zh-CN"/>
        </w:rPr>
        <w:t>满足评委人员最低要求的前提下作缺额处理继续评审</w:t>
      </w:r>
      <w:r>
        <w:rPr>
          <w:rFonts w:hint="eastAsia" w:ascii="宋体" w:hAnsi="宋体" w:eastAsia="宋体" w:cs="宋体"/>
          <w:color w:val="auto"/>
          <w:highlight w:val="none"/>
        </w:rPr>
        <w:t>。被更换的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成员作出的评审结论无效，由更换后的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成员重新进行评审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被</w:t>
      </w:r>
      <w:r>
        <w:rPr>
          <w:rFonts w:hint="eastAsia" w:ascii="宋体" w:hAnsi="宋体" w:eastAsia="宋体" w:cs="宋体"/>
          <w:color w:val="auto"/>
          <w:highlight w:val="none"/>
          <w:lang w:eastAsia="zh-CN"/>
        </w:rPr>
        <w:t>缺额处理</w:t>
      </w:r>
      <w:r>
        <w:rPr>
          <w:rFonts w:hint="eastAsia" w:ascii="宋体" w:hAnsi="宋体" w:eastAsia="宋体" w:cs="宋体"/>
          <w:color w:val="auto"/>
          <w:highlight w:val="none"/>
        </w:rPr>
        <w:t>的</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成员作出的评审结论无效</w:t>
      </w:r>
      <w:r>
        <w:rPr>
          <w:rFonts w:hint="eastAsia" w:ascii="宋体" w:hAnsi="宋体" w:eastAsia="宋体" w:cs="宋体"/>
          <w:color w:val="auto"/>
          <w:highlight w:val="none"/>
          <w:lang w:eastAsia="zh-CN"/>
        </w:rPr>
        <w:t>。</w:t>
      </w:r>
    </w:p>
    <w:p w14:paraId="735810E4">
      <w:pPr>
        <w:tabs>
          <w:tab w:val="left" w:pos="2127"/>
        </w:tabs>
        <w:kinsoku/>
        <w:overflowPunct/>
        <w:bidi w:val="0"/>
        <w:spacing w:line="360" w:lineRule="auto"/>
        <w:ind w:firstLine="420" w:firstLineChars="200"/>
        <w:textAlignment w:val="auto"/>
        <w:rPr>
          <w:color w:val="auto"/>
          <w:highlight w:val="none"/>
        </w:rPr>
      </w:pPr>
      <w:r>
        <w:rPr>
          <w:rFonts w:hint="eastAsia" w:ascii="宋体" w:hAnsi="宋体" w:eastAsia="宋体" w:cs="宋体"/>
          <w:color w:val="auto"/>
          <w:highlight w:val="none"/>
          <w:lang w:val="en-US" w:eastAsia="zh-CN"/>
        </w:rPr>
        <w:t>6.1.5 评委人员最低要求：评标委员会成员至少为</w:t>
      </w:r>
      <w:r>
        <w:rPr>
          <w:rFonts w:hint="eastAsia" w:ascii="宋体" w:hAnsi="宋体" w:eastAsia="宋体" w:cs="宋体"/>
          <w:color w:val="auto"/>
          <w:highlight w:val="none"/>
          <w:u w:val="none"/>
          <w:lang w:val="en-US" w:eastAsia="zh-CN"/>
        </w:rPr>
        <w:t>5人</w:t>
      </w:r>
      <w:r>
        <w:rPr>
          <w:rFonts w:hint="eastAsia" w:ascii="宋体" w:hAnsi="宋体" w:cs="宋体"/>
          <w:color w:val="auto"/>
          <w:highlight w:val="none"/>
          <w:u w:val="none"/>
          <w:lang w:val="en-US" w:eastAsia="zh-CN"/>
        </w:rPr>
        <w:t>（含5人）</w:t>
      </w:r>
      <w:r>
        <w:rPr>
          <w:rFonts w:hint="eastAsia" w:ascii="宋体" w:hAnsi="宋体" w:eastAsia="宋体" w:cs="宋体"/>
          <w:color w:val="auto"/>
          <w:highlight w:val="none"/>
          <w:lang w:val="en-US" w:eastAsia="zh-CN"/>
        </w:rPr>
        <w:t>以上单数。评标委员会的组成以实际到会人数为准。</w:t>
      </w:r>
    </w:p>
    <w:p w14:paraId="399521BD">
      <w:pPr>
        <w:pStyle w:val="23"/>
        <w:tabs>
          <w:tab w:val="left" w:pos="2127"/>
        </w:tabs>
        <w:kinsoku/>
        <w:overflowPunct/>
        <w:bidi w:val="0"/>
        <w:spacing w:line="360" w:lineRule="auto"/>
        <w:textAlignment w:val="auto"/>
        <w:outlineLvl w:val="2"/>
        <w:rPr>
          <w:rFonts w:hAnsi="宋体"/>
          <w:b/>
          <w:color w:val="auto"/>
          <w:highlight w:val="none"/>
        </w:rPr>
      </w:pPr>
      <w:bookmarkStart w:id="1374" w:name="_Toc24879"/>
      <w:bookmarkStart w:id="1375" w:name="_Toc13329"/>
      <w:bookmarkStart w:id="1376" w:name="_Toc6097"/>
      <w:bookmarkStart w:id="1377" w:name="_Toc1912"/>
      <w:bookmarkStart w:id="1378" w:name="_Toc18811"/>
      <w:bookmarkStart w:id="1379" w:name="_Toc16714"/>
      <w:bookmarkStart w:id="1380" w:name="_Toc28950"/>
      <w:bookmarkStart w:id="1381" w:name="_Toc8986"/>
      <w:bookmarkStart w:id="1382" w:name="_Toc3392"/>
      <w:bookmarkStart w:id="1383" w:name="_Toc22838"/>
      <w:bookmarkStart w:id="1384" w:name="_Toc6066"/>
      <w:bookmarkStart w:id="1385" w:name="_Toc15718"/>
      <w:bookmarkStart w:id="1386" w:name="_Toc6229"/>
      <w:bookmarkStart w:id="1387" w:name="_Toc3705"/>
      <w:bookmarkStart w:id="1388" w:name="_Toc23835"/>
      <w:bookmarkStart w:id="1389" w:name="_Toc21161"/>
      <w:bookmarkStart w:id="1390" w:name="_Toc1237"/>
      <w:bookmarkStart w:id="1391" w:name="_Toc484792214"/>
      <w:bookmarkStart w:id="1392" w:name="_Toc2498"/>
      <w:bookmarkStart w:id="1393" w:name="_Toc1"/>
      <w:bookmarkStart w:id="1394" w:name="_Toc30219"/>
      <w:bookmarkStart w:id="1395" w:name="_Toc24421"/>
      <w:bookmarkStart w:id="1396" w:name="_Toc3031"/>
      <w:bookmarkStart w:id="1397" w:name="_Toc5142"/>
      <w:bookmarkStart w:id="1398" w:name="_Toc8431"/>
      <w:bookmarkStart w:id="1399" w:name="_Toc20472"/>
      <w:bookmarkStart w:id="1400" w:name="_Toc7968"/>
      <w:bookmarkStart w:id="1401" w:name="_Toc27920"/>
      <w:bookmarkStart w:id="1402" w:name="_Toc21649"/>
      <w:bookmarkStart w:id="1403" w:name="_Toc18399"/>
      <w:bookmarkStart w:id="1404" w:name="_Toc482803101"/>
      <w:bookmarkStart w:id="1405" w:name="_Toc23813"/>
      <w:bookmarkStart w:id="1406" w:name="_Toc26237"/>
      <w:bookmarkStart w:id="1407" w:name="_Toc10537"/>
      <w:bookmarkStart w:id="1408" w:name="_Toc9354"/>
      <w:bookmarkStart w:id="1409" w:name="_Toc30214"/>
      <w:bookmarkStart w:id="1410" w:name="_Toc16496"/>
      <w:bookmarkStart w:id="1411" w:name="_Toc19825"/>
      <w:bookmarkStart w:id="1412" w:name="_Toc17580"/>
      <w:bookmarkStart w:id="1413" w:name="_Toc4597"/>
      <w:bookmarkStart w:id="1414" w:name="_Toc11541"/>
      <w:bookmarkStart w:id="1415" w:name="_Toc14518"/>
      <w:bookmarkStart w:id="1416" w:name="_Toc16811"/>
      <w:bookmarkStart w:id="1417" w:name="_Toc7929"/>
      <w:bookmarkStart w:id="1418" w:name="_Toc10711"/>
      <w:bookmarkStart w:id="1419" w:name="_Toc29057"/>
      <w:bookmarkStart w:id="1420" w:name="_Toc24010"/>
      <w:bookmarkStart w:id="1421" w:name="_Toc18953"/>
      <w:bookmarkStart w:id="1422" w:name="_Toc27647"/>
      <w:bookmarkStart w:id="1423" w:name="_Toc29090"/>
      <w:r>
        <w:rPr>
          <w:rFonts w:hint="eastAsia" w:hAnsi="宋体"/>
          <w:b/>
          <w:color w:val="auto"/>
          <w:highlight w:val="none"/>
        </w:rPr>
        <w:t>6.2 评标原则</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2E369B04">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评标活动遵循公平、公正、科学和择优的原则。</w:t>
      </w:r>
    </w:p>
    <w:p w14:paraId="4B785289">
      <w:pPr>
        <w:pStyle w:val="23"/>
        <w:tabs>
          <w:tab w:val="left" w:pos="2127"/>
        </w:tabs>
        <w:kinsoku/>
        <w:overflowPunct/>
        <w:bidi w:val="0"/>
        <w:spacing w:line="360" w:lineRule="auto"/>
        <w:textAlignment w:val="auto"/>
        <w:outlineLvl w:val="2"/>
        <w:rPr>
          <w:rFonts w:hAnsi="宋体"/>
          <w:b/>
          <w:color w:val="auto"/>
          <w:highlight w:val="none"/>
        </w:rPr>
      </w:pPr>
      <w:bookmarkStart w:id="1424" w:name="_Toc4475"/>
      <w:bookmarkStart w:id="1425" w:name="_Toc7113"/>
      <w:bookmarkStart w:id="1426" w:name="_Toc22882"/>
      <w:bookmarkStart w:id="1427" w:name="_Toc28416"/>
      <w:bookmarkStart w:id="1428" w:name="_Toc9306"/>
      <w:bookmarkStart w:id="1429" w:name="_Toc484792215"/>
      <w:bookmarkStart w:id="1430" w:name="_Toc10998"/>
      <w:bookmarkStart w:id="1431" w:name="_Toc31849"/>
      <w:bookmarkStart w:id="1432" w:name="_Toc4510"/>
      <w:bookmarkStart w:id="1433" w:name="_Toc17314"/>
      <w:bookmarkStart w:id="1434" w:name="_Toc8920"/>
      <w:bookmarkStart w:id="1435" w:name="_Toc18154"/>
      <w:bookmarkStart w:id="1436" w:name="_Toc15326"/>
      <w:bookmarkStart w:id="1437" w:name="_Toc2035"/>
      <w:bookmarkStart w:id="1438" w:name="_Toc18114"/>
      <w:bookmarkStart w:id="1439" w:name="_Toc29472"/>
      <w:bookmarkStart w:id="1440" w:name="_Toc21438"/>
      <w:bookmarkStart w:id="1441" w:name="_Toc27086"/>
      <w:bookmarkStart w:id="1442" w:name="_Toc18699"/>
      <w:bookmarkStart w:id="1443" w:name="_Toc7856"/>
      <w:bookmarkStart w:id="1444" w:name="_Toc10023"/>
      <w:bookmarkStart w:id="1445" w:name="_Toc27617"/>
      <w:bookmarkStart w:id="1446" w:name="_Toc17428"/>
      <w:bookmarkStart w:id="1447" w:name="_Toc22177"/>
      <w:bookmarkStart w:id="1448" w:name="_Toc26260"/>
      <w:bookmarkStart w:id="1449" w:name="_Toc17604"/>
      <w:bookmarkStart w:id="1450" w:name="_Toc9199"/>
      <w:bookmarkStart w:id="1451" w:name="_Toc15367"/>
      <w:bookmarkStart w:id="1452" w:name="_Toc416"/>
      <w:bookmarkStart w:id="1453" w:name="_Toc8953"/>
      <w:bookmarkStart w:id="1454" w:name="_Toc16417"/>
      <w:bookmarkStart w:id="1455" w:name="_Toc25865"/>
      <w:bookmarkStart w:id="1456" w:name="_Toc9068"/>
      <w:bookmarkStart w:id="1457" w:name="_Toc6449"/>
      <w:bookmarkStart w:id="1458" w:name="_Toc20205"/>
      <w:bookmarkStart w:id="1459" w:name="_Toc21098"/>
      <w:bookmarkStart w:id="1460" w:name="_Toc24030"/>
      <w:bookmarkStart w:id="1461" w:name="_Toc24876"/>
      <w:bookmarkStart w:id="1462" w:name="_Toc2124"/>
      <w:bookmarkStart w:id="1463" w:name="_Toc10503"/>
      <w:bookmarkStart w:id="1464" w:name="_Toc342"/>
      <w:bookmarkStart w:id="1465" w:name="_Toc3147"/>
      <w:bookmarkStart w:id="1466" w:name="_Toc16035"/>
      <w:bookmarkStart w:id="1467" w:name="_Toc2337"/>
      <w:bookmarkStart w:id="1468" w:name="_Toc17157"/>
      <w:bookmarkStart w:id="1469" w:name="_Toc11089"/>
      <w:bookmarkStart w:id="1470" w:name="_Toc482803102"/>
      <w:bookmarkStart w:id="1471" w:name="_Toc30805"/>
      <w:bookmarkStart w:id="1472" w:name="_Toc26466"/>
      <w:bookmarkStart w:id="1473" w:name="_Toc15310"/>
      <w:r>
        <w:rPr>
          <w:rFonts w:hint="eastAsia" w:hAnsi="宋体"/>
          <w:b/>
          <w:color w:val="auto"/>
          <w:highlight w:val="none"/>
        </w:rPr>
        <w:t>6.3 评标</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0B410F9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lang w:val="en-US" w:eastAsia="zh-CN"/>
        </w:rPr>
        <w:t xml:space="preserve">6.3.1 </w:t>
      </w:r>
      <w:r>
        <w:rPr>
          <w:rFonts w:hint="eastAsia" w:ascii="宋体" w:hAnsi="宋体"/>
          <w:color w:val="auto"/>
          <w:highlight w:val="none"/>
        </w:rPr>
        <w:t>评标委员会按照第</w:t>
      </w:r>
      <w:r>
        <w:rPr>
          <w:rFonts w:hint="eastAsia" w:ascii="宋体" w:hAnsi="宋体"/>
          <w:color w:val="auto"/>
          <w:highlight w:val="none"/>
          <w:lang w:val="en-US" w:eastAsia="zh-CN"/>
        </w:rPr>
        <w:t>三</w:t>
      </w:r>
      <w:r>
        <w:rPr>
          <w:rFonts w:hint="eastAsia" w:ascii="宋体" w:hAnsi="宋体"/>
          <w:color w:val="auto"/>
          <w:highlight w:val="none"/>
        </w:rPr>
        <w:t>章“评标办法”规定的方法、评审因素、标准和程序对</w:t>
      </w:r>
      <w:r>
        <w:rPr>
          <w:rFonts w:hint="eastAsia" w:ascii="宋体" w:hAnsi="宋体"/>
          <w:color w:val="auto"/>
          <w:highlight w:val="none"/>
          <w:lang w:eastAsia="zh-CN"/>
        </w:rPr>
        <w:t>投标文件（含定标文件）</w:t>
      </w:r>
      <w:r>
        <w:rPr>
          <w:rFonts w:hint="eastAsia" w:ascii="宋体" w:hAnsi="宋体"/>
          <w:color w:val="auto"/>
          <w:highlight w:val="none"/>
        </w:rPr>
        <w:t>进行评审。第</w:t>
      </w:r>
      <w:r>
        <w:rPr>
          <w:rFonts w:hint="eastAsia" w:ascii="宋体" w:hAnsi="宋体"/>
          <w:color w:val="auto"/>
          <w:highlight w:val="none"/>
          <w:lang w:val="en-US" w:eastAsia="zh-CN"/>
        </w:rPr>
        <w:t>三</w:t>
      </w:r>
      <w:r>
        <w:rPr>
          <w:rFonts w:hint="eastAsia" w:ascii="宋体" w:hAnsi="宋体"/>
          <w:color w:val="auto"/>
          <w:highlight w:val="none"/>
        </w:rPr>
        <w:t>章“评标办法”没有规定的方法、评审因素和标准，不作为评标依据。在评标过程中，各评委均以专家身份进行评标工作，不代表其所在单位。</w:t>
      </w:r>
    </w:p>
    <w:p w14:paraId="377B80F8">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lang w:val="en-US" w:eastAsia="zh-CN"/>
        </w:rPr>
        <w:t xml:space="preserve">6.3.2 </w:t>
      </w:r>
      <w:r>
        <w:rPr>
          <w:rFonts w:hint="eastAsia" w:ascii="宋体" w:hAnsi="宋体"/>
          <w:color w:val="auto"/>
          <w:highlight w:val="none"/>
        </w:rPr>
        <w:t>评标</w:t>
      </w:r>
      <w:r>
        <w:rPr>
          <w:rFonts w:hint="eastAsia" w:ascii="宋体" w:hAnsi="宋体" w:eastAsia="宋体" w:cs="宋体"/>
          <w:color w:val="auto"/>
          <w:highlight w:val="none"/>
          <w:lang w:val="en-US" w:eastAsia="zh-CN"/>
        </w:rPr>
        <w:t>完成后，</w:t>
      </w:r>
      <w:r>
        <w:rPr>
          <w:rFonts w:hint="eastAsia" w:ascii="宋体" w:hAnsi="宋体"/>
          <w:color w:val="auto"/>
          <w:highlight w:val="none"/>
        </w:rPr>
        <w:t>评标委员会</w:t>
      </w:r>
      <w:r>
        <w:rPr>
          <w:rFonts w:hint="eastAsia" w:ascii="宋体" w:hAnsi="宋体" w:eastAsia="宋体" w:cs="宋体"/>
          <w:color w:val="auto"/>
          <w:highlight w:val="none"/>
          <w:lang w:val="en-US" w:eastAsia="zh-CN"/>
        </w:rPr>
        <w:t>应当向招标人提交书面</w:t>
      </w:r>
      <w:r>
        <w:rPr>
          <w:rFonts w:hint="eastAsia" w:ascii="宋体" w:hAnsi="宋体" w:cs="宋体"/>
          <w:color w:val="auto"/>
          <w:highlight w:val="none"/>
          <w:lang w:val="en-US" w:eastAsia="zh-CN"/>
        </w:rPr>
        <w:t>评标</w:t>
      </w:r>
      <w:r>
        <w:rPr>
          <w:rFonts w:hint="eastAsia" w:ascii="宋体" w:hAnsi="宋体" w:eastAsia="宋体" w:cs="宋体"/>
          <w:color w:val="auto"/>
          <w:highlight w:val="none"/>
          <w:lang w:val="en-US" w:eastAsia="zh-CN"/>
        </w:rPr>
        <w:t>报告和中标候选人名单。</w:t>
      </w:r>
    </w:p>
    <w:p w14:paraId="02657351">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474" w:name="_Toc9762"/>
      <w:bookmarkStart w:id="1475" w:name="_Toc16802"/>
      <w:bookmarkStart w:id="1476" w:name="_Toc17318"/>
      <w:bookmarkStart w:id="1477" w:name="_Toc26954"/>
      <w:bookmarkStart w:id="1478" w:name="_Toc9478"/>
      <w:bookmarkStart w:id="1479" w:name="_Toc27211"/>
      <w:bookmarkStart w:id="1480" w:name="_Toc5926"/>
      <w:bookmarkStart w:id="1481" w:name="_Toc21347"/>
      <w:bookmarkStart w:id="1482" w:name="_Toc24283"/>
      <w:bookmarkStart w:id="1483" w:name="_Toc16638"/>
      <w:bookmarkStart w:id="1484" w:name="_Toc8857"/>
      <w:bookmarkStart w:id="1485" w:name="_Toc7465"/>
      <w:bookmarkStart w:id="1486" w:name="_Toc26286"/>
      <w:bookmarkStart w:id="1487" w:name="_Toc10553"/>
      <w:bookmarkStart w:id="1488" w:name="_Toc5597"/>
      <w:bookmarkStart w:id="1489" w:name="_Toc1891"/>
      <w:bookmarkStart w:id="1490" w:name="_Toc3141"/>
      <w:r>
        <w:rPr>
          <w:rFonts w:hint="eastAsia" w:ascii="宋体" w:hAnsi="宋体" w:eastAsia="宋体"/>
          <w:color w:val="auto"/>
          <w:sz w:val="24"/>
          <w:szCs w:val="24"/>
          <w:highlight w:val="none"/>
        </w:rPr>
        <w:t>7. 合同授予</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60A43F5E">
      <w:pPr>
        <w:pStyle w:val="23"/>
        <w:tabs>
          <w:tab w:val="left" w:pos="2127"/>
        </w:tabs>
        <w:kinsoku/>
        <w:overflowPunct/>
        <w:bidi w:val="0"/>
        <w:spacing w:line="360" w:lineRule="auto"/>
        <w:textAlignment w:val="auto"/>
        <w:outlineLvl w:val="2"/>
        <w:rPr>
          <w:rFonts w:hint="eastAsia" w:hAnsi="宋体"/>
          <w:b/>
          <w:color w:val="auto"/>
          <w:highlight w:val="none"/>
        </w:rPr>
      </w:pPr>
      <w:bookmarkStart w:id="1491" w:name="_Toc7263"/>
      <w:bookmarkStart w:id="1492" w:name="_Toc20617"/>
      <w:bookmarkStart w:id="1493" w:name="_Toc31342"/>
      <w:bookmarkStart w:id="1494" w:name="_Toc15851"/>
      <w:bookmarkStart w:id="1495" w:name="_Toc8896"/>
      <w:bookmarkStart w:id="1496" w:name="_Toc484792217"/>
      <w:bookmarkStart w:id="1497" w:name="_Toc19867"/>
      <w:bookmarkStart w:id="1498" w:name="_Toc13473"/>
      <w:bookmarkStart w:id="1499" w:name="_Toc17704"/>
      <w:bookmarkStart w:id="1500" w:name="_Toc3226"/>
      <w:bookmarkStart w:id="1501" w:name="_Toc14334"/>
      <w:bookmarkStart w:id="1502" w:name="_Toc3807"/>
      <w:bookmarkStart w:id="1503" w:name="_Toc18602"/>
      <w:bookmarkStart w:id="1504" w:name="_Toc482803104"/>
      <w:bookmarkStart w:id="1505" w:name="_Toc18642"/>
      <w:bookmarkStart w:id="1506" w:name="_Toc15539"/>
      <w:bookmarkStart w:id="1507" w:name="_Toc23426"/>
      <w:bookmarkStart w:id="1508" w:name="_Toc23071"/>
      <w:bookmarkStart w:id="1509" w:name="_Toc22920"/>
      <w:bookmarkStart w:id="1510" w:name="_Toc26546"/>
      <w:bookmarkStart w:id="1511" w:name="_Toc12845"/>
      <w:bookmarkStart w:id="1512" w:name="_Toc24139"/>
      <w:bookmarkStart w:id="1513" w:name="_Toc23527"/>
      <w:bookmarkStart w:id="1514" w:name="_Toc22871"/>
      <w:bookmarkStart w:id="1515" w:name="_Toc2611"/>
      <w:bookmarkStart w:id="1516" w:name="_Toc20294"/>
      <w:bookmarkStart w:id="1517" w:name="_Toc30600"/>
      <w:bookmarkStart w:id="1518" w:name="_Toc6205"/>
      <w:bookmarkStart w:id="1519" w:name="_Toc21534"/>
      <w:bookmarkStart w:id="1520" w:name="_Toc16055"/>
      <w:bookmarkStart w:id="1521" w:name="_Toc22398"/>
      <w:bookmarkStart w:id="1522" w:name="_Toc15238"/>
      <w:bookmarkStart w:id="1523" w:name="_Toc29615"/>
      <w:bookmarkStart w:id="1524" w:name="_Toc28222"/>
      <w:bookmarkStart w:id="1525" w:name="_Toc30720"/>
      <w:bookmarkStart w:id="1526" w:name="_Toc1363"/>
      <w:bookmarkStart w:id="1527" w:name="_Toc13217"/>
      <w:bookmarkStart w:id="1528" w:name="_Toc2629"/>
      <w:bookmarkStart w:id="1529" w:name="_Toc3228"/>
      <w:bookmarkStart w:id="1530" w:name="_Toc32729"/>
      <w:bookmarkStart w:id="1531" w:name="_Toc8949"/>
      <w:bookmarkStart w:id="1532" w:name="_Toc14243"/>
      <w:bookmarkStart w:id="1533" w:name="_Toc68"/>
      <w:bookmarkStart w:id="1534" w:name="_Toc12855"/>
      <w:bookmarkStart w:id="1535" w:name="_Toc14307"/>
      <w:bookmarkStart w:id="1536" w:name="_Toc5242"/>
      <w:bookmarkStart w:id="1537" w:name="_Toc11524"/>
      <w:bookmarkStart w:id="1538" w:name="_Toc15057"/>
      <w:bookmarkStart w:id="1539" w:name="_Toc9540"/>
      <w:bookmarkStart w:id="1540" w:name="_Toc16174"/>
      <w:r>
        <w:rPr>
          <w:rFonts w:hint="eastAsia" w:hAnsi="宋体"/>
          <w:b/>
          <w:color w:val="auto"/>
          <w:highlight w:val="none"/>
        </w:rPr>
        <w:t xml:space="preserve">7.1 </w:t>
      </w:r>
      <w:bookmarkEnd w:id="1491"/>
      <w:r>
        <w:rPr>
          <w:rFonts w:hint="eastAsia" w:hAnsi="宋体"/>
          <w:b/>
          <w:color w:val="auto"/>
          <w:highlight w:val="none"/>
        </w:rPr>
        <w:t>合格中标候选人公示</w:t>
      </w:r>
      <w:bookmarkEnd w:id="1492"/>
      <w:bookmarkEnd w:id="1493"/>
    </w:p>
    <w:p w14:paraId="25BBF850">
      <w:pPr>
        <w:autoSpaceDE w:val="0"/>
        <w:autoSpaceDN w:val="0"/>
        <w:adjustRightInd w:val="0"/>
        <w:spacing w:line="360" w:lineRule="auto"/>
        <w:ind w:right="40" w:firstLine="420" w:firstLineChars="200"/>
        <w:rPr>
          <w:rFonts w:hint="eastAsia" w:hAnsi="宋体"/>
          <w:b w:val="0"/>
          <w:bCs/>
          <w:color w:val="auto"/>
          <w:highlight w:val="none"/>
        </w:rPr>
      </w:pPr>
      <w:r>
        <w:rPr>
          <w:rFonts w:hint="eastAsia" w:hAnsi="宋体"/>
          <w:b w:val="0"/>
          <w:bCs/>
          <w:color w:val="auto"/>
          <w:highlight w:val="none"/>
        </w:rPr>
        <w:t>招标人在《投标人须知前附表》规定的媒介公示合格中标候选人，公示时间为三天（最后一天为工作日）。中标候选人公示期间，投标人或其他利害关系人对评标结果有异议的应当在公示期内提出，因异议或投诉生效导致合格中标候选人不符合中标资格的，将取消其中标候选人资格；因异议或投诉生效导致所有入围候选人均不符合招标文件要求的，应当重新组织招标。</w:t>
      </w:r>
    </w:p>
    <w:p w14:paraId="0EDD3046">
      <w:pPr>
        <w:autoSpaceDE w:val="0"/>
        <w:autoSpaceDN w:val="0"/>
        <w:adjustRightInd w:val="0"/>
        <w:spacing w:line="360" w:lineRule="auto"/>
        <w:ind w:right="40" w:firstLine="420" w:firstLineChars="200"/>
        <w:rPr>
          <w:rFonts w:hint="eastAsia" w:hAnsi="宋体"/>
          <w:b w:val="0"/>
          <w:bCs/>
          <w:color w:val="auto"/>
          <w:highlight w:val="none"/>
        </w:rPr>
      </w:pPr>
      <w:r>
        <w:rPr>
          <w:rFonts w:hint="eastAsia" w:hAnsi="宋体"/>
          <w:b w:val="0"/>
          <w:bCs/>
          <w:color w:val="auto"/>
          <w:highlight w:val="none"/>
        </w:rPr>
        <w:t>在定标委员会完成定标工作后，招标人将在《投标人须知前附表》</w:t>
      </w:r>
      <w:r>
        <w:rPr>
          <w:rFonts w:hint="eastAsia" w:hAnsi="宋体" w:cs="宋体"/>
          <w:color w:val="auto"/>
          <w:sz w:val="21"/>
          <w:szCs w:val="21"/>
          <w:highlight w:val="none"/>
          <w:lang w:val="en-US" w:eastAsia="zh-CN"/>
        </w:rPr>
        <w:t>7.2</w:t>
      </w:r>
      <w:r>
        <w:rPr>
          <w:rFonts w:hint="eastAsia" w:hAnsi="宋体"/>
          <w:b w:val="0"/>
          <w:bCs/>
          <w:color w:val="auto"/>
          <w:highlight w:val="none"/>
        </w:rPr>
        <w:t>公示中标结果，定标后出现中标人不符合法定情形的，招标人可从其他合格的中标候选人中采用原定标办法，由原定标委员会确定中标人，也可以重新组织招标。</w:t>
      </w:r>
    </w:p>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14:paraId="52CD6848">
      <w:pPr>
        <w:tabs>
          <w:tab w:val="left" w:pos="2127"/>
        </w:tabs>
        <w:kinsoku/>
        <w:wordWrap/>
        <w:overflowPunct/>
        <w:topLinePunct w:val="0"/>
        <w:autoSpaceDE/>
        <w:autoSpaceDN/>
        <w:bidi w:val="0"/>
        <w:adjustRightInd/>
        <w:snapToGrid/>
        <w:spacing w:line="312" w:lineRule="auto"/>
        <w:ind w:left="0" w:leftChars="0"/>
        <w:textAlignment w:val="auto"/>
        <w:outlineLvl w:val="2"/>
        <w:rPr>
          <w:rFonts w:hint="eastAsia" w:ascii="宋体" w:hAnsi="宋体" w:eastAsia="宋体" w:cs="宋体"/>
          <w:b/>
          <w:color w:val="auto"/>
          <w:highlight w:val="none"/>
          <w:lang w:val="en-US" w:eastAsia="zh-CN"/>
        </w:rPr>
      </w:pPr>
      <w:bookmarkStart w:id="1541" w:name="_Toc3076"/>
      <w:bookmarkStart w:id="1542" w:name="_Toc19120"/>
      <w:bookmarkStart w:id="1543" w:name="_Toc6924"/>
      <w:r>
        <w:rPr>
          <w:rFonts w:hint="eastAsia" w:ascii="宋体" w:hAnsi="宋体" w:eastAsia="宋体" w:cs="宋体"/>
          <w:b/>
          <w:color w:val="auto"/>
          <w:highlight w:val="none"/>
          <w:lang w:val="en-US" w:eastAsia="zh-CN"/>
        </w:rPr>
        <w:t>7.2评标结果异议</w:t>
      </w:r>
      <w:bookmarkEnd w:id="1541"/>
      <w:bookmarkEnd w:id="1542"/>
      <w:bookmarkEnd w:id="1543"/>
    </w:p>
    <w:p w14:paraId="04F4D691">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kern w:val="0"/>
          <w:szCs w:val="21"/>
          <w:highlight w:val="none"/>
        </w:rPr>
        <w:t>投标人或者其他利</w:t>
      </w:r>
      <w:r>
        <w:rPr>
          <w:rFonts w:hint="eastAsia" w:ascii="宋体" w:hAnsi="宋体" w:cs="宋体"/>
          <w:color w:val="auto"/>
          <w:spacing w:val="-2"/>
          <w:kern w:val="0"/>
          <w:szCs w:val="21"/>
          <w:highlight w:val="none"/>
        </w:rPr>
        <w:t>害</w:t>
      </w:r>
      <w:r>
        <w:rPr>
          <w:rFonts w:hint="eastAsia" w:ascii="宋体" w:hAnsi="宋体" w:cs="宋体"/>
          <w:color w:val="auto"/>
          <w:kern w:val="0"/>
          <w:szCs w:val="21"/>
          <w:highlight w:val="none"/>
        </w:rPr>
        <w:t>关</w:t>
      </w:r>
      <w:r>
        <w:rPr>
          <w:rFonts w:hint="eastAsia" w:ascii="宋体" w:hAnsi="宋体" w:cs="宋体"/>
          <w:color w:val="auto"/>
          <w:spacing w:val="-2"/>
          <w:kern w:val="0"/>
          <w:szCs w:val="21"/>
          <w:highlight w:val="none"/>
        </w:rPr>
        <w:t>系</w:t>
      </w:r>
      <w:r>
        <w:rPr>
          <w:rFonts w:hint="eastAsia" w:ascii="宋体" w:hAnsi="宋体" w:cs="宋体"/>
          <w:color w:val="auto"/>
          <w:kern w:val="0"/>
          <w:szCs w:val="21"/>
          <w:highlight w:val="none"/>
        </w:rPr>
        <w:t>人对评标结果有异</w:t>
      </w:r>
      <w:r>
        <w:rPr>
          <w:rFonts w:hint="eastAsia" w:ascii="宋体" w:hAnsi="宋体" w:cs="宋体"/>
          <w:color w:val="auto"/>
          <w:spacing w:val="-2"/>
          <w:kern w:val="0"/>
          <w:szCs w:val="21"/>
          <w:highlight w:val="none"/>
        </w:rPr>
        <w:t>议</w:t>
      </w:r>
      <w:r>
        <w:rPr>
          <w:rFonts w:hint="eastAsia" w:ascii="宋体" w:hAnsi="宋体" w:cs="宋体"/>
          <w:color w:val="auto"/>
          <w:kern w:val="0"/>
          <w:szCs w:val="21"/>
          <w:highlight w:val="none"/>
        </w:rPr>
        <w:t>的</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应当在中标候选人</w:t>
      </w:r>
      <w:r>
        <w:rPr>
          <w:rFonts w:hint="eastAsia" w:ascii="宋体" w:hAnsi="宋体" w:cs="宋体"/>
          <w:color w:val="auto"/>
          <w:spacing w:val="-2"/>
          <w:kern w:val="0"/>
          <w:szCs w:val="21"/>
          <w:highlight w:val="none"/>
        </w:rPr>
        <w:t>公</w:t>
      </w:r>
      <w:r>
        <w:rPr>
          <w:rFonts w:hint="eastAsia" w:ascii="宋体" w:hAnsi="宋体" w:cs="宋体"/>
          <w:color w:val="auto"/>
          <w:kern w:val="0"/>
          <w:szCs w:val="21"/>
          <w:highlight w:val="none"/>
        </w:rPr>
        <w:t>示</w:t>
      </w:r>
      <w:r>
        <w:rPr>
          <w:rFonts w:hint="eastAsia" w:ascii="宋体" w:hAnsi="宋体" w:cs="宋体"/>
          <w:color w:val="auto"/>
          <w:spacing w:val="-2"/>
          <w:kern w:val="0"/>
          <w:szCs w:val="21"/>
          <w:highlight w:val="none"/>
        </w:rPr>
        <w:t>期</w:t>
      </w:r>
      <w:r>
        <w:rPr>
          <w:rFonts w:hint="eastAsia" w:ascii="宋体" w:hAnsi="宋体" w:cs="宋体"/>
          <w:color w:val="auto"/>
          <w:kern w:val="0"/>
          <w:szCs w:val="21"/>
          <w:highlight w:val="none"/>
        </w:rPr>
        <w:t>间提出。招标人将</w:t>
      </w:r>
      <w:r>
        <w:rPr>
          <w:rFonts w:hint="eastAsia" w:ascii="宋体" w:hAnsi="宋体" w:cs="宋体"/>
          <w:color w:val="auto"/>
          <w:spacing w:val="-2"/>
          <w:kern w:val="0"/>
          <w:szCs w:val="21"/>
          <w:highlight w:val="none"/>
        </w:rPr>
        <w:t>在</w:t>
      </w:r>
      <w:r>
        <w:rPr>
          <w:rFonts w:hint="eastAsia" w:ascii="宋体" w:hAnsi="宋体" w:cs="宋体"/>
          <w:color w:val="auto"/>
          <w:kern w:val="0"/>
          <w:szCs w:val="21"/>
          <w:highlight w:val="none"/>
        </w:rPr>
        <w:t>收</w:t>
      </w:r>
      <w:r>
        <w:rPr>
          <w:rFonts w:hint="eastAsia" w:ascii="宋体" w:hAnsi="宋体" w:cs="宋体"/>
          <w:color w:val="auto"/>
          <w:spacing w:val="-2"/>
          <w:kern w:val="0"/>
          <w:szCs w:val="21"/>
          <w:highlight w:val="none"/>
        </w:rPr>
        <w:t>到</w:t>
      </w:r>
      <w:r>
        <w:rPr>
          <w:rFonts w:hint="eastAsia" w:ascii="宋体" w:hAnsi="宋体" w:cs="宋体"/>
          <w:color w:val="auto"/>
          <w:kern w:val="0"/>
          <w:szCs w:val="21"/>
          <w:highlight w:val="none"/>
        </w:rPr>
        <w:t>异</w:t>
      </w:r>
      <w:r>
        <w:rPr>
          <w:rFonts w:hint="eastAsia" w:ascii="宋体" w:hAnsi="宋体" w:cs="宋体"/>
          <w:color w:val="auto"/>
          <w:spacing w:val="-2"/>
          <w:kern w:val="0"/>
          <w:szCs w:val="21"/>
          <w:highlight w:val="none"/>
        </w:rPr>
        <w:t>议</w:t>
      </w:r>
      <w:r>
        <w:rPr>
          <w:rFonts w:hint="eastAsia" w:ascii="宋体" w:hAnsi="宋体" w:cs="宋体"/>
          <w:color w:val="auto"/>
          <w:kern w:val="0"/>
          <w:szCs w:val="21"/>
          <w:highlight w:val="none"/>
        </w:rPr>
        <w:t>之</w:t>
      </w:r>
      <w:r>
        <w:rPr>
          <w:rFonts w:hint="eastAsia" w:ascii="宋体" w:hAnsi="宋体" w:cs="宋体"/>
          <w:color w:val="auto"/>
          <w:spacing w:val="-2"/>
          <w:kern w:val="0"/>
          <w:szCs w:val="21"/>
          <w:highlight w:val="none"/>
        </w:rPr>
        <w:t>日</w:t>
      </w:r>
      <w:r>
        <w:rPr>
          <w:rFonts w:hint="eastAsia" w:ascii="宋体" w:hAnsi="宋体" w:cs="宋体"/>
          <w:color w:val="auto"/>
          <w:kern w:val="0"/>
          <w:szCs w:val="21"/>
          <w:highlight w:val="none"/>
        </w:rPr>
        <w:t>起3日内</w:t>
      </w:r>
      <w:r>
        <w:rPr>
          <w:rFonts w:hint="eastAsia" w:ascii="宋体" w:hAnsi="宋体" w:cs="宋体"/>
          <w:color w:val="auto"/>
          <w:spacing w:val="-2"/>
          <w:kern w:val="0"/>
          <w:szCs w:val="21"/>
          <w:highlight w:val="none"/>
        </w:rPr>
        <w:t>作</w:t>
      </w:r>
      <w:r>
        <w:rPr>
          <w:rFonts w:hint="eastAsia" w:ascii="宋体" w:hAnsi="宋体" w:cs="宋体"/>
          <w:color w:val="auto"/>
          <w:kern w:val="0"/>
          <w:szCs w:val="21"/>
          <w:highlight w:val="none"/>
        </w:rPr>
        <w:t>出</w:t>
      </w:r>
      <w:r>
        <w:rPr>
          <w:rFonts w:hint="eastAsia" w:ascii="宋体" w:hAnsi="宋体" w:cs="宋体"/>
          <w:color w:val="auto"/>
          <w:spacing w:val="-2"/>
          <w:kern w:val="0"/>
          <w:szCs w:val="21"/>
          <w:highlight w:val="none"/>
        </w:rPr>
        <w:t>答</w:t>
      </w:r>
      <w:r>
        <w:rPr>
          <w:rFonts w:hint="eastAsia" w:ascii="宋体" w:hAnsi="宋体" w:cs="宋体"/>
          <w:color w:val="auto"/>
          <w:kern w:val="0"/>
          <w:szCs w:val="21"/>
          <w:highlight w:val="none"/>
        </w:rPr>
        <w:t>复</w:t>
      </w:r>
      <w:r>
        <w:rPr>
          <w:rFonts w:hint="eastAsia" w:ascii="宋体" w:hAnsi="宋体" w:cs="宋体"/>
          <w:color w:val="auto"/>
          <w:spacing w:val="-2"/>
          <w:kern w:val="0"/>
          <w:szCs w:val="21"/>
          <w:highlight w:val="none"/>
        </w:rPr>
        <w:t>；</w:t>
      </w:r>
      <w:r>
        <w:rPr>
          <w:rFonts w:hint="eastAsia" w:ascii="宋体" w:hAnsi="宋体" w:cs="宋体"/>
          <w:color w:val="auto"/>
          <w:kern w:val="0"/>
          <w:szCs w:val="21"/>
          <w:highlight w:val="none"/>
        </w:rPr>
        <w:t>作</w:t>
      </w:r>
      <w:r>
        <w:rPr>
          <w:rFonts w:hint="eastAsia" w:ascii="宋体" w:hAnsi="宋体" w:cs="宋体"/>
          <w:color w:val="auto"/>
          <w:spacing w:val="-2"/>
          <w:kern w:val="0"/>
          <w:szCs w:val="21"/>
          <w:highlight w:val="none"/>
        </w:rPr>
        <w:t>出</w:t>
      </w:r>
      <w:r>
        <w:rPr>
          <w:rFonts w:hint="eastAsia" w:ascii="宋体" w:hAnsi="宋体" w:cs="宋体"/>
          <w:color w:val="auto"/>
          <w:kern w:val="0"/>
          <w:szCs w:val="21"/>
          <w:highlight w:val="none"/>
        </w:rPr>
        <w:t>答</w:t>
      </w:r>
      <w:r>
        <w:rPr>
          <w:rFonts w:hint="eastAsia" w:ascii="宋体" w:hAnsi="宋体" w:cs="宋体"/>
          <w:color w:val="auto"/>
          <w:spacing w:val="-2"/>
          <w:kern w:val="0"/>
          <w:szCs w:val="21"/>
          <w:highlight w:val="none"/>
        </w:rPr>
        <w:t>复</w:t>
      </w:r>
      <w:r>
        <w:rPr>
          <w:rFonts w:hint="eastAsia" w:ascii="宋体" w:hAnsi="宋体" w:cs="宋体"/>
          <w:color w:val="auto"/>
          <w:kern w:val="0"/>
          <w:szCs w:val="21"/>
          <w:highlight w:val="none"/>
        </w:rPr>
        <w:t>前</w:t>
      </w:r>
      <w:r>
        <w:rPr>
          <w:rFonts w:hint="eastAsia" w:ascii="宋体" w:hAnsi="宋体" w:cs="宋体"/>
          <w:color w:val="auto"/>
          <w:kern w:val="0"/>
          <w:szCs w:val="21"/>
          <w:highlight w:val="none"/>
          <w:lang w:eastAsia="zh-CN"/>
        </w:rPr>
        <w:t>，</w:t>
      </w:r>
      <w:r>
        <w:rPr>
          <w:rFonts w:hint="eastAsia" w:ascii="宋体" w:hAnsi="宋体" w:cs="宋体"/>
          <w:color w:val="auto"/>
          <w:spacing w:val="-2"/>
          <w:kern w:val="0"/>
          <w:szCs w:val="21"/>
          <w:highlight w:val="none"/>
        </w:rPr>
        <w:t>将</w:t>
      </w:r>
      <w:r>
        <w:rPr>
          <w:rFonts w:hint="eastAsia" w:ascii="宋体" w:hAnsi="宋体" w:cs="宋体"/>
          <w:color w:val="auto"/>
          <w:kern w:val="0"/>
          <w:szCs w:val="21"/>
          <w:highlight w:val="none"/>
        </w:rPr>
        <w:t>暂</w:t>
      </w:r>
      <w:r>
        <w:rPr>
          <w:rFonts w:hint="eastAsia" w:ascii="宋体" w:hAnsi="宋体" w:cs="宋体"/>
          <w:color w:val="auto"/>
          <w:spacing w:val="-2"/>
          <w:kern w:val="0"/>
          <w:szCs w:val="21"/>
          <w:highlight w:val="none"/>
        </w:rPr>
        <w:t>停</w:t>
      </w:r>
      <w:r>
        <w:rPr>
          <w:rFonts w:hint="eastAsia" w:ascii="宋体" w:hAnsi="宋体" w:cs="宋体"/>
          <w:color w:val="auto"/>
          <w:kern w:val="0"/>
          <w:szCs w:val="21"/>
          <w:highlight w:val="none"/>
        </w:rPr>
        <w:t>招</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活</w:t>
      </w:r>
      <w:r>
        <w:rPr>
          <w:rFonts w:hint="eastAsia" w:ascii="宋体" w:hAnsi="宋体" w:cs="宋体"/>
          <w:color w:val="auto"/>
          <w:spacing w:val="-2"/>
          <w:kern w:val="0"/>
          <w:szCs w:val="21"/>
          <w:highlight w:val="none"/>
        </w:rPr>
        <w:t>动</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异议函包括但不限于下列内容：</w:t>
      </w:r>
    </w:p>
    <w:p w14:paraId="7358E18F">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（1）异议人名称、地址、邮政编码、联系人及联系电话；</w:t>
      </w:r>
    </w:p>
    <w:p w14:paraId="4184136E">
      <w:pPr>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（2）具体、明确的异议事项、事实依据及与异议事项相关的请求。</w:t>
      </w:r>
    </w:p>
    <w:p w14:paraId="604A565B">
      <w:pPr>
        <w:kinsoku/>
        <w:wordWrap/>
        <w:overflowPunct/>
        <w:topLinePunct w:val="0"/>
        <w:autoSpaceDE/>
        <w:autoSpaceDN/>
        <w:bidi w:val="0"/>
        <w:adjustRightInd/>
        <w:snapToGrid/>
        <w:spacing w:line="312" w:lineRule="auto"/>
        <w:ind w:left="0" w:leftChars="0" w:firstLine="420" w:firstLineChars="200"/>
        <w:textAlignment w:val="auto"/>
        <w:rPr>
          <w:rFonts w:ascii="宋体" w:hAnsi="宋体"/>
          <w:color w:val="auto"/>
          <w:highlight w:val="none"/>
        </w:rPr>
      </w:pPr>
      <w:r>
        <w:rPr>
          <w:rFonts w:hint="eastAsia" w:ascii="宋体" w:hAnsi="宋体" w:eastAsia="宋体" w:cs="宋体"/>
          <w:color w:val="auto"/>
          <w:szCs w:val="21"/>
          <w:highlight w:val="none"/>
          <w:lang w:val="en-US" w:eastAsia="zh-CN"/>
        </w:rPr>
        <w:t>异议函应由异议人的法定代表人或其授权的代理人签字并加盖单位章。</w:t>
      </w:r>
    </w:p>
    <w:p w14:paraId="0565ED80">
      <w:pPr>
        <w:pStyle w:val="23"/>
        <w:tabs>
          <w:tab w:val="left" w:pos="2127"/>
        </w:tabs>
        <w:kinsoku/>
        <w:overflowPunct/>
        <w:bidi w:val="0"/>
        <w:spacing w:line="360" w:lineRule="auto"/>
        <w:textAlignment w:val="auto"/>
        <w:outlineLvl w:val="2"/>
        <w:rPr>
          <w:rFonts w:hint="eastAsia" w:hAnsi="宋体"/>
          <w:b/>
          <w:color w:val="auto"/>
          <w:highlight w:val="none"/>
        </w:rPr>
      </w:pPr>
      <w:bookmarkStart w:id="1544" w:name="_Toc21561"/>
      <w:bookmarkStart w:id="1545" w:name="_Toc10168"/>
      <w:bookmarkStart w:id="1546" w:name="_Toc27676"/>
      <w:bookmarkStart w:id="1547" w:name="_Toc2997"/>
      <w:bookmarkStart w:id="1548" w:name="_Toc8467"/>
      <w:bookmarkStart w:id="1549" w:name="_Toc465"/>
      <w:bookmarkStart w:id="1550" w:name="_Toc17745"/>
      <w:bookmarkStart w:id="1551" w:name="_Toc11478"/>
      <w:bookmarkStart w:id="1552" w:name="_Toc14789"/>
      <w:bookmarkStart w:id="1553" w:name="_Toc484792218"/>
      <w:bookmarkStart w:id="1554" w:name="_Toc27196"/>
      <w:bookmarkStart w:id="1555" w:name="_Toc11036"/>
      <w:bookmarkStart w:id="1556" w:name="_Toc20464"/>
      <w:bookmarkStart w:id="1557" w:name="_Toc16764"/>
      <w:bookmarkStart w:id="1558" w:name="_Toc12439"/>
      <w:bookmarkStart w:id="1559" w:name="_Toc26704"/>
      <w:bookmarkStart w:id="1560" w:name="_Toc26152"/>
      <w:bookmarkStart w:id="1561" w:name="_Toc7072"/>
      <w:bookmarkStart w:id="1562" w:name="_Toc7020"/>
      <w:bookmarkStart w:id="1563" w:name="_Toc1334"/>
      <w:bookmarkStart w:id="1564" w:name="_Toc27383"/>
      <w:bookmarkStart w:id="1565" w:name="_Toc25360"/>
      <w:bookmarkStart w:id="1566" w:name="_Toc9304"/>
      <w:bookmarkStart w:id="1567" w:name="_Toc23160"/>
      <w:bookmarkStart w:id="1568" w:name="_Toc5078"/>
      <w:bookmarkStart w:id="1569" w:name="_Toc14766"/>
      <w:bookmarkStart w:id="1570" w:name="_Toc9835"/>
      <w:bookmarkStart w:id="1571" w:name="_Toc1510"/>
      <w:bookmarkStart w:id="1572" w:name="_Toc24105"/>
      <w:bookmarkStart w:id="1573" w:name="_Toc22664"/>
      <w:bookmarkStart w:id="1574" w:name="_Toc29298"/>
      <w:bookmarkStart w:id="1575" w:name="_Toc31164"/>
      <w:bookmarkStart w:id="1576" w:name="_Toc6503"/>
      <w:bookmarkStart w:id="1577" w:name="_Toc22341"/>
      <w:bookmarkStart w:id="1578" w:name="_Toc4439"/>
      <w:bookmarkStart w:id="1579" w:name="_Toc30033"/>
      <w:bookmarkStart w:id="1580" w:name="_Toc18257"/>
      <w:bookmarkStart w:id="1581" w:name="_Toc14725"/>
      <w:bookmarkStart w:id="1582" w:name="_Toc482803105"/>
      <w:bookmarkStart w:id="1583" w:name="_Toc1527"/>
      <w:bookmarkStart w:id="1584" w:name="_Toc14431"/>
      <w:bookmarkStart w:id="1585" w:name="_Toc23431"/>
      <w:bookmarkStart w:id="1586" w:name="_Toc30143"/>
      <w:bookmarkStart w:id="1587" w:name="_Toc14591"/>
      <w:bookmarkStart w:id="1588" w:name="_Toc12150"/>
      <w:bookmarkStart w:id="1589" w:name="_Toc11581"/>
      <w:bookmarkStart w:id="1590" w:name="_Toc21955"/>
      <w:bookmarkStart w:id="1591" w:name="_Toc28430"/>
      <w:bookmarkStart w:id="1592" w:name="_Toc22204"/>
      <w:bookmarkStart w:id="1593" w:name="_Toc630"/>
      <w:r>
        <w:rPr>
          <w:rFonts w:hint="eastAsia" w:hAnsi="宋体"/>
          <w:b/>
          <w:color w:val="auto"/>
          <w:highlight w:val="none"/>
        </w:rPr>
        <w:t>7.3 中标候选人履约能力审查</w:t>
      </w:r>
      <w:bookmarkEnd w:id="1544"/>
      <w:bookmarkEnd w:id="1545"/>
      <w:bookmarkEnd w:id="1546"/>
      <w:r>
        <w:rPr>
          <w:rFonts w:hint="eastAsia" w:hAnsi="宋体"/>
          <w:b/>
          <w:color w:val="auto"/>
          <w:highlight w:val="none"/>
        </w:rPr>
        <w:t xml:space="preserve"> </w:t>
      </w:r>
    </w:p>
    <w:p w14:paraId="5B64E59B">
      <w:pPr>
        <w:pStyle w:val="23"/>
        <w:tabs>
          <w:tab w:val="left" w:pos="2127"/>
        </w:tabs>
        <w:kinsoku/>
        <w:overflowPunct/>
        <w:bidi w:val="0"/>
        <w:spacing w:line="360" w:lineRule="auto"/>
        <w:ind w:firstLine="420" w:firstLineChars="200"/>
        <w:textAlignment w:val="auto"/>
        <w:outlineLvl w:val="2"/>
        <w:rPr>
          <w:rFonts w:hint="eastAsia" w:hAnsi="宋体"/>
          <w:b w:val="0"/>
          <w:bCs/>
          <w:color w:val="auto"/>
          <w:highlight w:val="none"/>
        </w:rPr>
      </w:pPr>
      <w:bookmarkStart w:id="1594" w:name="_Toc150"/>
      <w:bookmarkStart w:id="1595" w:name="_Toc30375"/>
      <w:bookmarkStart w:id="1596" w:name="_Toc17408"/>
      <w:r>
        <w:rPr>
          <w:rFonts w:hint="eastAsia" w:hAnsi="宋体"/>
          <w:b w:val="0"/>
          <w:bCs/>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bookmarkEnd w:id="1594"/>
      <w:bookmarkEnd w:id="1595"/>
      <w:bookmarkEnd w:id="1596"/>
    </w:p>
    <w:p w14:paraId="0B14858C">
      <w:pPr>
        <w:pStyle w:val="23"/>
        <w:tabs>
          <w:tab w:val="left" w:pos="2127"/>
        </w:tabs>
        <w:kinsoku/>
        <w:overflowPunct/>
        <w:bidi w:val="0"/>
        <w:spacing w:line="360" w:lineRule="auto"/>
        <w:textAlignment w:val="auto"/>
        <w:outlineLvl w:val="2"/>
        <w:rPr>
          <w:rFonts w:hint="default" w:hAnsi="宋体" w:eastAsia="宋体"/>
          <w:b/>
          <w:color w:val="auto"/>
          <w:highlight w:val="none"/>
          <w:lang w:val="en-US" w:eastAsia="zh-CN"/>
        </w:rPr>
      </w:pPr>
      <w:bookmarkStart w:id="1597" w:name="_Toc7146"/>
      <w:bookmarkStart w:id="1598" w:name="_Toc10609"/>
      <w:bookmarkStart w:id="1599" w:name="_Toc8156"/>
      <w:r>
        <w:rPr>
          <w:rFonts w:hint="eastAsia" w:hAnsi="宋体"/>
          <w:b/>
          <w:color w:val="auto"/>
          <w:highlight w:val="none"/>
        </w:rPr>
        <w:t>7.</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Pr>
          <w:rFonts w:hint="eastAsia" w:hAnsi="宋体"/>
          <w:b/>
          <w:color w:val="auto"/>
          <w:highlight w:val="none"/>
          <w:lang w:val="en-US" w:eastAsia="zh-CN"/>
        </w:rPr>
        <w:t>4 定标</w:t>
      </w:r>
      <w:bookmarkEnd w:id="1597"/>
      <w:r>
        <w:rPr>
          <w:rFonts w:hint="eastAsia" w:hAnsi="宋体"/>
          <w:b/>
          <w:color w:val="auto"/>
          <w:highlight w:val="none"/>
          <w:lang w:val="en-US" w:eastAsia="zh-CN"/>
        </w:rPr>
        <w:t>方式</w:t>
      </w:r>
      <w:bookmarkEnd w:id="1598"/>
      <w:bookmarkEnd w:id="1599"/>
    </w:p>
    <w:p w14:paraId="1D879DA7">
      <w:pPr>
        <w:pStyle w:val="23"/>
        <w:tabs>
          <w:tab w:val="left" w:pos="2127"/>
        </w:tabs>
        <w:kinsoku/>
        <w:overflowPunct/>
        <w:bidi w:val="0"/>
        <w:spacing w:line="360" w:lineRule="auto"/>
        <w:ind w:firstLine="420" w:firstLineChars="200"/>
        <w:textAlignment w:val="auto"/>
        <w:outlineLvl w:val="2"/>
        <w:rPr>
          <w:rFonts w:hint="eastAsia" w:ascii="宋体" w:hAnsi="宋体" w:eastAsia="宋体" w:cs="宋体"/>
          <w:b w:val="0"/>
          <w:bCs/>
          <w:color w:val="auto"/>
          <w:highlight w:val="none"/>
        </w:rPr>
      </w:pPr>
      <w:bookmarkStart w:id="1600" w:name="_Toc32065"/>
      <w:bookmarkStart w:id="1601" w:name="_Toc4317"/>
      <w:bookmarkStart w:id="1602" w:name="_Toc6717"/>
      <w:bookmarkStart w:id="1603" w:name="_Toc3714"/>
      <w:bookmarkStart w:id="1604" w:name="_Toc18470"/>
      <w:bookmarkStart w:id="1605" w:name="_Toc18971"/>
      <w:bookmarkStart w:id="1606" w:name="_Toc19843"/>
      <w:bookmarkStart w:id="1607" w:name="_Toc20244"/>
      <w:bookmarkStart w:id="1608" w:name="_Toc15052"/>
      <w:bookmarkStart w:id="1609" w:name="_Toc3788"/>
      <w:bookmarkStart w:id="1610" w:name="_Toc20353"/>
      <w:bookmarkStart w:id="1611" w:name="_Toc21998"/>
      <w:bookmarkStart w:id="1612" w:name="_Toc12988"/>
      <w:bookmarkStart w:id="1613" w:name="_Toc4469"/>
      <w:bookmarkStart w:id="1614" w:name="_Toc18567"/>
      <w:bookmarkStart w:id="1615" w:name="_Toc19603"/>
      <w:bookmarkStart w:id="1616" w:name="_Toc17969"/>
      <w:bookmarkStart w:id="1617" w:name="_Toc8619"/>
      <w:bookmarkStart w:id="1618" w:name="_Toc1875"/>
      <w:bookmarkStart w:id="1619" w:name="_Toc4190"/>
      <w:bookmarkStart w:id="1620" w:name="_Toc4542"/>
      <w:bookmarkStart w:id="1621" w:name="_Toc30265"/>
      <w:bookmarkStart w:id="1622" w:name="_Toc25566"/>
      <w:bookmarkStart w:id="1623" w:name="_Toc14965"/>
      <w:bookmarkStart w:id="1624" w:name="_Toc9257"/>
      <w:bookmarkStart w:id="1625" w:name="_Toc17065"/>
      <w:bookmarkStart w:id="1626" w:name="_Toc25964"/>
      <w:bookmarkStart w:id="1627" w:name="_Toc14589"/>
      <w:bookmarkStart w:id="1628" w:name="_Toc10945"/>
      <w:bookmarkStart w:id="1629" w:name="_Toc17279"/>
      <w:bookmarkStart w:id="1630" w:name="_Toc2230"/>
      <w:bookmarkStart w:id="1631" w:name="_Toc482803106"/>
      <w:bookmarkStart w:id="1632" w:name="_Toc865"/>
      <w:bookmarkStart w:id="1633" w:name="_Toc1046"/>
      <w:bookmarkStart w:id="1634" w:name="_Toc29058"/>
      <w:bookmarkStart w:id="1635" w:name="_Toc11526"/>
      <w:bookmarkStart w:id="1636" w:name="_Toc5960"/>
      <w:bookmarkStart w:id="1637" w:name="_Toc27504"/>
      <w:bookmarkStart w:id="1638" w:name="_Toc26475"/>
      <w:bookmarkStart w:id="1639" w:name="_Toc18570"/>
      <w:bookmarkStart w:id="1640" w:name="_Toc23999"/>
      <w:bookmarkStart w:id="1641" w:name="_Toc21282"/>
      <w:bookmarkStart w:id="1642" w:name="_Toc118"/>
      <w:bookmarkStart w:id="1643" w:name="_Toc15839"/>
      <w:bookmarkStart w:id="1644" w:name="_Toc30801"/>
      <w:bookmarkStart w:id="1645" w:name="_Toc484792219"/>
      <w:bookmarkStart w:id="1646" w:name="_Toc24939"/>
      <w:bookmarkStart w:id="1647" w:name="_Toc31558"/>
      <w:bookmarkStart w:id="1648" w:name="_Toc2530"/>
      <w:bookmarkStart w:id="1649" w:name="_Toc4534"/>
      <w:r>
        <w:rPr>
          <w:rFonts w:hint="eastAsia" w:ascii="宋体" w:hAnsi="宋体" w:eastAsia="宋体" w:cs="宋体"/>
          <w:b w:val="0"/>
          <w:bCs/>
          <w:color w:val="auto"/>
          <w:highlight w:val="none"/>
        </w:rPr>
        <w:t>定标后出现中标人不符合法定情形的，招标人可从其他合格的中标候选人中采用原定标办法，由原定标委员会确定中标人，也可以重新招标。</w:t>
      </w:r>
      <w:bookmarkEnd w:id="1600"/>
      <w:bookmarkEnd w:id="1601"/>
    </w:p>
    <w:p w14:paraId="38091214">
      <w:pPr>
        <w:pStyle w:val="23"/>
        <w:tabs>
          <w:tab w:val="left" w:pos="2127"/>
        </w:tabs>
        <w:kinsoku/>
        <w:overflowPunct/>
        <w:bidi w:val="0"/>
        <w:spacing w:line="360" w:lineRule="auto"/>
        <w:textAlignment w:val="auto"/>
        <w:outlineLvl w:val="2"/>
        <w:rPr>
          <w:rFonts w:hAnsi="宋体"/>
          <w:b/>
          <w:color w:val="auto"/>
          <w:highlight w:val="none"/>
        </w:rPr>
      </w:pPr>
      <w:bookmarkStart w:id="1650" w:name="_Toc25232"/>
      <w:bookmarkStart w:id="1651" w:name="_Toc7288"/>
      <w:r>
        <w:rPr>
          <w:rFonts w:hint="eastAsia" w:hAnsi="宋体"/>
          <w:b/>
          <w:color w:val="auto"/>
          <w:highlight w:val="none"/>
        </w:rPr>
        <w:t>7.</w:t>
      </w:r>
      <w:r>
        <w:rPr>
          <w:rFonts w:hint="eastAsia" w:hAnsi="宋体"/>
          <w:b/>
          <w:color w:val="auto"/>
          <w:highlight w:val="none"/>
          <w:lang w:val="en-US" w:eastAsia="zh-CN"/>
        </w:rPr>
        <w:t>5</w:t>
      </w:r>
      <w:r>
        <w:rPr>
          <w:rFonts w:hint="eastAsia" w:hAnsi="宋体"/>
          <w:b/>
          <w:color w:val="auto"/>
          <w:highlight w:val="none"/>
        </w:rPr>
        <w:t xml:space="preserve"> 中标通知</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0E73C149">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在本章规定的投标有效期内，招标人以书面形式向中标人发出中标通知书，</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lang w:eastAsia="zh-CN"/>
        </w:rPr>
        <w:t>按照</w:t>
      </w:r>
      <w:r>
        <w:rPr>
          <w:rFonts w:hint="eastAsia" w:ascii="宋体" w:hAnsi="宋体" w:cs="宋体"/>
          <w:color w:val="auto"/>
          <w:highlight w:val="none"/>
          <w:lang w:val="en-US" w:eastAsia="zh-CN"/>
        </w:rPr>
        <w:t>投标人</w:t>
      </w:r>
      <w:r>
        <w:rPr>
          <w:rFonts w:hint="eastAsia" w:ascii="宋体" w:hAnsi="宋体" w:eastAsia="宋体" w:cs="宋体"/>
          <w:color w:val="auto"/>
          <w:highlight w:val="none"/>
          <w:lang w:eastAsia="zh-CN"/>
        </w:rPr>
        <w:t>须知前附表规定的媒介</w:t>
      </w:r>
      <w:r>
        <w:rPr>
          <w:rFonts w:hint="eastAsia" w:ascii="宋体" w:hAnsi="宋体" w:eastAsia="宋体" w:cs="宋体"/>
          <w:color w:val="auto"/>
          <w:highlight w:val="none"/>
          <w:lang w:val="en-US" w:eastAsia="zh-CN"/>
        </w:rPr>
        <w:t>发布</w:t>
      </w:r>
      <w:r>
        <w:rPr>
          <w:rFonts w:hint="eastAsia" w:ascii="宋体" w:hAnsi="宋体" w:cs="宋体"/>
          <w:color w:val="auto"/>
          <w:highlight w:val="none"/>
          <w:lang w:val="en-US" w:eastAsia="zh-CN"/>
        </w:rPr>
        <w:t>中标</w:t>
      </w:r>
      <w:r>
        <w:rPr>
          <w:rFonts w:hint="eastAsia" w:ascii="宋体" w:hAnsi="宋体" w:eastAsia="宋体" w:cs="宋体"/>
          <w:color w:val="auto"/>
          <w:highlight w:val="none"/>
          <w:lang w:val="en-US" w:eastAsia="zh-CN"/>
        </w:rPr>
        <w:t>结果</w:t>
      </w:r>
      <w:r>
        <w:rPr>
          <w:rFonts w:hint="eastAsia" w:ascii="宋体" w:hAnsi="宋体"/>
          <w:color w:val="auto"/>
          <w:highlight w:val="none"/>
        </w:rPr>
        <w:t>。</w:t>
      </w:r>
    </w:p>
    <w:p w14:paraId="284FC095">
      <w:pPr>
        <w:pStyle w:val="23"/>
        <w:tabs>
          <w:tab w:val="left" w:pos="2127"/>
        </w:tabs>
        <w:kinsoku/>
        <w:overflowPunct/>
        <w:bidi w:val="0"/>
        <w:spacing w:line="360" w:lineRule="auto"/>
        <w:textAlignment w:val="auto"/>
        <w:outlineLvl w:val="2"/>
        <w:rPr>
          <w:rFonts w:hAnsi="宋体"/>
          <w:b/>
          <w:color w:val="auto"/>
          <w:highlight w:val="none"/>
        </w:rPr>
      </w:pPr>
      <w:bookmarkStart w:id="1652" w:name="_Toc4074"/>
      <w:bookmarkStart w:id="1653" w:name="_Toc12223"/>
      <w:bookmarkStart w:id="1654" w:name="_Toc17382"/>
      <w:bookmarkStart w:id="1655" w:name="_Toc12032"/>
      <w:bookmarkStart w:id="1656" w:name="_Toc31323"/>
      <w:bookmarkStart w:id="1657" w:name="_Toc3840"/>
      <w:bookmarkStart w:id="1658" w:name="_Toc31694"/>
      <w:bookmarkStart w:id="1659" w:name="_Toc24972"/>
      <w:bookmarkStart w:id="1660" w:name="_Toc12847"/>
      <w:bookmarkStart w:id="1661" w:name="_Toc17856"/>
      <w:bookmarkStart w:id="1662" w:name="_Toc31151"/>
      <w:bookmarkStart w:id="1663" w:name="_Toc31941"/>
      <w:bookmarkStart w:id="1664" w:name="_Toc13673"/>
      <w:bookmarkStart w:id="1665" w:name="_Toc26100"/>
      <w:bookmarkStart w:id="1666" w:name="_Toc30673"/>
      <w:bookmarkStart w:id="1667" w:name="_Toc19155"/>
      <w:bookmarkStart w:id="1668" w:name="_Toc2413"/>
      <w:bookmarkStart w:id="1669" w:name="_Toc25415"/>
      <w:bookmarkStart w:id="1670" w:name="_Toc3830"/>
      <w:bookmarkStart w:id="1671" w:name="_Toc31068"/>
      <w:bookmarkStart w:id="1672" w:name="_Toc14505"/>
      <w:bookmarkStart w:id="1673" w:name="_Toc17587"/>
      <w:bookmarkStart w:id="1674" w:name="_Toc6015"/>
      <w:bookmarkStart w:id="1675" w:name="_Toc16728"/>
      <w:bookmarkStart w:id="1676" w:name="_Toc30748"/>
      <w:bookmarkStart w:id="1677" w:name="_Toc4572"/>
      <w:bookmarkStart w:id="1678" w:name="_Toc28"/>
      <w:bookmarkStart w:id="1679" w:name="_Toc21617"/>
      <w:bookmarkStart w:id="1680" w:name="_Toc15179"/>
      <w:bookmarkStart w:id="1681" w:name="_Toc30306"/>
      <w:bookmarkStart w:id="1682" w:name="_Toc10432"/>
      <w:bookmarkStart w:id="1683" w:name="_Toc22850"/>
      <w:bookmarkStart w:id="1684" w:name="_Toc20552"/>
      <w:bookmarkStart w:id="1685" w:name="_Toc28778"/>
      <w:bookmarkStart w:id="1686" w:name="_Toc19739"/>
      <w:bookmarkStart w:id="1687" w:name="_Toc3939"/>
      <w:bookmarkStart w:id="1688" w:name="_Toc482803107"/>
      <w:bookmarkStart w:id="1689" w:name="_Toc484792220"/>
      <w:bookmarkStart w:id="1690" w:name="_Toc11758"/>
      <w:bookmarkStart w:id="1691" w:name="_Toc9349"/>
      <w:bookmarkStart w:id="1692" w:name="_Toc26624"/>
      <w:bookmarkStart w:id="1693" w:name="_Toc4580"/>
      <w:bookmarkStart w:id="1694" w:name="_Toc6233"/>
      <w:bookmarkStart w:id="1695" w:name="_Toc4894"/>
      <w:bookmarkStart w:id="1696" w:name="_Toc8249"/>
      <w:bookmarkStart w:id="1697" w:name="_Toc18794"/>
      <w:bookmarkStart w:id="1698" w:name="_Toc28162"/>
      <w:bookmarkStart w:id="1699" w:name="_Toc4431"/>
      <w:bookmarkStart w:id="1700" w:name="_Toc3006"/>
      <w:bookmarkStart w:id="1701" w:name="_Toc19152"/>
      <w:r>
        <w:rPr>
          <w:rFonts w:hint="eastAsia" w:hAnsi="宋体"/>
          <w:b/>
          <w:color w:val="auto"/>
          <w:highlight w:val="none"/>
        </w:rPr>
        <w:t>7.</w:t>
      </w:r>
      <w:r>
        <w:rPr>
          <w:rFonts w:hint="eastAsia" w:hAnsi="宋体"/>
          <w:b/>
          <w:color w:val="auto"/>
          <w:highlight w:val="none"/>
          <w:lang w:val="en-US" w:eastAsia="zh-CN"/>
        </w:rPr>
        <w:t>6</w:t>
      </w:r>
      <w:r>
        <w:rPr>
          <w:rFonts w:hint="eastAsia" w:hAnsi="宋体"/>
          <w:b/>
          <w:color w:val="auto"/>
          <w:highlight w:val="none"/>
        </w:rPr>
        <w:t xml:space="preserve"> </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Pr>
          <w:rFonts w:hint="eastAsia" w:hAnsi="宋体"/>
          <w:b/>
          <w:color w:val="auto"/>
          <w:highlight w:val="none"/>
        </w:rPr>
        <w:t>履约保证金</w:t>
      </w:r>
      <w:bookmarkEnd w:id="1699"/>
      <w:bookmarkEnd w:id="1700"/>
      <w:bookmarkEnd w:id="1701"/>
    </w:p>
    <w:p w14:paraId="0C10368B">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w:t>
      </w:r>
      <w:r>
        <w:rPr>
          <w:rFonts w:hint="eastAsia" w:ascii="宋体" w:hAnsi="宋体"/>
          <w:color w:val="auto"/>
          <w:highlight w:val="none"/>
          <w:lang w:val="en-US" w:eastAsia="zh-CN"/>
        </w:rPr>
        <w:t>6</w:t>
      </w:r>
      <w:r>
        <w:rPr>
          <w:rFonts w:hint="eastAsia" w:ascii="宋体" w:hAnsi="宋体"/>
          <w:color w:val="auto"/>
          <w:highlight w:val="none"/>
        </w:rPr>
        <w:t>.1在签订合同前，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14:paraId="2F1E41BC">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w:t>
      </w:r>
      <w:r>
        <w:rPr>
          <w:rFonts w:hint="eastAsia" w:ascii="宋体" w:hAnsi="宋体"/>
          <w:color w:val="auto"/>
          <w:highlight w:val="none"/>
          <w:lang w:val="en-US" w:eastAsia="zh-CN"/>
        </w:rPr>
        <w:t>6</w:t>
      </w:r>
      <w:r>
        <w:rPr>
          <w:rFonts w:hint="eastAsia" w:ascii="宋体" w:hAnsi="宋体"/>
          <w:color w:val="auto"/>
          <w:highlight w:val="none"/>
        </w:rPr>
        <w:t xml:space="preserve">.2 </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不</w:t>
      </w:r>
      <w:r>
        <w:rPr>
          <w:rFonts w:hint="eastAsia" w:ascii="宋体" w:hAnsi="宋体" w:cs="宋体"/>
          <w:color w:val="auto"/>
          <w:kern w:val="0"/>
          <w:szCs w:val="21"/>
          <w:highlight w:val="none"/>
        </w:rPr>
        <w:t>能</w:t>
      </w:r>
      <w:r>
        <w:rPr>
          <w:rFonts w:hint="eastAsia" w:ascii="宋体" w:hAnsi="宋体" w:cs="宋体"/>
          <w:color w:val="auto"/>
          <w:spacing w:val="-2"/>
          <w:kern w:val="0"/>
          <w:szCs w:val="21"/>
          <w:highlight w:val="none"/>
        </w:rPr>
        <w:t>按</w:t>
      </w:r>
      <w:r>
        <w:rPr>
          <w:rFonts w:hint="eastAsia" w:ascii="宋体" w:hAnsi="宋体" w:cs="宋体"/>
          <w:color w:val="auto"/>
          <w:kern w:val="0"/>
          <w:szCs w:val="21"/>
          <w:highlight w:val="none"/>
        </w:rPr>
        <w:t>本</w:t>
      </w:r>
      <w:r>
        <w:rPr>
          <w:rFonts w:hint="eastAsia" w:ascii="宋体" w:hAnsi="宋体" w:cs="宋体"/>
          <w:color w:val="auto"/>
          <w:spacing w:val="-2"/>
          <w:kern w:val="0"/>
          <w:szCs w:val="21"/>
          <w:highlight w:val="none"/>
        </w:rPr>
        <w:t>章</w:t>
      </w:r>
      <w:r>
        <w:rPr>
          <w:rFonts w:hint="eastAsia" w:ascii="宋体" w:hAnsi="宋体" w:cs="宋体"/>
          <w:color w:val="auto"/>
          <w:kern w:val="0"/>
          <w:szCs w:val="21"/>
          <w:highlight w:val="none"/>
        </w:rPr>
        <w:t>第7.6.1项</w:t>
      </w:r>
      <w:r>
        <w:rPr>
          <w:rFonts w:hint="eastAsia" w:ascii="宋体" w:hAnsi="宋体" w:cs="宋体"/>
          <w:color w:val="auto"/>
          <w:spacing w:val="-2"/>
          <w:kern w:val="0"/>
          <w:szCs w:val="21"/>
          <w:highlight w:val="none"/>
        </w:rPr>
        <w:t>要</w:t>
      </w:r>
      <w:r>
        <w:rPr>
          <w:rFonts w:hint="eastAsia" w:ascii="宋体" w:hAnsi="宋体" w:cs="宋体"/>
          <w:color w:val="auto"/>
          <w:kern w:val="0"/>
          <w:szCs w:val="21"/>
          <w:highlight w:val="none"/>
        </w:rPr>
        <w:t>求</w:t>
      </w:r>
      <w:r>
        <w:rPr>
          <w:rFonts w:hint="eastAsia" w:ascii="宋体" w:hAnsi="宋体" w:cs="宋体"/>
          <w:color w:val="auto"/>
          <w:spacing w:val="-2"/>
          <w:kern w:val="0"/>
          <w:szCs w:val="21"/>
          <w:highlight w:val="none"/>
        </w:rPr>
        <w:t>提</w:t>
      </w:r>
      <w:r>
        <w:rPr>
          <w:rFonts w:hint="eastAsia" w:ascii="宋体" w:hAnsi="宋体" w:cs="宋体"/>
          <w:color w:val="auto"/>
          <w:kern w:val="0"/>
          <w:szCs w:val="21"/>
          <w:highlight w:val="none"/>
        </w:rPr>
        <w:t>交</w:t>
      </w:r>
      <w:r>
        <w:rPr>
          <w:rFonts w:hint="eastAsia" w:ascii="宋体" w:hAnsi="宋体" w:cs="宋体"/>
          <w:color w:val="auto"/>
          <w:spacing w:val="-2"/>
          <w:kern w:val="0"/>
          <w:szCs w:val="21"/>
          <w:highlight w:val="none"/>
        </w:rPr>
        <w:t>履</w:t>
      </w:r>
      <w:r>
        <w:rPr>
          <w:rFonts w:hint="eastAsia" w:ascii="宋体" w:hAnsi="宋体" w:cs="宋体"/>
          <w:color w:val="auto"/>
          <w:kern w:val="0"/>
          <w:szCs w:val="21"/>
          <w:highlight w:val="none"/>
        </w:rPr>
        <w:t>约</w:t>
      </w:r>
      <w:r>
        <w:rPr>
          <w:rFonts w:hint="eastAsia" w:ascii="宋体" w:hAnsi="宋体" w:cs="宋体"/>
          <w:color w:val="auto"/>
          <w:spacing w:val="-2"/>
          <w:kern w:val="0"/>
          <w:szCs w:val="21"/>
          <w:highlight w:val="none"/>
        </w:rPr>
        <w:t>保</w:t>
      </w:r>
      <w:r>
        <w:rPr>
          <w:rFonts w:hint="eastAsia" w:ascii="宋体" w:hAnsi="宋体" w:cs="宋体"/>
          <w:color w:val="auto"/>
          <w:kern w:val="0"/>
          <w:szCs w:val="21"/>
          <w:highlight w:val="none"/>
        </w:rPr>
        <w:t>证金</w:t>
      </w:r>
      <w:r>
        <w:rPr>
          <w:rFonts w:hint="eastAsia" w:ascii="宋体" w:hAnsi="宋体" w:cs="宋体"/>
          <w:color w:val="auto"/>
          <w:spacing w:val="-2"/>
          <w:kern w:val="0"/>
          <w:szCs w:val="21"/>
          <w:highlight w:val="none"/>
        </w:rPr>
        <w:t>的</w:t>
      </w:r>
      <w:r>
        <w:rPr>
          <w:rFonts w:hint="eastAsia" w:ascii="宋体" w:hAnsi="宋体" w:cs="宋体"/>
          <w:color w:val="auto"/>
          <w:kern w:val="0"/>
          <w:szCs w:val="21"/>
          <w:highlight w:val="none"/>
          <w:lang w:eastAsia="zh-CN"/>
        </w:rPr>
        <w:t>，</w:t>
      </w:r>
      <w:r>
        <w:rPr>
          <w:rFonts w:hint="eastAsia" w:ascii="宋体" w:hAnsi="宋体" w:cs="宋体"/>
          <w:color w:val="auto"/>
          <w:spacing w:val="-2"/>
          <w:kern w:val="0"/>
          <w:szCs w:val="21"/>
          <w:highlight w:val="none"/>
        </w:rPr>
        <w:t>视</w:t>
      </w:r>
      <w:r>
        <w:rPr>
          <w:rFonts w:hint="eastAsia" w:ascii="宋体" w:hAnsi="宋体" w:cs="宋体"/>
          <w:color w:val="auto"/>
          <w:kern w:val="0"/>
          <w:szCs w:val="21"/>
          <w:highlight w:val="none"/>
        </w:rPr>
        <w:t>为</w:t>
      </w:r>
      <w:r>
        <w:rPr>
          <w:rFonts w:hint="eastAsia" w:ascii="宋体" w:hAnsi="宋体" w:cs="宋体"/>
          <w:color w:val="auto"/>
          <w:spacing w:val="-2"/>
          <w:kern w:val="0"/>
          <w:szCs w:val="21"/>
          <w:highlight w:val="none"/>
        </w:rPr>
        <w:t>放</w:t>
      </w:r>
      <w:r>
        <w:rPr>
          <w:rFonts w:hint="eastAsia" w:ascii="宋体" w:hAnsi="宋体" w:cs="宋体"/>
          <w:color w:val="auto"/>
          <w:kern w:val="0"/>
          <w:szCs w:val="21"/>
          <w:highlight w:val="none"/>
        </w:rPr>
        <w:t>弃</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其投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金不予</w:t>
      </w:r>
      <w:r>
        <w:rPr>
          <w:rFonts w:hint="eastAsia" w:ascii="宋体" w:hAnsi="宋体" w:cs="宋体"/>
          <w:color w:val="auto"/>
          <w:spacing w:val="-2"/>
          <w:kern w:val="0"/>
          <w:szCs w:val="21"/>
          <w:highlight w:val="none"/>
        </w:rPr>
        <w:t>退</w:t>
      </w:r>
      <w:r>
        <w:rPr>
          <w:rFonts w:hint="eastAsia" w:ascii="宋体" w:hAnsi="宋体" w:cs="宋体"/>
          <w:color w:val="auto"/>
          <w:kern w:val="0"/>
          <w:szCs w:val="21"/>
          <w:highlight w:val="none"/>
        </w:rPr>
        <w:t>还</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给</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造</w:t>
      </w:r>
      <w:r>
        <w:rPr>
          <w:rFonts w:hint="eastAsia" w:ascii="宋体" w:hAnsi="宋体" w:cs="宋体"/>
          <w:color w:val="auto"/>
          <w:spacing w:val="-2"/>
          <w:kern w:val="0"/>
          <w:szCs w:val="21"/>
          <w:highlight w:val="none"/>
        </w:rPr>
        <w:t>成</w:t>
      </w:r>
      <w:r>
        <w:rPr>
          <w:rFonts w:hint="eastAsia" w:ascii="宋体" w:hAnsi="宋体" w:cs="宋体"/>
          <w:color w:val="auto"/>
          <w:kern w:val="0"/>
          <w:szCs w:val="21"/>
          <w:highlight w:val="none"/>
        </w:rPr>
        <w:t>的损</w:t>
      </w:r>
      <w:r>
        <w:rPr>
          <w:rFonts w:hint="eastAsia" w:ascii="宋体" w:hAnsi="宋体" w:cs="宋体"/>
          <w:color w:val="auto"/>
          <w:spacing w:val="-2"/>
          <w:kern w:val="0"/>
          <w:szCs w:val="21"/>
          <w:highlight w:val="none"/>
        </w:rPr>
        <w:t>失</w:t>
      </w:r>
      <w:r>
        <w:rPr>
          <w:rFonts w:hint="eastAsia" w:ascii="宋体" w:hAnsi="宋体" w:cs="宋体"/>
          <w:color w:val="auto"/>
          <w:kern w:val="0"/>
          <w:szCs w:val="21"/>
          <w:highlight w:val="none"/>
        </w:rPr>
        <w:t>超</w:t>
      </w:r>
      <w:r>
        <w:rPr>
          <w:rFonts w:hint="eastAsia" w:ascii="宋体" w:hAnsi="宋体" w:cs="宋体"/>
          <w:color w:val="auto"/>
          <w:spacing w:val="-2"/>
          <w:kern w:val="0"/>
          <w:szCs w:val="21"/>
          <w:highlight w:val="none"/>
        </w:rPr>
        <w:t>过</w:t>
      </w:r>
      <w:r>
        <w:rPr>
          <w:rFonts w:hint="eastAsia" w:ascii="宋体" w:hAnsi="宋体" w:cs="宋体"/>
          <w:color w:val="auto"/>
          <w:kern w:val="0"/>
          <w:szCs w:val="21"/>
          <w:highlight w:val="none"/>
        </w:rPr>
        <w:t>投</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保</w:t>
      </w:r>
      <w:r>
        <w:rPr>
          <w:rFonts w:hint="eastAsia" w:ascii="宋体" w:hAnsi="宋体" w:cs="宋体"/>
          <w:color w:val="auto"/>
          <w:spacing w:val="-2"/>
          <w:kern w:val="0"/>
          <w:szCs w:val="21"/>
          <w:highlight w:val="none"/>
        </w:rPr>
        <w:t>证</w:t>
      </w:r>
      <w:r>
        <w:rPr>
          <w:rFonts w:hint="eastAsia" w:ascii="宋体" w:hAnsi="宋体" w:cs="宋体"/>
          <w:color w:val="auto"/>
          <w:kern w:val="0"/>
          <w:szCs w:val="21"/>
          <w:highlight w:val="none"/>
        </w:rPr>
        <w:t>金</w:t>
      </w:r>
      <w:r>
        <w:rPr>
          <w:rFonts w:hint="eastAsia" w:ascii="宋体" w:hAnsi="宋体" w:cs="宋体"/>
          <w:color w:val="auto"/>
          <w:spacing w:val="-2"/>
          <w:kern w:val="0"/>
          <w:szCs w:val="21"/>
          <w:highlight w:val="none"/>
        </w:rPr>
        <w:t>数</w:t>
      </w:r>
      <w:r>
        <w:rPr>
          <w:rFonts w:hint="eastAsia" w:ascii="宋体" w:hAnsi="宋体" w:cs="宋体"/>
          <w:color w:val="auto"/>
          <w:kern w:val="0"/>
          <w:szCs w:val="21"/>
          <w:highlight w:val="none"/>
        </w:rPr>
        <w:t>额的</w:t>
      </w:r>
      <w:r>
        <w:rPr>
          <w:rFonts w:hint="eastAsia" w:ascii="宋体" w:hAnsi="宋体" w:cs="宋体"/>
          <w:color w:val="auto"/>
          <w:spacing w:val="-2"/>
          <w:kern w:val="0"/>
          <w:szCs w:val="21"/>
          <w:highlight w:val="none"/>
          <w:lang w:eastAsia="zh-CN"/>
        </w:rPr>
        <w:t>，</w:t>
      </w:r>
      <w:r>
        <w:rPr>
          <w:rFonts w:hint="eastAsia" w:ascii="宋体" w:hAnsi="宋体" w:cs="宋体"/>
          <w:color w:val="auto"/>
          <w:kern w:val="0"/>
          <w:szCs w:val="21"/>
          <w:highlight w:val="none"/>
        </w:rPr>
        <w:t>中</w:t>
      </w:r>
      <w:r>
        <w:rPr>
          <w:rFonts w:hint="eastAsia" w:ascii="宋体" w:hAnsi="宋体" w:cs="宋体"/>
          <w:color w:val="auto"/>
          <w:spacing w:val="-2"/>
          <w:kern w:val="0"/>
          <w:szCs w:val="21"/>
          <w:highlight w:val="none"/>
        </w:rPr>
        <w:t>标</w:t>
      </w:r>
      <w:r>
        <w:rPr>
          <w:rFonts w:hint="eastAsia" w:ascii="宋体" w:hAnsi="宋体" w:cs="宋体"/>
          <w:color w:val="auto"/>
          <w:kern w:val="0"/>
          <w:szCs w:val="21"/>
          <w:highlight w:val="none"/>
        </w:rPr>
        <w:t>人</w:t>
      </w:r>
      <w:r>
        <w:rPr>
          <w:rFonts w:hint="eastAsia" w:ascii="宋体" w:hAnsi="宋体" w:cs="宋体"/>
          <w:color w:val="auto"/>
          <w:spacing w:val="-2"/>
          <w:kern w:val="0"/>
          <w:szCs w:val="21"/>
          <w:highlight w:val="none"/>
        </w:rPr>
        <w:t>还</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当</w:t>
      </w:r>
      <w:r>
        <w:rPr>
          <w:rFonts w:hint="eastAsia" w:ascii="宋体" w:hAnsi="宋体" w:cs="宋体"/>
          <w:color w:val="auto"/>
          <w:kern w:val="0"/>
          <w:szCs w:val="21"/>
          <w:highlight w:val="none"/>
        </w:rPr>
        <w:t>对</w:t>
      </w:r>
      <w:r>
        <w:rPr>
          <w:rFonts w:hint="eastAsia" w:ascii="宋体" w:hAnsi="宋体" w:cs="宋体"/>
          <w:color w:val="auto"/>
          <w:spacing w:val="-2"/>
          <w:kern w:val="0"/>
          <w:szCs w:val="21"/>
          <w:highlight w:val="none"/>
        </w:rPr>
        <w:t>超</w:t>
      </w:r>
      <w:r>
        <w:rPr>
          <w:rFonts w:hint="eastAsia" w:ascii="宋体" w:hAnsi="宋体" w:cs="宋体"/>
          <w:color w:val="auto"/>
          <w:kern w:val="0"/>
          <w:szCs w:val="21"/>
          <w:highlight w:val="none"/>
        </w:rPr>
        <w:t>过部</w:t>
      </w:r>
      <w:r>
        <w:rPr>
          <w:rFonts w:hint="eastAsia" w:ascii="宋体" w:hAnsi="宋体" w:cs="宋体"/>
          <w:color w:val="auto"/>
          <w:spacing w:val="-2"/>
          <w:kern w:val="0"/>
          <w:szCs w:val="21"/>
          <w:highlight w:val="none"/>
        </w:rPr>
        <w:t>分</w:t>
      </w:r>
      <w:r>
        <w:rPr>
          <w:rFonts w:hint="eastAsia" w:ascii="宋体" w:hAnsi="宋体" w:cs="宋体"/>
          <w:color w:val="auto"/>
          <w:kern w:val="0"/>
          <w:szCs w:val="21"/>
          <w:highlight w:val="none"/>
        </w:rPr>
        <w:t>予</w:t>
      </w:r>
      <w:r>
        <w:rPr>
          <w:rFonts w:hint="eastAsia" w:ascii="宋体" w:hAnsi="宋体" w:cs="宋体"/>
          <w:color w:val="auto"/>
          <w:spacing w:val="-2"/>
          <w:kern w:val="0"/>
          <w:szCs w:val="21"/>
          <w:highlight w:val="none"/>
        </w:rPr>
        <w:t>以</w:t>
      </w:r>
      <w:r>
        <w:rPr>
          <w:rFonts w:hint="eastAsia" w:ascii="宋体" w:hAnsi="宋体" w:cs="宋体"/>
          <w:color w:val="auto"/>
          <w:kern w:val="0"/>
          <w:szCs w:val="21"/>
          <w:highlight w:val="none"/>
        </w:rPr>
        <w:t>赔</w:t>
      </w:r>
      <w:r>
        <w:rPr>
          <w:rFonts w:hint="eastAsia" w:ascii="宋体" w:hAnsi="宋体" w:cs="宋体"/>
          <w:color w:val="auto"/>
          <w:spacing w:val="-2"/>
          <w:kern w:val="0"/>
          <w:szCs w:val="21"/>
          <w:highlight w:val="none"/>
        </w:rPr>
        <w:t>偿</w:t>
      </w:r>
      <w:r>
        <w:rPr>
          <w:rFonts w:hint="eastAsia" w:ascii="宋体" w:hAnsi="宋体" w:cs="宋体"/>
          <w:color w:val="auto"/>
          <w:kern w:val="0"/>
          <w:szCs w:val="21"/>
          <w:highlight w:val="none"/>
        </w:rPr>
        <w:t>。</w:t>
      </w:r>
    </w:p>
    <w:p w14:paraId="77E9B013">
      <w:pPr>
        <w:pStyle w:val="23"/>
        <w:tabs>
          <w:tab w:val="left" w:pos="2127"/>
        </w:tabs>
        <w:kinsoku/>
        <w:overflowPunct/>
        <w:bidi w:val="0"/>
        <w:spacing w:line="360" w:lineRule="auto"/>
        <w:textAlignment w:val="auto"/>
        <w:outlineLvl w:val="2"/>
        <w:rPr>
          <w:rFonts w:hAnsi="宋体"/>
          <w:b/>
          <w:color w:val="auto"/>
          <w:highlight w:val="none"/>
        </w:rPr>
      </w:pPr>
      <w:bookmarkStart w:id="1702" w:name="_Toc658"/>
      <w:bookmarkStart w:id="1703" w:name="_Toc7540"/>
      <w:bookmarkStart w:id="1704" w:name="_Toc4506"/>
      <w:bookmarkStart w:id="1705" w:name="_Toc7679"/>
      <w:bookmarkStart w:id="1706" w:name="_Toc8368"/>
      <w:bookmarkStart w:id="1707" w:name="_Toc5119"/>
      <w:bookmarkStart w:id="1708" w:name="_Toc17591"/>
      <w:bookmarkStart w:id="1709" w:name="_Toc11093"/>
      <w:bookmarkStart w:id="1710" w:name="_Toc29722"/>
      <w:bookmarkStart w:id="1711" w:name="_Toc8350"/>
      <w:bookmarkStart w:id="1712" w:name="_Toc2689"/>
      <w:bookmarkStart w:id="1713" w:name="_Toc484792221"/>
      <w:bookmarkStart w:id="1714" w:name="_Toc13757"/>
      <w:bookmarkStart w:id="1715" w:name="_Toc23975"/>
      <w:bookmarkStart w:id="1716" w:name="_Toc6558"/>
      <w:bookmarkStart w:id="1717" w:name="_Toc19048"/>
      <w:bookmarkStart w:id="1718" w:name="_Toc14769"/>
      <w:bookmarkStart w:id="1719" w:name="_Toc32083"/>
      <w:bookmarkStart w:id="1720" w:name="_Toc6238"/>
      <w:bookmarkStart w:id="1721" w:name="_Toc31801"/>
      <w:bookmarkStart w:id="1722" w:name="_Toc3349"/>
      <w:bookmarkStart w:id="1723" w:name="_Toc20497"/>
      <w:bookmarkStart w:id="1724" w:name="_Toc16689"/>
      <w:bookmarkStart w:id="1725" w:name="_Toc7495"/>
      <w:bookmarkStart w:id="1726" w:name="_Toc3897"/>
      <w:bookmarkStart w:id="1727" w:name="_Toc18303"/>
      <w:bookmarkStart w:id="1728" w:name="_Toc20429"/>
      <w:bookmarkStart w:id="1729" w:name="_Toc6373"/>
      <w:bookmarkStart w:id="1730" w:name="_Toc15020"/>
      <w:bookmarkStart w:id="1731" w:name="_Toc16771"/>
      <w:bookmarkStart w:id="1732" w:name="_Toc26096"/>
      <w:bookmarkStart w:id="1733" w:name="_Toc20237"/>
      <w:bookmarkStart w:id="1734" w:name="_Toc5175"/>
      <w:bookmarkStart w:id="1735" w:name="_Toc13798"/>
      <w:bookmarkStart w:id="1736" w:name="_Toc16753"/>
      <w:bookmarkStart w:id="1737" w:name="_Toc482803108"/>
      <w:bookmarkStart w:id="1738" w:name="_Toc31684"/>
      <w:bookmarkStart w:id="1739" w:name="_Toc880"/>
      <w:bookmarkStart w:id="1740" w:name="_Toc6155"/>
      <w:bookmarkStart w:id="1741" w:name="_Toc24840"/>
      <w:bookmarkStart w:id="1742" w:name="_Toc32141"/>
      <w:bookmarkStart w:id="1743" w:name="_Toc16950"/>
      <w:bookmarkStart w:id="1744" w:name="_Toc9476"/>
      <w:bookmarkStart w:id="1745" w:name="_Toc8464"/>
      <w:bookmarkStart w:id="1746" w:name="_Toc31540"/>
      <w:bookmarkStart w:id="1747" w:name="_Toc18340"/>
      <w:bookmarkStart w:id="1748" w:name="_Toc2144"/>
      <w:bookmarkStart w:id="1749" w:name="_Toc14030"/>
      <w:bookmarkStart w:id="1750" w:name="_Toc16204"/>
      <w:bookmarkStart w:id="1751" w:name="_Toc21446"/>
      <w:r>
        <w:rPr>
          <w:rFonts w:hint="eastAsia" w:hAnsi="宋体"/>
          <w:b/>
          <w:color w:val="auto"/>
          <w:highlight w:val="none"/>
        </w:rPr>
        <w:t>7.</w:t>
      </w:r>
      <w:r>
        <w:rPr>
          <w:rFonts w:hint="eastAsia" w:hAnsi="宋体"/>
          <w:b/>
          <w:color w:val="auto"/>
          <w:highlight w:val="none"/>
          <w:lang w:val="en-US" w:eastAsia="zh-CN"/>
        </w:rPr>
        <w:t>7</w:t>
      </w:r>
      <w:r>
        <w:rPr>
          <w:rFonts w:hint="eastAsia" w:hAnsi="宋体"/>
          <w:b/>
          <w:color w:val="auto"/>
          <w:highlight w:val="none"/>
        </w:rPr>
        <w:t xml:space="preserve"> 签订合同</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0C6D0C9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7.5.1招标人和中标人应当在中标通知书发出之日起30日内，根据招标文件和中标人的</w:t>
      </w:r>
      <w:r>
        <w:rPr>
          <w:rFonts w:hint="eastAsia" w:ascii="宋体" w:hAnsi="宋体"/>
          <w:color w:val="auto"/>
          <w:highlight w:val="none"/>
          <w:lang w:eastAsia="zh-CN"/>
        </w:rPr>
        <w:t>投标文件（含定标文件）</w:t>
      </w:r>
      <w:r>
        <w:rPr>
          <w:rFonts w:hint="eastAsia" w:ascii="宋体" w:hAnsi="宋体"/>
          <w:color w:val="auto"/>
          <w:highlight w:val="none"/>
        </w:rPr>
        <w:t>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26A72A5A">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7.5.2 发出中标通知书后，招标人无正当理由拒签合同，或者在签订合同时向中标人提出附加条件的，招标人向中标人退还投标保证金；给中标人造成损失的，还应当赔偿损失。</w:t>
      </w:r>
    </w:p>
    <w:p w14:paraId="252709E7">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7.5.3招标人和中标人不得背离本招标文件中合同条款实质性内容签订</w:t>
      </w:r>
      <w:r>
        <w:rPr>
          <w:rFonts w:hint="eastAsia" w:ascii="宋体" w:hAnsi="宋体"/>
          <w:color w:val="auto"/>
          <w:highlight w:val="none"/>
          <w:lang w:eastAsia="zh-CN"/>
        </w:rPr>
        <w:t>采购</w:t>
      </w:r>
      <w:r>
        <w:rPr>
          <w:rFonts w:hint="eastAsia" w:ascii="宋体" w:hAnsi="宋体"/>
          <w:color w:val="auto"/>
          <w:highlight w:val="none"/>
        </w:rPr>
        <w:t>合同。</w:t>
      </w:r>
    </w:p>
    <w:p w14:paraId="160C3893">
      <w:pPr>
        <w:autoSpaceDE w:val="0"/>
        <w:autoSpaceDN w:val="0"/>
        <w:adjustRightInd w:val="0"/>
        <w:spacing w:before="7" w:line="360" w:lineRule="auto"/>
        <w:ind w:right="140" w:firstLine="420" w:firstLineChars="200"/>
        <w:rPr>
          <w:rFonts w:hint="eastAsia" w:ascii="黑体" w:hAnsi="黑体" w:eastAsia="黑体" w:cs="黑体"/>
          <w:b/>
          <w:bCs/>
          <w:color w:val="auto"/>
          <w:sz w:val="32"/>
          <w:szCs w:val="32"/>
          <w:highlight w:val="none"/>
        </w:rPr>
      </w:pPr>
      <w:r>
        <w:rPr>
          <w:rFonts w:hint="eastAsia" w:ascii="宋体" w:hAnsi="宋体" w:cs="宋体"/>
          <w:color w:val="auto"/>
          <w:kern w:val="0"/>
          <w:szCs w:val="21"/>
          <w:highlight w:val="none"/>
        </w:rPr>
        <w:t>7.7.</w:t>
      </w:r>
      <w:r>
        <w:rPr>
          <w:rFonts w:hint="eastAsia" w:ascii="宋体" w:hAnsi="宋体" w:cs="宋体"/>
          <w:color w:val="auto"/>
          <w:kern w:val="0"/>
          <w:szCs w:val="21"/>
          <w:highlight w:val="none"/>
          <w:lang w:val="en-US" w:eastAsia="zh-CN"/>
        </w:rPr>
        <w:t>4</w:t>
      </w:r>
      <w:r>
        <w:rPr>
          <w:rFonts w:hint="eastAsia" w:ascii="宋体" w:hAnsi="宋体" w:cs="宋体"/>
          <w:color w:val="auto"/>
          <w:spacing w:val="-2"/>
          <w:kern w:val="0"/>
          <w:szCs w:val="21"/>
          <w:highlight w:val="none"/>
        </w:rPr>
        <w:t xml:space="preserve"> </w:t>
      </w:r>
      <w:r>
        <w:rPr>
          <w:rFonts w:hint="eastAsia" w:ascii="宋体" w:hAnsi="宋体" w:cs="宋体"/>
          <w:color w:val="auto"/>
          <w:kern w:val="0"/>
          <w:szCs w:val="21"/>
          <w:highlight w:val="none"/>
        </w:rPr>
        <w:t>联</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体</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标的</w:t>
      </w:r>
      <w:r>
        <w:rPr>
          <w:rFonts w:hint="eastAsia" w:ascii="宋体" w:hAnsi="宋体" w:cs="宋体"/>
          <w:color w:val="auto"/>
          <w:spacing w:val="-14"/>
          <w:kern w:val="0"/>
          <w:szCs w:val="21"/>
          <w:highlight w:val="none"/>
          <w:lang w:eastAsia="zh-CN"/>
        </w:rPr>
        <w:t>，</w:t>
      </w:r>
      <w:r>
        <w:rPr>
          <w:rFonts w:hint="eastAsia" w:ascii="宋体" w:hAnsi="宋体" w:cs="宋体"/>
          <w:color w:val="auto"/>
          <w:kern w:val="0"/>
          <w:szCs w:val="21"/>
          <w:highlight w:val="none"/>
        </w:rPr>
        <w:t>联</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体各</w:t>
      </w:r>
      <w:r>
        <w:rPr>
          <w:rFonts w:hint="eastAsia" w:ascii="宋体" w:hAnsi="宋体" w:cs="宋体"/>
          <w:color w:val="auto"/>
          <w:spacing w:val="-2"/>
          <w:kern w:val="0"/>
          <w:szCs w:val="21"/>
          <w:highlight w:val="none"/>
        </w:rPr>
        <w:t>方</w:t>
      </w:r>
      <w:r>
        <w:rPr>
          <w:rFonts w:hint="eastAsia" w:ascii="宋体" w:hAnsi="宋体" w:cs="宋体"/>
          <w:color w:val="auto"/>
          <w:kern w:val="0"/>
          <w:szCs w:val="21"/>
          <w:highlight w:val="none"/>
        </w:rPr>
        <w:t>应</w:t>
      </w:r>
      <w:r>
        <w:rPr>
          <w:rFonts w:hint="eastAsia" w:ascii="宋体" w:hAnsi="宋体" w:cs="宋体"/>
          <w:color w:val="auto"/>
          <w:spacing w:val="-2"/>
          <w:kern w:val="0"/>
          <w:szCs w:val="21"/>
          <w:highlight w:val="none"/>
        </w:rPr>
        <w:t>当</w:t>
      </w:r>
      <w:r>
        <w:rPr>
          <w:rFonts w:hint="eastAsia" w:ascii="宋体" w:hAnsi="宋体" w:cs="宋体"/>
          <w:color w:val="auto"/>
          <w:kern w:val="0"/>
          <w:szCs w:val="21"/>
          <w:highlight w:val="none"/>
        </w:rPr>
        <w:t>共</w:t>
      </w:r>
      <w:r>
        <w:rPr>
          <w:rFonts w:hint="eastAsia" w:ascii="宋体" w:hAnsi="宋体" w:cs="宋体"/>
          <w:color w:val="auto"/>
          <w:spacing w:val="-2"/>
          <w:kern w:val="0"/>
          <w:szCs w:val="21"/>
          <w:highlight w:val="none"/>
        </w:rPr>
        <w:t>同</w:t>
      </w:r>
      <w:r>
        <w:rPr>
          <w:rFonts w:hint="eastAsia" w:ascii="宋体" w:hAnsi="宋体" w:cs="宋体"/>
          <w:color w:val="auto"/>
          <w:kern w:val="0"/>
          <w:szCs w:val="21"/>
          <w:highlight w:val="none"/>
        </w:rPr>
        <w:t>与</w:t>
      </w:r>
      <w:r>
        <w:rPr>
          <w:rFonts w:hint="eastAsia" w:ascii="宋体" w:hAnsi="宋体" w:cs="宋体"/>
          <w:color w:val="auto"/>
          <w:spacing w:val="-2"/>
          <w:kern w:val="0"/>
          <w:szCs w:val="21"/>
          <w:highlight w:val="none"/>
        </w:rPr>
        <w:t>招</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签订</w:t>
      </w:r>
      <w:r>
        <w:rPr>
          <w:rFonts w:hint="eastAsia" w:ascii="宋体" w:hAnsi="宋体" w:cs="宋体"/>
          <w:color w:val="auto"/>
          <w:spacing w:val="-2"/>
          <w:kern w:val="0"/>
          <w:szCs w:val="21"/>
          <w:highlight w:val="none"/>
        </w:rPr>
        <w:t>合</w:t>
      </w:r>
      <w:r>
        <w:rPr>
          <w:rFonts w:hint="eastAsia" w:ascii="宋体" w:hAnsi="宋体" w:cs="宋体"/>
          <w:color w:val="auto"/>
          <w:kern w:val="0"/>
          <w:szCs w:val="21"/>
          <w:highlight w:val="none"/>
        </w:rPr>
        <w:t>同</w:t>
      </w:r>
      <w:r>
        <w:rPr>
          <w:rFonts w:hint="eastAsia" w:ascii="宋体" w:hAnsi="宋体" w:cs="宋体"/>
          <w:color w:val="auto"/>
          <w:spacing w:val="-14"/>
          <w:kern w:val="0"/>
          <w:szCs w:val="21"/>
          <w:highlight w:val="none"/>
          <w:lang w:eastAsia="zh-CN"/>
        </w:rPr>
        <w:t>，</w:t>
      </w:r>
      <w:r>
        <w:rPr>
          <w:rFonts w:hint="eastAsia" w:ascii="宋体" w:hAnsi="宋体" w:cs="宋体"/>
          <w:color w:val="auto"/>
          <w:kern w:val="0"/>
          <w:szCs w:val="21"/>
          <w:highlight w:val="none"/>
        </w:rPr>
        <w:t>就</w:t>
      </w:r>
      <w:r>
        <w:rPr>
          <w:rFonts w:hint="eastAsia" w:ascii="宋体" w:hAnsi="宋体" w:cs="宋体"/>
          <w:color w:val="auto"/>
          <w:spacing w:val="-2"/>
          <w:kern w:val="0"/>
          <w:szCs w:val="21"/>
          <w:highlight w:val="none"/>
        </w:rPr>
        <w:t>中</w:t>
      </w:r>
      <w:r>
        <w:rPr>
          <w:rFonts w:hint="eastAsia" w:ascii="宋体" w:hAnsi="宋体" w:cs="宋体"/>
          <w:color w:val="auto"/>
          <w:kern w:val="0"/>
          <w:szCs w:val="21"/>
          <w:highlight w:val="none"/>
        </w:rPr>
        <w:t>标</w:t>
      </w:r>
      <w:r>
        <w:rPr>
          <w:rFonts w:hint="eastAsia" w:ascii="宋体" w:hAnsi="宋体" w:cs="宋体"/>
          <w:color w:val="auto"/>
          <w:spacing w:val="-2"/>
          <w:kern w:val="0"/>
          <w:szCs w:val="21"/>
          <w:highlight w:val="none"/>
        </w:rPr>
        <w:t>项</w:t>
      </w:r>
      <w:r>
        <w:rPr>
          <w:rFonts w:hint="eastAsia" w:ascii="宋体" w:hAnsi="宋体" w:cs="宋体"/>
          <w:color w:val="auto"/>
          <w:kern w:val="0"/>
          <w:szCs w:val="21"/>
          <w:highlight w:val="none"/>
        </w:rPr>
        <w:t>目</w:t>
      </w:r>
      <w:r>
        <w:rPr>
          <w:rFonts w:hint="eastAsia" w:ascii="宋体" w:hAnsi="宋体" w:cs="宋体"/>
          <w:color w:val="auto"/>
          <w:spacing w:val="-2"/>
          <w:kern w:val="0"/>
          <w:szCs w:val="21"/>
          <w:highlight w:val="none"/>
        </w:rPr>
        <w:t>向</w:t>
      </w:r>
      <w:r>
        <w:rPr>
          <w:rFonts w:hint="eastAsia" w:ascii="宋体" w:hAnsi="宋体" w:cs="宋体"/>
          <w:color w:val="auto"/>
          <w:kern w:val="0"/>
          <w:szCs w:val="21"/>
          <w:highlight w:val="none"/>
        </w:rPr>
        <w:t>招标</w:t>
      </w:r>
      <w:r>
        <w:rPr>
          <w:rFonts w:hint="eastAsia" w:ascii="宋体" w:hAnsi="宋体" w:cs="宋体"/>
          <w:color w:val="auto"/>
          <w:spacing w:val="-2"/>
          <w:kern w:val="0"/>
          <w:szCs w:val="21"/>
          <w:highlight w:val="none"/>
        </w:rPr>
        <w:t>人</w:t>
      </w:r>
      <w:r>
        <w:rPr>
          <w:rFonts w:hint="eastAsia" w:ascii="宋体" w:hAnsi="宋体" w:cs="宋体"/>
          <w:color w:val="auto"/>
          <w:kern w:val="0"/>
          <w:szCs w:val="21"/>
          <w:highlight w:val="none"/>
        </w:rPr>
        <w:t>承</w:t>
      </w:r>
      <w:r>
        <w:rPr>
          <w:rFonts w:hint="eastAsia" w:ascii="宋体" w:hAnsi="宋体" w:cs="宋体"/>
          <w:color w:val="auto"/>
          <w:spacing w:val="-2"/>
          <w:kern w:val="0"/>
          <w:szCs w:val="21"/>
          <w:highlight w:val="none"/>
        </w:rPr>
        <w:t>担</w:t>
      </w:r>
      <w:r>
        <w:rPr>
          <w:rFonts w:hint="eastAsia" w:ascii="宋体" w:hAnsi="宋体" w:cs="宋体"/>
          <w:color w:val="auto"/>
          <w:kern w:val="0"/>
          <w:szCs w:val="21"/>
          <w:highlight w:val="none"/>
        </w:rPr>
        <w:t>连带责任。</w:t>
      </w:r>
    </w:p>
    <w:p w14:paraId="0BF51360">
      <w:pPr>
        <w:tabs>
          <w:tab w:val="left" w:pos="2127"/>
        </w:tabs>
        <w:kinsoku/>
        <w:overflowPunct/>
        <w:bidi w:val="0"/>
        <w:spacing w:line="360" w:lineRule="auto"/>
        <w:ind w:firstLine="420" w:firstLineChars="200"/>
        <w:textAlignment w:val="auto"/>
        <w:rPr>
          <w:rFonts w:ascii="宋体" w:hAnsi="宋体"/>
          <w:color w:val="auto"/>
          <w:highlight w:val="none"/>
        </w:rPr>
      </w:pPr>
    </w:p>
    <w:p w14:paraId="2CEF39B5">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752" w:name="_Toc14323"/>
      <w:bookmarkStart w:id="1753" w:name="_Toc24177"/>
      <w:bookmarkStart w:id="1754" w:name="_Toc18932"/>
      <w:bookmarkStart w:id="1755" w:name="_Toc19424"/>
      <w:bookmarkStart w:id="1756" w:name="_Toc30406"/>
      <w:bookmarkStart w:id="1757" w:name="_Toc16959"/>
      <w:bookmarkStart w:id="1758" w:name="_Toc11707"/>
      <w:bookmarkStart w:id="1759" w:name="_Toc25304"/>
      <w:bookmarkStart w:id="1760" w:name="_Toc10163"/>
      <w:bookmarkStart w:id="1761" w:name="_Toc21866"/>
      <w:bookmarkStart w:id="1762" w:name="_Toc19308"/>
      <w:bookmarkStart w:id="1763" w:name="_Toc12616"/>
      <w:bookmarkStart w:id="1764" w:name="_Toc28984"/>
      <w:bookmarkStart w:id="1765" w:name="_Toc22477"/>
      <w:bookmarkStart w:id="1766" w:name="_Toc17255"/>
      <w:bookmarkStart w:id="1767" w:name="_Toc7745"/>
      <w:bookmarkStart w:id="1768" w:name="_Toc28294"/>
      <w:r>
        <w:rPr>
          <w:rFonts w:hint="eastAsia" w:ascii="宋体" w:hAnsi="宋体" w:eastAsia="宋体"/>
          <w:color w:val="auto"/>
          <w:sz w:val="24"/>
          <w:szCs w:val="24"/>
          <w:highlight w:val="none"/>
        </w:rPr>
        <w:t>8. 重新招标和不再招标</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140D4BB6">
      <w:pPr>
        <w:pStyle w:val="23"/>
        <w:tabs>
          <w:tab w:val="left" w:pos="2127"/>
        </w:tabs>
        <w:kinsoku/>
        <w:overflowPunct/>
        <w:bidi w:val="0"/>
        <w:spacing w:line="360" w:lineRule="auto"/>
        <w:textAlignment w:val="auto"/>
        <w:outlineLvl w:val="2"/>
        <w:rPr>
          <w:rFonts w:hAnsi="宋体"/>
          <w:b/>
          <w:color w:val="auto"/>
          <w:highlight w:val="none"/>
        </w:rPr>
      </w:pPr>
      <w:bookmarkStart w:id="1769" w:name="_Toc25686"/>
      <w:bookmarkStart w:id="1770" w:name="_Toc3464"/>
      <w:bookmarkStart w:id="1771" w:name="_Toc25536"/>
      <w:bookmarkStart w:id="1772" w:name="_Toc804"/>
      <w:bookmarkStart w:id="1773" w:name="_Toc3154"/>
      <w:bookmarkStart w:id="1774" w:name="_Toc26716"/>
      <w:bookmarkStart w:id="1775" w:name="_Toc24617"/>
      <w:bookmarkStart w:id="1776" w:name="_Toc6877"/>
      <w:bookmarkStart w:id="1777" w:name="_Toc3921"/>
      <w:bookmarkStart w:id="1778" w:name="_Toc15353"/>
      <w:bookmarkStart w:id="1779" w:name="_Toc6039"/>
      <w:bookmarkStart w:id="1780" w:name="_Toc6242"/>
      <w:bookmarkStart w:id="1781" w:name="_Toc26073"/>
      <w:bookmarkStart w:id="1782" w:name="_Toc482803110"/>
      <w:bookmarkStart w:id="1783" w:name="_Toc21240"/>
      <w:bookmarkStart w:id="1784" w:name="_Toc23476"/>
      <w:bookmarkStart w:id="1785" w:name="_Toc484792223"/>
      <w:bookmarkStart w:id="1786" w:name="_Toc18096"/>
      <w:bookmarkStart w:id="1787" w:name="_Toc26294"/>
      <w:bookmarkStart w:id="1788" w:name="_Toc26653"/>
      <w:bookmarkStart w:id="1789" w:name="_Toc16341"/>
      <w:bookmarkStart w:id="1790" w:name="_Toc22025"/>
      <w:bookmarkStart w:id="1791" w:name="_Toc24326"/>
      <w:bookmarkStart w:id="1792" w:name="_Toc17238"/>
      <w:bookmarkStart w:id="1793" w:name="_Toc32526"/>
      <w:bookmarkStart w:id="1794" w:name="_Toc20985"/>
      <w:bookmarkStart w:id="1795" w:name="_Toc30922"/>
      <w:bookmarkStart w:id="1796" w:name="_Toc11419"/>
      <w:bookmarkStart w:id="1797" w:name="_Toc13868"/>
      <w:bookmarkStart w:id="1798" w:name="_Toc11502"/>
      <w:bookmarkStart w:id="1799" w:name="_Toc29875"/>
      <w:bookmarkStart w:id="1800" w:name="_Toc882"/>
      <w:bookmarkStart w:id="1801" w:name="_Toc27975"/>
      <w:bookmarkStart w:id="1802" w:name="_Toc29665"/>
      <w:bookmarkStart w:id="1803" w:name="_Toc8050"/>
      <w:bookmarkStart w:id="1804" w:name="_Toc32501"/>
      <w:bookmarkStart w:id="1805" w:name="_Toc21297"/>
      <w:bookmarkStart w:id="1806" w:name="_Toc10359"/>
      <w:bookmarkStart w:id="1807" w:name="_Toc5099"/>
      <w:bookmarkStart w:id="1808" w:name="_Toc4663"/>
      <w:bookmarkStart w:id="1809" w:name="_Toc17362"/>
      <w:bookmarkStart w:id="1810" w:name="_Toc25106"/>
      <w:bookmarkStart w:id="1811" w:name="_Toc25045"/>
      <w:bookmarkStart w:id="1812" w:name="_Toc31943"/>
      <w:bookmarkStart w:id="1813" w:name="_Toc22789"/>
      <w:bookmarkStart w:id="1814" w:name="_Toc5609"/>
      <w:bookmarkStart w:id="1815" w:name="_Toc18489"/>
      <w:bookmarkStart w:id="1816" w:name="_Toc427"/>
      <w:bookmarkStart w:id="1817" w:name="_Toc25235"/>
      <w:bookmarkStart w:id="1818" w:name="_Toc28495"/>
      <w:r>
        <w:rPr>
          <w:rFonts w:hint="eastAsia" w:hAnsi="宋体"/>
          <w:b/>
          <w:color w:val="auto"/>
          <w:highlight w:val="none"/>
        </w:rPr>
        <w:t>8.1 重新招标</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59012B9C">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有下列情形之一的，招标人将重新招标：</w:t>
      </w:r>
    </w:p>
    <w:p w14:paraId="069BDCBA">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（1）递交</w:t>
      </w:r>
      <w:r>
        <w:rPr>
          <w:rFonts w:hint="eastAsia" w:ascii="宋体" w:hAnsi="宋体" w:cs="宋体"/>
          <w:color w:val="auto"/>
          <w:highlight w:val="none"/>
          <w:lang w:val="en-US" w:eastAsia="zh-CN"/>
        </w:rPr>
        <w:t>投标文件（含定标文件）</w:t>
      </w:r>
      <w:r>
        <w:rPr>
          <w:rFonts w:hint="eastAsia" w:ascii="宋体" w:hAnsi="宋体" w:eastAsia="宋体" w:cs="宋体"/>
          <w:color w:val="auto"/>
          <w:highlight w:val="none"/>
        </w:rPr>
        <w:t>截止时间止，</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w:t>
      </w:r>
      <w:r>
        <w:rPr>
          <w:rFonts w:hint="eastAsia" w:ascii="宋体"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”约定的；</w:t>
      </w:r>
    </w:p>
    <w:p w14:paraId="5330852D">
      <w:pPr>
        <w:keepNext w:val="0"/>
        <w:keepLines w:val="0"/>
        <w:pageBreakBefore w:val="0"/>
        <w:widowControl w:val="0"/>
        <w:tabs>
          <w:tab w:val="left" w:pos="2127"/>
        </w:tabs>
        <w:kinsoku/>
        <w:wordWrap/>
        <w:overflowPunct/>
        <w:topLinePunct w:val="0"/>
        <w:autoSpaceDE/>
        <w:autoSpaceDN/>
        <w:bidi w:val="0"/>
        <w:adjustRightInd/>
        <w:snapToGrid/>
        <w:spacing w:line="312"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（2）经</w:t>
      </w:r>
      <w:r>
        <w:rPr>
          <w:rFonts w:hint="eastAsia" w:ascii="宋体" w:hAnsi="宋体"/>
          <w:color w:val="auto"/>
          <w:highlight w:val="none"/>
        </w:rPr>
        <w:t>评标委员会</w:t>
      </w:r>
      <w:r>
        <w:rPr>
          <w:rFonts w:hint="eastAsia" w:ascii="宋体" w:hAnsi="宋体" w:eastAsia="宋体" w:cs="宋体"/>
          <w:color w:val="auto"/>
          <w:highlight w:val="none"/>
        </w:rPr>
        <w:t>评审后否决所有</w:t>
      </w:r>
      <w:r>
        <w:rPr>
          <w:rFonts w:hint="eastAsia" w:ascii="宋体" w:hAnsi="宋体" w:eastAsia="宋体" w:cs="宋体"/>
          <w:color w:val="auto"/>
          <w:highlight w:val="none"/>
          <w:lang w:val="en-US" w:eastAsia="zh-CN"/>
        </w:rPr>
        <w:t>投标人的</w:t>
      </w:r>
      <w:r>
        <w:rPr>
          <w:rFonts w:hint="eastAsia" w:ascii="宋体" w:hAnsi="宋体" w:cs="宋体"/>
          <w:color w:val="auto"/>
          <w:highlight w:val="none"/>
          <w:lang w:val="en-US" w:eastAsia="zh-CN"/>
        </w:rPr>
        <w:t>投标文件（含定标文件）</w:t>
      </w:r>
      <w:r>
        <w:rPr>
          <w:rFonts w:hint="eastAsia" w:ascii="宋体" w:hAnsi="宋体" w:eastAsia="宋体" w:cs="宋体"/>
          <w:color w:val="auto"/>
          <w:highlight w:val="none"/>
        </w:rPr>
        <w:t>的</w:t>
      </w:r>
      <w:r>
        <w:rPr>
          <w:rFonts w:hint="eastAsia" w:ascii="宋体" w:hAnsi="宋体" w:eastAsia="宋体" w:cs="宋体"/>
          <w:color w:val="auto"/>
          <w:highlight w:val="none"/>
          <w:lang w:eastAsia="zh-CN"/>
        </w:rPr>
        <w:t>。</w:t>
      </w:r>
    </w:p>
    <w:p w14:paraId="4B26A5E4">
      <w:pPr>
        <w:tabs>
          <w:tab w:val="left" w:pos="2127"/>
        </w:tabs>
        <w:kinsoku/>
        <w:overflowPunct/>
        <w:bidi w:val="0"/>
        <w:spacing w:line="360" w:lineRule="auto"/>
        <w:ind w:firstLine="359" w:firstLineChars="171"/>
        <w:textAlignment w:val="auto"/>
        <w:rPr>
          <w:rFonts w:ascii="宋体" w:hAnsi="宋体"/>
          <w:color w:val="auto"/>
          <w:highlight w:val="none"/>
        </w:rPr>
      </w:pPr>
      <w:r>
        <w:rPr>
          <w:rFonts w:hint="eastAsia" w:ascii="宋体" w:hAnsi="宋体" w:eastAsia="宋体" w:cs="宋体"/>
          <w:bCs/>
          <w:color w:val="auto"/>
          <w:highlight w:val="none"/>
          <w:lang w:eastAsia="zh-CN"/>
        </w:rPr>
        <w:t>当获取</w:t>
      </w:r>
      <w:r>
        <w:rPr>
          <w:rFonts w:hint="eastAsia" w:ascii="宋体" w:hAnsi="宋体" w:eastAsia="宋体" w:cs="宋体"/>
          <w:bCs/>
          <w:color w:val="auto"/>
          <w:highlight w:val="none"/>
          <w:lang w:val="en-US" w:eastAsia="zh-CN"/>
        </w:rPr>
        <w:t>招标</w:t>
      </w:r>
      <w:r>
        <w:rPr>
          <w:rFonts w:hint="eastAsia" w:ascii="宋体" w:hAnsi="宋体" w:eastAsia="宋体" w:cs="宋体"/>
          <w:bCs/>
          <w:color w:val="auto"/>
          <w:highlight w:val="none"/>
          <w:lang w:eastAsia="zh-CN"/>
        </w:rPr>
        <w:t>文件的</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w:t>
      </w:r>
      <w:r>
        <w:rPr>
          <w:rFonts w:hint="eastAsia" w:ascii="宋体"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w:t>
      </w:r>
      <w:r>
        <w:rPr>
          <w:rFonts w:hint="eastAsia" w:ascii="宋体" w:hAnsi="宋体" w:eastAsia="宋体" w:cs="宋体"/>
          <w:color w:val="auto"/>
          <w:highlight w:val="none"/>
          <w:lang w:eastAsia="zh-CN"/>
        </w:rPr>
        <w:t>时，</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人可选择延长</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文件的获取时间或重新</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w:t>
      </w:r>
    </w:p>
    <w:p w14:paraId="4A732B7F">
      <w:pPr>
        <w:pStyle w:val="23"/>
        <w:tabs>
          <w:tab w:val="left" w:pos="2127"/>
        </w:tabs>
        <w:kinsoku/>
        <w:overflowPunct/>
        <w:bidi w:val="0"/>
        <w:spacing w:line="360" w:lineRule="auto"/>
        <w:textAlignment w:val="auto"/>
        <w:outlineLvl w:val="2"/>
        <w:rPr>
          <w:rFonts w:hAnsi="宋体"/>
          <w:b/>
          <w:color w:val="auto"/>
          <w:highlight w:val="none"/>
        </w:rPr>
      </w:pPr>
      <w:bookmarkStart w:id="1819" w:name="_Toc31907"/>
      <w:bookmarkStart w:id="1820" w:name="_Toc18703"/>
      <w:bookmarkStart w:id="1821" w:name="_Toc16469"/>
      <w:bookmarkStart w:id="1822" w:name="_Toc24442"/>
      <w:bookmarkStart w:id="1823" w:name="_Toc30513"/>
      <w:bookmarkStart w:id="1824" w:name="_Toc22344"/>
      <w:bookmarkStart w:id="1825" w:name="_Toc12938"/>
      <w:bookmarkStart w:id="1826" w:name="_Toc9677"/>
      <w:bookmarkStart w:id="1827" w:name="_Toc16395"/>
      <w:bookmarkStart w:id="1828" w:name="_Toc27540"/>
      <w:bookmarkStart w:id="1829" w:name="_Toc32436"/>
      <w:bookmarkStart w:id="1830" w:name="_Toc27391"/>
      <w:bookmarkStart w:id="1831" w:name="_Toc4855"/>
      <w:bookmarkStart w:id="1832" w:name="_Toc7768"/>
      <w:bookmarkStart w:id="1833" w:name="_Toc482803111"/>
      <w:bookmarkStart w:id="1834" w:name="_Toc6439"/>
      <w:bookmarkStart w:id="1835" w:name="_Toc843"/>
      <w:bookmarkStart w:id="1836" w:name="_Toc2566"/>
      <w:bookmarkStart w:id="1837" w:name="_Toc4173"/>
      <w:bookmarkStart w:id="1838" w:name="_Toc1030"/>
      <w:bookmarkStart w:id="1839" w:name="_Toc23775"/>
      <w:bookmarkStart w:id="1840" w:name="_Toc17212"/>
      <w:bookmarkStart w:id="1841" w:name="_Toc27853"/>
      <w:bookmarkStart w:id="1842" w:name="_Toc11313"/>
      <w:bookmarkStart w:id="1843" w:name="_Toc8763"/>
      <w:bookmarkStart w:id="1844" w:name="_Toc21050"/>
      <w:bookmarkStart w:id="1845" w:name="_Toc16361"/>
      <w:bookmarkStart w:id="1846" w:name="_Toc14545"/>
      <w:bookmarkStart w:id="1847" w:name="_Toc15640"/>
      <w:bookmarkStart w:id="1848" w:name="_Toc13712"/>
      <w:bookmarkStart w:id="1849" w:name="_Toc19002"/>
      <w:bookmarkStart w:id="1850" w:name="_Toc29663"/>
      <w:bookmarkStart w:id="1851" w:name="_Toc25183"/>
      <w:bookmarkStart w:id="1852" w:name="_Toc31611"/>
      <w:bookmarkStart w:id="1853" w:name="_Toc25834"/>
      <w:bookmarkStart w:id="1854" w:name="_Toc26410"/>
      <w:bookmarkStart w:id="1855" w:name="_Toc2598"/>
      <w:bookmarkStart w:id="1856" w:name="_Toc647"/>
      <w:bookmarkStart w:id="1857" w:name="_Toc8951"/>
      <w:bookmarkStart w:id="1858" w:name="_Toc26089"/>
      <w:bookmarkStart w:id="1859" w:name="_Toc1465"/>
      <w:bookmarkStart w:id="1860" w:name="_Toc13732"/>
      <w:bookmarkStart w:id="1861" w:name="_Toc27997"/>
      <w:bookmarkStart w:id="1862" w:name="_Toc24619"/>
      <w:bookmarkStart w:id="1863" w:name="_Toc12301"/>
      <w:bookmarkStart w:id="1864" w:name="_Toc31238"/>
      <w:bookmarkStart w:id="1865" w:name="_Toc7131"/>
      <w:bookmarkStart w:id="1866" w:name="_Toc26084"/>
      <w:bookmarkStart w:id="1867" w:name="_Toc484792224"/>
      <w:bookmarkStart w:id="1868" w:name="_Toc29182"/>
      <w:r>
        <w:rPr>
          <w:rFonts w:hint="eastAsia" w:hAnsi="宋体"/>
          <w:b/>
          <w:color w:val="auto"/>
          <w:highlight w:val="none"/>
        </w:rPr>
        <w:t>8.2 不再招标</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63766409">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eastAsia="宋体" w:cs="宋体"/>
          <w:color w:val="auto"/>
          <w:highlight w:val="none"/>
        </w:rPr>
        <w:t>重新</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后递交</w:t>
      </w:r>
      <w:r>
        <w:rPr>
          <w:rFonts w:hint="eastAsia" w:ascii="宋体" w:hAnsi="宋体" w:cs="宋体"/>
          <w:color w:val="auto"/>
          <w:highlight w:val="none"/>
          <w:lang w:val="en-US" w:eastAsia="zh-CN"/>
        </w:rPr>
        <w:t>投标文件（含定标文件）</w:t>
      </w:r>
      <w:r>
        <w:rPr>
          <w:rFonts w:hint="eastAsia" w:ascii="宋体" w:hAnsi="宋体" w:eastAsia="宋体" w:cs="宋体"/>
          <w:color w:val="auto"/>
          <w:highlight w:val="none"/>
          <w:lang w:eastAsia="zh-CN"/>
        </w:rPr>
        <w:t>的</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仍少于</w:t>
      </w:r>
      <w:r>
        <w:rPr>
          <w:rFonts w:hint="eastAsia" w:ascii="宋体" w:hAnsi="宋体" w:eastAsia="宋体" w:cs="宋体"/>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w:t>
      </w:r>
      <w:r>
        <w:rPr>
          <w:rFonts w:hint="eastAsia" w:ascii="宋体"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”约定或者所有</w:t>
      </w:r>
      <w:r>
        <w:rPr>
          <w:rFonts w:hint="eastAsia" w:ascii="宋体" w:hAnsi="宋体" w:eastAsia="宋体" w:cs="宋体"/>
          <w:color w:val="auto"/>
          <w:highlight w:val="none"/>
          <w:lang w:val="en-US" w:eastAsia="zh-CN"/>
        </w:rPr>
        <w:t>投标人的</w:t>
      </w:r>
      <w:r>
        <w:rPr>
          <w:rFonts w:hint="eastAsia" w:ascii="宋体" w:hAnsi="宋体" w:cs="宋体"/>
          <w:color w:val="auto"/>
          <w:highlight w:val="none"/>
          <w:lang w:val="en-US" w:eastAsia="zh-CN"/>
        </w:rPr>
        <w:t>投标文件（含定标文件）</w:t>
      </w:r>
      <w:r>
        <w:rPr>
          <w:rFonts w:hint="eastAsia" w:ascii="宋体" w:hAnsi="宋体" w:eastAsia="宋体" w:cs="宋体"/>
          <w:color w:val="auto"/>
          <w:highlight w:val="none"/>
        </w:rPr>
        <w:t>被否决</w:t>
      </w:r>
      <w:r>
        <w:rPr>
          <w:rFonts w:hint="eastAsia" w:ascii="宋体" w:hAnsi="宋体" w:eastAsia="宋体" w:cs="宋体"/>
          <w:color w:val="auto"/>
          <w:highlight w:val="none"/>
          <w:lang w:eastAsia="zh-CN"/>
        </w:rPr>
        <w:t>或者</w:t>
      </w:r>
      <w:r>
        <w:rPr>
          <w:rFonts w:hint="eastAsia" w:ascii="宋体" w:hAnsi="宋体" w:eastAsia="宋体" w:cs="宋体"/>
          <w:bCs/>
          <w:color w:val="auto"/>
          <w:highlight w:val="none"/>
          <w:lang w:eastAsia="zh-CN"/>
        </w:rPr>
        <w:t>获取</w:t>
      </w:r>
      <w:r>
        <w:rPr>
          <w:rFonts w:hint="eastAsia" w:ascii="宋体" w:hAnsi="宋体" w:eastAsia="宋体" w:cs="宋体"/>
          <w:bCs/>
          <w:color w:val="auto"/>
          <w:highlight w:val="none"/>
          <w:lang w:val="en-US" w:eastAsia="zh-CN"/>
        </w:rPr>
        <w:t>招标</w:t>
      </w:r>
      <w:r>
        <w:rPr>
          <w:rFonts w:hint="eastAsia" w:ascii="宋体" w:hAnsi="宋体" w:eastAsia="宋体" w:cs="宋体"/>
          <w:bCs/>
          <w:color w:val="auto"/>
          <w:highlight w:val="none"/>
          <w:lang w:eastAsia="zh-CN"/>
        </w:rPr>
        <w:t>文件的</w:t>
      </w:r>
      <w:r>
        <w:rPr>
          <w:rFonts w:hint="eastAsia" w:ascii="宋体" w:hAnsi="宋体" w:eastAsia="宋体" w:cs="宋体"/>
          <w:bCs/>
          <w:color w:val="auto"/>
          <w:highlight w:val="none"/>
          <w:lang w:val="en-US" w:eastAsia="zh-CN"/>
        </w:rPr>
        <w:t>投标人</w:t>
      </w:r>
      <w:r>
        <w:rPr>
          <w:rFonts w:hint="eastAsia" w:ascii="宋体" w:hAnsi="宋体" w:eastAsia="宋体" w:cs="宋体"/>
          <w:color w:val="auto"/>
          <w:highlight w:val="none"/>
        </w:rPr>
        <w:t>少于</w:t>
      </w:r>
      <w:r>
        <w:rPr>
          <w:rFonts w:hint="eastAsia" w:ascii="宋体" w:hAnsi="宋体" w:eastAsia="宋体" w:cs="宋体"/>
          <w:bCs/>
          <w:color w:val="auto"/>
          <w:highlight w:val="none"/>
          <w:lang w:val="en-US" w:eastAsia="zh-CN"/>
        </w:rPr>
        <w:t>投标人</w:t>
      </w:r>
      <w:r>
        <w:rPr>
          <w:rFonts w:hint="eastAsia" w:ascii="宋体" w:hAnsi="宋体" w:cs="宋体"/>
          <w:color w:val="auto"/>
          <w:highlight w:val="none"/>
          <w:lang w:val="en-US" w:eastAsia="zh-CN"/>
        </w:rPr>
        <w:t>须知前附表</w:t>
      </w:r>
      <w:r>
        <w:rPr>
          <w:rFonts w:hint="eastAsia" w:ascii="宋体" w:hAnsi="宋体" w:eastAsia="宋体" w:cs="宋体"/>
          <w:color w:val="auto"/>
          <w:highlight w:val="none"/>
        </w:rPr>
        <w:t>“</w:t>
      </w:r>
      <w:r>
        <w:rPr>
          <w:rFonts w:hint="eastAsia" w:ascii="宋体" w:hAnsi="宋体" w:cs="宋体"/>
          <w:color w:val="auto"/>
          <w:kern w:val="0"/>
          <w:szCs w:val="21"/>
          <w:highlight w:val="none"/>
        </w:rPr>
        <w:t>递交</w:t>
      </w:r>
      <w:r>
        <w:rPr>
          <w:rFonts w:hint="eastAsia" w:ascii="宋体" w:hAnsi="宋体" w:cs="宋体"/>
          <w:color w:val="auto"/>
          <w:kern w:val="0"/>
          <w:szCs w:val="21"/>
          <w:highlight w:val="none"/>
          <w:lang w:eastAsia="zh-CN"/>
        </w:rPr>
        <w:t>投标文件（含定标文件）</w:t>
      </w:r>
      <w:r>
        <w:rPr>
          <w:rFonts w:hint="eastAsia" w:ascii="宋体" w:hAnsi="宋体" w:cs="宋体"/>
          <w:color w:val="auto"/>
          <w:kern w:val="0"/>
          <w:szCs w:val="21"/>
          <w:highlight w:val="none"/>
        </w:rPr>
        <w:t>的最少</w:t>
      </w:r>
      <w:r>
        <w:rPr>
          <w:rFonts w:hint="eastAsia" w:hAnsi="宋体" w:cs="宋体"/>
          <w:color w:val="auto"/>
          <w:kern w:val="0"/>
          <w:szCs w:val="21"/>
          <w:highlight w:val="none"/>
        </w:rPr>
        <w:t>投标人</w:t>
      </w:r>
      <w:r>
        <w:rPr>
          <w:rFonts w:hint="eastAsia" w:ascii="宋体" w:hAnsi="宋体" w:cs="宋体"/>
          <w:color w:val="auto"/>
          <w:kern w:val="0"/>
          <w:szCs w:val="21"/>
          <w:highlight w:val="none"/>
        </w:rPr>
        <w:t>数量</w:t>
      </w:r>
      <w:r>
        <w:rPr>
          <w:rFonts w:hint="eastAsia" w:ascii="宋体" w:hAnsi="宋体" w:eastAsia="宋体" w:cs="宋体"/>
          <w:color w:val="auto"/>
          <w:highlight w:val="none"/>
        </w:rPr>
        <w:t>”约定的，经</w:t>
      </w:r>
      <w:r>
        <w:rPr>
          <w:rFonts w:hint="eastAsia" w:ascii="宋体" w:hAnsi="宋体" w:eastAsia="宋体" w:cs="宋体"/>
          <w:color w:val="auto"/>
          <w:highlight w:val="none"/>
          <w:lang w:val="en-US" w:eastAsia="zh-CN"/>
        </w:rPr>
        <w:t>相关</w:t>
      </w:r>
      <w:r>
        <w:rPr>
          <w:rFonts w:hint="eastAsia" w:ascii="宋体" w:hAnsi="宋体" w:eastAsia="宋体" w:cs="宋体"/>
          <w:color w:val="auto"/>
          <w:highlight w:val="none"/>
        </w:rPr>
        <w:t>部门批准后不再进行</w:t>
      </w:r>
      <w:r>
        <w:rPr>
          <w:rFonts w:hint="eastAsia" w:ascii="宋体" w:hAnsi="宋体" w:eastAsia="宋体" w:cs="宋体"/>
          <w:color w:val="auto"/>
          <w:highlight w:val="none"/>
          <w:lang w:val="en-US" w:eastAsia="zh-CN"/>
        </w:rPr>
        <w:t>招标</w:t>
      </w:r>
      <w:r>
        <w:rPr>
          <w:rFonts w:hint="eastAsia" w:ascii="宋体" w:hAnsi="宋体"/>
          <w:color w:val="auto"/>
          <w:highlight w:val="none"/>
        </w:rPr>
        <w:t>。</w:t>
      </w:r>
    </w:p>
    <w:p w14:paraId="1B958D5B">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1869" w:name="_Toc17717"/>
      <w:bookmarkStart w:id="1870" w:name="_Toc24163"/>
      <w:bookmarkStart w:id="1871" w:name="_Toc15748"/>
      <w:bookmarkStart w:id="1872" w:name="_Toc14945"/>
      <w:bookmarkStart w:id="1873" w:name="_Toc21356"/>
      <w:bookmarkStart w:id="1874" w:name="_Toc16659"/>
      <w:bookmarkStart w:id="1875" w:name="_Toc22879"/>
      <w:bookmarkStart w:id="1876" w:name="_Toc21086"/>
      <w:bookmarkStart w:id="1877" w:name="_Toc15267"/>
      <w:bookmarkStart w:id="1878" w:name="_Toc2738"/>
      <w:bookmarkStart w:id="1879" w:name="_Toc16527"/>
      <w:bookmarkStart w:id="1880" w:name="_Toc1051"/>
      <w:bookmarkStart w:id="1881" w:name="_Toc4616"/>
      <w:bookmarkStart w:id="1882" w:name="_Toc23551"/>
      <w:bookmarkStart w:id="1883" w:name="_Toc15034"/>
      <w:bookmarkStart w:id="1884" w:name="_Toc27653"/>
      <w:bookmarkStart w:id="1885" w:name="_Toc4814"/>
      <w:r>
        <w:rPr>
          <w:rFonts w:hint="eastAsia" w:ascii="宋体" w:hAnsi="宋体" w:eastAsia="宋体"/>
          <w:color w:val="auto"/>
          <w:sz w:val="24"/>
          <w:szCs w:val="24"/>
          <w:highlight w:val="none"/>
        </w:rPr>
        <w:t>9. 纪律和监督</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2E34AE63">
      <w:pPr>
        <w:pStyle w:val="23"/>
        <w:tabs>
          <w:tab w:val="left" w:pos="2127"/>
        </w:tabs>
        <w:kinsoku/>
        <w:overflowPunct/>
        <w:bidi w:val="0"/>
        <w:spacing w:line="360" w:lineRule="auto"/>
        <w:textAlignment w:val="auto"/>
        <w:outlineLvl w:val="2"/>
        <w:rPr>
          <w:rFonts w:hAnsi="宋体"/>
          <w:b/>
          <w:color w:val="auto"/>
          <w:highlight w:val="none"/>
        </w:rPr>
      </w:pPr>
      <w:bookmarkStart w:id="1886" w:name="_Toc26542"/>
      <w:bookmarkStart w:id="1887" w:name="_Toc4910"/>
      <w:bookmarkStart w:id="1888" w:name="_Toc20517"/>
      <w:bookmarkStart w:id="1889" w:name="_Toc21796"/>
      <w:bookmarkStart w:id="1890" w:name="_Toc25048"/>
      <w:bookmarkStart w:id="1891" w:name="_Toc2461"/>
      <w:bookmarkStart w:id="1892" w:name="_Toc29351"/>
      <w:bookmarkStart w:id="1893" w:name="_Toc4324"/>
      <w:bookmarkStart w:id="1894" w:name="_Toc14448"/>
      <w:bookmarkStart w:id="1895" w:name="_Toc3936"/>
      <w:bookmarkStart w:id="1896" w:name="_Toc3102"/>
      <w:bookmarkStart w:id="1897" w:name="_Toc2732"/>
      <w:bookmarkStart w:id="1898" w:name="_Toc6553"/>
      <w:bookmarkStart w:id="1899" w:name="_Toc4053"/>
      <w:bookmarkStart w:id="1900" w:name="_Toc8967"/>
      <w:bookmarkStart w:id="1901" w:name="_Toc12626"/>
      <w:bookmarkStart w:id="1902" w:name="_Toc13053"/>
      <w:bookmarkStart w:id="1903" w:name="_Toc16875"/>
      <w:bookmarkStart w:id="1904" w:name="_Toc18880"/>
      <w:bookmarkStart w:id="1905" w:name="_Toc9812"/>
      <w:bookmarkStart w:id="1906" w:name="_Toc5751"/>
      <w:bookmarkStart w:id="1907" w:name="_Toc8158"/>
      <w:bookmarkStart w:id="1908" w:name="_Toc18779"/>
      <w:bookmarkStart w:id="1909" w:name="_Toc12231"/>
      <w:bookmarkStart w:id="1910" w:name="_Toc25387"/>
      <w:bookmarkStart w:id="1911" w:name="_Toc28763"/>
      <w:bookmarkStart w:id="1912" w:name="_Toc22805"/>
      <w:bookmarkStart w:id="1913" w:name="_Toc3900"/>
      <w:bookmarkStart w:id="1914" w:name="_Toc4399"/>
      <w:bookmarkStart w:id="1915" w:name="_Toc8794"/>
      <w:bookmarkStart w:id="1916" w:name="_Toc16214"/>
      <w:bookmarkStart w:id="1917" w:name="_Toc1397"/>
      <w:bookmarkStart w:id="1918" w:name="_Toc7666"/>
      <w:bookmarkStart w:id="1919" w:name="_Toc14601"/>
      <w:bookmarkStart w:id="1920" w:name="_Toc484792226"/>
      <w:bookmarkStart w:id="1921" w:name="_Toc23"/>
      <w:bookmarkStart w:id="1922" w:name="_Toc32248"/>
      <w:bookmarkStart w:id="1923" w:name="_Toc15283"/>
      <w:bookmarkStart w:id="1924" w:name="_Toc10184"/>
      <w:bookmarkStart w:id="1925" w:name="_Toc1532"/>
      <w:bookmarkStart w:id="1926" w:name="_Toc2237"/>
      <w:bookmarkStart w:id="1927" w:name="_Toc29214"/>
      <w:bookmarkStart w:id="1928" w:name="_Toc21557"/>
      <w:bookmarkStart w:id="1929" w:name="_Toc21482"/>
      <w:bookmarkStart w:id="1930" w:name="_Toc21031"/>
      <w:bookmarkStart w:id="1931" w:name="_Toc482803113"/>
      <w:bookmarkStart w:id="1932" w:name="_Toc12592"/>
      <w:bookmarkStart w:id="1933" w:name="_Toc25313"/>
      <w:bookmarkStart w:id="1934" w:name="_Toc19286"/>
      <w:bookmarkStart w:id="1935" w:name="_Toc18475"/>
      <w:r>
        <w:rPr>
          <w:rFonts w:hint="eastAsia" w:hAnsi="宋体"/>
          <w:b/>
          <w:color w:val="auto"/>
          <w:highlight w:val="none"/>
        </w:rPr>
        <w:t>9.1 对招标人的纪律要求</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151E1EFD">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招标人不得利用划分标段限制或排斥潜在投标人，不得泄漏招标投标活动中应当保密的情况和资料，不得与投标人串通损害国家利益、社会公共利益或者他人合法权益。</w:t>
      </w:r>
    </w:p>
    <w:p w14:paraId="7ACD3BB4">
      <w:pPr>
        <w:pStyle w:val="23"/>
        <w:tabs>
          <w:tab w:val="left" w:pos="2127"/>
        </w:tabs>
        <w:kinsoku/>
        <w:overflowPunct/>
        <w:bidi w:val="0"/>
        <w:spacing w:line="360" w:lineRule="auto"/>
        <w:textAlignment w:val="auto"/>
        <w:outlineLvl w:val="2"/>
        <w:rPr>
          <w:rFonts w:hAnsi="宋体"/>
          <w:b/>
          <w:color w:val="auto"/>
          <w:highlight w:val="none"/>
        </w:rPr>
      </w:pPr>
      <w:bookmarkStart w:id="1936" w:name="_Toc25526"/>
      <w:bookmarkStart w:id="1937" w:name="_Toc32375"/>
      <w:bookmarkStart w:id="1938" w:name="_Toc11562"/>
      <w:bookmarkStart w:id="1939" w:name="_Toc19135"/>
      <w:bookmarkStart w:id="1940" w:name="_Toc12997"/>
      <w:bookmarkStart w:id="1941" w:name="_Toc10761"/>
      <w:bookmarkStart w:id="1942" w:name="_Toc21114"/>
      <w:bookmarkStart w:id="1943" w:name="_Toc15458"/>
      <w:bookmarkStart w:id="1944" w:name="_Toc1516"/>
      <w:bookmarkStart w:id="1945" w:name="_Toc8374"/>
      <w:bookmarkStart w:id="1946" w:name="_Toc526"/>
      <w:bookmarkStart w:id="1947" w:name="_Toc30421"/>
      <w:bookmarkStart w:id="1948" w:name="_Toc10108"/>
      <w:bookmarkStart w:id="1949" w:name="_Toc31016"/>
      <w:bookmarkStart w:id="1950" w:name="_Toc482803114"/>
      <w:bookmarkStart w:id="1951" w:name="_Toc9347"/>
      <w:bookmarkStart w:id="1952" w:name="_Toc27026"/>
      <w:bookmarkStart w:id="1953" w:name="_Toc7772"/>
      <w:bookmarkStart w:id="1954" w:name="_Toc31502"/>
      <w:bookmarkStart w:id="1955" w:name="_Toc16475"/>
      <w:bookmarkStart w:id="1956" w:name="_Toc23098"/>
      <w:bookmarkStart w:id="1957" w:name="_Toc28938"/>
      <w:bookmarkStart w:id="1958" w:name="_Toc6668"/>
      <w:bookmarkStart w:id="1959" w:name="_Toc2953"/>
      <w:bookmarkStart w:id="1960" w:name="_Toc13003"/>
      <w:bookmarkStart w:id="1961" w:name="_Toc29086"/>
      <w:bookmarkStart w:id="1962" w:name="_Toc18839"/>
      <w:bookmarkStart w:id="1963" w:name="_Toc9123"/>
      <w:bookmarkStart w:id="1964" w:name="_Toc28539"/>
      <w:bookmarkStart w:id="1965" w:name="_Toc14324"/>
      <w:bookmarkStart w:id="1966" w:name="_Toc26915"/>
      <w:bookmarkStart w:id="1967" w:name="_Toc15756"/>
      <w:bookmarkStart w:id="1968" w:name="_Toc13249"/>
      <w:bookmarkStart w:id="1969" w:name="_Toc24783"/>
      <w:bookmarkStart w:id="1970" w:name="_Toc6754"/>
      <w:bookmarkStart w:id="1971" w:name="_Toc12764"/>
      <w:bookmarkStart w:id="1972" w:name="_Toc29383"/>
      <w:bookmarkStart w:id="1973" w:name="_Toc28885"/>
      <w:bookmarkStart w:id="1974" w:name="_Toc17927"/>
      <w:bookmarkStart w:id="1975" w:name="_Toc16383"/>
      <w:bookmarkStart w:id="1976" w:name="_Toc18107"/>
      <w:bookmarkStart w:id="1977" w:name="_Toc484792227"/>
      <w:bookmarkStart w:id="1978" w:name="_Toc18598"/>
      <w:bookmarkStart w:id="1979" w:name="_Toc1986"/>
      <w:bookmarkStart w:id="1980" w:name="_Toc6712"/>
      <w:bookmarkStart w:id="1981" w:name="_Toc21679"/>
      <w:bookmarkStart w:id="1982" w:name="_Toc22403"/>
      <w:bookmarkStart w:id="1983" w:name="_Toc11124"/>
      <w:bookmarkStart w:id="1984" w:name="_Toc24434"/>
      <w:bookmarkStart w:id="1985" w:name="_Toc30429"/>
      <w:r>
        <w:rPr>
          <w:rFonts w:hint="eastAsia" w:hAnsi="宋体"/>
          <w:b/>
          <w:color w:val="auto"/>
          <w:highlight w:val="none"/>
        </w:rPr>
        <w:t>9.2 对投标人的纪律要求</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14:paraId="1A3BE162">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CD35057">
      <w:pPr>
        <w:pStyle w:val="23"/>
        <w:tabs>
          <w:tab w:val="left" w:pos="2127"/>
        </w:tabs>
        <w:kinsoku/>
        <w:overflowPunct/>
        <w:bidi w:val="0"/>
        <w:spacing w:line="360" w:lineRule="auto"/>
        <w:textAlignment w:val="auto"/>
        <w:outlineLvl w:val="2"/>
        <w:rPr>
          <w:rFonts w:hAnsi="宋体"/>
          <w:b/>
          <w:color w:val="auto"/>
          <w:highlight w:val="none"/>
        </w:rPr>
      </w:pPr>
      <w:bookmarkStart w:id="1986" w:name="_Toc21605"/>
      <w:bookmarkStart w:id="1987" w:name="_Toc2300"/>
      <w:bookmarkStart w:id="1988" w:name="_Toc16330"/>
      <w:bookmarkStart w:id="1989" w:name="_Toc6480"/>
      <w:bookmarkStart w:id="1990" w:name="_Toc14288"/>
      <w:bookmarkStart w:id="1991" w:name="_Toc8693"/>
      <w:bookmarkStart w:id="1992" w:name="_Toc28951"/>
      <w:bookmarkStart w:id="1993" w:name="_Toc29188"/>
      <w:bookmarkStart w:id="1994" w:name="_Toc3800"/>
      <w:bookmarkStart w:id="1995" w:name="_Toc27124"/>
      <w:bookmarkStart w:id="1996" w:name="_Toc23734"/>
      <w:bookmarkStart w:id="1997" w:name="_Toc4665"/>
      <w:bookmarkStart w:id="1998" w:name="_Toc2726"/>
      <w:bookmarkStart w:id="1999" w:name="_Toc12313"/>
      <w:bookmarkStart w:id="2000" w:name="_Toc1949"/>
      <w:bookmarkStart w:id="2001" w:name="_Toc13971"/>
      <w:bookmarkStart w:id="2002" w:name="_Toc23151"/>
      <w:bookmarkStart w:id="2003" w:name="_Toc10208"/>
      <w:bookmarkStart w:id="2004" w:name="_Toc5989"/>
      <w:bookmarkStart w:id="2005" w:name="_Toc2002"/>
      <w:bookmarkStart w:id="2006" w:name="_Toc11433"/>
      <w:bookmarkStart w:id="2007" w:name="_Toc23670"/>
      <w:bookmarkStart w:id="2008" w:name="_Toc15999"/>
      <w:bookmarkStart w:id="2009" w:name="_Toc484792228"/>
      <w:bookmarkStart w:id="2010" w:name="_Toc25910"/>
      <w:bookmarkStart w:id="2011" w:name="_Toc31884"/>
      <w:bookmarkStart w:id="2012" w:name="_Toc18467"/>
      <w:bookmarkStart w:id="2013" w:name="_Toc25007"/>
      <w:bookmarkStart w:id="2014" w:name="_Toc247"/>
      <w:bookmarkStart w:id="2015" w:name="_Toc10787"/>
      <w:bookmarkStart w:id="2016" w:name="_Toc3730"/>
      <w:bookmarkStart w:id="2017" w:name="_Toc27098"/>
      <w:bookmarkStart w:id="2018" w:name="_Toc7638"/>
      <w:bookmarkStart w:id="2019" w:name="_Toc27316"/>
      <w:bookmarkStart w:id="2020" w:name="_Toc12341"/>
      <w:bookmarkStart w:id="2021" w:name="_Toc28694"/>
      <w:bookmarkStart w:id="2022" w:name="_Toc6890"/>
      <w:bookmarkStart w:id="2023" w:name="_Toc20782"/>
      <w:bookmarkStart w:id="2024" w:name="_Toc31666"/>
      <w:bookmarkStart w:id="2025" w:name="_Toc6951"/>
      <w:bookmarkStart w:id="2026" w:name="_Toc20021"/>
      <w:bookmarkStart w:id="2027" w:name="_Toc13574"/>
      <w:bookmarkStart w:id="2028" w:name="_Toc18304"/>
      <w:bookmarkStart w:id="2029" w:name="_Toc19827"/>
      <w:bookmarkStart w:id="2030" w:name="_Toc13005"/>
      <w:bookmarkStart w:id="2031" w:name="_Toc482803115"/>
      <w:bookmarkStart w:id="2032" w:name="_Toc6120"/>
      <w:bookmarkStart w:id="2033" w:name="_Toc8636"/>
      <w:bookmarkStart w:id="2034" w:name="_Toc21065"/>
      <w:bookmarkStart w:id="2035" w:name="_Toc18655"/>
      <w:r>
        <w:rPr>
          <w:rFonts w:hint="eastAsia" w:hAnsi="宋体"/>
          <w:b/>
          <w:color w:val="auto"/>
          <w:highlight w:val="none"/>
        </w:rPr>
        <w:t>9.3 对评标委员会成员的纪律要求</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43D889D1">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评标委员会成员不得收受他人的财物或者其他好处，不得向他人透漏对</w:t>
      </w:r>
      <w:r>
        <w:rPr>
          <w:rFonts w:hint="eastAsia" w:ascii="宋体" w:hAnsi="宋体"/>
          <w:color w:val="auto"/>
          <w:highlight w:val="none"/>
          <w:lang w:eastAsia="zh-CN"/>
        </w:rPr>
        <w:t>投标文件（含定标文件）</w:t>
      </w:r>
      <w:r>
        <w:rPr>
          <w:rFonts w:hint="eastAsia" w:ascii="宋体" w:hAnsi="宋体"/>
          <w:color w:val="auto"/>
          <w:highlight w:val="none"/>
        </w:rPr>
        <w:t>的评审和比较、中标候选人的推荐情况以及评标有关的其他情况。在评标活动中，评标委员会成员不得擅离职守，影响评标程序正常进行，不得使用第</w:t>
      </w:r>
      <w:r>
        <w:rPr>
          <w:rFonts w:hint="eastAsia" w:ascii="宋体" w:hAnsi="宋体"/>
          <w:color w:val="auto"/>
          <w:highlight w:val="none"/>
          <w:lang w:val="en-US" w:eastAsia="zh-CN"/>
        </w:rPr>
        <w:t>三</w:t>
      </w:r>
      <w:r>
        <w:rPr>
          <w:rFonts w:hint="eastAsia" w:ascii="宋体" w:hAnsi="宋体"/>
          <w:color w:val="auto"/>
          <w:highlight w:val="none"/>
        </w:rPr>
        <w:t>章“评标办法”没有规定的评审因素和标准进行评标。</w:t>
      </w:r>
    </w:p>
    <w:p w14:paraId="35D2C412">
      <w:pPr>
        <w:pStyle w:val="23"/>
        <w:tabs>
          <w:tab w:val="left" w:pos="2127"/>
        </w:tabs>
        <w:kinsoku/>
        <w:overflowPunct/>
        <w:bidi w:val="0"/>
        <w:spacing w:line="360" w:lineRule="auto"/>
        <w:textAlignment w:val="auto"/>
        <w:outlineLvl w:val="2"/>
        <w:rPr>
          <w:rFonts w:hAnsi="宋体"/>
          <w:b/>
          <w:color w:val="auto"/>
          <w:highlight w:val="none"/>
        </w:rPr>
      </w:pPr>
      <w:bookmarkStart w:id="2036" w:name="_Toc31260"/>
      <w:bookmarkStart w:id="2037" w:name="_Toc482803116"/>
      <w:bookmarkStart w:id="2038" w:name="_Toc15090"/>
      <w:bookmarkStart w:id="2039" w:name="_Toc23559"/>
      <w:bookmarkStart w:id="2040" w:name="_Toc2823"/>
      <w:bookmarkStart w:id="2041" w:name="_Toc32563"/>
      <w:bookmarkStart w:id="2042" w:name="_Toc1481"/>
      <w:bookmarkStart w:id="2043" w:name="_Toc7132"/>
      <w:bookmarkStart w:id="2044" w:name="_Toc22463"/>
      <w:bookmarkStart w:id="2045" w:name="_Toc18300"/>
      <w:bookmarkStart w:id="2046" w:name="_Toc138"/>
      <w:bookmarkStart w:id="2047" w:name="_Toc28371"/>
      <w:bookmarkStart w:id="2048" w:name="_Toc3265"/>
      <w:bookmarkStart w:id="2049" w:name="_Toc18777"/>
      <w:bookmarkStart w:id="2050" w:name="_Toc26083"/>
      <w:bookmarkStart w:id="2051" w:name="_Toc32152"/>
      <w:bookmarkStart w:id="2052" w:name="_Toc14408"/>
      <w:bookmarkStart w:id="2053" w:name="_Toc5374"/>
      <w:bookmarkStart w:id="2054" w:name="_Toc12103"/>
      <w:bookmarkStart w:id="2055" w:name="_Toc28940"/>
      <w:bookmarkStart w:id="2056" w:name="_Toc25765"/>
      <w:bookmarkStart w:id="2057" w:name="_Toc13337"/>
      <w:bookmarkStart w:id="2058" w:name="_Toc31534"/>
      <w:bookmarkStart w:id="2059" w:name="_Toc19574"/>
      <w:bookmarkStart w:id="2060" w:name="_Toc15465"/>
      <w:bookmarkStart w:id="2061" w:name="_Toc28084"/>
      <w:bookmarkStart w:id="2062" w:name="_Toc30199"/>
      <w:bookmarkStart w:id="2063" w:name="_Toc484792229"/>
      <w:bookmarkStart w:id="2064" w:name="_Toc24013"/>
      <w:bookmarkStart w:id="2065" w:name="_Toc9421"/>
      <w:bookmarkStart w:id="2066" w:name="_Toc12266"/>
      <w:bookmarkStart w:id="2067" w:name="_Toc24016"/>
      <w:bookmarkStart w:id="2068" w:name="_Toc7305"/>
      <w:bookmarkStart w:id="2069" w:name="_Toc28431"/>
      <w:bookmarkStart w:id="2070" w:name="_Toc25558"/>
      <w:bookmarkStart w:id="2071" w:name="_Toc29625"/>
      <w:bookmarkStart w:id="2072" w:name="_Toc24583"/>
      <w:bookmarkStart w:id="2073" w:name="_Toc9556"/>
      <w:bookmarkStart w:id="2074" w:name="_Toc11014"/>
      <w:bookmarkStart w:id="2075" w:name="_Toc32242"/>
      <w:bookmarkStart w:id="2076" w:name="_Toc22055"/>
      <w:bookmarkStart w:id="2077" w:name="_Toc29102"/>
      <w:bookmarkStart w:id="2078" w:name="_Toc22279"/>
      <w:bookmarkStart w:id="2079" w:name="_Toc13865"/>
      <w:bookmarkStart w:id="2080" w:name="_Toc28953"/>
      <w:bookmarkStart w:id="2081" w:name="_Toc16767"/>
      <w:bookmarkStart w:id="2082" w:name="_Toc22867"/>
      <w:bookmarkStart w:id="2083" w:name="_Toc27332"/>
      <w:bookmarkStart w:id="2084" w:name="_Toc19936"/>
      <w:bookmarkStart w:id="2085" w:name="_Toc17263"/>
      <w:r>
        <w:rPr>
          <w:rFonts w:hint="eastAsia" w:hAnsi="宋体"/>
          <w:b/>
          <w:color w:val="auto"/>
          <w:highlight w:val="none"/>
        </w:rPr>
        <w:t>9.4 对与评标活动有关的工作人员的纪律要求</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400DDF75">
      <w:pPr>
        <w:tabs>
          <w:tab w:val="left" w:pos="2127"/>
        </w:tabs>
        <w:kinsoku/>
        <w:overflowPunct/>
        <w:bidi w:val="0"/>
        <w:spacing w:line="360" w:lineRule="auto"/>
        <w:ind w:firstLine="420" w:firstLineChars="200"/>
        <w:textAlignment w:val="auto"/>
        <w:rPr>
          <w:rFonts w:ascii="宋体" w:hAnsi="宋体"/>
          <w:color w:val="auto"/>
          <w:highlight w:val="none"/>
        </w:rPr>
      </w:pPr>
      <w:r>
        <w:rPr>
          <w:rFonts w:hint="eastAsia" w:ascii="宋体" w:hAnsi="宋体"/>
          <w:color w:val="auto"/>
          <w:highlight w:val="none"/>
        </w:rPr>
        <w:t>与评标活动有关的工作人员不得收受他人的财物或者其他好处，不得向他人透漏对</w:t>
      </w:r>
      <w:r>
        <w:rPr>
          <w:rFonts w:hint="eastAsia" w:ascii="宋体" w:hAnsi="宋体"/>
          <w:color w:val="auto"/>
          <w:highlight w:val="none"/>
          <w:lang w:eastAsia="zh-CN"/>
        </w:rPr>
        <w:t>投标文件（含定标文件）</w:t>
      </w:r>
      <w:r>
        <w:rPr>
          <w:rFonts w:hint="eastAsia" w:ascii="宋体" w:hAnsi="宋体"/>
          <w:color w:val="auto"/>
          <w:highlight w:val="none"/>
        </w:rPr>
        <w:t>的评审和比较、中标候选人的推荐情况以及评标有关的其他情况。在评标活动中，与评标活动有关的工作人员不得擅离职守，影响评标程序正常进行。</w:t>
      </w:r>
    </w:p>
    <w:p w14:paraId="4EB7DAF0">
      <w:pPr>
        <w:pStyle w:val="23"/>
        <w:tabs>
          <w:tab w:val="left" w:pos="2127"/>
        </w:tabs>
        <w:kinsoku/>
        <w:overflowPunct/>
        <w:bidi w:val="0"/>
        <w:spacing w:line="360" w:lineRule="auto"/>
        <w:textAlignment w:val="auto"/>
        <w:outlineLvl w:val="2"/>
        <w:rPr>
          <w:rFonts w:hAnsi="宋体"/>
          <w:b/>
          <w:color w:val="auto"/>
          <w:highlight w:val="none"/>
        </w:rPr>
      </w:pPr>
      <w:bookmarkStart w:id="2086" w:name="_Toc18144"/>
      <w:bookmarkStart w:id="2087" w:name="_Toc13649"/>
      <w:bookmarkStart w:id="2088" w:name="_Toc18544"/>
      <w:bookmarkStart w:id="2089" w:name="_Toc17807"/>
      <w:bookmarkStart w:id="2090" w:name="_Toc23311"/>
      <w:bookmarkStart w:id="2091" w:name="_Toc17808"/>
      <w:bookmarkStart w:id="2092" w:name="_Toc484792230"/>
      <w:bookmarkStart w:id="2093" w:name="_Toc20889"/>
      <w:bookmarkStart w:id="2094" w:name="_Toc21470"/>
      <w:bookmarkStart w:id="2095" w:name="_Toc482803117"/>
      <w:bookmarkStart w:id="2096" w:name="_Toc17159"/>
      <w:bookmarkStart w:id="2097" w:name="_Toc18524"/>
      <w:bookmarkStart w:id="2098" w:name="_Toc22501"/>
      <w:bookmarkStart w:id="2099" w:name="_Toc23330"/>
      <w:bookmarkStart w:id="2100" w:name="_Toc28124"/>
      <w:bookmarkStart w:id="2101" w:name="_Toc9373"/>
      <w:bookmarkStart w:id="2102" w:name="_Toc27851"/>
      <w:bookmarkStart w:id="2103" w:name="_Toc19303"/>
      <w:bookmarkStart w:id="2104" w:name="_Toc16751"/>
      <w:bookmarkStart w:id="2105" w:name="_Toc28181"/>
      <w:bookmarkStart w:id="2106" w:name="_Toc13836"/>
      <w:bookmarkStart w:id="2107" w:name="_Toc971"/>
      <w:bookmarkStart w:id="2108" w:name="_Toc24814"/>
      <w:bookmarkStart w:id="2109" w:name="_Toc5449"/>
      <w:bookmarkStart w:id="2110" w:name="_Toc12970"/>
      <w:bookmarkStart w:id="2111" w:name="_Toc18722"/>
      <w:bookmarkStart w:id="2112" w:name="_Toc13474"/>
      <w:bookmarkStart w:id="2113" w:name="_Toc24796"/>
      <w:bookmarkStart w:id="2114" w:name="_Toc21838"/>
      <w:bookmarkStart w:id="2115" w:name="_Toc11187"/>
      <w:bookmarkStart w:id="2116" w:name="_Toc5735"/>
      <w:bookmarkStart w:id="2117" w:name="_Toc14800"/>
      <w:bookmarkStart w:id="2118" w:name="_Toc22027"/>
      <w:bookmarkStart w:id="2119" w:name="_Toc231"/>
      <w:bookmarkStart w:id="2120" w:name="_Toc15506"/>
      <w:bookmarkStart w:id="2121" w:name="_Toc17045"/>
      <w:bookmarkStart w:id="2122" w:name="_Toc6159"/>
      <w:bookmarkStart w:id="2123" w:name="_Toc29773"/>
      <w:bookmarkStart w:id="2124" w:name="_Toc14300"/>
      <w:bookmarkStart w:id="2125" w:name="_Toc32483"/>
      <w:bookmarkStart w:id="2126" w:name="_Toc29305"/>
      <w:bookmarkStart w:id="2127" w:name="_Toc4545"/>
      <w:bookmarkStart w:id="2128" w:name="_Toc20671"/>
      <w:bookmarkStart w:id="2129" w:name="_Toc24816"/>
      <w:bookmarkStart w:id="2130" w:name="_Toc1153"/>
      <w:bookmarkStart w:id="2131" w:name="_Toc12705"/>
      <w:bookmarkStart w:id="2132" w:name="_Toc10946"/>
      <w:bookmarkStart w:id="2133" w:name="_Toc27902"/>
      <w:bookmarkStart w:id="2134" w:name="_Toc1774"/>
      <w:bookmarkStart w:id="2135" w:name="_Toc31711"/>
      <w:r>
        <w:rPr>
          <w:rFonts w:hint="eastAsia" w:hAnsi="宋体"/>
          <w:b/>
          <w:color w:val="auto"/>
          <w:highlight w:val="none"/>
        </w:rPr>
        <w:t>9.5 投诉</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14:paraId="750AFC06">
      <w:pPr>
        <w:pStyle w:val="23"/>
        <w:kinsoku/>
        <w:overflowPunct/>
        <w:bidi w:val="0"/>
        <w:spacing w:line="360" w:lineRule="auto"/>
        <w:ind w:firstLine="420" w:firstLineChars="200"/>
        <w:textAlignment w:val="auto"/>
        <w:rPr>
          <w:rFonts w:hint="eastAsia" w:ascii="宋体" w:hAnsi="宋体" w:eastAsia="宋体" w:cs="宋体"/>
          <w:b w:val="0"/>
          <w:bCs/>
          <w:color w:val="auto"/>
          <w:szCs w:val="21"/>
          <w:highlight w:val="none"/>
          <w:u w:val="none"/>
          <w:lang w:val="en-US" w:eastAsia="zh-CN"/>
        </w:rPr>
      </w:pPr>
      <w:bookmarkStart w:id="2136" w:name="_Toc10757"/>
      <w:bookmarkStart w:id="2137" w:name="_Toc501"/>
      <w:bookmarkStart w:id="2138" w:name="_Toc9950"/>
      <w:bookmarkStart w:id="2139" w:name="_Toc5579"/>
      <w:bookmarkStart w:id="2140" w:name="_Toc7603"/>
      <w:bookmarkStart w:id="2141" w:name="_Toc6304"/>
      <w:bookmarkStart w:id="2142" w:name="_Toc9899"/>
      <w:bookmarkStart w:id="2143" w:name="_Toc21942"/>
      <w:bookmarkStart w:id="2144" w:name="_Toc15658"/>
      <w:bookmarkStart w:id="2145" w:name="_Toc1064"/>
      <w:bookmarkStart w:id="2146" w:name="_Toc8442"/>
      <w:bookmarkStart w:id="2147" w:name="_Toc9043"/>
      <w:bookmarkStart w:id="2148" w:name="_Toc10674"/>
      <w:bookmarkStart w:id="2149" w:name="_Toc19687"/>
      <w:bookmarkStart w:id="2150" w:name="_Toc8804"/>
      <w:bookmarkStart w:id="2151" w:name="_Toc1648"/>
      <w:bookmarkStart w:id="2152" w:name="_Toc6511"/>
      <w:bookmarkStart w:id="2153" w:name="_Toc24571"/>
      <w:bookmarkStart w:id="2154" w:name="_Toc11875"/>
      <w:bookmarkStart w:id="2155" w:name="_Toc15995"/>
      <w:bookmarkStart w:id="2156" w:name="_Toc482803119"/>
      <w:bookmarkStart w:id="2157" w:name="_Toc16852"/>
      <w:bookmarkStart w:id="2158" w:name="_Toc21330"/>
      <w:bookmarkStart w:id="2159" w:name="_Toc484792232"/>
      <w:bookmarkStart w:id="2160" w:name="_Toc16"/>
      <w:bookmarkStart w:id="2161" w:name="_Toc13709"/>
      <w:bookmarkStart w:id="2162" w:name="_Toc4426"/>
      <w:bookmarkStart w:id="2163" w:name="_Toc15616"/>
      <w:bookmarkStart w:id="2164" w:name="_Toc32360"/>
      <w:bookmarkStart w:id="2165" w:name="_Toc22540"/>
      <w:bookmarkStart w:id="2166" w:name="_Toc504"/>
      <w:bookmarkStart w:id="2167" w:name="_Toc8329"/>
      <w:bookmarkStart w:id="2168" w:name="_Toc28676"/>
      <w:bookmarkStart w:id="2169" w:name="_Toc22793"/>
      <w:bookmarkStart w:id="2170" w:name="_Toc762"/>
      <w:bookmarkStart w:id="2171" w:name="_Toc21247"/>
      <w:bookmarkStart w:id="2172" w:name="_Toc31287"/>
      <w:bookmarkStart w:id="2173" w:name="_Toc12852"/>
      <w:bookmarkStart w:id="2174" w:name="_Toc20101"/>
      <w:bookmarkStart w:id="2175" w:name="_Toc21286"/>
      <w:bookmarkStart w:id="2176" w:name="_Toc20480"/>
      <w:bookmarkStart w:id="2177" w:name="_Toc17659"/>
      <w:bookmarkStart w:id="2178" w:name="_Toc8861"/>
      <w:bookmarkStart w:id="2179" w:name="_Toc9283"/>
      <w:bookmarkStart w:id="2180" w:name="_Toc20926"/>
      <w:bookmarkStart w:id="2181" w:name="_Toc3545"/>
      <w:bookmarkStart w:id="2182" w:name="_Toc15350"/>
      <w:r>
        <w:rPr>
          <w:rFonts w:hint="eastAsia" w:ascii="宋体" w:hAnsi="宋体" w:eastAsia="宋体" w:cs="宋体"/>
          <w:b w:val="0"/>
          <w:bCs/>
          <w:color w:val="auto"/>
          <w:szCs w:val="21"/>
          <w:highlight w:val="none"/>
          <w:u w:val="none"/>
          <w:lang w:val="en-US" w:eastAsia="zh-CN"/>
        </w:rPr>
        <w:t xml:space="preserve">9.5.1 </w:t>
      </w:r>
      <w:r>
        <w:rPr>
          <w:rFonts w:hint="eastAsia" w:hAnsi="宋体" w:cs="宋体"/>
          <w:b w:val="0"/>
          <w:bCs/>
          <w:color w:val="auto"/>
          <w:szCs w:val="21"/>
          <w:highlight w:val="none"/>
          <w:u w:val="none"/>
          <w:lang w:val="en-US" w:eastAsia="zh-CN"/>
        </w:rPr>
        <w:t>投标人</w:t>
      </w:r>
      <w:r>
        <w:rPr>
          <w:rFonts w:hint="eastAsia" w:ascii="宋体" w:hAnsi="宋体" w:eastAsia="宋体" w:cs="宋体"/>
          <w:b w:val="0"/>
          <w:bCs/>
          <w:color w:val="auto"/>
          <w:szCs w:val="21"/>
          <w:highlight w:val="none"/>
          <w:u w:val="none"/>
          <w:lang w:val="en-US" w:eastAsia="zh-CN"/>
        </w:rPr>
        <w:t>和其他利害关系人认为本次采购活动违反法律法规规定的，应书面（签字或盖章）提出，向业务监督机构投诉。业务监督机构：</w:t>
      </w:r>
      <w:r>
        <w:rPr>
          <w:rStyle w:val="55"/>
          <w:rFonts w:hint="eastAsia" w:ascii="宋体" w:hAnsi="宋体" w:cs="宋体"/>
          <w:b w:val="0"/>
          <w:bCs/>
          <w:color w:val="auto"/>
          <w:szCs w:val="21"/>
          <w:highlight w:val="none"/>
          <w:u w:val="none"/>
        </w:rPr>
        <w:t>广东电网有限责任公司广州供电局</w:t>
      </w:r>
      <w:r>
        <w:rPr>
          <w:rFonts w:hint="eastAsia" w:ascii="宋体" w:hAnsi="宋体" w:eastAsia="宋体" w:cs="宋体"/>
          <w:b w:val="0"/>
          <w:bCs/>
          <w:color w:val="auto"/>
          <w:szCs w:val="21"/>
          <w:highlight w:val="none"/>
          <w:u w:val="none"/>
          <w:lang w:val="en-US" w:eastAsia="zh-CN"/>
        </w:rPr>
        <w:t>；通讯地址：</w:t>
      </w:r>
      <w:r>
        <w:rPr>
          <w:rStyle w:val="55"/>
          <w:rFonts w:hint="eastAsia" w:ascii="宋体" w:hAnsi="宋体" w:cs="宋体"/>
          <w:b w:val="0"/>
          <w:bCs/>
          <w:color w:val="auto"/>
          <w:szCs w:val="21"/>
          <w:highlight w:val="none"/>
          <w:u w:val="none"/>
        </w:rPr>
        <w:t>广东省广州市天河区天河南二路2号</w:t>
      </w:r>
      <w:r>
        <w:rPr>
          <w:rFonts w:hint="eastAsia" w:ascii="宋体" w:hAnsi="宋体" w:eastAsia="宋体" w:cs="宋体"/>
          <w:b w:val="0"/>
          <w:bCs/>
          <w:color w:val="auto"/>
          <w:szCs w:val="21"/>
          <w:highlight w:val="none"/>
          <w:u w:val="none"/>
          <w:lang w:val="en-US" w:eastAsia="zh-CN"/>
        </w:rPr>
        <w:t>，邮政编码：510000；监督电话：</w:t>
      </w:r>
      <w:r>
        <w:rPr>
          <w:rStyle w:val="55"/>
          <w:rFonts w:hint="eastAsia" w:ascii="宋体" w:hAnsi="宋体" w:cs="宋体"/>
          <w:b w:val="0"/>
          <w:bCs/>
          <w:color w:val="auto"/>
          <w:szCs w:val="21"/>
          <w:highlight w:val="none"/>
          <w:u w:val="none"/>
        </w:rPr>
        <w:t>（020）87120056</w:t>
      </w:r>
      <w:r>
        <w:rPr>
          <w:rFonts w:hint="eastAsia" w:ascii="宋体" w:hAnsi="宋体" w:eastAsia="宋体" w:cs="宋体"/>
          <w:b w:val="0"/>
          <w:bCs/>
          <w:color w:val="auto"/>
          <w:szCs w:val="21"/>
          <w:highlight w:val="none"/>
          <w:u w:val="none"/>
          <w:lang w:val="en-US" w:eastAsia="zh-CN"/>
        </w:rPr>
        <w:t>。</w:t>
      </w:r>
    </w:p>
    <w:p w14:paraId="407838DA">
      <w:pPr>
        <w:pStyle w:val="23"/>
        <w:kinsoku/>
        <w:overflowPunct/>
        <w:bidi w:val="0"/>
        <w:spacing w:line="360" w:lineRule="auto"/>
        <w:ind w:firstLine="420" w:firstLineChars="200"/>
        <w:textAlignment w:val="auto"/>
        <w:rPr>
          <w:rFonts w:hAnsi="宋体"/>
          <w:color w:val="auto"/>
          <w:highlight w:val="none"/>
          <w:u w:val="single"/>
        </w:rPr>
      </w:pPr>
      <w:r>
        <w:rPr>
          <w:rFonts w:hint="eastAsia" w:ascii="宋体" w:hAnsi="宋体" w:eastAsia="宋体" w:cs="宋体"/>
          <w:b w:val="0"/>
          <w:bCs/>
          <w:color w:val="auto"/>
          <w:szCs w:val="21"/>
          <w:highlight w:val="none"/>
          <w:u w:val="none"/>
          <w:lang w:val="en-US" w:eastAsia="zh-CN"/>
        </w:rPr>
        <w:t xml:space="preserve">9.5.2 </w:t>
      </w:r>
      <w:r>
        <w:rPr>
          <w:rFonts w:hint="eastAsia" w:hAnsi="宋体" w:cs="宋体"/>
          <w:b w:val="0"/>
          <w:bCs/>
          <w:color w:val="auto"/>
          <w:szCs w:val="21"/>
          <w:highlight w:val="none"/>
          <w:u w:val="none"/>
          <w:lang w:val="en-US" w:eastAsia="zh-CN"/>
        </w:rPr>
        <w:t>投标人</w:t>
      </w:r>
      <w:r>
        <w:rPr>
          <w:rFonts w:hint="eastAsia" w:ascii="宋体" w:hAnsi="宋体" w:eastAsia="宋体" w:cs="宋体"/>
          <w:b w:val="0"/>
          <w:bCs/>
          <w:color w:val="auto"/>
          <w:szCs w:val="21"/>
          <w:highlight w:val="none"/>
          <w:u w:val="none"/>
          <w:lang w:val="en-US" w:eastAsia="zh-CN"/>
        </w:rPr>
        <w:t>或者其他利害关系人对</w:t>
      </w:r>
      <w:r>
        <w:rPr>
          <w:rFonts w:hint="eastAsia" w:hAnsi="宋体" w:cs="宋体"/>
          <w:b w:val="0"/>
          <w:bCs/>
          <w:color w:val="auto"/>
          <w:szCs w:val="21"/>
          <w:highlight w:val="none"/>
          <w:u w:val="none"/>
          <w:lang w:val="en-US" w:eastAsia="zh-CN"/>
        </w:rPr>
        <w:t>招标</w:t>
      </w:r>
      <w:r>
        <w:rPr>
          <w:rFonts w:hint="eastAsia" w:ascii="宋体" w:hAnsi="宋体" w:eastAsia="宋体" w:cs="宋体"/>
          <w:b w:val="0"/>
          <w:bCs/>
          <w:color w:val="auto"/>
          <w:szCs w:val="21"/>
          <w:highlight w:val="none"/>
          <w:u w:val="none"/>
          <w:lang w:val="en-US" w:eastAsia="zh-CN"/>
        </w:rPr>
        <w:t>文件和</w:t>
      </w:r>
      <w:r>
        <w:rPr>
          <w:rFonts w:hint="eastAsia" w:hAnsi="宋体" w:cs="宋体"/>
          <w:b w:val="0"/>
          <w:bCs/>
          <w:color w:val="auto"/>
          <w:szCs w:val="21"/>
          <w:highlight w:val="none"/>
          <w:u w:val="none"/>
          <w:lang w:val="en-US" w:eastAsia="zh-CN"/>
        </w:rPr>
        <w:t>评标</w:t>
      </w:r>
      <w:r>
        <w:rPr>
          <w:rFonts w:hint="eastAsia" w:ascii="宋体" w:hAnsi="宋体" w:eastAsia="宋体" w:cs="宋体"/>
          <w:b w:val="0"/>
          <w:bCs/>
          <w:color w:val="auto"/>
          <w:szCs w:val="21"/>
          <w:highlight w:val="none"/>
          <w:u w:val="none"/>
          <w:lang w:val="en-US" w:eastAsia="zh-CN"/>
        </w:rPr>
        <w:t>结果提出投诉的，应当先按照本章第2.5款和第7.2款先向</w:t>
      </w:r>
      <w:r>
        <w:rPr>
          <w:rFonts w:hint="eastAsia" w:hAnsi="宋体" w:cs="宋体"/>
          <w:b w:val="0"/>
          <w:bCs/>
          <w:color w:val="auto"/>
          <w:szCs w:val="21"/>
          <w:highlight w:val="none"/>
          <w:u w:val="none"/>
          <w:lang w:val="en-US" w:eastAsia="zh-CN"/>
        </w:rPr>
        <w:t>招标人</w:t>
      </w:r>
      <w:r>
        <w:rPr>
          <w:rFonts w:hint="eastAsia" w:ascii="宋体" w:hAnsi="宋体" w:eastAsia="宋体" w:cs="宋体"/>
          <w:b w:val="0"/>
          <w:bCs/>
          <w:color w:val="auto"/>
          <w:szCs w:val="21"/>
          <w:highlight w:val="none"/>
          <w:u w:val="none"/>
          <w:lang w:val="en-US" w:eastAsia="zh-CN"/>
        </w:rPr>
        <w:t>提出异议。</w:t>
      </w:r>
    </w:p>
    <w:p w14:paraId="331CF8D1">
      <w:pPr>
        <w:pStyle w:val="23"/>
        <w:tabs>
          <w:tab w:val="left" w:pos="2127"/>
        </w:tabs>
        <w:kinsoku/>
        <w:overflowPunct/>
        <w:bidi w:val="0"/>
        <w:spacing w:line="360" w:lineRule="auto"/>
        <w:textAlignment w:val="auto"/>
        <w:outlineLvl w:val="2"/>
        <w:rPr>
          <w:rFonts w:hAnsi="宋体"/>
          <w:b/>
          <w:color w:val="auto"/>
          <w:highlight w:val="none"/>
        </w:rPr>
      </w:pPr>
      <w:bookmarkStart w:id="2183" w:name="_Toc17549"/>
      <w:bookmarkStart w:id="2184" w:name="_Toc12857"/>
      <w:bookmarkStart w:id="2185" w:name="_Toc24857"/>
      <w:r>
        <w:rPr>
          <w:rFonts w:hint="eastAsia" w:hAnsi="宋体"/>
          <w:b/>
          <w:color w:val="auto"/>
          <w:highlight w:val="none"/>
        </w:rPr>
        <w:t>9.6 廉洁</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1B64A87E">
      <w:pPr>
        <w:pStyle w:val="23"/>
        <w:tabs>
          <w:tab w:val="left" w:pos="2127"/>
        </w:tabs>
        <w:kinsoku/>
        <w:overflowPunct/>
        <w:bidi w:val="0"/>
        <w:spacing w:line="360" w:lineRule="auto"/>
        <w:ind w:firstLine="420" w:firstLineChars="200"/>
        <w:textAlignment w:val="auto"/>
        <w:rPr>
          <w:rFonts w:hAnsi="宋体"/>
          <w:color w:val="auto"/>
          <w:highlight w:val="none"/>
        </w:rPr>
      </w:pPr>
      <w:r>
        <w:rPr>
          <w:rFonts w:hAnsi="宋体"/>
          <w:color w:val="auto"/>
          <w:highlight w:val="none"/>
        </w:rPr>
        <w:t>执行</w:t>
      </w:r>
      <w:r>
        <w:rPr>
          <w:rFonts w:hint="eastAsia" w:hAnsi="宋体"/>
          <w:color w:val="auto"/>
          <w:highlight w:val="none"/>
        </w:rPr>
        <w:t>中国南方电网有限责任公司的相关规定</w:t>
      </w:r>
      <w:r>
        <w:rPr>
          <w:rFonts w:hAnsi="宋体"/>
          <w:color w:val="auto"/>
          <w:highlight w:val="none"/>
        </w:rPr>
        <w:t>，</w:t>
      </w:r>
      <w:r>
        <w:rPr>
          <w:rFonts w:hint="eastAsia" w:hAnsi="宋体"/>
          <w:color w:val="auto"/>
          <w:highlight w:val="none"/>
        </w:rPr>
        <w:t>在合同协议书签署前同时签署“廉洁协议书”。</w:t>
      </w:r>
    </w:p>
    <w:p w14:paraId="6A369FE4">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2186" w:name="_Toc2559"/>
      <w:bookmarkStart w:id="2187" w:name="_Toc31860"/>
      <w:bookmarkStart w:id="2188" w:name="_Toc1537"/>
      <w:bookmarkStart w:id="2189" w:name="_Toc16957"/>
      <w:bookmarkStart w:id="2190" w:name="_Toc21661"/>
      <w:bookmarkStart w:id="2191" w:name="_Toc28794"/>
      <w:bookmarkStart w:id="2192" w:name="_Toc482803120"/>
      <w:bookmarkStart w:id="2193" w:name="_Toc373"/>
      <w:bookmarkStart w:id="2194" w:name="_Toc13029"/>
      <w:bookmarkStart w:id="2195" w:name="_Toc32513"/>
      <w:bookmarkStart w:id="2196" w:name="_Toc20606"/>
      <w:bookmarkStart w:id="2197" w:name="_Toc16573"/>
      <w:bookmarkStart w:id="2198" w:name="_Toc17644"/>
      <w:bookmarkStart w:id="2199" w:name="_Toc30892"/>
      <w:bookmarkStart w:id="2200" w:name="_Toc8569"/>
      <w:bookmarkStart w:id="2201" w:name="_Toc12881"/>
      <w:bookmarkStart w:id="2202" w:name="_Toc28761"/>
      <w:bookmarkStart w:id="2203" w:name="_Toc30302"/>
      <w:bookmarkStart w:id="2204" w:name="_Toc27359"/>
      <w:r>
        <w:rPr>
          <w:rFonts w:hint="eastAsia" w:ascii="宋体" w:hAnsi="宋体" w:eastAsia="宋体"/>
          <w:color w:val="auto"/>
          <w:sz w:val="24"/>
          <w:szCs w:val="24"/>
          <w:highlight w:val="none"/>
        </w:rPr>
        <w:t>10. 需要补充的其他内容</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14:paraId="1BF8E702">
      <w:pPr>
        <w:pStyle w:val="23"/>
        <w:tabs>
          <w:tab w:val="left" w:pos="2127"/>
        </w:tabs>
        <w:kinsoku/>
        <w:overflowPunct/>
        <w:bidi w:val="0"/>
        <w:spacing w:line="360" w:lineRule="auto"/>
        <w:ind w:firstLine="420" w:firstLineChars="200"/>
        <w:textAlignment w:val="auto"/>
        <w:rPr>
          <w:rFonts w:hAnsi="宋体"/>
          <w:color w:val="auto"/>
          <w:highlight w:val="none"/>
        </w:rPr>
      </w:pPr>
      <w:r>
        <w:rPr>
          <w:rFonts w:hint="eastAsia" w:hAnsi="宋体"/>
          <w:color w:val="auto"/>
          <w:highlight w:val="none"/>
        </w:rPr>
        <w:t>需要补充的其他内容：见投标人须知前附表。</w:t>
      </w:r>
    </w:p>
    <w:p w14:paraId="03ABC5A5">
      <w:pPr>
        <w:pStyle w:val="4"/>
        <w:tabs>
          <w:tab w:val="left" w:pos="2127"/>
        </w:tabs>
        <w:kinsoku/>
        <w:overflowPunct/>
        <w:bidi w:val="0"/>
        <w:spacing w:before="0" w:after="0" w:line="360" w:lineRule="auto"/>
        <w:textAlignment w:val="auto"/>
        <w:rPr>
          <w:rFonts w:ascii="宋体" w:hAnsi="宋体" w:eastAsia="宋体"/>
          <w:color w:val="auto"/>
          <w:sz w:val="24"/>
          <w:szCs w:val="24"/>
          <w:highlight w:val="none"/>
        </w:rPr>
      </w:pPr>
      <w:bookmarkStart w:id="2205" w:name="_Toc3719"/>
      <w:bookmarkStart w:id="2206" w:name="_Toc30593"/>
      <w:bookmarkStart w:id="2207" w:name="_Toc26079"/>
      <w:bookmarkStart w:id="2208" w:name="_Toc748"/>
      <w:bookmarkStart w:id="2209" w:name="_Toc16740"/>
      <w:bookmarkStart w:id="2210" w:name="_Toc31515"/>
      <w:bookmarkStart w:id="2211" w:name="_Toc17095"/>
      <w:bookmarkStart w:id="2212" w:name="_Toc26600"/>
      <w:bookmarkStart w:id="2213" w:name="_Toc16814"/>
      <w:bookmarkStart w:id="2214" w:name="_Toc9613"/>
      <w:bookmarkStart w:id="2215" w:name="_Toc9699"/>
      <w:bookmarkStart w:id="2216" w:name="_Toc482803121"/>
      <w:bookmarkStart w:id="2217" w:name="_Toc28028"/>
      <w:bookmarkStart w:id="2218" w:name="_Toc1066"/>
      <w:bookmarkStart w:id="2219" w:name="_Toc8268"/>
      <w:bookmarkStart w:id="2220" w:name="_Toc10443"/>
      <w:bookmarkStart w:id="2221" w:name="_Toc8096"/>
      <w:bookmarkStart w:id="2222" w:name="_Toc17907"/>
      <w:bookmarkStart w:id="2223" w:name="_Toc20963"/>
      <w:r>
        <w:rPr>
          <w:rFonts w:hint="eastAsia" w:ascii="宋体" w:hAnsi="宋体" w:eastAsia="宋体"/>
          <w:color w:val="auto"/>
          <w:sz w:val="24"/>
          <w:szCs w:val="24"/>
          <w:highlight w:val="none"/>
        </w:rPr>
        <w:t>11. 招标代理服务费</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p>
    <w:p w14:paraId="46A960F1">
      <w:pPr>
        <w:kinsoku/>
        <w:overflowPunct/>
        <w:bidi w:val="0"/>
        <w:spacing w:line="360" w:lineRule="auto"/>
        <w:ind w:firstLine="424" w:firstLineChars="202"/>
        <w:textAlignment w:val="auto"/>
        <w:rPr>
          <w:rFonts w:hint="eastAsia" w:ascii="宋体" w:hAnsi="宋体"/>
          <w:color w:val="auto"/>
          <w:szCs w:val="21"/>
          <w:highlight w:val="none"/>
        </w:rPr>
      </w:pPr>
      <w:r>
        <w:rPr>
          <w:rFonts w:hint="eastAsia" w:ascii="宋体" w:hAnsi="宋体"/>
          <w:color w:val="auto"/>
          <w:szCs w:val="21"/>
          <w:highlight w:val="none"/>
        </w:rPr>
        <w:t>招标代理服务费：见投标人须知前附表。</w:t>
      </w:r>
    </w:p>
    <w:p w14:paraId="09309663">
      <w:pPr>
        <w:rPr>
          <w:rFonts w:hint="eastAsia" w:ascii="宋体" w:hAnsi="宋体" w:cs="宋体"/>
          <w:bCs/>
          <w:color w:val="auto"/>
          <w:sz w:val="28"/>
          <w:szCs w:val="28"/>
          <w:highlight w:val="none"/>
        </w:rPr>
      </w:pPr>
      <w:bookmarkStart w:id="2224" w:name="_Toc247514005"/>
      <w:bookmarkStart w:id="2225" w:name="_Toc18504"/>
      <w:bookmarkStart w:id="2226" w:name="_Toc152042358"/>
      <w:bookmarkStart w:id="2227" w:name="_Toc28995"/>
      <w:bookmarkStart w:id="2228" w:name="_Toc144974548"/>
      <w:bookmarkStart w:id="2229" w:name="_Toc3212"/>
      <w:bookmarkStart w:id="2230" w:name="_Toc485211089"/>
      <w:bookmarkStart w:id="2231" w:name="_Toc3477"/>
      <w:bookmarkStart w:id="2232" w:name="_Toc12839"/>
      <w:bookmarkStart w:id="2233" w:name="_Toc152045581"/>
      <w:bookmarkStart w:id="2234" w:name="_Toc14581"/>
      <w:bookmarkStart w:id="2235" w:name="_Toc27387"/>
      <w:bookmarkStart w:id="2236" w:name="_Toc17173"/>
      <w:bookmarkStart w:id="2237" w:name="_Toc1292"/>
      <w:bookmarkStart w:id="2238" w:name="_Toc32530"/>
      <w:bookmarkStart w:id="2239" w:name="_Toc13480"/>
      <w:bookmarkStart w:id="2240" w:name="_Toc16275"/>
      <w:bookmarkStart w:id="2241" w:name="_Toc247527606"/>
      <w:r>
        <w:rPr>
          <w:rFonts w:hint="eastAsia" w:ascii="宋体" w:hAnsi="宋体" w:cs="宋体"/>
          <w:bCs/>
          <w:color w:val="auto"/>
          <w:sz w:val="28"/>
          <w:szCs w:val="28"/>
          <w:highlight w:val="none"/>
        </w:rPr>
        <w:br w:type="page"/>
      </w:r>
    </w:p>
    <w:p w14:paraId="5F964759">
      <w:pPr>
        <w:keepNext/>
        <w:keepLines/>
        <w:spacing w:before="260" w:after="260" w:line="360" w:lineRule="auto"/>
        <w:outlineLvl w:val="2"/>
        <w:rPr>
          <w:rFonts w:hint="eastAsia" w:ascii="宋体" w:hAnsi="宋体" w:cs="宋体"/>
          <w:bCs/>
          <w:color w:val="auto"/>
          <w:sz w:val="28"/>
          <w:szCs w:val="28"/>
          <w:highlight w:val="none"/>
        </w:rPr>
      </w:pPr>
      <w:r>
        <w:rPr>
          <w:rFonts w:hint="eastAsia" w:ascii="宋体" w:hAnsi="宋体" w:cs="宋体"/>
          <w:bCs/>
          <w:color w:val="auto"/>
          <w:sz w:val="28"/>
          <w:szCs w:val="28"/>
          <w:highlight w:val="none"/>
        </w:rPr>
        <w:t>附件一：开标记录表</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2CBAFB6D">
      <w:pPr>
        <w:spacing w:line="360" w:lineRule="auto"/>
        <w:rPr>
          <w:rFonts w:hint="eastAsia" w:ascii="宋体" w:hAnsi="宋体" w:cs="宋体"/>
          <w:color w:val="auto"/>
          <w:sz w:val="28"/>
          <w:szCs w:val="28"/>
          <w:highlight w:val="none"/>
        </w:rPr>
      </w:pPr>
      <w:r>
        <w:rPr>
          <w:rFonts w:hint="eastAsia" w:ascii="宋体" w:hAnsi="宋体" w:cs="宋体"/>
          <w:color w:val="auto"/>
          <w:sz w:val="28"/>
          <w:szCs w:val="28"/>
          <w:highlight w:val="none"/>
        </w:rPr>
        <w:t>开标记录表采用广州交易集团有限公司（广州公共资源交易中心）系统生成格式</w:t>
      </w:r>
    </w:p>
    <w:p w14:paraId="1781BA1A">
      <w:pPr>
        <w:spacing w:line="440" w:lineRule="exact"/>
        <w:rPr>
          <w:rFonts w:hint="eastAsia" w:ascii="宋体" w:hAnsi="宋体" w:cs="宋体"/>
          <w:color w:val="auto"/>
          <w:szCs w:val="21"/>
          <w:highlight w:val="none"/>
        </w:rPr>
      </w:pPr>
    </w:p>
    <w:p w14:paraId="45826AC6">
      <w:pPr>
        <w:spacing w:line="440" w:lineRule="exact"/>
        <w:rPr>
          <w:rFonts w:hint="eastAsia" w:ascii="宋体" w:hAnsi="宋体" w:cs="宋体"/>
          <w:color w:val="auto"/>
          <w:szCs w:val="21"/>
          <w:highlight w:val="none"/>
        </w:rPr>
      </w:pPr>
    </w:p>
    <w:p w14:paraId="35C39418">
      <w:pPr>
        <w:spacing w:line="440" w:lineRule="exact"/>
        <w:rPr>
          <w:rFonts w:hint="eastAsia" w:ascii="宋体" w:hAnsi="宋体" w:cs="宋体"/>
          <w:color w:val="auto"/>
          <w:szCs w:val="21"/>
          <w:highlight w:val="none"/>
        </w:rPr>
      </w:pPr>
    </w:p>
    <w:p w14:paraId="054AAABE">
      <w:pPr>
        <w:spacing w:line="440" w:lineRule="exact"/>
        <w:rPr>
          <w:rFonts w:hint="eastAsia" w:ascii="宋体" w:hAnsi="宋体" w:cs="宋体"/>
          <w:color w:val="auto"/>
          <w:szCs w:val="21"/>
          <w:highlight w:val="none"/>
        </w:rPr>
      </w:pPr>
    </w:p>
    <w:p w14:paraId="5759CC41">
      <w:pPr>
        <w:spacing w:line="440" w:lineRule="exact"/>
        <w:rPr>
          <w:rFonts w:hint="eastAsia" w:ascii="宋体" w:hAnsi="宋体" w:cs="宋体"/>
          <w:color w:val="auto"/>
          <w:szCs w:val="21"/>
          <w:highlight w:val="none"/>
        </w:rPr>
      </w:pPr>
    </w:p>
    <w:p w14:paraId="26C3C64C">
      <w:pPr>
        <w:spacing w:line="440" w:lineRule="exact"/>
        <w:rPr>
          <w:rFonts w:hint="eastAsia" w:ascii="宋体" w:hAnsi="宋体" w:cs="宋体"/>
          <w:color w:val="auto"/>
          <w:szCs w:val="21"/>
          <w:highlight w:val="none"/>
        </w:rPr>
      </w:pPr>
    </w:p>
    <w:p w14:paraId="7CA708A4">
      <w:pPr>
        <w:spacing w:line="440" w:lineRule="exact"/>
        <w:rPr>
          <w:rFonts w:hint="eastAsia" w:ascii="宋体" w:hAnsi="宋体" w:cs="宋体"/>
          <w:bCs/>
          <w:color w:val="auto"/>
          <w:sz w:val="28"/>
          <w:szCs w:val="28"/>
          <w:highlight w:val="none"/>
        </w:rPr>
      </w:pPr>
      <w:r>
        <w:rPr>
          <w:rFonts w:hint="eastAsia" w:ascii="宋体" w:hAnsi="宋体" w:cs="宋体"/>
          <w:color w:val="auto"/>
          <w:szCs w:val="21"/>
          <w:highlight w:val="none"/>
        </w:rPr>
        <w:br w:type="page"/>
      </w:r>
      <w:bookmarkStart w:id="2242" w:name="_Toc12992"/>
      <w:bookmarkStart w:id="2243" w:name="_Toc23946"/>
      <w:bookmarkStart w:id="2244" w:name="_Toc7096"/>
      <w:bookmarkStart w:id="2245" w:name="_Toc8530"/>
      <w:bookmarkStart w:id="2246" w:name="_Toc247527607"/>
      <w:bookmarkStart w:id="2247" w:name="_Toc144974549"/>
      <w:bookmarkStart w:id="2248" w:name="_Toc485211090"/>
      <w:bookmarkStart w:id="2249" w:name="_Toc152042359"/>
      <w:bookmarkStart w:id="2250" w:name="_Toc20609"/>
      <w:bookmarkStart w:id="2251" w:name="_Toc22250"/>
      <w:bookmarkStart w:id="2252" w:name="_Toc22267"/>
      <w:bookmarkStart w:id="2253" w:name="_Toc22367"/>
      <w:bookmarkStart w:id="2254" w:name="_Toc152045582"/>
      <w:bookmarkStart w:id="2255" w:name="_Toc247514006"/>
      <w:r>
        <w:rPr>
          <w:rFonts w:hint="eastAsia" w:ascii="宋体" w:hAnsi="宋体" w:cs="宋体"/>
          <w:bCs/>
          <w:color w:val="auto"/>
          <w:sz w:val="28"/>
          <w:szCs w:val="28"/>
          <w:highlight w:val="none"/>
        </w:rPr>
        <w:t>附件二：问题澄清通知</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3DC1B46D">
      <w:pPr>
        <w:spacing w:line="440" w:lineRule="exact"/>
        <w:jc w:val="center"/>
        <w:rPr>
          <w:rFonts w:hint="eastAsia" w:ascii="宋体" w:hAnsi="宋体" w:cs="宋体"/>
          <w:color w:val="auto"/>
          <w:szCs w:val="21"/>
          <w:highlight w:val="none"/>
        </w:rPr>
      </w:pPr>
    </w:p>
    <w:p w14:paraId="3DE62BCD">
      <w:pPr>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问题澄清通知</w:t>
      </w:r>
    </w:p>
    <w:p w14:paraId="29693842">
      <w:pPr>
        <w:spacing w:line="360" w:lineRule="auto"/>
        <w:ind w:firstLine="6000" w:firstLineChars="25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编号：</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5FC77008">
      <w:pPr>
        <w:spacing w:line="360" w:lineRule="auto"/>
        <w:rPr>
          <w:rFonts w:hint="eastAsia" w:ascii="宋体" w:hAnsi="宋体" w:cs="宋体"/>
          <w:color w:val="auto"/>
          <w:sz w:val="24"/>
          <w:szCs w:val="24"/>
          <w:highlight w:val="none"/>
        </w:rPr>
      </w:pPr>
    </w:p>
    <w:p w14:paraId="198B6BB8">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w:t>
      </w:r>
    </w:p>
    <w:p w14:paraId="7F25E83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招标的评标委员会，对你方的</w:t>
      </w:r>
      <w:r>
        <w:rPr>
          <w:rFonts w:hint="eastAsia" w:ascii="宋体" w:hAnsi="宋体" w:cs="宋体"/>
          <w:color w:val="auto"/>
          <w:sz w:val="24"/>
          <w:szCs w:val="24"/>
          <w:highlight w:val="none"/>
          <w:lang w:eastAsia="zh-CN"/>
        </w:rPr>
        <w:t>投标文件（含定标文件）</w:t>
      </w:r>
      <w:r>
        <w:rPr>
          <w:rFonts w:hint="eastAsia" w:ascii="宋体" w:hAnsi="宋体" w:cs="宋体"/>
          <w:color w:val="auto"/>
          <w:sz w:val="24"/>
          <w:szCs w:val="24"/>
          <w:highlight w:val="none"/>
        </w:rPr>
        <w:t>进行了仔细的审查，现需你方对下列问题以书面形式予以澄清：</w:t>
      </w:r>
    </w:p>
    <w:p w14:paraId="76317AC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p>
    <w:p w14:paraId="1FC2C06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p>
    <w:p w14:paraId="5647AD6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p>
    <w:p w14:paraId="20B50D5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请将上述问题的澄清于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时前递交至</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（详细地址）或传真至</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（传真号码）。采用传真方式的，应在</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时前将原件递交至</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（详细地址）。</w:t>
      </w:r>
    </w:p>
    <w:p w14:paraId="0AD99540">
      <w:pPr>
        <w:spacing w:line="360" w:lineRule="auto"/>
        <w:rPr>
          <w:rFonts w:hint="eastAsia" w:ascii="宋体" w:hAnsi="宋体" w:cs="宋体"/>
          <w:color w:val="auto"/>
          <w:sz w:val="24"/>
          <w:szCs w:val="24"/>
          <w:highlight w:val="none"/>
        </w:rPr>
      </w:pPr>
    </w:p>
    <w:p w14:paraId="5387E66C">
      <w:pPr>
        <w:spacing w:line="360" w:lineRule="auto"/>
        <w:rPr>
          <w:rFonts w:hint="eastAsia" w:ascii="宋体" w:hAnsi="宋体" w:cs="宋体"/>
          <w:color w:val="auto"/>
          <w:sz w:val="24"/>
          <w:szCs w:val="24"/>
          <w:highlight w:val="none"/>
        </w:rPr>
      </w:pPr>
    </w:p>
    <w:p w14:paraId="402DA65E">
      <w:pPr>
        <w:spacing w:line="360" w:lineRule="auto"/>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评标委员会授权的招标人或招标代理机构：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（签字或盖章）</w:t>
      </w:r>
    </w:p>
    <w:p w14:paraId="7DB65C1A">
      <w:pPr>
        <w:spacing w:line="360" w:lineRule="auto"/>
        <w:jc w:val="right"/>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1719F1B9">
      <w:pPr>
        <w:spacing w:line="360" w:lineRule="auto"/>
        <w:rPr>
          <w:rFonts w:hint="eastAsia" w:ascii="宋体" w:hAnsi="宋体" w:cs="宋体"/>
          <w:color w:val="auto"/>
          <w:sz w:val="24"/>
          <w:szCs w:val="24"/>
          <w:highlight w:val="none"/>
        </w:rPr>
      </w:pPr>
    </w:p>
    <w:p w14:paraId="1E7955DD">
      <w:pPr>
        <w:spacing w:line="400" w:lineRule="exact"/>
        <w:rPr>
          <w:rFonts w:hint="eastAsia" w:ascii="宋体" w:hAnsi="宋体" w:cs="宋体"/>
          <w:bCs/>
          <w:color w:val="auto"/>
          <w:sz w:val="28"/>
          <w:szCs w:val="28"/>
          <w:highlight w:val="none"/>
        </w:rPr>
      </w:pPr>
      <w:r>
        <w:rPr>
          <w:rFonts w:hint="eastAsia" w:ascii="宋体" w:hAnsi="宋体" w:cs="宋体"/>
          <w:color w:val="auto"/>
          <w:szCs w:val="24"/>
          <w:highlight w:val="none"/>
        </w:rPr>
        <w:br w:type="page"/>
      </w:r>
      <w:bookmarkStart w:id="2256" w:name="_Toc2612"/>
      <w:bookmarkStart w:id="2257" w:name="_Toc21221"/>
      <w:bookmarkStart w:id="2258" w:name="_Toc20542"/>
      <w:bookmarkStart w:id="2259" w:name="_Toc5410"/>
      <w:bookmarkStart w:id="2260" w:name="_Toc247514007"/>
      <w:bookmarkStart w:id="2261" w:name="_Toc152045583"/>
      <w:bookmarkStart w:id="2262" w:name="_Toc152042360"/>
      <w:bookmarkStart w:id="2263" w:name="_Toc4085"/>
      <w:bookmarkStart w:id="2264" w:name="_Toc26015"/>
      <w:bookmarkStart w:id="2265" w:name="_Toc485211091"/>
      <w:bookmarkStart w:id="2266" w:name="_Toc247527608"/>
      <w:bookmarkStart w:id="2267" w:name="_Toc144974550"/>
      <w:bookmarkStart w:id="2268" w:name="_Toc18238"/>
      <w:bookmarkStart w:id="2269" w:name="_Toc29892"/>
      <w:r>
        <w:rPr>
          <w:rFonts w:hint="eastAsia" w:ascii="宋体" w:hAnsi="宋体" w:cs="宋体"/>
          <w:bCs/>
          <w:color w:val="auto"/>
          <w:sz w:val="28"/>
          <w:szCs w:val="28"/>
          <w:highlight w:val="none"/>
        </w:rPr>
        <w:t>附件三：问题的澄清</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46359C1F">
      <w:pPr>
        <w:spacing w:line="360" w:lineRule="auto"/>
        <w:jc w:val="center"/>
        <w:rPr>
          <w:rFonts w:hint="eastAsia" w:ascii="宋体" w:hAnsi="宋体" w:cs="宋体"/>
          <w:color w:val="auto"/>
          <w:sz w:val="28"/>
          <w:szCs w:val="28"/>
          <w:highlight w:val="none"/>
        </w:rPr>
      </w:pPr>
    </w:p>
    <w:p w14:paraId="39ABB6AE">
      <w:pPr>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问题的澄清</w:t>
      </w:r>
    </w:p>
    <w:p w14:paraId="61EEAD92">
      <w:pPr>
        <w:spacing w:line="360" w:lineRule="auto"/>
        <w:ind w:firstLine="6000" w:firstLineChars="2500"/>
        <w:jc w:val="left"/>
        <w:rPr>
          <w:rFonts w:ascii="宋体" w:hAnsi="宋体" w:cs="宋体"/>
          <w:color w:val="auto"/>
          <w:sz w:val="24"/>
          <w:szCs w:val="24"/>
          <w:highlight w:val="none"/>
          <w:u w:val="single"/>
        </w:rPr>
      </w:pPr>
      <w:r>
        <w:rPr>
          <w:rFonts w:hint="eastAsia" w:ascii="宋体" w:hAnsi="宋体" w:cs="宋体"/>
          <w:color w:val="auto"/>
          <w:sz w:val="24"/>
          <w:szCs w:val="24"/>
          <w:highlight w:val="none"/>
        </w:rPr>
        <w:t>编号：</w:t>
      </w:r>
      <w:r>
        <w:rPr>
          <w:rFonts w:hint="eastAsia" w:ascii="宋体" w:hAnsi="宋体" w:cs="宋体"/>
          <w:color w:val="auto"/>
          <w:sz w:val="24"/>
          <w:szCs w:val="24"/>
          <w:highlight w:val="none"/>
          <w:u w:val="single"/>
        </w:rPr>
        <w:t xml:space="preserve">                </w:t>
      </w:r>
    </w:p>
    <w:p w14:paraId="06A696A9">
      <w:pPr>
        <w:spacing w:line="360" w:lineRule="auto"/>
        <w:rPr>
          <w:rFonts w:hint="eastAsia" w:ascii="宋体" w:hAnsi="宋体" w:cs="宋体"/>
          <w:color w:val="auto"/>
          <w:sz w:val="24"/>
          <w:szCs w:val="24"/>
          <w:highlight w:val="none"/>
          <w:u w:val="single"/>
        </w:rPr>
      </w:pPr>
    </w:p>
    <w:p w14:paraId="12111596">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评标委员会：</w:t>
      </w:r>
    </w:p>
    <w:p w14:paraId="7995E4A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问题澄清通知（编号：</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）已收悉，现澄清如下：</w:t>
      </w:r>
    </w:p>
    <w:p w14:paraId="02E1C1F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w:t>
      </w:r>
    </w:p>
    <w:p w14:paraId="24371D8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w:t>
      </w:r>
    </w:p>
    <w:p w14:paraId="1574EE8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p>
    <w:p w14:paraId="09BA4D3B">
      <w:pPr>
        <w:spacing w:line="360" w:lineRule="auto"/>
        <w:ind w:firstLine="480" w:firstLineChars="200"/>
        <w:rPr>
          <w:rFonts w:hint="eastAsia" w:ascii="宋体" w:hAnsi="宋体" w:cs="宋体"/>
          <w:color w:val="auto"/>
          <w:sz w:val="24"/>
          <w:szCs w:val="24"/>
          <w:highlight w:val="none"/>
        </w:rPr>
      </w:pPr>
    </w:p>
    <w:p w14:paraId="3DE76C91">
      <w:pPr>
        <w:spacing w:line="360" w:lineRule="auto"/>
        <w:ind w:firstLine="480" w:firstLineChars="200"/>
        <w:rPr>
          <w:rFonts w:hint="eastAsia" w:ascii="宋体" w:hAnsi="宋体" w:cs="宋体"/>
          <w:color w:val="auto"/>
          <w:sz w:val="24"/>
          <w:szCs w:val="24"/>
          <w:highlight w:val="none"/>
        </w:rPr>
      </w:pPr>
    </w:p>
    <w:p w14:paraId="269B03DF">
      <w:pPr>
        <w:spacing w:line="360" w:lineRule="auto"/>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投标人：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（盖单位章）</w:t>
      </w:r>
    </w:p>
    <w:p w14:paraId="2F565919">
      <w:pPr>
        <w:spacing w:line="360" w:lineRule="auto"/>
        <w:jc w:val="righ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法定代表人或其委托代理人：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（签字）</w:t>
      </w:r>
    </w:p>
    <w:p w14:paraId="594902EA">
      <w:pPr>
        <w:spacing w:line="360" w:lineRule="auto"/>
        <w:jc w:val="right"/>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6A5A04E4">
      <w:pPr>
        <w:spacing w:line="360" w:lineRule="auto"/>
        <w:rPr>
          <w:rFonts w:hint="eastAsia" w:ascii="宋体" w:hAnsi="宋体" w:cs="宋体"/>
          <w:color w:val="auto"/>
          <w:sz w:val="24"/>
          <w:szCs w:val="24"/>
          <w:highlight w:val="none"/>
        </w:rPr>
      </w:pPr>
    </w:p>
    <w:p w14:paraId="2C8819D0">
      <w:pPr>
        <w:spacing w:line="400" w:lineRule="exact"/>
        <w:rPr>
          <w:rFonts w:hint="eastAsia" w:ascii="宋体" w:hAnsi="宋体" w:cs="宋体"/>
          <w:bCs/>
          <w:color w:val="auto"/>
          <w:sz w:val="28"/>
          <w:szCs w:val="28"/>
          <w:highlight w:val="none"/>
        </w:rPr>
      </w:pPr>
      <w:r>
        <w:rPr>
          <w:rFonts w:hint="eastAsia" w:ascii="宋体" w:hAnsi="宋体" w:cs="宋体"/>
          <w:color w:val="auto"/>
          <w:szCs w:val="24"/>
          <w:highlight w:val="none"/>
        </w:rPr>
        <w:br w:type="page"/>
      </w:r>
      <w:bookmarkStart w:id="2270" w:name="_Toc23717"/>
      <w:bookmarkStart w:id="2271" w:name="_Toc2111"/>
      <w:bookmarkStart w:id="2272" w:name="_Toc30679"/>
      <w:bookmarkStart w:id="2273" w:name="_Toc152042361"/>
      <w:bookmarkStart w:id="2274" w:name="_Toc247514008"/>
      <w:bookmarkStart w:id="2275" w:name="_Toc172"/>
      <w:bookmarkStart w:id="2276" w:name="_Toc15621"/>
      <w:bookmarkStart w:id="2277" w:name="_Toc26426"/>
      <w:bookmarkStart w:id="2278" w:name="_Toc947"/>
      <w:bookmarkStart w:id="2279" w:name="_Toc14178"/>
      <w:bookmarkStart w:id="2280" w:name="_Toc247527609"/>
      <w:bookmarkStart w:id="2281" w:name="_Toc22580"/>
      <w:bookmarkStart w:id="2282" w:name="_Toc144974551"/>
      <w:bookmarkStart w:id="2283" w:name="_Toc152045584"/>
      <w:bookmarkStart w:id="2284" w:name="_Toc485211092"/>
      <w:r>
        <w:rPr>
          <w:rFonts w:hint="eastAsia" w:ascii="宋体" w:hAnsi="宋体" w:cs="宋体"/>
          <w:bCs/>
          <w:color w:val="auto"/>
          <w:sz w:val="28"/>
          <w:szCs w:val="28"/>
          <w:highlight w:val="none"/>
        </w:rPr>
        <w:t>附件四：中标通知书</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489EB81B">
      <w:pPr>
        <w:spacing w:line="400" w:lineRule="exact"/>
        <w:rPr>
          <w:rFonts w:hint="eastAsia" w:ascii="宋体" w:hAnsi="宋体" w:cs="宋体"/>
          <w:color w:val="auto"/>
          <w:szCs w:val="24"/>
          <w:highlight w:val="none"/>
        </w:rPr>
      </w:pPr>
    </w:p>
    <w:p w14:paraId="741A46BD">
      <w:pPr>
        <w:spacing w:line="40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中标通知书采用广州交易集团有限公司（广州公共资源交易中心）格式</w:t>
      </w:r>
    </w:p>
    <w:p w14:paraId="0B243D5B">
      <w:pPr>
        <w:spacing w:line="400" w:lineRule="exact"/>
        <w:rPr>
          <w:rFonts w:hint="eastAsia" w:ascii="宋体" w:hAnsi="宋体" w:cs="宋体"/>
          <w:color w:val="auto"/>
          <w:szCs w:val="24"/>
          <w:highlight w:val="none"/>
        </w:rPr>
      </w:pPr>
    </w:p>
    <w:p w14:paraId="10F65D6B">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（以广州交易集团有限公司（广州公共资源交易中心）出具格式为准）</w:t>
      </w:r>
    </w:p>
    <w:p w14:paraId="413E70C6">
      <w:pPr>
        <w:pStyle w:val="23"/>
        <w:rPr>
          <w:color w:val="auto"/>
          <w:highlight w:val="none"/>
        </w:rPr>
      </w:pPr>
    </w:p>
    <w:p w14:paraId="1EC09087">
      <w:pPr>
        <w:pStyle w:val="3"/>
        <w:pageBreakBefore/>
        <w:widowControl/>
        <w:numPr>
          <w:ilvl w:val="0"/>
          <w:numId w:val="5"/>
        </w:numPr>
        <w:tabs>
          <w:tab w:val="left" w:pos="2127"/>
        </w:tabs>
        <w:kinsoku/>
        <w:overflowPunct/>
        <w:bidi w:val="0"/>
        <w:spacing w:before="0" w:after="0" w:line="360" w:lineRule="auto"/>
        <w:jc w:val="center"/>
        <w:textAlignment w:val="auto"/>
        <w:rPr>
          <w:rFonts w:hint="eastAsia" w:ascii="宋体" w:hAnsi="宋体"/>
          <w:color w:val="auto"/>
          <w:kern w:val="0"/>
          <w:sz w:val="32"/>
          <w:szCs w:val="32"/>
          <w:highlight w:val="none"/>
        </w:rPr>
      </w:pPr>
      <w:bookmarkStart w:id="2285" w:name="_Toc32462"/>
      <w:r>
        <w:rPr>
          <w:rFonts w:hint="eastAsia" w:ascii="宋体" w:hAnsi="宋体"/>
          <w:color w:val="auto"/>
          <w:kern w:val="0"/>
          <w:sz w:val="32"/>
          <w:szCs w:val="32"/>
          <w:highlight w:val="none"/>
          <w:lang w:val="en-US" w:eastAsia="zh-CN"/>
        </w:rPr>
        <w:t>评标</w:t>
      </w:r>
      <w:r>
        <w:rPr>
          <w:rFonts w:hint="eastAsia" w:ascii="宋体" w:hAnsi="宋体"/>
          <w:color w:val="auto"/>
          <w:kern w:val="0"/>
          <w:sz w:val="32"/>
          <w:szCs w:val="32"/>
          <w:highlight w:val="none"/>
        </w:rPr>
        <w:t>办法（评定分离）</w:t>
      </w:r>
      <w:bookmarkEnd w:id="2285"/>
    </w:p>
    <w:p w14:paraId="6B7C8DDB">
      <w:pPr>
        <w:keepNext/>
        <w:keepLines/>
        <w:spacing w:before="260" w:after="260" w:line="415" w:lineRule="auto"/>
        <w:jc w:val="center"/>
        <w:outlineLvl w:val="1"/>
        <w:rPr>
          <w:rFonts w:hint="eastAsia" w:ascii="宋体" w:hAnsi="宋体" w:cs="宋体"/>
          <w:b/>
          <w:bCs/>
          <w:color w:val="auto"/>
          <w:sz w:val="28"/>
          <w:szCs w:val="28"/>
          <w:highlight w:val="none"/>
        </w:rPr>
      </w:pPr>
      <w:bookmarkStart w:id="2286" w:name="_Toc300835009"/>
      <w:bookmarkStart w:id="2287" w:name="_Toc17809"/>
      <w:bookmarkStart w:id="2288" w:name="_Toc8457"/>
      <w:bookmarkStart w:id="2289" w:name="_Toc3267"/>
      <w:bookmarkStart w:id="2290" w:name="_Toc30443"/>
      <w:bookmarkStart w:id="2291" w:name="_Toc436834777"/>
      <w:bookmarkStart w:id="2292" w:name="_Toc436834184"/>
      <w:bookmarkStart w:id="2293" w:name="_Toc485211094"/>
      <w:bookmarkStart w:id="2294" w:name="_Toc24145"/>
      <w:bookmarkStart w:id="2295" w:name="_Toc28730"/>
      <w:bookmarkStart w:id="2296" w:name="_Toc25722"/>
      <w:bookmarkStart w:id="2297" w:name="_Toc19639"/>
      <w:bookmarkStart w:id="2298" w:name="_Toc17592"/>
      <w:bookmarkStart w:id="2299" w:name="_Toc399165430"/>
      <w:bookmarkStart w:id="2300" w:name="_Toc26598"/>
      <w:bookmarkStart w:id="2301" w:name="_Toc26731"/>
      <w:bookmarkStart w:id="2302" w:name="_Toc17096"/>
      <w:bookmarkStart w:id="2303" w:name="_Toc2193"/>
      <w:bookmarkStart w:id="2304" w:name="_Toc19547"/>
      <w:bookmarkStart w:id="2305" w:name="_Toc7796"/>
      <w:bookmarkStart w:id="2306" w:name="_Toc25508"/>
      <w:bookmarkStart w:id="2307" w:name="_Toc11609"/>
      <w:bookmarkStart w:id="2308" w:name="_Toc25305"/>
      <w:bookmarkStart w:id="2309" w:name="_Toc27745"/>
      <w:bookmarkStart w:id="2310" w:name="_Toc20057"/>
      <w:bookmarkStart w:id="2311" w:name="_Toc15031"/>
      <w:bookmarkStart w:id="2312" w:name="_Toc8143"/>
      <w:bookmarkStart w:id="2313" w:name="_Toc30769"/>
      <w:bookmarkStart w:id="2314" w:name="_Toc23900"/>
      <w:r>
        <w:rPr>
          <w:rFonts w:hint="eastAsia" w:ascii="宋体" w:hAnsi="宋体" w:cs="宋体"/>
          <w:b/>
          <w:bCs/>
          <w:color w:val="auto"/>
          <w:sz w:val="28"/>
          <w:szCs w:val="28"/>
          <w:highlight w:val="none"/>
        </w:rPr>
        <w:t>评标办法前附表</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7"/>
        <w:gridCol w:w="1565"/>
        <w:gridCol w:w="1565"/>
        <w:gridCol w:w="5214"/>
      </w:tblGrid>
      <w:tr w14:paraId="0054D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2322" w:type="dxa"/>
            <w:gridSpan w:val="2"/>
            <w:noWrap w:val="0"/>
            <w:vAlign w:val="center"/>
          </w:tcPr>
          <w:p w14:paraId="61386E3C">
            <w:pPr>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1565" w:type="dxa"/>
            <w:noWrap w:val="0"/>
            <w:vAlign w:val="center"/>
          </w:tcPr>
          <w:p w14:paraId="00BDCFFC">
            <w:pPr>
              <w:jc w:val="center"/>
              <w:rPr>
                <w:rFonts w:hint="eastAsia" w:ascii="宋体" w:hAnsi="宋体" w:cs="宋体"/>
                <w:b/>
                <w:color w:val="auto"/>
                <w:szCs w:val="21"/>
                <w:highlight w:val="none"/>
              </w:rPr>
            </w:pPr>
            <w:r>
              <w:rPr>
                <w:rFonts w:hint="eastAsia" w:ascii="宋体" w:hAnsi="宋体" w:cs="宋体"/>
                <w:b/>
                <w:color w:val="auto"/>
                <w:szCs w:val="21"/>
                <w:highlight w:val="none"/>
              </w:rPr>
              <w:t>评审因素</w:t>
            </w:r>
          </w:p>
        </w:tc>
        <w:tc>
          <w:tcPr>
            <w:tcW w:w="5214" w:type="dxa"/>
            <w:noWrap w:val="0"/>
            <w:vAlign w:val="center"/>
          </w:tcPr>
          <w:p w14:paraId="068F2A47">
            <w:pPr>
              <w:jc w:val="center"/>
              <w:rPr>
                <w:rFonts w:hint="eastAsia" w:ascii="宋体" w:hAnsi="宋体" w:cs="宋体"/>
                <w:b/>
                <w:color w:val="auto"/>
                <w:szCs w:val="21"/>
                <w:highlight w:val="none"/>
              </w:rPr>
            </w:pPr>
            <w:r>
              <w:rPr>
                <w:rFonts w:hint="eastAsia" w:ascii="宋体" w:hAnsi="宋体" w:cs="宋体"/>
                <w:b/>
                <w:color w:val="auto"/>
                <w:szCs w:val="21"/>
                <w:highlight w:val="none"/>
              </w:rPr>
              <w:t>评审标准</w:t>
            </w:r>
          </w:p>
        </w:tc>
      </w:tr>
      <w:tr w14:paraId="41A395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57" w:type="dxa"/>
            <w:noWrap w:val="0"/>
            <w:vAlign w:val="center"/>
          </w:tcPr>
          <w:p w14:paraId="6CF252CD">
            <w:pPr>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1565" w:type="dxa"/>
            <w:noWrap w:val="0"/>
            <w:vAlign w:val="center"/>
          </w:tcPr>
          <w:p w14:paraId="4CEF80CA">
            <w:pPr>
              <w:jc w:val="center"/>
              <w:rPr>
                <w:rFonts w:hint="eastAsia" w:ascii="宋体" w:hAnsi="宋体" w:cs="宋体"/>
                <w:color w:val="auto"/>
                <w:szCs w:val="21"/>
                <w:highlight w:val="none"/>
              </w:rPr>
            </w:pPr>
            <w:r>
              <w:rPr>
                <w:rFonts w:hint="eastAsia" w:ascii="宋体" w:hAnsi="宋体" w:cs="宋体"/>
                <w:color w:val="auto"/>
                <w:szCs w:val="21"/>
                <w:highlight w:val="none"/>
              </w:rPr>
              <w:t>资格审查</w:t>
            </w:r>
          </w:p>
        </w:tc>
        <w:tc>
          <w:tcPr>
            <w:tcW w:w="6779" w:type="dxa"/>
            <w:gridSpan w:val="2"/>
            <w:noWrap w:val="0"/>
            <w:vAlign w:val="center"/>
          </w:tcPr>
          <w:p w14:paraId="458D58A0">
            <w:pPr>
              <w:rPr>
                <w:rFonts w:hint="eastAsia" w:ascii="宋体" w:hAnsi="宋体" w:cs="宋体"/>
                <w:color w:val="auto"/>
                <w:szCs w:val="21"/>
                <w:highlight w:val="none"/>
              </w:rPr>
            </w:pPr>
            <w:r>
              <w:rPr>
                <w:rFonts w:hint="eastAsia" w:ascii="宋体" w:hAnsi="宋体" w:cs="宋体"/>
                <w:color w:val="auto"/>
                <w:szCs w:val="21"/>
                <w:highlight w:val="none"/>
              </w:rPr>
              <w:t>见附表一《资格审查表》</w:t>
            </w:r>
          </w:p>
        </w:tc>
      </w:tr>
      <w:tr w14:paraId="1308B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22" w:type="dxa"/>
            <w:gridSpan w:val="2"/>
            <w:noWrap w:val="0"/>
            <w:vAlign w:val="center"/>
          </w:tcPr>
          <w:p w14:paraId="41810240">
            <w:pPr>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1565" w:type="dxa"/>
            <w:noWrap w:val="0"/>
            <w:vAlign w:val="center"/>
          </w:tcPr>
          <w:p w14:paraId="6955CA24">
            <w:pPr>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5214" w:type="dxa"/>
            <w:noWrap w:val="0"/>
            <w:vAlign w:val="center"/>
          </w:tcPr>
          <w:p w14:paraId="70ACAA9E">
            <w:pPr>
              <w:jc w:val="center"/>
              <w:rPr>
                <w:rFonts w:hint="eastAsia" w:ascii="宋体" w:hAnsi="宋体" w:cs="宋体"/>
                <w:b/>
                <w:color w:val="auto"/>
                <w:szCs w:val="21"/>
                <w:highlight w:val="none"/>
              </w:rPr>
            </w:pPr>
            <w:r>
              <w:rPr>
                <w:rFonts w:hint="eastAsia" w:ascii="宋体" w:hAnsi="宋体" w:cs="宋体"/>
                <w:b/>
                <w:color w:val="auto"/>
                <w:szCs w:val="21"/>
                <w:highlight w:val="none"/>
              </w:rPr>
              <w:t>编列内容</w:t>
            </w:r>
          </w:p>
        </w:tc>
      </w:tr>
      <w:tr w14:paraId="38C861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2322" w:type="dxa"/>
            <w:gridSpan w:val="2"/>
            <w:noWrap w:val="0"/>
            <w:vAlign w:val="center"/>
          </w:tcPr>
          <w:p w14:paraId="45462F64">
            <w:pPr>
              <w:jc w:val="center"/>
              <w:rPr>
                <w:rFonts w:hint="eastAsia" w:ascii="宋体" w:hAnsi="宋体" w:cs="宋体"/>
                <w:color w:val="auto"/>
                <w:szCs w:val="21"/>
                <w:highlight w:val="none"/>
              </w:rPr>
            </w:pPr>
            <w:r>
              <w:rPr>
                <w:rFonts w:hint="eastAsia" w:ascii="宋体" w:hAnsi="宋体" w:cs="宋体"/>
                <w:color w:val="auto"/>
                <w:szCs w:val="21"/>
                <w:highlight w:val="none"/>
              </w:rPr>
              <w:t>2.2.1</w:t>
            </w:r>
          </w:p>
        </w:tc>
        <w:tc>
          <w:tcPr>
            <w:tcW w:w="1565" w:type="dxa"/>
            <w:noWrap w:val="0"/>
            <w:vAlign w:val="center"/>
          </w:tcPr>
          <w:p w14:paraId="4195B9AE">
            <w:pPr>
              <w:jc w:val="center"/>
              <w:rPr>
                <w:rFonts w:hint="eastAsia" w:ascii="宋体" w:hAnsi="宋体" w:cs="宋体"/>
                <w:color w:val="auto"/>
                <w:szCs w:val="21"/>
                <w:highlight w:val="none"/>
              </w:rPr>
            </w:pPr>
            <w:r>
              <w:rPr>
                <w:rFonts w:hint="eastAsia" w:ascii="宋体" w:hAnsi="宋体" w:cs="宋体"/>
                <w:color w:val="auto"/>
                <w:szCs w:val="21"/>
                <w:highlight w:val="none"/>
              </w:rPr>
              <w:t>分值构成及权重</w:t>
            </w:r>
          </w:p>
        </w:tc>
        <w:tc>
          <w:tcPr>
            <w:tcW w:w="5214" w:type="dxa"/>
            <w:noWrap w:val="0"/>
            <w:vAlign w:val="center"/>
          </w:tcPr>
          <w:p w14:paraId="6C656840">
            <w:pPr>
              <w:rPr>
                <w:rFonts w:hint="eastAsia" w:ascii="宋体" w:hAnsi="宋体" w:cs="宋体"/>
                <w:color w:val="auto"/>
                <w:szCs w:val="21"/>
                <w:highlight w:val="none"/>
                <w:u w:val="single"/>
              </w:rPr>
            </w:pPr>
            <w:r>
              <w:rPr>
                <w:rFonts w:hint="eastAsia" w:ascii="宋体" w:hAnsi="宋体" w:cs="宋体"/>
                <w:color w:val="auto"/>
                <w:szCs w:val="21"/>
                <w:highlight w:val="none"/>
                <w:u w:val="single"/>
              </w:rPr>
              <w:t>（通过制评审：资格审查）</w:t>
            </w:r>
          </w:p>
        </w:tc>
      </w:tr>
      <w:tr w14:paraId="503692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22" w:type="dxa"/>
            <w:gridSpan w:val="2"/>
            <w:noWrap w:val="0"/>
            <w:vAlign w:val="center"/>
          </w:tcPr>
          <w:p w14:paraId="3CAF6923">
            <w:pPr>
              <w:jc w:val="center"/>
              <w:rPr>
                <w:rFonts w:hint="eastAsia" w:ascii="宋体" w:hAnsi="宋体" w:cs="宋体"/>
                <w:color w:val="auto"/>
                <w:szCs w:val="21"/>
                <w:highlight w:val="none"/>
              </w:rPr>
            </w:pPr>
            <w:r>
              <w:rPr>
                <w:rFonts w:hint="eastAsia" w:ascii="宋体" w:hAnsi="宋体" w:cs="宋体"/>
                <w:b/>
                <w:color w:val="auto"/>
                <w:szCs w:val="21"/>
                <w:highlight w:val="none"/>
              </w:rPr>
              <w:t>条款号</w:t>
            </w:r>
          </w:p>
        </w:tc>
        <w:tc>
          <w:tcPr>
            <w:tcW w:w="1565" w:type="dxa"/>
            <w:tcBorders>
              <w:right w:val="single" w:color="auto" w:sz="4" w:space="0"/>
            </w:tcBorders>
            <w:noWrap w:val="0"/>
            <w:vAlign w:val="center"/>
          </w:tcPr>
          <w:p w14:paraId="270878D4">
            <w:pPr>
              <w:jc w:val="center"/>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5214" w:type="dxa"/>
            <w:tcBorders>
              <w:left w:val="single" w:color="auto" w:sz="4" w:space="0"/>
            </w:tcBorders>
            <w:noWrap w:val="0"/>
            <w:vAlign w:val="center"/>
          </w:tcPr>
          <w:p w14:paraId="196F6A6C">
            <w:pPr>
              <w:jc w:val="center"/>
              <w:rPr>
                <w:rFonts w:hint="eastAsia" w:ascii="宋体" w:hAnsi="宋体" w:cs="宋体"/>
                <w:color w:val="auto"/>
                <w:szCs w:val="21"/>
                <w:highlight w:val="none"/>
              </w:rPr>
            </w:pPr>
            <w:r>
              <w:rPr>
                <w:rFonts w:hint="eastAsia" w:ascii="宋体" w:hAnsi="宋体" w:cs="宋体"/>
                <w:b/>
                <w:color w:val="auto"/>
                <w:szCs w:val="21"/>
                <w:highlight w:val="none"/>
              </w:rPr>
              <w:t>评分标准</w:t>
            </w:r>
          </w:p>
        </w:tc>
      </w:tr>
      <w:tr w14:paraId="204B46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757" w:type="dxa"/>
            <w:noWrap w:val="0"/>
            <w:vAlign w:val="center"/>
          </w:tcPr>
          <w:p w14:paraId="70E29585">
            <w:pPr>
              <w:jc w:val="center"/>
              <w:rPr>
                <w:rFonts w:hint="eastAsia" w:ascii="宋体" w:hAnsi="宋体" w:cs="宋体"/>
                <w:color w:val="auto"/>
                <w:szCs w:val="21"/>
                <w:highlight w:val="none"/>
              </w:rPr>
            </w:pPr>
            <w:r>
              <w:rPr>
                <w:rFonts w:hint="eastAsia" w:ascii="宋体" w:hAnsi="宋体" w:cs="宋体"/>
                <w:color w:val="auto"/>
                <w:szCs w:val="21"/>
                <w:highlight w:val="none"/>
              </w:rPr>
              <w:t>2.2.4（</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c>
          <w:tcPr>
            <w:tcW w:w="1565" w:type="dxa"/>
            <w:noWrap w:val="0"/>
            <w:vAlign w:val="center"/>
          </w:tcPr>
          <w:p w14:paraId="7A9C940E">
            <w:pPr>
              <w:jc w:val="center"/>
              <w:rPr>
                <w:rFonts w:hint="eastAsia" w:ascii="宋体" w:hAnsi="宋体" w:cs="宋体"/>
                <w:color w:val="auto"/>
                <w:szCs w:val="21"/>
                <w:highlight w:val="none"/>
              </w:rPr>
            </w:pPr>
            <w:r>
              <w:rPr>
                <w:rFonts w:hint="eastAsia" w:ascii="宋体" w:hAnsi="宋体" w:cs="宋体"/>
                <w:color w:val="auto"/>
                <w:szCs w:val="21"/>
                <w:highlight w:val="none"/>
              </w:rPr>
              <w:t>投标报价评分标准</w:t>
            </w:r>
          </w:p>
        </w:tc>
        <w:tc>
          <w:tcPr>
            <w:tcW w:w="1565" w:type="dxa"/>
            <w:tcBorders>
              <w:right w:val="single" w:color="auto" w:sz="4" w:space="0"/>
            </w:tcBorders>
            <w:noWrap w:val="0"/>
            <w:vAlign w:val="center"/>
          </w:tcPr>
          <w:p w14:paraId="4E2D48DB">
            <w:pPr>
              <w:jc w:val="left"/>
              <w:rPr>
                <w:rFonts w:hint="eastAsia" w:ascii="宋体" w:hAnsi="宋体" w:cs="宋体"/>
                <w:color w:val="auto"/>
                <w:szCs w:val="21"/>
                <w:highlight w:val="none"/>
              </w:rPr>
            </w:pPr>
            <w:r>
              <w:rPr>
                <w:rFonts w:hint="eastAsia" w:ascii="宋体" w:hAnsi="宋体" w:cs="宋体"/>
                <w:color w:val="auto"/>
                <w:szCs w:val="21"/>
                <w:highlight w:val="none"/>
              </w:rPr>
              <w:t>/</w:t>
            </w:r>
          </w:p>
        </w:tc>
        <w:tc>
          <w:tcPr>
            <w:tcW w:w="5214" w:type="dxa"/>
            <w:tcBorders>
              <w:left w:val="single" w:color="auto" w:sz="4" w:space="0"/>
            </w:tcBorders>
            <w:noWrap w:val="0"/>
            <w:vAlign w:val="center"/>
          </w:tcPr>
          <w:p w14:paraId="4E51D37E">
            <w:pPr>
              <w:rPr>
                <w:rFonts w:hint="eastAsia" w:ascii="宋体" w:hAnsi="宋体" w:cs="宋体"/>
                <w:color w:val="auto"/>
                <w:szCs w:val="21"/>
                <w:highlight w:val="none"/>
              </w:rPr>
            </w:pPr>
            <w:r>
              <w:rPr>
                <w:rFonts w:hint="eastAsia" w:ascii="宋体" w:hAnsi="宋体" w:cs="宋体"/>
                <w:color w:val="auto"/>
                <w:szCs w:val="21"/>
                <w:highlight w:val="none"/>
              </w:rPr>
              <w:t>/</w:t>
            </w:r>
          </w:p>
        </w:tc>
      </w:tr>
      <w:tr w14:paraId="2C54BC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6" w:hRule="atLeast"/>
          <w:jc w:val="center"/>
        </w:trPr>
        <w:tc>
          <w:tcPr>
            <w:tcW w:w="757" w:type="dxa"/>
            <w:noWrap w:val="0"/>
            <w:vAlign w:val="center"/>
          </w:tcPr>
          <w:p w14:paraId="61C5CBDF">
            <w:pPr>
              <w:jc w:val="center"/>
              <w:rPr>
                <w:rFonts w:hint="eastAsia" w:ascii="宋体" w:hAnsi="宋体" w:cs="宋体"/>
                <w:color w:val="auto"/>
                <w:szCs w:val="21"/>
                <w:highlight w:val="none"/>
              </w:rPr>
            </w:pPr>
            <w:r>
              <w:rPr>
                <w:rFonts w:hint="eastAsia" w:ascii="宋体" w:hAnsi="宋体" w:cs="宋体"/>
                <w:color w:val="auto"/>
                <w:szCs w:val="21"/>
                <w:highlight w:val="none"/>
              </w:rPr>
              <w:t>2.2.4（</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p>
        </w:tc>
        <w:tc>
          <w:tcPr>
            <w:tcW w:w="1565" w:type="dxa"/>
            <w:noWrap w:val="0"/>
            <w:vAlign w:val="center"/>
          </w:tcPr>
          <w:p w14:paraId="10FABB74">
            <w:pPr>
              <w:jc w:val="center"/>
              <w:rPr>
                <w:rFonts w:hint="eastAsia" w:ascii="宋体" w:hAnsi="宋体" w:cs="宋体"/>
                <w:color w:val="auto"/>
                <w:szCs w:val="21"/>
                <w:highlight w:val="none"/>
              </w:rPr>
            </w:pPr>
            <w:r>
              <w:rPr>
                <w:rFonts w:hint="eastAsia" w:ascii="宋体" w:hAnsi="宋体" w:cs="宋体"/>
                <w:color w:val="auto"/>
                <w:szCs w:val="21"/>
                <w:highlight w:val="none"/>
              </w:rPr>
              <w:t>其他因素评分标准</w:t>
            </w:r>
          </w:p>
        </w:tc>
        <w:tc>
          <w:tcPr>
            <w:tcW w:w="1565" w:type="dxa"/>
            <w:tcBorders>
              <w:right w:val="single" w:color="auto" w:sz="4" w:space="0"/>
            </w:tcBorders>
            <w:noWrap w:val="0"/>
            <w:vAlign w:val="center"/>
          </w:tcPr>
          <w:p w14:paraId="21B6DB91">
            <w:pPr>
              <w:jc w:val="left"/>
              <w:rPr>
                <w:rFonts w:hint="eastAsia" w:ascii="宋体" w:hAnsi="宋体" w:cs="宋体"/>
                <w:color w:val="auto"/>
                <w:szCs w:val="21"/>
                <w:highlight w:val="none"/>
              </w:rPr>
            </w:pPr>
            <w:r>
              <w:rPr>
                <w:rFonts w:hint="eastAsia" w:ascii="宋体" w:hAnsi="宋体" w:cs="宋体"/>
                <w:color w:val="auto"/>
                <w:szCs w:val="21"/>
                <w:highlight w:val="none"/>
              </w:rPr>
              <w:t>/</w:t>
            </w:r>
          </w:p>
        </w:tc>
        <w:tc>
          <w:tcPr>
            <w:tcW w:w="5214" w:type="dxa"/>
            <w:tcBorders>
              <w:left w:val="single" w:color="auto" w:sz="4" w:space="0"/>
            </w:tcBorders>
            <w:noWrap w:val="0"/>
            <w:vAlign w:val="center"/>
          </w:tcPr>
          <w:p w14:paraId="1B4981BD">
            <w:pPr>
              <w:rPr>
                <w:rFonts w:hint="eastAsia" w:ascii="宋体" w:hAnsi="宋体" w:cs="宋体"/>
                <w:color w:val="auto"/>
                <w:szCs w:val="21"/>
                <w:highlight w:val="none"/>
              </w:rPr>
            </w:pPr>
            <w:r>
              <w:rPr>
                <w:rFonts w:hint="eastAsia" w:ascii="宋体" w:hAnsi="宋体" w:cs="宋体"/>
                <w:color w:val="auto"/>
                <w:szCs w:val="21"/>
                <w:highlight w:val="none"/>
              </w:rPr>
              <w:t>/</w:t>
            </w:r>
          </w:p>
        </w:tc>
      </w:tr>
    </w:tbl>
    <w:p w14:paraId="03647B7C">
      <w:pPr>
        <w:bidi w:val="0"/>
        <w:rPr>
          <w:rFonts w:hint="eastAsia"/>
          <w:color w:val="auto"/>
          <w:highlight w:val="none"/>
          <w:lang w:val="en-US" w:eastAsia="zh-CN"/>
        </w:rPr>
      </w:pPr>
    </w:p>
    <w:p w14:paraId="006E00DD">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162BFEE7">
      <w:pPr>
        <w:pStyle w:val="4"/>
        <w:numPr>
          <w:ilvl w:val="0"/>
          <w:numId w:val="0"/>
        </w:numPr>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default" w:ascii="宋体" w:hAnsi="宋体" w:eastAsia="宋体" w:cs="宋体"/>
          <w:color w:val="auto"/>
          <w:sz w:val="24"/>
          <w:szCs w:val="24"/>
          <w:highlight w:val="none"/>
          <w:lang w:val="en-US"/>
        </w:rPr>
      </w:pPr>
      <w:bookmarkStart w:id="2315" w:name="_Toc18412"/>
      <w:bookmarkStart w:id="2316" w:name="_Toc15777"/>
      <w:r>
        <w:rPr>
          <w:rFonts w:hint="eastAsia" w:ascii="宋体" w:hAnsi="宋体" w:eastAsia="宋体" w:cs="宋体"/>
          <w:color w:val="auto"/>
          <w:sz w:val="24"/>
          <w:szCs w:val="24"/>
          <w:highlight w:val="none"/>
          <w:lang w:val="en-US" w:eastAsia="zh-CN"/>
        </w:rPr>
        <w:t xml:space="preserve">1. </w:t>
      </w:r>
      <w:bookmarkEnd w:id="2302"/>
      <w:bookmarkEnd w:id="2303"/>
      <w:bookmarkEnd w:id="2304"/>
      <w:bookmarkEnd w:id="2305"/>
      <w:bookmarkEnd w:id="2306"/>
      <w:bookmarkEnd w:id="2307"/>
      <w:r>
        <w:rPr>
          <w:rFonts w:hint="eastAsia" w:ascii="宋体" w:hAnsi="宋体" w:eastAsia="宋体" w:cs="宋体"/>
          <w:color w:val="auto"/>
          <w:sz w:val="24"/>
          <w:szCs w:val="24"/>
          <w:highlight w:val="none"/>
          <w:lang w:val="en-US" w:eastAsia="zh-CN"/>
        </w:rPr>
        <w:t>评标办法</w:t>
      </w:r>
      <w:bookmarkEnd w:id="2315"/>
      <w:bookmarkEnd w:id="2316"/>
    </w:p>
    <w:p w14:paraId="5573DC3E">
      <w:pPr>
        <w:pStyle w:val="23"/>
        <w:tabs>
          <w:tab w:val="left" w:pos="2127"/>
        </w:tabs>
        <w:kinsoku/>
        <w:overflowPunct/>
        <w:bidi w:val="0"/>
        <w:spacing w:line="360" w:lineRule="auto"/>
        <w:ind w:firstLine="420" w:firstLineChars="200"/>
        <w:textAlignment w:val="auto"/>
        <w:rPr>
          <w:rFonts w:hint="eastAsia" w:hAnsi="宋体"/>
          <w:color w:val="auto"/>
          <w:highlight w:val="none"/>
        </w:rPr>
      </w:pPr>
      <w:r>
        <w:rPr>
          <w:rFonts w:hint="eastAsia" w:hAnsi="宋体"/>
          <w:color w:val="auto"/>
          <w:highlight w:val="none"/>
        </w:rPr>
        <w:t>本项目采用评定分离，评标采用“通过制”的评标办法，定标采用评分法。分为评标委员会与定标委员会，评标委员会负责对</w:t>
      </w:r>
      <w:r>
        <w:rPr>
          <w:rFonts w:hint="eastAsia" w:hAnsi="宋体"/>
          <w:color w:val="auto"/>
          <w:highlight w:val="none"/>
          <w:lang w:eastAsia="zh-CN"/>
        </w:rPr>
        <w:t>投标文件（含定标文件）</w:t>
      </w:r>
      <w:r>
        <w:rPr>
          <w:rFonts w:hint="eastAsia" w:hAnsi="宋体"/>
          <w:color w:val="auto"/>
          <w:highlight w:val="none"/>
        </w:rPr>
        <w:t>进行资格审查，定标委员会负责对通过评标阶段的合格候选人进行资信因素、方案因素、价格因素和答辩因素评分并按总得分高低决定中标人。</w:t>
      </w:r>
    </w:p>
    <w:p w14:paraId="31841B97">
      <w:pPr>
        <w:bidi w:val="0"/>
        <w:rPr>
          <w:rFonts w:hint="eastAsia"/>
          <w:color w:val="auto"/>
          <w:highlight w:val="none"/>
          <w:lang w:val="en-US" w:eastAsia="zh-CN"/>
        </w:rPr>
      </w:pPr>
      <w:bookmarkStart w:id="2317" w:name="_Toc24475"/>
      <w:bookmarkStart w:id="2318" w:name="_Toc8138"/>
      <w:bookmarkStart w:id="2319" w:name="_Toc24679"/>
      <w:bookmarkStart w:id="2320" w:name="_Toc30472"/>
      <w:bookmarkStart w:id="2321" w:name="_Toc29394"/>
      <w:bookmarkStart w:id="2322" w:name="_Toc17112"/>
    </w:p>
    <w:p w14:paraId="31259A68">
      <w:pPr>
        <w:pStyle w:val="4"/>
        <w:numPr>
          <w:ilvl w:val="0"/>
          <w:numId w:val="0"/>
        </w:numPr>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rPr>
      </w:pPr>
      <w:bookmarkStart w:id="2323" w:name="_Toc8176"/>
      <w:bookmarkStart w:id="2324" w:name="_Toc29728"/>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评审标准</w:t>
      </w:r>
      <w:bookmarkEnd w:id="2317"/>
      <w:bookmarkEnd w:id="2318"/>
      <w:bookmarkEnd w:id="2319"/>
      <w:bookmarkEnd w:id="2320"/>
      <w:bookmarkEnd w:id="2321"/>
      <w:bookmarkEnd w:id="2322"/>
      <w:bookmarkEnd w:id="2323"/>
      <w:bookmarkEnd w:id="2324"/>
      <w:r>
        <w:rPr>
          <w:rFonts w:hint="eastAsia" w:ascii="宋体" w:hAnsi="宋体" w:eastAsia="宋体" w:cs="宋体"/>
          <w:color w:val="auto"/>
          <w:sz w:val="24"/>
          <w:szCs w:val="24"/>
          <w:highlight w:val="none"/>
        </w:rPr>
        <w:t xml:space="preserve"> </w:t>
      </w:r>
    </w:p>
    <w:p w14:paraId="6E0932FD">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lang w:eastAsia="zh-CN"/>
        </w:rPr>
      </w:pPr>
      <w:bookmarkStart w:id="2325" w:name="_Toc15805"/>
      <w:bookmarkStart w:id="2326" w:name="_Toc26131"/>
      <w:bookmarkStart w:id="2327" w:name="_Toc19178"/>
      <w:bookmarkStart w:id="2328" w:name="_Toc30586"/>
      <w:bookmarkStart w:id="2329" w:name="_Toc29434"/>
      <w:bookmarkStart w:id="2330" w:name="_Toc20054"/>
      <w:bookmarkStart w:id="2331" w:name="_Toc7227"/>
      <w:bookmarkStart w:id="2332" w:name="_Toc987"/>
      <w:bookmarkStart w:id="2333" w:name="_Toc31686"/>
      <w:r>
        <w:rPr>
          <w:rFonts w:hint="eastAsia" w:ascii="宋体" w:hAnsi="宋体" w:eastAsia="宋体" w:cs="宋体"/>
          <w:b/>
          <w:bCs/>
          <w:color w:val="auto"/>
          <w:highlight w:val="none"/>
        </w:rPr>
        <w:t>2.1 评审标准</w:t>
      </w:r>
      <w:bookmarkEnd w:id="2325"/>
      <w:bookmarkEnd w:id="2326"/>
      <w:bookmarkEnd w:id="2327"/>
      <w:bookmarkEnd w:id="2328"/>
      <w:bookmarkEnd w:id="2329"/>
      <w:bookmarkEnd w:id="2330"/>
      <w:bookmarkEnd w:id="2331"/>
      <w:bookmarkEnd w:id="2332"/>
      <w:bookmarkEnd w:id="2333"/>
    </w:p>
    <w:bookmarkEnd w:id="2308"/>
    <w:bookmarkEnd w:id="2309"/>
    <w:bookmarkEnd w:id="2310"/>
    <w:bookmarkEnd w:id="2311"/>
    <w:bookmarkEnd w:id="2312"/>
    <w:bookmarkEnd w:id="2313"/>
    <w:bookmarkEnd w:id="2314"/>
    <w:p w14:paraId="75163BA6">
      <w:pPr>
        <w:spacing w:line="360" w:lineRule="auto"/>
        <w:ind w:firstLine="420" w:firstLineChars="200"/>
        <w:rPr>
          <w:rFonts w:hint="eastAsia" w:ascii="宋体" w:hAnsi="宋体" w:cs="宋体"/>
          <w:color w:val="auto"/>
          <w:sz w:val="24"/>
          <w:szCs w:val="24"/>
          <w:highlight w:val="none"/>
        </w:rPr>
      </w:pPr>
      <w:r>
        <w:rPr>
          <w:rFonts w:hint="eastAsia" w:ascii="宋体" w:hAnsi="宋体" w:cs="宋体"/>
          <w:color w:val="auto"/>
          <w:sz w:val="21"/>
          <w:szCs w:val="21"/>
          <w:highlight w:val="none"/>
        </w:rPr>
        <w:t>2.1.1投标人初步评审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资格审查标准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：见评标办法前附表</w:t>
      </w:r>
    </w:p>
    <w:p w14:paraId="5DDAAE7E">
      <w:pPr>
        <w:bidi w:val="0"/>
        <w:rPr>
          <w:rFonts w:hint="eastAsia"/>
          <w:color w:val="auto"/>
          <w:highlight w:val="none"/>
        </w:rPr>
      </w:pPr>
      <w:bookmarkStart w:id="2334" w:name="_Toc28933"/>
      <w:bookmarkStart w:id="2335" w:name="_Toc2951"/>
      <w:bookmarkStart w:id="2336" w:name="_Toc4696"/>
      <w:bookmarkStart w:id="2337" w:name="_Toc28315"/>
      <w:bookmarkStart w:id="2338" w:name="_Toc7372"/>
      <w:bookmarkStart w:id="2339" w:name="_Toc27646"/>
    </w:p>
    <w:p w14:paraId="084220DB">
      <w:pPr>
        <w:pStyle w:val="4"/>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rPr>
      </w:pPr>
      <w:bookmarkStart w:id="2340" w:name="_Toc9660"/>
      <w:bookmarkStart w:id="2341" w:name="_Toc30466"/>
      <w:r>
        <w:rPr>
          <w:rFonts w:hint="eastAsia" w:ascii="宋体" w:hAnsi="宋体" w:eastAsia="宋体" w:cs="宋体"/>
          <w:color w:val="auto"/>
          <w:sz w:val="24"/>
          <w:szCs w:val="24"/>
          <w:highlight w:val="none"/>
        </w:rPr>
        <w:t xml:space="preserve">3. </w:t>
      </w:r>
      <w:bookmarkEnd w:id="2334"/>
      <w:bookmarkEnd w:id="2335"/>
      <w:bookmarkEnd w:id="2336"/>
      <w:bookmarkEnd w:id="2337"/>
      <w:bookmarkEnd w:id="2338"/>
      <w:bookmarkEnd w:id="2339"/>
      <w:r>
        <w:rPr>
          <w:rFonts w:hint="eastAsia" w:ascii="宋体" w:hAnsi="宋体" w:eastAsia="宋体" w:cs="宋体"/>
          <w:color w:val="auto"/>
          <w:sz w:val="24"/>
          <w:szCs w:val="24"/>
          <w:highlight w:val="none"/>
          <w:lang w:eastAsia="zh-CN"/>
        </w:rPr>
        <w:t>评标、定标程序</w:t>
      </w:r>
      <w:bookmarkEnd w:id="2340"/>
      <w:bookmarkEnd w:id="2341"/>
    </w:p>
    <w:p w14:paraId="043F5AB7">
      <w:pPr>
        <w:keepNext/>
        <w:keepLines/>
        <w:spacing w:before="100" w:after="100" w:line="360" w:lineRule="auto"/>
        <w:outlineLvl w:val="2"/>
        <w:rPr>
          <w:rFonts w:hint="eastAsia" w:ascii="宋体" w:hAnsi="宋体" w:cs="宋体"/>
          <w:b/>
          <w:color w:val="auto"/>
          <w:sz w:val="21"/>
          <w:szCs w:val="21"/>
          <w:highlight w:val="none"/>
        </w:rPr>
      </w:pPr>
      <w:bookmarkStart w:id="2342" w:name="_Toc27127"/>
      <w:bookmarkStart w:id="2343" w:name="_Toc20824"/>
      <w:bookmarkStart w:id="2344" w:name="_Toc19896"/>
      <w:bookmarkStart w:id="2345" w:name="_Toc16960"/>
      <w:bookmarkStart w:id="2346" w:name="_Toc13361"/>
      <w:bookmarkStart w:id="2347" w:name="_Toc485211100"/>
      <w:bookmarkStart w:id="2348" w:name="_Toc19690"/>
      <w:bookmarkStart w:id="2349" w:name="_Toc6214"/>
      <w:bookmarkStart w:id="2350" w:name="_Toc18704"/>
      <w:bookmarkStart w:id="2351" w:name="_Toc29891"/>
      <w:bookmarkStart w:id="2352" w:name="_Toc26951"/>
      <w:bookmarkStart w:id="2353" w:name="_Toc32119"/>
      <w:bookmarkStart w:id="2354" w:name="_Toc26874"/>
      <w:r>
        <w:rPr>
          <w:rFonts w:hint="eastAsia" w:ascii="宋体" w:hAnsi="宋体" w:cs="宋体"/>
          <w:b/>
          <w:color w:val="auto"/>
          <w:kern w:val="0"/>
          <w:sz w:val="21"/>
          <w:szCs w:val="21"/>
          <w:highlight w:val="none"/>
        </w:rPr>
        <w:t>3.1</w:t>
      </w:r>
      <w:r>
        <w:rPr>
          <w:rFonts w:hint="eastAsia" w:ascii="宋体" w:hAnsi="宋体" w:cs="宋体"/>
          <w:b/>
          <w:color w:val="auto"/>
          <w:sz w:val="21"/>
          <w:szCs w:val="21"/>
          <w:highlight w:val="none"/>
        </w:rPr>
        <w:t>资格审查及评标细则</w:t>
      </w:r>
      <w:bookmarkEnd w:id="2342"/>
      <w:bookmarkEnd w:id="2343"/>
      <w:bookmarkEnd w:id="2344"/>
      <w:bookmarkEnd w:id="2345"/>
      <w:bookmarkEnd w:id="2346"/>
    </w:p>
    <w:p w14:paraId="113FD0AB">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3.1.1资格审查及评标均由招标人依法组建的评标委员会负责。</w:t>
      </w:r>
    </w:p>
    <w:p w14:paraId="499B897F">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3.1.2评标委员会的组成：详见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投标人须知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6.1.1。</w:t>
      </w:r>
    </w:p>
    <w:p w14:paraId="3BC3F3FA">
      <w:pPr>
        <w:tabs>
          <w:tab w:val="left" w:pos="7380"/>
        </w:tabs>
        <w:spacing w:line="360" w:lineRule="auto"/>
        <w:ind w:firstLine="422" w:firstLineChars="200"/>
        <w:rPr>
          <w:rFonts w:hint="eastAsia" w:ascii="宋体" w:hAnsi="宋体" w:cs="宋体"/>
          <w:b/>
          <w:bCs/>
          <w:color w:val="auto"/>
          <w:sz w:val="21"/>
          <w:szCs w:val="21"/>
          <w:highlight w:val="none"/>
          <w:u w:val="single"/>
        </w:rPr>
      </w:pPr>
      <w:r>
        <w:rPr>
          <w:rFonts w:hint="eastAsia" w:ascii="宋体" w:hAnsi="宋体" w:cs="宋体"/>
          <w:b/>
          <w:bCs/>
          <w:color w:val="auto"/>
          <w:sz w:val="21"/>
          <w:szCs w:val="21"/>
          <w:highlight w:val="none"/>
          <w:u w:val="single"/>
        </w:rPr>
        <w:t>评标委员会在开始评标前，应了解评标专家的职责及守则，认真阅读《评标委员会成员声明》的内容并签名，签字后方可进行评标。</w:t>
      </w:r>
    </w:p>
    <w:p w14:paraId="6E4E8B9B">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3.1.3资格审查流程</w:t>
      </w:r>
    </w:p>
    <w:p w14:paraId="36A941A8">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3.1.3.1评标委员会按资格审查的标准对所有递交</w:t>
      </w:r>
      <w:r>
        <w:rPr>
          <w:rFonts w:hint="eastAsia" w:ascii="宋体" w:hAnsi="宋体" w:cs="宋体"/>
          <w:color w:val="auto"/>
          <w:sz w:val="21"/>
          <w:szCs w:val="21"/>
          <w:highlight w:val="none"/>
          <w:lang w:eastAsia="zh-CN"/>
        </w:rPr>
        <w:t>投标文件（含定标文件）</w:t>
      </w:r>
      <w:r>
        <w:rPr>
          <w:rFonts w:hint="eastAsia" w:ascii="宋体" w:hAnsi="宋体" w:cs="宋体"/>
          <w:color w:val="auto"/>
          <w:sz w:val="21"/>
          <w:szCs w:val="21"/>
          <w:highlight w:val="none"/>
        </w:rPr>
        <w:t>的投标人进行审查，如资格审查合格的投标人不足3名时，应重新招标。</w:t>
      </w:r>
    </w:p>
    <w:p w14:paraId="705CD206">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3.1.3.2如通过否决性条款审查的投标人少于3名时，应重新招标。</w:t>
      </w:r>
    </w:p>
    <w:p w14:paraId="191E5F5A">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3.1.4投标人资格审查</w:t>
      </w:r>
    </w:p>
    <w:p w14:paraId="3BC3A9EF">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3.1.4.1由评标委员会进行资格审查。资格审查文件全部符合本办法附表一《资格审查表》中情形的，为资格审查合格。否则为资格审查不合格，经评标委员会认定后，其资格审查文件将被拒绝。如评标委员会成员的评审意见不一致时，应先公开要求投标人进行澄清，并记录及由评标委员会、作出澄清的投标人签字确认，以评标委员会过半数成员的意见作为评标委员会对该情形的认定结论。</w:t>
      </w:r>
    </w:p>
    <w:p w14:paraId="4657A186">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3.1.4.2汇总资格审查情况，编写资格审查报告。</w:t>
      </w:r>
    </w:p>
    <w:p w14:paraId="22096D21">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3.1.5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14:paraId="785F1D18">
      <w:pPr>
        <w:tabs>
          <w:tab w:val="left" w:pos="7380"/>
        </w:tabs>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特别声明：资审合格后，投标人的资格发生变化而不满足投标人合格条件，在发出中标通知书前，资格问题仍未解决的，招标人将取消其中标资格。</w:t>
      </w:r>
      <w:bookmarkStart w:id="2355" w:name="_Toc22905"/>
      <w:bookmarkStart w:id="2356" w:name="_Toc19231"/>
      <w:bookmarkStart w:id="2357" w:name="_Toc9052"/>
      <w:bookmarkStart w:id="2358" w:name="_Toc28366"/>
      <w:bookmarkStart w:id="2359" w:name="_Toc10869"/>
      <w:bookmarkStart w:id="2360" w:name="_Toc10376"/>
      <w:bookmarkStart w:id="2361" w:name="_Toc25987"/>
    </w:p>
    <w:bookmarkEnd w:id="2347"/>
    <w:bookmarkEnd w:id="2355"/>
    <w:bookmarkEnd w:id="2356"/>
    <w:bookmarkEnd w:id="2357"/>
    <w:bookmarkEnd w:id="2358"/>
    <w:bookmarkEnd w:id="2359"/>
    <w:bookmarkEnd w:id="2360"/>
    <w:bookmarkEnd w:id="2361"/>
    <w:p w14:paraId="15A1C3B7">
      <w:pPr>
        <w:bidi w:val="0"/>
        <w:rPr>
          <w:rFonts w:hint="eastAsia"/>
          <w:color w:val="auto"/>
          <w:highlight w:val="none"/>
        </w:rPr>
      </w:pPr>
    </w:p>
    <w:p w14:paraId="4597BF7D">
      <w:pPr>
        <w:keepNext/>
        <w:keepLines/>
        <w:spacing w:before="100" w:after="100" w:line="360" w:lineRule="auto"/>
        <w:outlineLvl w:val="2"/>
        <w:rPr>
          <w:rFonts w:hint="eastAsia" w:ascii="宋体" w:hAnsi="宋体" w:eastAsia="宋体" w:cs="宋体"/>
          <w:b/>
          <w:color w:val="auto"/>
          <w:kern w:val="0"/>
          <w:sz w:val="21"/>
          <w:szCs w:val="21"/>
          <w:highlight w:val="none"/>
        </w:rPr>
      </w:pPr>
      <w:bookmarkStart w:id="2362" w:name="_Toc19993"/>
      <w:bookmarkStart w:id="2363" w:name="_Toc2396"/>
      <w:r>
        <w:rPr>
          <w:rFonts w:hint="eastAsia" w:ascii="宋体" w:hAnsi="宋体" w:eastAsia="宋体" w:cs="宋体"/>
          <w:b/>
          <w:color w:val="auto"/>
          <w:kern w:val="0"/>
          <w:sz w:val="21"/>
          <w:szCs w:val="21"/>
          <w:highlight w:val="none"/>
        </w:rPr>
        <w:t>3.</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rPr>
        <w:t xml:space="preserve"> </w:t>
      </w:r>
      <w:r>
        <w:rPr>
          <w:rFonts w:hint="eastAsia" w:ascii="宋体" w:hAnsi="宋体" w:eastAsia="宋体" w:cs="宋体"/>
          <w:b/>
          <w:color w:val="auto"/>
          <w:kern w:val="0"/>
          <w:sz w:val="21"/>
          <w:szCs w:val="21"/>
          <w:highlight w:val="none"/>
          <w:lang w:eastAsia="zh-CN"/>
        </w:rPr>
        <w:t>评审</w:t>
      </w:r>
      <w:r>
        <w:rPr>
          <w:rFonts w:hint="eastAsia" w:ascii="宋体" w:hAnsi="宋体" w:eastAsia="宋体" w:cs="宋体"/>
          <w:b/>
          <w:color w:val="auto"/>
          <w:kern w:val="0"/>
          <w:sz w:val="21"/>
          <w:szCs w:val="21"/>
          <w:highlight w:val="none"/>
        </w:rPr>
        <w:t>结果</w:t>
      </w:r>
      <w:bookmarkEnd w:id="2362"/>
      <w:bookmarkEnd w:id="2363"/>
    </w:p>
    <w:p w14:paraId="2CB946C3">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 xml:space="preserve"> 评标委员会按照招标文件规定完成初步评审（资格</w:t>
      </w:r>
      <w:r>
        <w:rPr>
          <w:rFonts w:hint="eastAsia" w:ascii="宋体" w:hAnsi="宋体" w:cs="宋体"/>
          <w:color w:val="auto"/>
          <w:sz w:val="21"/>
          <w:szCs w:val="21"/>
          <w:highlight w:val="none"/>
          <w:lang w:eastAsia="zh-CN"/>
        </w:rPr>
        <w:t>审查</w:t>
      </w:r>
      <w:r>
        <w:rPr>
          <w:rFonts w:hint="eastAsia" w:ascii="宋体" w:hAnsi="宋体" w:eastAsia="宋体" w:cs="宋体"/>
          <w:color w:val="auto"/>
          <w:sz w:val="21"/>
          <w:szCs w:val="21"/>
          <w:highlight w:val="none"/>
          <w:lang w:eastAsia="zh-CN"/>
        </w:rPr>
        <w:t>评审），向招标人推荐合格的中标候选人，进入定标阶段【合格的中标候选人按其统一社会信用代码后4位（除校验码外）从大到小进行排位，不排序（如统一社会信用代码后4位出现字母情况的，字母以“0”进行代替大小排位；如出现后4位（除校验码外）大小一致的，则随机排位）】。合格的</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eastAsia="zh-CN"/>
        </w:rPr>
        <w:t>少于3家的，应当重新招标。</w:t>
      </w:r>
    </w:p>
    <w:p w14:paraId="7C3E7F2E">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.2 评标委员会完成评标后，应当向招标人提交书面评标报告和合格的中标候选人名单。</w:t>
      </w:r>
    </w:p>
    <w:p w14:paraId="4DAC6444">
      <w:pPr>
        <w:pStyle w:val="23"/>
        <w:rPr>
          <w:rFonts w:hint="eastAsia"/>
          <w:color w:val="auto"/>
          <w:highlight w:val="none"/>
        </w:rPr>
      </w:pPr>
    </w:p>
    <w:bookmarkEnd w:id="2348"/>
    <w:bookmarkEnd w:id="2349"/>
    <w:bookmarkEnd w:id="2350"/>
    <w:bookmarkEnd w:id="2351"/>
    <w:bookmarkEnd w:id="2352"/>
    <w:bookmarkEnd w:id="2353"/>
    <w:bookmarkEnd w:id="2354"/>
    <w:p w14:paraId="12990BF6">
      <w:pPr>
        <w:tabs>
          <w:tab w:val="left" w:pos="2127"/>
        </w:tabs>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color w:val="auto"/>
          <w:highlight w:val="none"/>
        </w:rPr>
      </w:pPr>
      <w:bookmarkStart w:id="2364" w:name="_Toc25814"/>
      <w:bookmarkStart w:id="2365" w:name="_Toc8274"/>
      <w:bookmarkStart w:id="2366" w:name="_Toc8311"/>
      <w:bookmarkStart w:id="2367" w:name="_Toc17523"/>
      <w:bookmarkStart w:id="2368" w:name="_Toc13155"/>
      <w:bookmarkStart w:id="2369" w:name="_Toc14027"/>
      <w:bookmarkStart w:id="2370" w:name="_Toc30850"/>
      <w:bookmarkStart w:id="2371" w:name="_Toc16005"/>
      <w:bookmarkStart w:id="2372" w:name="_Toc9863"/>
      <w:r>
        <w:rPr>
          <w:rFonts w:hint="eastAsia" w:ascii="宋体" w:hAnsi="宋体" w:eastAsia="宋体" w:cs="宋体"/>
          <w:b/>
          <w:bCs/>
          <w:color w:val="auto"/>
          <w:highlight w:val="none"/>
        </w:rPr>
        <w:t xml:space="preserve">3.3 </w:t>
      </w:r>
      <w:r>
        <w:rPr>
          <w:rFonts w:hint="eastAsia" w:ascii="宋体" w:hAnsi="宋体" w:cs="宋体"/>
          <w:b/>
          <w:bCs/>
          <w:color w:val="auto"/>
          <w:highlight w:val="none"/>
          <w:lang w:val="en-US" w:eastAsia="zh-CN"/>
        </w:rPr>
        <w:t>投标文件（含定标文件）</w:t>
      </w:r>
      <w:r>
        <w:rPr>
          <w:rFonts w:hint="eastAsia" w:ascii="宋体" w:hAnsi="宋体" w:eastAsia="宋体" w:cs="宋体"/>
          <w:b/>
          <w:bCs/>
          <w:color w:val="auto"/>
          <w:highlight w:val="none"/>
        </w:rPr>
        <w:t>的澄清和补正</w:t>
      </w:r>
      <w:bookmarkEnd w:id="2364"/>
      <w:bookmarkEnd w:id="2365"/>
      <w:bookmarkEnd w:id="2366"/>
      <w:bookmarkEnd w:id="2367"/>
      <w:bookmarkEnd w:id="2368"/>
      <w:bookmarkEnd w:id="2369"/>
      <w:bookmarkEnd w:id="2370"/>
      <w:bookmarkEnd w:id="2371"/>
      <w:bookmarkEnd w:id="2372"/>
    </w:p>
    <w:p w14:paraId="05E0F92F">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3</w:t>
      </w:r>
      <w:r>
        <w:rPr>
          <w:rFonts w:hint="eastAsia" w:ascii="宋体" w:hAnsi="宋体" w:eastAsia="宋体" w:cs="宋体"/>
          <w:color w:val="auto"/>
          <w:highlight w:val="none"/>
        </w:rPr>
        <w:t>.1 为有助于</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的审查、评价和比较，评标期间，经评标委员会中超过2人（含2人）的成员以书面形式提出动议，评标委员会应当书面发出澄清通知，要求投标人对</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含义不明确的内容作出澄清。</w:t>
      </w:r>
    </w:p>
    <w:p w14:paraId="66CF64DD">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3</w:t>
      </w:r>
      <w:r>
        <w:rPr>
          <w:rFonts w:hint="eastAsia" w:ascii="宋体" w:hAnsi="宋体" w:eastAsia="宋体" w:cs="宋体"/>
          <w:color w:val="auto"/>
          <w:highlight w:val="none"/>
        </w:rPr>
        <w:t>.2 投标人应以书面形式进行澄清，澄清中的承诺性意思表示在</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有效期内均对投标人有约束力。除评标委员会对评标中发现算术错误进行修正后要求投标人以澄清形式进行的核实和确认外，澄清不得超出</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的范围或改变</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的实质性内容，超出部分不作为评标委员会相应评审的依据。</w:t>
      </w:r>
    </w:p>
    <w:p w14:paraId="770BB7C4">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3</w:t>
      </w:r>
      <w:r>
        <w:rPr>
          <w:rFonts w:hint="eastAsia" w:ascii="宋体" w:hAnsi="宋体" w:eastAsia="宋体" w:cs="宋体"/>
          <w:color w:val="auto"/>
          <w:highlight w:val="none"/>
        </w:rPr>
        <w:t>.3 投标人报价有算术错误及其他错误的，评标委员会按以下原则要求对其报价进行修正：</w:t>
      </w:r>
    </w:p>
    <w:p w14:paraId="07721459">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（1）如投标函与报价书总价不一致时，以投标函为准；</w:t>
      </w:r>
    </w:p>
    <w:p w14:paraId="080766F9">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（2）如投标函与广州交易集团有限公司（广州公共资源交易中心）网站交易平台上填写报价不一致时，以投标函为准；</w:t>
      </w:r>
    </w:p>
    <w:p w14:paraId="595A5DC4">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（3）如报价金额大写与小写不一致时，以大写为准；</w:t>
      </w:r>
    </w:p>
    <w:p w14:paraId="06AEB3CB">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（4）报价书总价与分项报价合计数不一致时，以报价书总价为准，但在签订合同时由中标人修正分项的价格使之等于总价。</w:t>
      </w:r>
    </w:p>
    <w:p w14:paraId="3A68AF4D">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eastAsia="宋体" w:cs="宋体"/>
          <w:color w:val="auto"/>
          <w:highlight w:val="none"/>
        </w:rPr>
        <w:t>如果分项报价中存在缺漏项，则视为缺漏项价格已包含在其他分项报价之中。</w:t>
      </w:r>
    </w:p>
    <w:p w14:paraId="1A289F98">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4</w:t>
      </w:r>
      <w:r>
        <w:rPr>
          <w:rFonts w:hint="eastAsia" w:ascii="宋体" w:hAnsi="宋体" w:eastAsia="宋体" w:cs="宋体"/>
          <w:color w:val="auto"/>
          <w:highlight w:val="none"/>
        </w:rPr>
        <w:t xml:space="preserve"> 评标委员会成员均应当阅读投标人的澄清，但应独立参考澄清对</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进行评审。</w:t>
      </w:r>
    </w:p>
    <w:p w14:paraId="3008F47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5</w:t>
      </w:r>
      <w:r>
        <w:rPr>
          <w:rFonts w:hint="eastAsia" w:ascii="宋体" w:hAnsi="宋体" w:eastAsia="宋体" w:cs="宋体"/>
          <w:color w:val="auto"/>
          <w:highlight w:val="none"/>
        </w:rPr>
        <w:t xml:space="preserve"> 如果</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实质上不响应招标文件的各项要求，评标委员会相应评审将按照有效性审查标准予以拒绝，不接受投标人通过修改或撤销其不符合要求的差异或保留，使之成为具有响应性的投标。</w:t>
      </w:r>
    </w:p>
    <w:p w14:paraId="4F4CCE29">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注：①评委发现</w:t>
      </w:r>
      <w:r>
        <w:rPr>
          <w:rFonts w:hint="eastAsia" w:ascii="宋体" w:hAnsi="宋体" w:cs="宋体"/>
          <w:color w:val="auto"/>
          <w:highlight w:val="none"/>
          <w:lang w:eastAsia="zh-CN"/>
        </w:rPr>
        <w:t>投标文件（含定标文件）</w:t>
      </w:r>
      <w:r>
        <w:rPr>
          <w:rFonts w:hint="eastAsia" w:ascii="宋体" w:hAnsi="宋体" w:eastAsia="宋体" w:cs="宋体"/>
          <w:color w:val="auto"/>
          <w:highlight w:val="none"/>
        </w:rPr>
        <w:t>中含义不明确、对同类问题表述不一致、有明显文字和计算错误、投标报价可能低于成本影响履约的，应当要求投标人作必要的澄清、说明后再判定投标人是否通过初步评审，不得认定其不通过初步评审或直接否决投标。</w:t>
      </w:r>
    </w:p>
    <w:p w14:paraId="62C097C5">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②不得将文件顺序、明显的文字错误等列为否决投标的情形。若出现评标委员会否决投标的，应在评标报告中载明否决投标的具体情形、原因。</w:t>
      </w:r>
    </w:p>
    <w:p w14:paraId="00422F8D">
      <w:pPr>
        <w:bidi w:val="0"/>
        <w:rPr>
          <w:rFonts w:hint="eastAsia"/>
          <w:color w:val="auto"/>
          <w:highlight w:val="none"/>
        </w:rPr>
      </w:pPr>
      <w:bookmarkStart w:id="2373" w:name="_Toc25407"/>
      <w:bookmarkStart w:id="2374" w:name="_Toc14726"/>
      <w:bookmarkStart w:id="2375" w:name="_Toc7668"/>
      <w:bookmarkStart w:id="2376" w:name="_Toc9797"/>
      <w:bookmarkStart w:id="2377" w:name="_Toc21298"/>
      <w:bookmarkStart w:id="2378" w:name="_Toc32507"/>
      <w:bookmarkStart w:id="2379" w:name="_Toc5777"/>
    </w:p>
    <w:bookmarkEnd w:id="2373"/>
    <w:bookmarkEnd w:id="2374"/>
    <w:bookmarkEnd w:id="2375"/>
    <w:bookmarkEnd w:id="2376"/>
    <w:bookmarkEnd w:id="2377"/>
    <w:bookmarkEnd w:id="2378"/>
    <w:bookmarkEnd w:id="2379"/>
    <w:p w14:paraId="5AB2D954">
      <w:pPr>
        <w:bidi w:val="0"/>
        <w:rPr>
          <w:rFonts w:hint="eastAsia"/>
          <w:color w:val="auto"/>
          <w:highlight w:val="none"/>
        </w:rPr>
      </w:pPr>
    </w:p>
    <w:p w14:paraId="5115220E">
      <w:pPr>
        <w:keepNext/>
        <w:keepLines/>
        <w:spacing w:before="100" w:after="100" w:line="360" w:lineRule="auto"/>
        <w:outlineLvl w:val="2"/>
        <w:rPr>
          <w:rFonts w:ascii="宋体" w:hAnsi="宋体"/>
          <w:b/>
          <w:color w:val="auto"/>
          <w:sz w:val="32"/>
          <w:highlight w:val="none"/>
        </w:rPr>
      </w:pPr>
      <w:bookmarkStart w:id="2380" w:name="_Toc27558"/>
      <w:bookmarkStart w:id="2381" w:name="_Toc27531"/>
      <w:r>
        <w:rPr>
          <w:rFonts w:hint="eastAsia" w:ascii="宋体" w:hAnsi="宋体" w:eastAsia="宋体" w:cs="宋体"/>
          <w:b/>
          <w:color w:val="auto"/>
          <w:kern w:val="0"/>
          <w:sz w:val="21"/>
          <w:szCs w:val="21"/>
          <w:highlight w:val="none"/>
          <w:lang w:val="en-US" w:eastAsia="zh-CN"/>
        </w:rPr>
        <w:t>3.4</w:t>
      </w:r>
      <w:r>
        <w:rPr>
          <w:rFonts w:hint="eastAsia" w:ascii="宋体" w:hAnsi="宋体" w:eastAsia="宋体" w:cs="宋体"/>
          <w:b/>
          <w:color w:val="auto"/>
          <w:kern w:val="0"/>
          <w:sz w:val="21"/>
          <w:szCs w:val="21"/>
          <w:highlight w:val="none"/>
        </w:rPr>
        <w:t>定标</w:t>
      </w:r>
      <w:bookmarkEnd w:id="2380"/>
      <w:bookmarkEnd w:id="2381"/>
    </w:p>
    <w:p w14:paraId="1EC5335C">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3.4.1</w:t>
      </w:r>
      <w:r>
        <w:rPr>
          <w:rFonts w:hint="eastAsia" w:ascii="宋体" w:hAnsi="宋体" w:eastAsia="宋体" w:cs="宋体"/>
          <w:b w:val="0"/>
          <w:bCs w:val="0"/>
          <w:color w:val="auto"/>
          <w:sz w:val="21"/>
          <w:szCs w:val="21"/>
          <w:highlight w:val="none"/>
          <w:lang w:eastAsia="zh-CN"/>
        </w:rPr>
        <w:t>中标候选人公示结束后，招标人按以下规定组建定标委员会，在评标委员会推荐的合格中标候选人确定中标人：</w:t>
      </w:r>
    </w:p>
    <w:p w14:paraId="60616C8B">
      <w:pPr>
        <w:tabs>
          <w:tab w:val="left" w:pos="2127"/>
        </w:tabs>
        <w:kinsoku/>
        <w:wordWrap/>
        <w:overflowPunct/>
        <w:topLinePunct w:val="0"/>
        <w:autoSpaceDE/>
        <w:autoSpaceDN/>
        <w:bidi w:val="0"/>
        <w:adjustRightInd/>
        <w:snapToGrid/>
        <w:spacing w:line="312" w:lineRule="auto"/>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（1）定标由招标人依法组建的定标委员会负责，成员数量为5人，定标委员会成员不得参与定标前期准备工作。</w:t>
      </w:r>
    </w:p>
    <w:p w14:paraId="340E68DF">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3.4.2</w:t>
      </w:r>
      <w:r>
        <w:rPr>
          <w:rFonts w:hint="eastAsia" w:ascii="宋体" w:hAnsi="宋体" w:eastAsia="宋体" w:cs="宋体"/>
          <w:b w:val="0"/>
          <w:bCs w:val="0"/>
          <w:color w:val="auto"/>
          <w:sz w:val="21"/>
          <w:szCs w:val="21"/>
          <w:highlight w:val="none"/>
          <w:lang w:eastAsia="zh-CN"/>
        </w:rPr>
        <w:t>定标时间和地点</w:t>
      </w:r>
      <w:r>
        <w:rPr>
          <w:rFonts w:hint="eastAsia" w:ascii="宋体" w:hAnsi="宋体" w:eastAsia="宋体" w:cs="宋体"/>
          <w:b/>
          <w:bCs/>
          <w:color w:val="auto"/>
          <w:sz w:val="21"/>
          <w:szCs w:val="21"/>
          <w:highlight w:val="none"/>
          <w:lang w:eastAsia="zh-CN"/>
        </w:rPr>
        <w:t>：</w:t>
      </w:r>
      <w:r>
        <w:rPr>
          <w:rFonts w:hint="eastAsia" w:ascii="宋体" w:hAnsi="宋体" w:eastAsia="宋体" w:cs="宋体"/>
          <w:b w:val="0"/>
          <w:bCs w:val="0"/>
          <w:color w:val="auto"/>
          <w:sz w:val="21"/>
          <w:szCs w:val="21"/>
          <w:highlight w:val="none"/>
          <w:lang w:eastAsia="zh-CN"/>
        </w:rPr>
        <w:t>招标人在合格的中标候选人公示结束后10个工作日内在广州交易集团有限公司（广州公共资源交易中心）举行定标会议，招标人按规定程序在投标人须知的时间和地点完成定标工作。</w:t>
      </w:r>
    </w:p>
    <w:p w14:paraId="40F9A8F1">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3.4.3</w:t>
      </w:r>
      <w:r>
        <w:rPr>
          <w:rFonts w:hint="eastAsia" w:ascii="宋体" w:hAnsi="宋体" w:eastAsia="宋体" w:cs="宋体"/>
          <w:b w:val="0"/>
          <w:bCs w:val="0"/>
          <w:color w:val="auto"/>
          <w:sz w:val="21"/>
          <w:szCs w:val="21"/>
          <w:highlight w:val="none"/>
          <w:lang w:eastAsia="zh-CN"/>
        </w:rPr>
        <w:t>定标规则</w:t>
      </w:r>
    </w:p>
    <w:p w14:paraId="09AFBFCD">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定标采用评分法。具体定标方法如下：</w:t>
      </w:r>
    </w:p>
    <w:p w14:paraId="660A66F5">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3.4.4</w:t>
      </w:r>
      <w:r>
        <w:rPr>
          <w:rFonts w:hint="eastAsia" w:ascii="宋体" w:hAnsi="宋体" w:eastAsia="宋体" w:cs="宋体"/>
          <w:b w:val="0"/>
          <w:bCs w:val="0"/>
          <w:color w:val="auto"/>
          <w:sz w:val="21"/>
          <w:szCs w:val="21"/>
          <w:highlight w:val="none"/>
          <w:lang w:eastAsia="zh-CN"/>
        </w:rPr>
        <w:t>定标程序</w:t>
      </w:r>
    </w:p>
    <w:p w14:paraId="51BF63D7">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3.4.4.</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定标工作开始后，由招标人单位主要负责人或分管负责人担任定标委员会组长，主持当次定标会议。</w:t>
      </w:r>
    </w:p>
    <w:p w14:paraId="753E6472">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3.4.4.</w:t>
      </w:r>
      <w:r>
        <w:rPr>
          <w:rFonts w:hint="eastAsia" w:ascii="宋体" w:hAnsi="宋体" w:eastAsia="宋体" w:cs="宋体"/>
          <w:color w:val="auto"/>
          <w:sz w:val="21"/>
          <w:szCs w:val="21"/>
          <w:highlight w:val="none"/>
          <w:lang w:val="en-US" w:eastAsia="zh-CN"/>
        </w:rPr>
        <w:t>2定标辅助资料为评标阶段的评标报告、投标人提交的</w:t>
      </w:r>
      <w:r>
        <w:rPr>
          <w:rFonts w:hint="eastAsia" w:ascii="宋体" w:hAnsi="宋体" w:cs="宋体"/>
          <w:color w:val="auto"/>
          <w:sz w:val="21"/>
          <w:szCs w:val="21"/>
          <w:highlight w:val="none"/>
          <w:lang w:val="en-US" w:eastAsia="zh-CN"/>
        </w:rPr>
        <w:t>投标文件（含定标文件）</w:t>
      </w:r>
      <w:r>
        <w:rPr>
          <w:rFonts w:hint="eastAsia" w:ascii="宋体" w:hAnsi="宋体" w:eastAsia="宋体" w:cs="宋体"/>
          <w:color w:val="auto"/>
          <w:sz w:val="21"/>
          <w:szCs w:val="21"/>
          <w:highlight w:val="none"/>
          <w:lang w:val="en-US" w:eastAsia="zh-CN"/>
        </w:rPr>
        <w:t>。</w:t>
      </w:r>
    </w:p>
    <w:p w14:paraId="37984AAF">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3.4.4.</w:t>
      </w:r>
      <w:r>
        <w:rPr>
          <w:rFonts w:hint="eastAsia" w:ascii="宋体" w:hAnsi="宋体" w:eastAsia="宋体" w:cs="宋体"/>
          <w:color w:val="auto"/>
          <w:sz w:val="21"/>
          <w:szCs w:val="21"/>
          <w:highlight w:val="none"/>
          <w:lang w:val="en-US" w:eastAsia="zh-CN"/>
        </w:rPr>
        <w:t>3定标委员会根据定标辅助资料，对合格的中标候选人的资信因素、方案因素、价格因素和答辩因素进行评分。具体详见《定标因素表（定标阶段用表）》。</w:t>
      </w:r>
    </w:p>
    <w:p w14:paraId="1EBD9E2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3.4.4.</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定标委员会计算中标候选人总得分。总得分（满分100分）=资信因素（10分）+方案因素（50分）+答辩因素（20分）+价格因素得分（20分）。总得分四舍五入保留两位小数。</w:t>
      </w:r>
    </w:p>
    <w:p w14:paraId="342E2D66">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注：总得分相同的，以投标报价低的排前；若投标报价相同的，以答辩因素得分高的排前；若答辩因素得分相同的，以方案因素得分高的排前，若方案因素得分仍相同的，则对具有相同情况的合格中标候选人，由定标委员会采用撰写评语并记名投票以得票多优先，确定合格中标候选人的排序。</w:t>
      </w:r>
    </w:p>
    <w:p w14:paraId="2CD59924">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3.4.</w:t>
      </w:r>
      <w:r>
        <w:rPr>
          <w:rFonts w:hint="eastAsia" w:ascii="宋体" w:hAnsi="宋体" w:cs="宋体"/>
          <w:b w:val="0"/>
          <w:bCs w:val="0"/>
          <w:color w:val="auto"/>
          <w:sz w:val="21"/>
          <w:szCs w:val="21"/>
          <w:highlight w:val="none"/>
          <w:lang w:val="en-US" w:eastAsia="zh-CN"/>
        </w:rPr>
        <w:t>5定标委员会根据合格的中标候选人总得分由高至低排序合格中标候选人的名次，确定排名第一的合格中标候选人为中标人。</w:t>
      </w:r>
    </w:p>
    <w:p w14:paraId="0B7242AB">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w:t>
      </w:r>
      <w:r>
        <w:rPr>
          <w:rFonts w:hint="eastAsia" w:ascii="宋体" w:hAnsi="宋体" w:cs="宋体"/>
          <w:b w:val="0"/>
          <w:bCs w:val="0"/>
          <w:color w:val="auto"/>
          <w:sz w:val="21"/>
          <w:szCs w:val="21"/>
          <w:highlight w:val="none"/>
          <w:lang w:val="en-US" w:eastAsia="zh-CN"/>
        </w:rPr>
        <w:t>6编写定标报告，定标委员会全体确认后签署定标报告。定标报告由定标委员会全体成员签字，对定标结论持有异议的成员应以书面方式阐述其不同意见和理由。</w:t>
      </w:r>
    </w:p>
    <w:p w14:paraId="3C7ADF87">
      <w:pPr>
        <w:tabs>
          <w:tab w:val="left" w:pos="2127"/>
        </w:tabs>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3.4.7因质疑或投诉生效，需要重新评标或定标的，评标、定标信息仍以投标截止时投标人的信息为准。因特殊原因需要延长投标有效期，投标人拒绝延长投标有效期的，仍参与评标、定标，但不被推荐为中标人。</w:t>
      </w:r>
    </w:p>
    <w:p w14:paraId="407E1771">
      <w:pPr>
        <w:tabs>
          <w:tab w:val="left" w:pos="2127"/>
        </w:tabs>
        <w:kinsoku/>
        <w:wordWrap/>
        <w:overflowPunct/>
        <w:topLinePunct w:val="0"/>
        <w:autoSpaceDE/>
        <w:autoSpaceDN/>
        <w:bidi w:val="0"/>
        <w:adjustRightInd/>
        <w:snapToGrid/>
        <w:spacing w:line="312"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3.4.8重新评标或定标的，评标信息、定标信息仍以投标截止时投标人的信息为准。因特殊原因需要延长投标有效期，投标人拒绝延长投标有效期的，仍参与评标、定标，但不被推荐为中标人。</w:t>
      </w:r>
    </w:p>
    <w:p w14:paraId="2BC6441C">
      <w:pPr>
        <w:bidi w:val="0"/>
        <w:rPr>
          <w:rFonts w:hint="eastAsia"/>
          <w:color w:val="auto"/>
          <w:highlight w:val="none"/>
        </w:rPr>
      </w:pPr>
      <w:bookmarkStart w:id="2382" w:name="_Toc12943"/>
      <w:bookmarkStart w:id="2383" w:name="_Toc485211106"/>
      <w:bookmarkStart w:id="2384" w:name="_Toc30003"/>
      <w:bookmarkStart w:id="2385" w:name="_Toc20085"/>
      <w:bookmarkStart w:id="2386" w:name="_Toc26117"/>
      <w:bookmarkStart w:id="2387" w:name="_Toc375931100"/>
      <w:bookmarkStart w:id="2388" w:name="_Toc7183"/>
      <w:bookmarkStart w:id="2389" w:name="_Toc14911"/>
      <w:bookmarkStart w:id="2390" w:name="_Toc26861"/>
      <w:bookmarkStart w:id="2391" w:name="_Toc26712"/>
      <w:bookmarkStart w:id="2392" w:name="_Toc930"/>
    </w:p>
    <w:p w14:paraId="770DE934">
      <w:pPr>
        <w:pStyle w:val="4"/>
        <w:tabs>
          <w:tab w:val="left" w:pos="2127"/>
        </w:tabs>
        <w:kinsoku/>
        <w:wordWrap/>
        <w:overflowPunct/>
        <w:topLinePunct w:val="0"/>
        <w:autoSpaceDE/>
        <w:autoSpaceDN/>
        <w:bidi w:val="0"/>
        <w:adjustRightInd/>
        <w:snapToGrid/>
        <w:spacing w:before="0" w:beforeLines="0" w:after="0" w:afterLines="0" w:line="312" w:lineRule="auto"/>
        <w:textAlignment w:val="auto"/>
        <w:outlineLvl w:val="1"/>
        <w:rPr>
          <w:rFonts w:hint="eastAsia" w:ascii="宋体" w:hAnsi="宋体" w:eastAsia="宋体" w:cs="宋体"/>
          <w:color w:val="auto"/>
          <w:sz w:val="24"/>
          <w:szCs w:val="24"/>
          <w:highlight w:val="none"/>
        </w:rPr>
      </w:pPr>
      <w:bookmarkStart w:id="2393" w:name="_Toc32302"/>
      <w:bookmarkStart w:id="2394" w:name="_Toc13624"/>
      <w:r>
        <w:rPr>
          <w:rFonts w:hint="eastAsia" w:ascii="宋体" w:hAnsi="宋体" w:eastAsia="宋体" w:cs="宋体"/>
          <w:color w:val="auto"/>
          <w:sz w:val="24"/>
          <w:szCs w:val="24"/>
          <w:highlight w:val="none"/>
        </w:rPr>
        <w:t>4. 评标、定标表格</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7ECDDD2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见后附。</w:t>
      </w:r>
    </w:p>
    <w:p w14:paraId="2CFC6BA6">
      <w:pPr>
        <w:rPr>
          <w:rFonts w:hint="eastAsia"/>
          <w:color w:val="auto"/>
          <w:highlight w:val="none"/>
          <w:lang w:eastAsia="zh-CN"/>
        </w:rPr>
      </w:pPr>
      <w:r>
        <w:rPr>
          <w:rFonts w:hint="eastAsia"/>
          <w:color w:val="auto"/>
          <w:highlight w:val="none"/>
          <w:lang w:eastAsia="zh-CN"/>
        </w:rPr>
        <w:br w:type="page"/>
      </w:r>
    </w:p>
    <w:p w14:paraId="06DA10A4">
      <w:pPr>
        <w:spacing w:line="360" w:lineRule="auto"/>
        <w:ind w:right="480"/>
        <w:rPr>
          <w:rFonts w:ascii="宋体" w:hAnsi="宋体"/>
          <w:color w:val="auto"/>
          <w:sz w:val="24"/>
          <w:highlight w:val="none"/>
        </w:rPr>
      </w:pPr>
      <w:r>
        <w:rPr>
          <w:rFonts w:hint="eastAsia" w:ascii="宋体" w:hAnsi="宋体"/>
          <w:b/>
          <w:color w:val="auto"/>
          <w:sz w:val="24"/>
          <w:highlight w:val="none"/>
        </w:rPr>
        <w:t>附件：评标委员会成员声明</w:t>
      </w:r>
    </w:p>
    <w:p w14:paraId="5BC878F6">
      <w:pPr>
        <w:ind w:firstLine="643" w:firstLineChars="20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评标委员会成员声明</w:t>
      </w:r>
    </w:p>
    <w:p w14:paraId="11192970">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广州市番南能源有限公司 </w:t>
      </w:r>
      <w:r>
        <w:rPr>
          <w:rFonts w:hint="eastAsia" w:ascii="宋体" w:hAnsi="宋体" w:cs="宋体"/>
          <w:color w:val="auto"/>
          <w:sz w:val="24"/>
          <w:szCs w:val="24"/>
          <w:highlight w:val="none"/>
        </w:rPr>
        <w:t>：</w:t>
      </w:r>
    </w:p>
    <w:p w14:paraId="77B4A6B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本人就参与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500千伏番南输变电工程（变电站建筑）监理服务</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项目的评标工作，作出郑重声明：</w:t>
      </w:r>
    </w:p>
    <w:p w14:paraId="34C4A01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6925D30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4E4C9DA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34E7902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357F201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5E327B2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如果本人违反上述声明内容，造成的后果由本人自行承担。</w:t>
      </w:r>
    </w:p>
    <w:p w14:paraId="5D926321">
      <w:pPr>
        <w:spacing w:line="360" w:lineRule="auto"/>
        <w:ind w:firstLine="480" w:firstLineChars="200"/>
        <w:rPr>
          <w:rFonts w:hint="eastAsia" w:ascii="宋体" w:hAnsi="宋体" w:cs="宋体"/>
          <w:color w:val="auto"/>
          <w:sz w:val="24"/>
          <w:szCs w:val="24"/>
          <w:highlight w:val="none"/>
        </w:rPr>
      </w:pPr>
    </w:p>
    <w:p w14:paraId="01D12E1F">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 xml:space="preserve">                           声明人：</w:t>
      </w:r>
      <w:r>
        <w:rPr>
          <w:rFonts w:hint="eastAsia" w:ascii="宋体" w:hAnsi="宋体" w:cs="宋体"/>
          <w:color w:val="auto"/>
          <w:sz w:val="24"/>
          <w:szCs w:val="24"/>
          <w:highlight w:val="none"/>
          <w:u w:val="single"/>
        </w:rPr>
        <w:t xml:space="preserve">（签名）  </w:t>
      </w:r>
    </w:p>
    <w:p w14:paraId="4317B946">
      <w:pPr>
        <w:spacing w:line="360" w:lineRule="auto"/>
        <w:rPr>
          <w:rFonts w:hint="eastAsia" w:ascii="宋体" w:hAnsi="宋体" w:cs="宋体"/>
          <w:color w:val="auto"/>
          <w:sz w:val="24"/>
          <w:szCs w:val="24"/>
          <w:highlight w:val="none"/>
        </w:rPr>
        <w:sectPr>
          <w:footerReference r:id="rId7" w:type="default"/>
          <w:pgSz w:w="11905" w:h="16838" w:orient="landscape"/>
          <w:pgMar w:top="1247" w:right="1247" w:bottom="1247" w:left="1247" w:header="567" w:footer="850" w:gutter="0"/>
          <w:pgNumType w:fmt="decimal"/>
          <w:cols w:space="720" w:num="1"/>
          <w:docGrid w:type="lines" w:linePitch="312" w:charSpace="0"/>
        </w:sectPr>
      </w:pPr>
    </w:p>
    <w:p w14:paraId="20B0A83A">
      <w:pPr>
        <w:pStyle w:val="23"/>
        <w:rPr>
          <w:rFonts w:hint="eastAsia"/>
          <w:color w:val="auto"/>
          <w:highlight w:val="none"/>
          <w:lang w:eastAsia="zh-CN"/>
        </w:rPr>
      </w:pPr>
      <w:r>
        <w:rPr>
          <w:rFonts w:hint="eastAsia"/>
          <w:color w:val="auto"/>
          <w:highlight w:val="none"/>
          <w:lang w:eastAsia="zh-CN"/>
        </w:rPr>
        <w:t>附表一：</w:t>
      </w:r>
    </w:p>
    <w:p w14:paraId="3B83F5B8">
      <w:pPr>
        <w:keepNext w:val="0"/>
        <w:keepLines w:val="0"/>
        <w:pageBreakBefore w:val="0"/>
        <w:widowControl w:val="0"/>
        <w:numPr>
          <w:ilvl w:val="0"/>
          <w:numId w:val="0"/>
        </w:numPr>
        <w:tabs>
          <w:tab w:val="left" w:pos="2127"/>
        </w:tabs>
        <w:kinsoku/>
        <w:wordWrap/>
        <w:overflowPunct/>
        <w:topLinePunct w:val="0"/>
        <w:autoSpaceDE/>
        <w:autoSpaceDN/>
        <w:bidi w:val="0"/>
        <w:snapToGrid w:val="0"/>
        <w:spacing w:line="312" w:lineRule="auto"/>
        <w:ind w:left="0" w:firstLine="560" w:firstLineChars="200"/>
        <w:jc w:val="center"/>
        <w:textAlignment w:val="auto"/>
        <w:rPr>
          <w:rFonts w:hint="eastAsia" w:ascii="宋体" w:hAnsi="宋体" w:eastAsia="宋体" w:cs="Times New Roman"/>
          <w:color w:val="auto"/>
          <w:kern w:val="2"/>
          <w:sz w:val="28"/>
          <w:szCs w:val="28"/>
          <w:highlight w:val="none"/>
        </w:rPr>
      </w:pPr>
      <w:r>
        <w:rPr>
          <w:rFonts w:hint="eastAsia" w:hAnsi="宋体" w:eastAsia="宋体" w:cs="Times New Roman"/>
          <w:b w:val="0"/>
          <w:bCs w:val="0"/>
          <w:color w:val="auto"/>
          <w:sz w:val="28"/>
          <w:szCs w:val="28"/>
          <w:highlight w:val="none"/>
          <w:lang w:val="en-US" w:eastAsia="zh-CN"/>
        </w:rPr>
        <w:t>资格审查表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992"/>
        <w:gridCol w:w="6970"/>
      </w:tblGrid>
      <w:tr w14:paraId="0A85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 w:type="pct"/>
            <w:shd w:val="clear" w:color="auto" w:fill="FFFFFF"/>
            <w:vAlign w:val="center"/>
          </w:tcPr>
          <w:p w14:paraId="0E3306D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序号</w:t>
            </w:r>
          </w:p>
        </w:tc>
        <w:tc>
          <w:tcPr>
            <w:tcW w:w="1000" w:type="pct"/>
            <w:shd w:val="clear" w:color="auto" w:fill="FFFFFF"/>
            <w:vAlign w:val="center"/>
          </w:tcPr>
          <w:p w14:paraId="0BA13133">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w:t>
            </w:r>
            <w:r>
              <w:rPr>
                <w:rFonts w:hint="default" w:ascii="宋体" w:hAnsi="宋体" w:cs="宋体"/>
                <w:b/>
                <w:color w:val="auto"/>
                <w:sz w:val="21"/>
                <w:szCs w:val="21"/>
                <w:highlight w:val="none"/>
              </w:rPr>
              <w:t>因素</w:t>
            </w:r>
          </w:p>
        </w:tc>
        <w:tc>
          <w:tcPr>
            <w:tcW w:w="3499" w:type="pct"/>
            <w:shd w:val="clear" w:color="auto" w:fill="FFFFFF"/>
            <w:vAlign w:val="center"/>
          </w:tcPr>
          <w:p w14:paraId="4C7AEB2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评审标准</w:t>
            </w:r>
          </w:p>
        </w:tc>
      </w:tr>
      <w:tr w14:paraId="13D3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718DCE3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00" w:type="pct"/>
            <w:shd w:val="clear" w:color="auto" w:fill="FFFFFF"/>
            <w:vAlign w:val="center"/>
          </w:tcPr>
          <w:p w14:paraId="43BDE22A">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电脑机器特征码审查</w:t>
            </w:r>
          </w:p>
        </w:tc>
        <w:tc>
          <w:tcPr>
            <w:tcW w:w="3499" w:type="pct"/>
            <w:shd w:val="clear" w:color="auto" w:fill="FFFFFF"/>
            <w:vAlign w:val="center"/>
          </w:tcPr>
          <w:p w14:paraId="7C8B87F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投标人如存在以下情形，由评标委员会对其作否决投标处理：</w:t>
            </w:r>
          </w:p>
          <w:p w14:paraId="6E8E46AF">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投标人与其他投标人加密打包</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电脑机器特征码一致的</w:t>
            </w:r>
            <w:r>
              <w:rPr>
                <w:rFonts w:hint="eastAsia" w:ascii="宋体" w:hAnsi="宋体" w:eastAsia="宋体" w:cs="宋体"/>
                <w:color w:val="auto"/>
                <w:sz w:val="21"/>
                <w:szCs w:val="21"/>
                <w:highlight w:val="none"/>
                <w:lang w:eastAsia="zh-CN"/>
              </w:rPr>
              <w:t>。(以广州公共资源交易中心交易平台</w:t>
            </w:r>
            <w:r>
              <w:rPr>
                <w:rFonts w:hint="eastAsia" w:ascii="宋体" w:hAnsi="宋体" w:eastAsia="宋体" w:cs="宋体"/>
                <w:color w:val="auto"/>
                <w:sz w:val="21"/>
                <w:szCs w:val="21"/>
                <w:highlight w:val="none"/>
                <w:lang w:val="en-US" w:eastAsia="zh-CN"/>
              </w:rPr>
              <w:t>导出的《</w:t>
            </w:r>
            <w:r>
              <w:rPr>
                <w:rFonts w:hint="eastAsia" w:ascii="宋体" w:hAnsi="宋体" w:eastAsia="宋体" w:cs="宋体"/>
                <w:color w:val="auto"/>
                <w:sz w:val="21"/>
                <w:szCs w:val="21"/>
                <w:highlight w:val="none"/>
              </w:rPr>
              <w:t>投标文件电脑机器特征码系统分析结论表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为准)</w:t>
            </w:r>
          </w:p>
        </w:tc>
      </w:tr>
      <w:tr w14:paraId="58A2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3B15411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00" w:type="pct"/>
            <w:shd w:val="clear" w:color="auto" w:fill="FFFFFF"/>
            <w:vAlign w:val="center"/>
          </w:tcPr>
          <w:p w14:paraId="51B914E1">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w:t>
            </w:r>
          </w:p>
        </w:tc>
        <w:tc>
          <w:tcPr>
            <w:tcW w:w="3499" w:type="pct"/>
            <w:shd w:val="clear" w:color="auto" w:fill="FFFFFF"/>
            <w:vAlign w:val="center"/>
          </w:tcPr>
          <w:p w14:paraId="129AD7A0">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与营业执照、资质证书一致。</w:t>
            </w:r>
          </w:p>
        </w:tc>
      </w:tr>
      <w:tr w14:paraId="172F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4B8651B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00" w:type="pct"/>
            <w:shd w:val="clear" w:color="auto" w:fill="FFFFFF"/>
            <w:vAlign w:val="center"/>
          </w:tcPr>
          <w:p w14:paraId="75F84B86">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签字盖章</w:t>
            </w:r>
          </w:p>
        </w:tc>
        <w:tc>
          <w:tcPr>
            <w:tcW w:w="3499" w:type="pct"/>
            <w:shd w:val="clear" w:color="auto" w:fill="FFFFFF"/>
            <w:vAlign w:val="center"/>
          </w:tcPr>
          <w:p w14:paraId="1C29AFB2">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全部采用电子文档，</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所附证书证件均为原件扫描件，并采用单位数字证书，按招标文件要求在相应位置加盖电子印章。</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中需个人签字或盖章的，应加盖个人电子印章或在线下完成后扫描上传。</w:t>
            </w:r>
          </w:p>
          <w:p w14:paraId="3C77E85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注释：</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电子文档需要投标人单位盖章的材料，投标人加盖电子印章即可，不得将投标人未对电子文档加盖实物印章作为否决投标的情形。</w:t>
            </w:r>
          </w:p>
        </w:tc>
      </w:tr>
      <w:tr w14:paraId="75C5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00" w:type="pct"/>
            <w:shd w:val="clear" w:color="auto" w:fill="FFFFFF"/>
            <w:vAlign w:val="center"/>
          </w:tcPr>
          <w:p w14:paraId="04198D6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000" w:type="pct"/>
            <w:shd w:val="clear" w:color="auto" w:fill="FFFFFF"/>
            <w:vAlign w:val="center"/>
          </w:tcPr>
          <w:p w14:paraId="54901782">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格式</w:t>
            </w:r>
          </w:p>
        </w:tc>
        <w:tc>
          <w:tcPr>
            <w:tcW w:w="3499" w:type="pct"/>
            <w:shd w:val="clear" w:color="auto" w:fill="FFFFFF"/>
            <w:vAlign w:val="center"/>
          </w:tcPr>
          <w:p w14:paraId="16C142F1">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不存在下列任何一种情况:</w:t>
            </w:r>
          </w:p>
          <w:p w14:paraId="54D57D9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投标函未按招标文件规定的格式。</w:t>
            </w:r>
          </w:p>
          <w:p w14:paraId="75F5B39C">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未按招标文件要求的格式提供相关文件。</w:t>
            </w:r>
          </w:p>
          <w:p w14:paraId="651442F9">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封面及投标函的项目名称与招标文件规定的项目名称实质性不响应。</w:t>
            </w:r>
          </w:p>
          <w:p w14:paraId="1FFFB880">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内容的招标人名称与招标文件规定的招标人名称实质性不响应。</w:t>
            </w:r>
          </w:p>
        </w:tc>
      </w:tr>
      <w:tr w14:paraId="0223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127ABCF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000" w:type="pct"/>
            <w:shd w:val="clear" w:color="auto" w:fill="FFFFFF"/>
            <w:vAlign w:val="center"/>
          </w:tcPr>
          <w:p w14:paraId="3657E266">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通用资格</w:t>
            </w:r>
          </w:p>
        </w:tc>
        <w:tc>
          <w:tcPr>
            <w:tcW w:w="3499" w:type="pct"/>
            <w:shd w:val="clear" w:color="auto" w:fill="FFFFFF"/>
            <w:vAlign w:val="center"/>
          </w:tcPr>
          <w:p w14:paraId="79827110">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符合本项目所列的“通用资格”要求。</w:t>
            </w:r>
          </w:p>
        </w:tc>
      </w:tr>
      <w:tr w14:paraId="2783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217DEFAC">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000" w:type="pct"/>
            <w:shd w:val="clear" w:color="auto" w:fill="FFFFFF"/>
            <w:vAlign w:val="center"/>
          </w:tcPr>
          <w:p w14:paraId="310471AD">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专用资格</w:t>
            </w:r>
          </w:p>
        </w:tc>
        <w:tc>
          <w:tcPr>
            <w:tcW w:w="3499" w:type="pct"/>
            <w:shd w:val="clear" w:color="auto" w:fill="FFFFFF"/>
            <w:vAlign w:val="center"/>
          </w:tcPr>
          <w:p w14:paraId="17C6F378">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符合本项目所列的“专用资格”要求。</w:t>
            </w:r>
          </w:p>
        </w:tc>
      </w:tr>
      <w:tr w14:paraId="3715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3C0E49F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1000" w:type="pct"/>
            <w:shd w:val="clear" w:color="auto" w:fill="FFFFFF"/>
            <w:vAlign w:val="center"/>
          </w:tcPr>
          <w:p w14:paraId="4ACBB54C">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投标人不得存在的其他情形</w:t>
            </w:r>
          </w:p>
        </w:tc>
        <w:tc>
          <w:tcPr>
            <w:tcW w:w="3499" w:type="pct"/>
            <w:shd w:val="clear" w:color="auto" w:fill="FFFFFF"/>
            <w:vAlign w:val="center"/>
          </w:tcPr>
          <w:p w14:paraId="73969173">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符合第二章“投标人须知”第1.4.3项规定</w:t>
            </w:r>
          </w:p>
        </w:tc>
      </w:tr>
      <w:tr w14:paraId="3768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00" w:type="pct"/>
            <w:shd w:val="clear" w:color="auto" w:fill="FFFFFF"/>
            <w:vAlign w:val="center"/>
          </w:tcPr>
          <w:p w14:paraId="37D20B2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000" w:type="pct"/>
            <w:shd w:val="clear" w:color="auto" w:fill="FFFFFF"/>
            <w:vAlign w:val="center"/>
          </w:tcPr>
          <w:p w14:paraId="390A29EC">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投标报价</w:t>
            </w:r>
          </w:p>
        </w:tc>
        <w:tc>
          <w:tcPr>
            <w:tcW w:w="3499" w:type="pct"/>
            <w:shd w:val="clear" w:color="auto" w:fill="FFFFFF"/>
            <w:vAlign w:val="center"/>
          </w:tcPr>
          <w:p w14:paraId="01B59BA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符合招标文件要求</w:t>
            </w:r>
            <w:r>
              <w:rPr>
                <w:rFonts w:hint="eastAsia" w:ascii="宋体" w:hAnsi="宋体" w:cs="宋体"/>
                <w:color w:val="auto"/>
                <w:sz w:val="21"/>
                <w:szCs w:val="21"/>
                <w:highlight w:val="none"/>
                <w:lang w:eastAsia="zh-CN"/>
              </w:rPr>
              <w:t>。</w:t>
            </w:r>
          </w:p>
        </w:tc>
      </w:tr>
      <w:tr w14:paraId="2AEC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01AE664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000" w:type="pct"/>
            <w:shd w:val="clear" w:color="auto" w:fill="FFFFFF"/>
            <w:vAlign w:val="center"/>
          </w:tcPr>
          <w:p w14:paraId="755F2242">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监理服务期限</w:t>
            </w:r>
          </w:p>
        </w:tc>
        <w:tc>
          <w:tcPr>
            <w:tcW w:w="3499" w:type="pct"/>
            <w:shd w:val="clear" w:color="auto" w:fill="FFFFFF"/>
            <w:vAlign w:val="center"/>
          </w:tcPr>
          <w:p w14:paraId="7F4332C0">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符合招标文件要求</w:t>
            </w:r>
            <w:r>
              <w:rPr>
                <w:rFonts w:hint="eastAsia" w:ascii="宋体" w:hAnsi="宋体" w:cs="宋体"/>
                <w:color w:val="auto"/>
                <w:sz w:val="21"/>
                <w:szCs w:val="21"/>
                <w:highlight w:val="none"/>
                <w:lang w:eastAsia="zh-CN"/>
              </w:rPr>
              <w:t>。</w:t>
            </w:r>
          </w:p>
        </w:tc>
      </w:tr>
      <w:tr w14:paraId="16EF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165A1584">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000" w:type="pct"/>
            <w:shd w:val="clear" w:color="auto" w:fill="FFFFFF"/>
            <w:vAlign w:val="center"/>
          </w:tcPr>
          <w:p w14:paraId="7C1B1FA3">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w:t>
            </w:r>
          </w:p>
        </w:tc>
        <w:tc>
          <w:tcPr>
            <w:tcW w:w="3499" w:type="pct"/>
            <w:shd w:val="clear" w:color="auto" w:fill="FFFFFF"/>
            <w:vAlign w:val="center"/>
          </w:tcPr>
          <w:p w14:paraId="742BBE47">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符合招标文件要求</w:t>
            </w:r>
            <w:r>
              <w:rPr>
                <w:rFonts w:hint="eastAsia" w:ascii="宋体" w:hAnsi="宋体" w:cs="宋体"/>
                <w:color w:val="auto"/>
                <w:sz w:val="21"/>
                <w:szCs w:val="21"/>
                <w:highlight w:val="none"/>
                <w:lang w:eastAsia="zh-CN"/>
              </w:rPr>
              <w:t>。</w:t>
            </w:r>
          </w:p>
        </w:tc>
      </w:tr>
      <w:tr w14:paraId="5DA8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6B5F3500">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000" w:type="pct"/>
            <w:shd w:val="clear" w:color="auto" w:fill="FFFFFF"/>
            <w:vAlign w:val="center"/>
          </w:tcPr>
          <w:p w14:paraId="670E55AC">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3499" w:type="pct"/>
            <w:shd w:val="clear" w:color="auto" w:fill="FFFFFF"/>
            <w:vAlign w:val="center"/>
          </w:tcPr>
          <w:p w14:paraId="58413FE8">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符合招标文件要求</w:t>
            </w:r>
            <w:r>
              <w:rPr>
                <w:rFonts w:hint="eastAsia" w:ascii="宋体" w:hAnsi="宋体" w:cs="宋体"/>
                <w:color w:val="auto"/>
                <w:sz w:val="21"/>
                <w:szCs w:val="21"/>
                <w:highlight w:val="none"/>
                <w:lang w:eastAsia="zh-CN"/>
              </w:rPr>
              <w:t>。</w:t>
            </w:r>
          </w:p>
        </w:tc>
      </w:tr>
      <w:tr w14:paraId="6662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6F63C244">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000" w:type="pct"/>
            <w:shd w:val="clear" w:color="auto" w:fill="FFFFFF"/>
            <w:vAlign w:val="center"/>
          </w:tcPr>
          <w:p w14:paraId="27F134A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3499" w:type="pct"/>
            <w:shd w:val="clear" w:color="auto" w:fill="FFFFFF"/>
            <w:vAlign w:val="center"/>
          </w:tcPr>
          <w:p w14:paraId="4775A3F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符合招标文件要求</w:t>
            </w:r>
            <w:r>
              <w:rPr>
                <w:rFonts w:hint="eastAsia" w:ascii="宋体" w:hAnsi="宋体" w:cs="宋体"/>
                <w:color w:val="auto"/>
                <w:sz w:val="21"/>
                <w:szCs w:val="21"/>
                <w:highlight w:val="none"/>
                <w:lang w:eastAsia="zh-CN"/>
              </w:rPr>
              <w:t>。</w:t>
            </w:r>
          </w:p>
        </w:tc>
      </w:tr>
      <w:tr w14:paraId="651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shd w:val="clear" w:color="auto" w:fill="FFFFFF"/>
            <w:vAlign w:val="center"/>
          </w:tcPr>
          <w:p w14:paraId="1BAD4235">
            <w:pPr>
              <w:keepNext w:val="0"/>
              <w:keepLines w:val="0"/>
              <w:suppressLineNumbers w:val="0"/>
              <w:spacing w:before="0" w:beforeAutospacing="0" w:after="0" w:afterAutospacing="0"/>
              <w:ind w:left="0"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1000" w:type="pct"/>
            <w:shd w:val="clear" w:color="auto" w:fill="FFFFFF"/>
            <w:vAlign w:val="center"/>
          </w:tcPr>
          <w:p w14:paraId="1344C220">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不存在其他否决投标的情形</w:t>
            </w:r>
          </w:p>
        </w:tc>
        <w:tc>
          <w:tcPr>
            <w:tcW w:w="3499" w:type="pct"/>
            <w:shd w:val="clear" w:color="auto" w:fill="FFFFFF"/>
            <w:vAlign w:val="center"/>
          </w:tcPr>
          <w:p w14:paraId="21CD94EB">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不存在下列任何情况之一：</w:t>
            </w:r>
          </w:p>
          <w:p w14:paraId="353EF3D2">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投标文件（含定标文件）</w:t>
            </w:r>
            <w:r>
              <w:rPr>
                <w:rFonts w:hint="eastAsia" w:ascii="宋体" w:hAnsi="宋体" w:eastAsia="宋体" w:cs="宋体"/>
                <w:color w:val="auto"/>
                <w:sz w:val="21"/>
                <w:szCs w:val="21"/>
                <w:highlight w:val="none"/>
              </w:rPr>
              <w:t>没有对招标文件的实质性要求和条件作出响应，或者对招标文件的偏差超出招标文件规定的偏差范围或最高项数；</w:t>
            </w:r>
          </w:p>
          <w:p w14:paraId="746EC987">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（2）有串通投标、弄虚作假、行贿等违法行为。</w:t>
            </w:r>
          </w:p>
          <w:p w14:paraId="335BB4FE">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（3）不按评标委员会要求澄清、说明或补正的。</w:t>
            </w:r>
          </w:p>
          <w:p w14:paraId="5CE577E3">
            <w:pPr>
              <w:keepNext w:val="0"/>
              <w:keepLines w:val="0"/>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（4）招标文件规定的任何一种否决投标的情形。</w:t>
            </w:r>
          </w:p>
        </w:tc>
      </w:tr>
    </w:tbl>
    <w:p w14:paraId="32EF7BA5">
      <w:pPr>
        <w:keepNext w:val="0"/>
        <w:keepLines w:val="0"/>
        <w:pageBreakBefore w:val="0"/>
        <w:widowControl w:val="0"/>
        <w:tabs>
          <w:tab w:val="left" w:pos="2127"/>
        </w:tabs>
        <w:kinsoku/>
        <w:wordWrap/>
        <w:overflowPunct/>
        <w:topLinePunct w:val="0"/>
        <w:autoSpaceDE/>
        <w:autoSpaceDN/>
        <w:bidi w:val="0"/>
        <w:adjustRightInd/>
        <w:snapToGrid w:val="0"/>
        <w:spacing w:line="312" w:lineRule="auto"/>
        <w:textAlignment w:val="auto"/>
        <w:rPr>
          <w:rFonts w:hint="eastAsia" w:ascii="宋体" w:hAnsi="宋体"/>
          <w:color w:val="auto"/>
          <w:sz w:val="21"/>
          <w:szCs w:val="22"/>
          <w:highlight w:val="none"/>
        </w:rPr>
      </w:pPr>
      <w:r>
        <w:rPr>
          <w:rFonts w:hint="eastAsia" w:ascii="宋体" w:hAnsi="宋体"/>
          <w:color w:val="auto"/>
          <w:sz w:val="21"/>
          <w:szCs w:val="22"/>
          <w:highlight w:val="none"/>
        </w:rPr>
        <w:t>说明：</w:t>
      </w:r>
    </w:p>
    <w:p w14:paraId="3233F701">
      <w:pPr>
        <w:keepNext w:val="0"/>
        <w:keepLines w:val="0"/>
        <w:pageBreakBefore w:val="0"/>
        <w:widowControl w:val="0"/>
        <w:tabs>
          <w:tab w:val="left" w:pos="2127"/>
        </w:tabs>
        <w:kinsoku/>
        <w:wordWrap/>
        <w:overflowPunct/>
        <w:topLinePunct w:val="0"/>
        <w:autoSpaceDE/>
        <w:autoSpaceDN/>
        <w:bidi w:val="0"/>
        <w:adjustRightInd/>
        <w:snapToGrid w:val="0"/>
        <w:spacing w:line="312" w:lineRule="auto"/>
        <w:ind w:firstLine="420" w:firstLineChars="200"/>
        <w:textAlignment w:val="auto"/>
        <w:rPr>
          <w:rFonts w:hint="eastAsia" w:ascii="宋体" w:hAnsi="宋体"/>
          <w:color w:val="auto"/>
          <w:sz w:val="21"/>
          <w:szCs w:val="22"/>
          <w:highlight w:val="none"/>
        </w:rPr>
      </w:pPr>
      <w:r>
        <w:rPr>
          <w:rFonts w:hint="eastAsia" w:ascii="宋体" w:hAnsi="宋体"/>
          <w:color w:val="auto"/>
          <w:sz w:val="21"/>
          <w:szCs w:val="22"/>
          <w:highlight w:val="none"/>
        </w:rPr>
        <w:t>（1）凡不满足以上任何一项情形，结论均为无效，否则就为有效。有效的记“○”无效的记“×”，全部审查项目均为有效的，结论为“通过”，否则为“不通过”；</w:t>
      </w:r>
    </w:p>
    <w:p w14:paraId="7DCBA8F6">
      <w:pPr>
        <w:keepNext w:val="0"/>
        <w:keepLines w:val="0"/>
        <w:pageBreakBefore w:val="0"/>
        <w:widowControl w:val="0"/>
        <w:tabs>
          <w:tab w:val="left" w:pos="2127"/>
        </w:tabs>
        <w:kinsoku/>
        <w:wordWrap/>
        <w:overflowPunct/>
        <w:topLinePunct w:val="0"/>
        <w:autoSpaceDE/>
        <w:autoSpaceDN/>
        <w:bidi w:val="0"/>
        <w:adjustRightInd/>
        <w:snapToGrid w:val="0"/>
        <w:spacing w:line="312" w:lineRule="auto"/>
        <w:ind w:firstLine="420" w:firstLineChars="200"/>
        <w:textAlignment w:val="auto"/>
        <w:rPr>
          <w:rFonts w:hint="eastAsia" w:ascii="宋体" w:hAnsi="宋体"/>
          <w:color w:val="auto"/>
          <w:sz w:val="21"/>
          <w:szCs w:val="22"/>
          <w:highlight w:val="none"/>
        </w:rPr>
      </w:pPr>
      <w:r>
        <w:rPr>
          <w:rFonts w:hint="eastAsia" w:ascii="宋体" w:hAnsi="宋体"/>
          <w:color w:val="auto"/>
          <w:sz w:val="21"/>
          <w:szCs w:val="22"/>
          <w:highlight w:val="none"/>
        </w:rPr>
        <w:t>（2）如对本表中某种情形的评审意见不一致时，以评审组过半数成员的意见作为评审组对该情形的认定结论；</w:t>
      </w:r>
    </w:p>
    <w:p w14:paraId="0E61218C">
      <w:pPr>
        <w:keepNext w:val="0"/>
        <w:keepLines w:val="0"/>
        <w:pageBreakBefore w:val="0"/>
        <w:widowControl w:val="0"/>
        <w:tabs>
          <w:tab w:val="left" w:pos="2127"/>
        </w:tabs>
        <w:kinsoku/>
        <w:wordWrap/>
        <w:overflowPunct/>
        <w:topLinePunct w:val="0"/>
        <w:autoSpaceDE/>
        <w:autoSpaceDN/>
        <w:bidi w:val="0"/>
        <w:adjustRightInd/>
        <w:snapToGrid w:val="0"/>
        <w:spacing w:line="312" w:lineRule="auto"/>
        <w:ind w:firstLine="420" w:firstLineChars="200"/>
        <w:textAlignment w:val="auto"/>
        <w:rPr>
          <w:rFonts w:hint="eastAsia" w:ascii="宋体" w:hAnsi="宋体"/>
          <w:color w:val="auto"/>
          <w:sz w:val="21"/>
          <w:szCs w:val="22"/>
          <w:highlight w:val="none"/>
        </w:rPr>
      </w:pPr>
      <w:r>
        <w:rPr>
          <w:rFonts w:hint="eastAsia" w:ascii="宋体" w:hAnsi="宋体"/>
          <w:color w:val="auto"/>
          <w:sz w:val="21"/>
          <w:szCs w:val="22"/>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03C19A82">
      <w:pPr>
        <w:keepNext w:val="0"/>
        <w:keepLines w:val="0"/>
        <w:pageBreakBefore w:val="0"/>
        <w:widowControl w:val="0"/>
        <w:tabs>
          <w:tab w:val="left" w:pos="2127"/>
        </w:tabs>
        <w:kinsoku/>
        <w:wordWrap/>
        <w:overflowPunct/>
        <w:topLinePunct w:val="0"/>
        <w:autoSpaceDE/>
        <w:autoSpaceDN/>
        <w:bidi w:val="0"/>
        <w:adjustRightInd/>
        <w:snapToGrid w:val="0"/>
        <w:spacing w:line="312" w:lineRule="auto"/>
        <w:ind w:firstLine="420" w:firstLineChars="200"/>
        <w:textAlignment w:val="auto"/>
        <w:rPr>
          <w:rFonts w:hint="eastAsia" w:ascii="宋体" w:hAnsi="宋体" w:cs="Times New Roman"/>
          <w:color w:val="auto"/>
          <w:sz w:val="21"/>
          <w:szCs w:val="22"/>
          <w:highlight w:val="none"/>
        </w:rPr>
      </w:pPr>
      <w:r>
        <w:rPr>
          <w:rFonts w:hint="eastAsia" w:ascii="宋体" w:hAnsi="宋体" w:cs="Times New Roman"/>
          <w:color w:val="auto"/>
          <w:sz w:val="21"/>
          <w:szCs w:val="22"/>
          <w:highlight w:val="none"/>
          <w:lang w:eastAsia="zh-CN"/>
        </w:rPr>
        <w:t>（</w:t>
      </w:r>
      <w:r>
        <w:rPr>
          <w:rFonts w:hint="eastAsia" w:ascii="宋体" w:hAnsi="宋体" w:cs="Times New Roman"/>
          <w:color w:val="auto"/>
          <w:sz w:val="21"/>
          <w:szCs w:val="22"/>
          <w:highlight w:val="none"/>
          <w:lang w:val="en-US" w:eastAsia="zh-CN"/>
        </w:rPr>
        <w:t>4</w:t>
      </w:r>
      <w:r>
        <w:rPr>
          <w:rFonts w:hint="eastAsia" w:ascii="宋体" w:hAnsi="宋体" w:cs="Times New Roman"/>
          <w:color w:val="auto"/>
          <w:sz w:val="21"/>
          <w:szCs w:val="22"/>
          <w:highlight w:val="none"/>
          <w:lang w:eastAsia="zh-CN"/>
        </w:rPr>
        <w:t>）</w:t>
      </w:r>
      <w:r>
        <w:rPr>
          <w:rFonts w:hint="eastAsia" w:ascii="宋体" w:hAnsi="宋体" w:cs="Times New Roman"/>
          <w:color w:val="auto"/>
          <w:sz w:val="21"/>
          <w:szCs w:val="22"/>
          <w:highlight w:val="none"/>
        </w:rPr>
        <w:t>通过</w:t>
      </w:r>
      <w:r>
        <w:rPr>
          <w:rFonts w:hint="eastAsia" w:ascii="宋体" w:hAnsi="宋体"/>
          <w:color w:val="auto"/>
          <w:sz w:val="21"/>
          <w:szCs w:val="22"/>
          <w:highlight w:val="none"/>
          <w:lang w:eastAsia="zh-CN"/>
        </w:rPr>
        <w:t>资格审查</w:t>
      </w:r>
      <w:r>
        <w:rPr>
          <w:rFonts w:hint="eastAsia" w:ascii="宋体" w:hAnsi="宋体" w:cs="Times New Roman"/>
          <w:color w:val="auto"/>
          <w:sz w:val="21"/>
          <w:szCs w:val="22"/>
          <w:highlight w:val="none"/>
        </w:rPr>
        <w:t>的投标人数量不足N+2家的，招标失败。</w:t>
      </w:r>
    </w:p>
    <w:p w14:paraId="56377233">
      <w:pPr>
        <w:jc w:val="left"/>
        <w:rPr>
          <w:rFonts w:hint="eastAsia" w:ascii="宋体" w:hAnsi="宋体"/>
          <w:b/>
          <w:color w:val="auto"/>
          <w:sz w:val="32"/>
          <w:szCs w:val="32"/>
          <w:highlight w:val="none"/>
        </w:rPr>
      </w:pPr>
      <w:r>
        <w:rPr>
          <w:rFonts w:hint="eastAsia"/>
          <w:color w:val="auto"/>
          <w:highlight w:val="none"/>
          <w:lang w:eastAsia="zh-CN"/>
        </w:rPr>
        <w:t>附表二：</w:t>
      </w:r>
    </w:p>
    <w:p w14:paraId="653C8D0C">
      <w:pPr>
        <w:spacing w:line="360" w:lineRule="exact"/>
        <w:jc w:val="center"/>
        <w:rPr>
          <w:rFonts w:ascii="宋体" w:hAnsi="宋体"/>
          <w:b/>
          <w:bCs/>
          <w:color w:val="auto"/>
          <w:sz w:val="28"/>
          <w:szCs w:val="28"/>
          <w:highlight w:val="none"/>
          <w:u w:val="single"/>
        </w:rPr>
      </w:pPr>
      <w:r>
        <w:rPr>
          <w:rFonts w:hint="eastAsia" w:ascii="宋体" w:hAnsi="宋体" w:cs="宋体"/>
          <w:b/>
          <w:bCs/>
          <w:color w:val="auto"/>
          <w:sz w:val="28"/>
          <w:szCs w:val="28"/>
          <w:highlight w:val="none"/>
          <w:u w:val="single"/>
        </w:rPr>
        <w:t>定标因素表</w:t>
      </w:r>
      <w:r>
        <w:rPr>
          <w:rFonts w:hint="eastAsia" w:ascii="宋体" w:hAnsi="宋体"/>
          <w:b/>
          <w:color w:val="auto"/>
          <w:sz w:val="28"/>
          <w:szCs w:val="28"/>
          <w:highlight w:val="none"/>
        </w:rPr>
        <w:t>（定标阶段用表）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261"/>
        <w:gridCol w:w="1146"/>
        <w:gridCol w:w="5959"/>
        <w:gridCol w:w="1094"/>
      </w:tblGrid>
      <w:tr w14:paraId="038C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tcBorders>
              <w:top w:val="single" w:color="auto" w:sz="4" w:space="0"/>
              <w:left w:val="single" w:color="auto" w:sz="4" w:space="0"/>
              <w:bottom w:val="single" w:color="auto" w:sz="4" w:space="0"/>
              <w:right w:val="single" w:color="auto" w:sz="4" w:space="0"/>
            </w:tcBorders>
            <w:vAlign w:val="center"/>
          </w:tcPr>
          <w:p w14:paraId="66DD91FC">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lang w:bidi="ar"/>
              </w:rPr>
              <w:t>序号</w:t>
            </w:r>
          </w:p>
        </w:tc>
        <w:tc>
          <w:tcPr>
            <w:tcW w:w="1208" w:type="pct"/>
            <w:gridSpan w:val="2"/>
            <w:tcBorders>
              <w:top w:val="single" w:color="auto" w:sz="4" w:space="0"/>
              <w:left w:val="nil"/>
              <w:bottom w:val="single" w:color="auto" w:sz="4" w:space="0"/>
              <w:right w:val="single" w:color="auto" w:sz="4" w:space="0"/>
            </w:tcBorders>
            <w:vAlign w:val="center"/>
          </w:tcPr>
          <w:p w14:paraId="27D240C7">
            <w:pPr>
              <w:spacing w:line="360" w:lineRule="auto"/>
              <w:jc w:val="center"/>
              <w:rPr>
                <w:rFonts w:hint="eastAsia" w:ascii="宋体" w:hAnsi="宋体" w:cs="宋体"/>
                <w:b/>
                <w:bCs/>
                <w:color w:val="auto"/>
                <w:szCs w:val="21"/>
                <w:highlight w:val="none"/>
                <w:lang w:bidi="ar"/>
              </w:rPr>
            </w:pPr>
            <w:r>
              <w:rPr>
                <w:rFonts w:hint="eastAsia" w:ascii="宋体" w:hAnsi="宋体" w:cs="宋体"/>
                <w:b/>
                <w:bCs/>
                <w:color w:val="auto"/>
                <w:szCs w:val="21"/>
                <w:highlight w:val="none"/>
                <w:lang w:eastAsia="zh-CN" w:bidi="ar"/>
              </w:rPr>
              <w:t>定标</w:t>
            </w:r>
            <w:r>
              <w:rPr>
                <w:rFonts w:hint="eastAsia" w:ascii="宋体" w:hAnsi="宋体" w:cs="宋体"/>
                <w:b/>
                <w:bCs/>
                <w:color w:val="auto"/>
                <w:szCs w:val="21"/>
                <w:highlight w:val="none"/>
                <w:lang w:bidi="ar"/>
              </w:rPr>
              <w:t>因素</w:t>
            </w:r>
          </w:p>
        </w:tc>
        <w:tc>
          <w:tcPr>
            <w:tcW w:w="2991" w:type="pct"/>
            <w:tcBorders>
              <w:top w:val="single" w:color="auto" w:sz="4" w:space="0"/>
              <w:left w:val="nil"/>
              <w:bottom w:val="single" w:color="auto" w:sz="4" w:space="0"/>
              <w:right w:val="single" w:color="auto" w:sz="4" w:space="0"/>
            </w:tcBorders>
            <w:vAlign w:val="center"/>
          </w:tcPr>
          <w:p w14:paraId="354E5A9C">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lang w:bidi="ar"/>
              </w:rPr>
              <w:t>定标评价的内容</w:t>
            </w:r>
          </w:p>
        </w:tc>
        <w:tc>
          <w:tcPr>
            <w:tcW w:w="549" w:type="pct"/>
            <w:tcBorders>
              <w:top w:val="single" w:color="auto" w:sz="4" w:space="0"/>
              <w:left w:val="nil"/>
              <w:bottom w:val="single" w:color="auto" w:sz="4" w:space="0"/>
              <w:right w:val="single" w:color="auto" w:sz="4" w:space="0"/>
            </w:tcBorders>
            <w:vAlign w:val="center"/>
          </w:tcPr>
          <w:p w14:paraId="0E4B3B65">
            <w:pPr>
              <w:spacing w:line="360" w:lineRule="auto"/>
              <w:jc w:val="center"/>
              <w:rPr>
                <w:rFonts w:hint="eastAsia" w:ascii="宋体" w:hAnsi="宋体" w:eastAsia="宋体" w:cs="宋体"/>
                <w:b/>
                <w:bCs/>
                <w:color w:val="auto"/>
                <w:szCs w:val="21"/>
                <w:highlight w:val="none"/>
                <w:lang w:eastAsia="zh-CN" w:bidi="ar"/>
              </w:rPr>
            </w:pPr>
            <w:r>
              <w:rPr>
                <w:rFonts w:hint="eastAsia" w:ascii="宋体" w:hAnsi="宋体" w:cs="宋体"/>
                <w:b/>
                <w:bCs/>
                <w:color w:val="auto"/>
                <w:szCs w:val="21"/>
                <w:highlight w:val="none"/>
                <w:lang w:eastAsia="zh-CN" w:bidi="ar"/>
              </w:rPr>
              <w:t>分值</w:t>
            </w:r>
          </w:p>
        </w:tc>
      </w:tr>
      <w:tr w14:paraId="2827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op w:val="single" w:color="auto" w:sz="4" w:space="0"/>
              <w:left w:val="single" w:color="auto" w:sz="4" w:space="0"/>
              <w:right w:val="single" w:color="auto" w:sz="4" w:space="0"/>
            </w:tcBorders>
            <w:vAlign w:val="center"/>
          </w:tcPr>
          <w:p w14:paraId="5C618B81">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bidi="ar"/>
              </w:rPr>
              <w:t>1</w:t>
            </w:r>
          </w:p>
        </w:tc>
        <w:tc>
          <w:tcPr>
            <w:tcW w:w="633" w:type="pct"/>
            <w:vMerge w:val="restart"/>
            <w:tcBorders>
              <w:top w:val="single" w:color="auto" w:sz="4" w:space="0"/>
              <w:left w:val="nil"/>
              <w:right w:val="single" w:color="auto" w:sz="4" w:space="0"/>
            </w:tcBorders>
            <w:vAlign w:val="center"/>
          </w:tcPr>
          <w:p w14:paraId="39AB86B9">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bidi="ar"/>
              </w:rPr>
              <w:t>资信因素</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10分</w:t>
            </w:r>
            <w:r>
              <w:rPr>
                <w:rFonts w:hint="eastAsia" w:ascii="宋体" w:hAnsi="宋体" w:cs="宋体"/>
                <w:color w:val="auto"/>
                <w:szCs w:val="21"/>
                <w:highlight w:val="none"/>
                <w:lang w:eastAsia="zh-CN" w:bidi="ar"/>
              </w:rPr>
              <w:t>）</w:t>
            </w:r>
          </w:p>
        </w:tc>
        <w:tc>
          <w:tcPr>
            <w:tcW w:w="575" w:type="pct"/>
            <w:tcBorders>
              <w:top w:val="single" w:color="auto" w:sz="4" w:space="0"/>
              <w:left w:val="nil"/>
              <w:bottom w:val="single" w:color="auto" w:sz="4" w:space="0"/>
              <w:right w:val="single" w:color="auto" w:sz="4" w:space="0"/>
            </w:tcBorders>
            <w:vAlign w:val="center"/>
          </w:tcPr>
          <w:p w14:paraId="4C8D92CF">
            <w:pPr>
              <w:spacing w:line="360" w:lineRule="auto"/>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管理</w:t>
            </w:r>
          </w:p>
          <w:p w14:paraId="6868976F">
            <w:pPr>
              <w:spacing w:line="360" w:lineRule="auto"/>
              <w:jc w:val="center"/>
              <w:rPr>
                <w:rFonts w:hint="eastAsia" w:ascii="宋体" w:hAnsi="宋体" w:cs="宋体"/>
                <w:color w:val="auto"/>
                <w:szCs w:val="21"/>
                <w:highlight w:val="none"/>
                <w:lang w:bidi="ar"/>
              </w:rPr>
            </w:pPr>
            <w:r>
              <w:rPr>
                <w:rFonts w:hint="eastAsia" w:ascii="宋体" w:hAnsi="宋体" w:cs="宋体"/>
                <w:color w:val="auto"/>
                <w:szCs w:val="21"/>
                <w:highlight w:val="none"/>
                <w:lang w:bidi="ar"/>
              </w:rPr>
              <w:t>体系认证情况</w:t>
            </w:r>
          </w:p>
        </w:tc>
        <w:tc>
          <w:tcPr>
            <w:tcW w:w="2991" w:type="pct"/>
            <w:tcBorders>
              <w:top w:val="single" w:color="auto" w:sz="4" w:space="0"/>
              <w:left w:val="nil"/>
              <w:bottom w:val="single" w:color="auto" w:sz="4" w:space="0"/>
              <w:right w:val="single" w:color="auto" w:sz="4" w:space="0"/>
            </w:tcBorders>
            <w:vAlign w:val="center"/>
          </w:tcPr>
          <w:p w14:paraId="73E8EC84">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A.（2分）：</w:t>
            </w:r>
            <w:r>
              <w:rPr>
                <w:rFonts w:hint="eastAsia" w:ascii="宋体" w:hAnsi="宋体" w:cs="宋体"/>
                <w:color w:val="auto"/>
                <w:szCs w:val="21"/>
                <w:highlight w:val="none"/>
                <w:lang w:bidi="ar"/>
              </w:rPr>
              <w:t>同时具备有效期内的质量管理体系、环境管理体系、职业健康安全管理体系认证证书。</w:t>
            </w:r>
          </w:p>
          <w:p w14:paraId="359C9FEC">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B.（1分）：</w:t>
            </w:r>
            <w:r>
              <w:rPr>
                <w:rFonts w:hint="eastAsia" w:ascii="宋体" w:hAnsi="宋体" w:cs="宋体"/>
                <w:color w:val="auto"/>
                <w:szCs w:val="21"/>
                <w:highlight w:val="none"/>
                <w:lang w:bidi="ar"/>
              </w:rPr>
              <w:t>具备有效期内的质量管理体系、环境管理体系、职业健康安全管理体系认证证书其中1-2个。</w:t>
            </w:r>
          </w:p>
          <w:p w14:paraId="40F16CBB">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C.（0分）：</w:t>
            </w:r>
            <w:r>
              <w:rPr>
                <w:rFonts w:hint="eastAsia" w:ascii="宋体" w:hAnsi="宋体" w:cs="宋体"/>
                <w:color w:val="auto"/>
                <w:szCs w:val="21"/>
                <w:highlight w:val="none"/>
                <w:lang w:eastAsia="zh-CN" w:bidi="ar"/>
              </w:rPr>
              <w:t>其他情况不得分</w:t>
            </w:r>
            <w:r>
              <w:rPr>
                <w:rFonts w:hint="eastAsia" w:ascii="宋体" w:hAnsi="宋体" w:cs="宋体"/>
                <w:color w:val="auto"/>
                <w:szCs w:val="21"/>
                <w:highlight w:val="none"/>
                <w:lang w:bidi="ar"/>
              </w:rPr>
              <w:t>。</w:t>
            </w:r>
          </w:p>
          <w:p w14:paraId="741D1A25">
            <w:pPr>
              <w:spacing w:line="360" w:lineRule="auto"/>
              <w:rPr>
                <w:rFonts w:ascii="宋体" w:hAnsi="宋体" w:cs="宋体"/>
                <w:color w:val="auto"/>
                <w:szCs w:val="21"/>
                <w:highlight w:val="none"/>
              </w:rPr>
            </w:pPr>
            <w:r>
              <w:rPr>
                <w:rFonts w:hint="eastAsia" w:ascii="宋体" w:hAnsi="宋体" w:cs="宋体"/>
                <w:color w:val="auto"/>
                <w:szCs w:val="21"/>
                <w:highlight w:val="none"/>
                <w:lang w:bidi="ar"/>
              </w:rPr>
              <w:t>注：管理体系认证证书需</w:t>
            </w:r>
            <w:r>
              <w:rPr>
                <w:rFonts w:hint="eastAsia" w:ascii="宋体" w:hAnsi="宋体" w:cs="宋体"/>
                <w:color w:val="auto"/>
                <w:szCs w:val="21"/>
                <w:highlight w:val="none"/>
                <w:u w:val="single"/>
                <w:lang w:bidi="ar"/>
              </w:rPr>
              <w:t>同时</w:t>
            </w:r>
            <w:r>
              <w:rPr>
                <w:rFonts w:hint="eastAsia" w:ascii="宋体" w:hAnsi="宋体" w:cs="宋体"/>
                <w:color w:val="auto"/>
                <w:szCs w:val="21"/>
                <w:highlight w:val="none"/>
                <w:lang w:bidi="ar"/>
              </w:rPr>
              <w:t>提供：①证书清晰扫描件，认证证书需在有效期内。②全国认证认可信息公共服务平台（http://cx.cnca.cn/）查询结果网页截图</w:t>
            </w:r>
            <w:r>
              <w:rPr>
                <w:rFonts w:hint="eastAsia" w:ascii="宋体" w:hAnsi="宋体" w:cs="宋体"/>
                <w:color w:val="auto"/>
                <w:szCs w:val="21"/>
                <w:highlight w:val="none"/>
                <w:lang w:eastAsia="zh-CN" w:bidi="ar"/>
              </w:rPr>
              <w:t>，且证书处于“有效”状态</w:t>
            </w:r>
            <w:r>
              <w:rPr>
                <w:rFonts w:hint="eastAsia" w:ascii="宋体" w:hAnsi="宋体" w:cs="宋体"/>
                <w:color w:val="auto"/>
                <w:szCs w:val="21"/>
                <w:highlight w:val="none"/>
                <w:lang w:bidi="ar"/>
              </w:rPr>
              <w:t>。</w:t>
            </w:r>
          </w:p>
        </w:tc>
        <w:tc>
          <w:tcPr>
            <w:tcW w:w="549" w:type="pct"/>
            <w:tcBorders>
              <w:top w:val="single" w:color="auto" w:sz="4" w:space="0"/>
              <w:left w:val="nil"/>
              <w:bottom w:val="single" w:color="auto" w:sz="4" w:space="0"/>
              <w:right w:val="single" w:color="auto" w:sz="4" w:space="0"/>
            </w:tcBorders>
            <w:vAlign w:val="center"/>
          </w:tcPr>
          <w:p w14:paraId="0C8BBB8E">
            <w:pPr>
              <w:spacing w:line="360" w:lineRule="auto"/>
              <w:jc w:val="center"/>
              <w:rPr>
                <w:rFonts w:hint="eastAsia" w:ascii="宋体" w:hAnsi="宋体" w:eastAsia="宋体" w:cs="宋体"/>
                <w:color w:val="auto"/>
                <w:szCs w:val="21"/>
                <w:highlight w:val="none"/>
                <w:lang w:val="en-US" w:eastAsia="zh-CN" w:bidi="ar"/>
              </w:rPr>
            </w:pPr>
            <w:r>
              <w:rPr>
                <w:rFonts w:hint="eastAsia" w:ascii="宋体" w:hAnsi="宋体" w:cs="宋体"/>
                <w:color w:val="auto"/>
                <w:szCs w:val="21"/>
                <w:highlight w:val="none"/>
                <w:lang w:val="en-US" w:eastAsia="zh-CN" w:bidi="ar"/>
              </w:rPr>
              <w:t>2分</w:t>
            </w:r>
          </w:p>
        </w:tc>
      </w:tr>
      <w:tr w14:paraId="72D8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left w:val="single" w:color="auto" w:sz="4" w:space="0"/>
              <w:right w:val="single" w:color="auto" w:sz="4" w:space="0"/>
            </w:tcBorders>
            <w:vAlign w:val="center"/>
          </w:tcPr>
          <w:p w14:paraId="088C6F9C">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23DED583">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722AF739">
            <w:pPr>
              <w:widowControl/>
              <w:spacing w:line="360" w:lineRule="auto"/>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纳税情况</w:t>
            </w:r>
          </w:p>
        </w:tc>
        <w:tc>
          <w:tcPr>
            <w:tcW w:w="2991" w:type="pct"/>
            <w:tcBorders>
              <w:top w:val="single" w:color="auto" w:sz="4" w:space="0"/>
              <w:left w:val="nil"/>
              <w:bottom w:val="single" w:color="auto" w:sz="4" w:space="0"/>
              <w:right w:val="single" w:color="auto" w:sz="4" w:space="0"/>
            </w:tcBorders>
            <w:vAlign w:val="center"/>
          </w:tcPr>
          <w:p w14:paraId="16748A66">
            <w:pPr>
              <w:widowControl/>
              <w:spacing w:line="360" w:lineRule="auto"/>
              <w:jc w:val="left"/>
              <w:rPr>
                <w:rFonts w:hint="eastAsia" w:ascii="宋体" w:hAnsi="宋体" w:eastAsia="宋体" w:cs="宋体"/>
                <w:color w:val="auto"/>
                <w:szCs w:val="21"/>
                <w:highlight w:val="none"/>
                <w:lang w:eastAsia="zh-CN" w:bidi="ar"/>
              </w:rPr>
            </w:pPr>
            <w:r>
              <w:rPr>
                <w:rFonts w:hint="eastAsia" w:ascii="宋体" w:hAnsi="宋体" w:cs="宋体"/>
                <w:color w:val="auto"/>
                <w:szCs w:val="21"/>
                <w:highlight w:val="none"/>
                <w:lang w:val="en-US" w:eastAsia="zh-CN" w:bidi="ar"/>
              </w:rPr>
              <w:t>A.（3分）：</w:t>
            </w:r>
            <w:r>
              <w:rPr>
                <w:rFonts w:hint="eastAsia" w:ascii="宋体" w:hAnsi="宋体" w:cs="宋体"/>
                <w:color w:val="auto"/>
                <w:szCs w:val="21"/>
                <w:highlight w:val="none"/>
                <w:lang w:bidi="ar"/>
              </w:rPr>
              <w:t>投标人连续</w:t>
            </w:r>
            <w:r>
              <w:rPr>
                <w:rFonts w:ascii="宋体" w:hAnsi="宋体" w:cs="宋体"/>
                <w:color w:val="auto"/>
                <w:szCs w:val="21"/>
                <w:highlight w:val="none"/>
                <w:lang w:bidi="ar"/>
              </w:rPr>
              <w:t>5</w:t>
            </w:r>
            <w:r>
              <w:rPr>
                <w:rFonts w:hint="eastAsia" w:ascii="宋体" w:hAnsi="宋体" w:cs="宋体"/>
                <w:color w:val="auto"/>
                <w:szCs w:val="21"/>
                <w:highlight w:val="none"/>
                <w:lang w:bidi="ar"/>
              </w:rPr>
              <w:t>个年度或以上获得过“纳税信用A级纳税人”称号（须含202</w:t>
            </w:r>
            <w:r>
              <w:rPr>
                <w:rFonts w:ascii="宋体" w:hAnsi="宋体" w:cs="宋体"/>
                <w:color w:val="auto"/>
                <w:szCs w:val="21"/>
                <w:highlight w:val="none"/>
                <w:lang w:bidi="ar"/>
              </w:rPr>
              <w:t>4</w:t>
            </w:r>
            <w:r>
              <w:rPr>
                <w:rFonts w:hint="eastAsia" w:ascii="宋体" w:hAnsi="宋体" w:cs="宋体"/>
                <w:color w:val="auto"/>
                <w:szCs w:val="21"/>
                <w:highlight w:val="none"/>
                <w:lang w:bidi="ar"/>
              </w:rPr>
              <w:t>评审年度）</w:t>
            </w:r>
            <w:r>
              <w:rPr>
                <w:rFonts w:hint="eastAsia" w:ascii="宋体" w:hAnsi="宋体" w:cs="宋体"/>
                <w:color w:val="auto"/>
                <w:szCs w:val="21"/>
                <w:highlight w:val="none"/>
                <w:lang w:eastAsia="zh-CN" w:bidi="ar"/>
              </w:rPr>
              <w:t>；</w:t>
            </w:r>
          </w:p>
          <w:p w14:paraId="101C827E">
            <w:pPr>
              <w:widowControl/>
              <w:spacing w:line="360" w:lineRule="auto"/>
              <w:jc w:val="left"/>
              <w:rPr>
                <w:rFonts w:hint="eastAsia" w:ascii="宋体" w:hAnsi="宋体" w:eastAsia="宋体" w:cs="宋体"/>
                <w:color w:val="auto"/>
                <w:szCs w:val="21"/>
                <w:highlight w:val="none"/>
                <w:lang w:eastAsia="zh-CN" w:bidi="ar"/>
              </w:rPr>
            </w:pPr>
            <w:r>
              <w:rPr>
                <w:rFonts w:hint="eastAsia" w:ascii="宋体" w:hAnsi="宋体" w:cs="宋体"/>
                <w:color w:val="auto"/>
                <w:szCs w:val="21"/>
                <w:highlight w:val="none"/>
                <w:lang w:val="en-US" w:eastAsia="zh-CN" w:bidi="ar"/>
              </w:rPr>
              <w:t>B.（2分）：</w:t>
            </w:r>
            <w:r>
              <w:rPr>
                <w:rFonts w:hint="eastAsia" w:ascii="宋体" w:hAnsi="宋体" w:cs="宋体"/>
                <w:color w:val="auto"/>
                <w:szCs w:val="21"/>
                <w:highlight w:val="none"/>
                <w:lang w:bidi="ar"/>
              </w:rPr>
              <w:t>投标人连续</w:t>
            </w:r>
            <w:r>
              <w:rPr>
                <w:rFonts w:hint="eastAsia" w:ascii="宋体" w:hAnsi="宋体" w:cs="宋体"/>
                <w:color w:val="auto"/>
                <w:szCs w:val="21"/>
                <w:highlight w:val="none"/>
                <w:lang w:val="en-US" w:eastAsia="zh-CN" w:bidi="ar"/>
              </w:rPr>
              <w:t>3</w:t>
            </w:r>
            <w:r>
              <w:rPr>
                <w:rFonts w:ascii="宋体" w:hAnsi="宋体" w:cs="宋体"/>
                <w:color w:val="auto"/>
                <w:szCs w:val="21"/>
                <w:highlight w:val="none"/>
                <w:lang w:bidi="ar"/>
              </w:rPr>
              <w:t>-</w:t>
            </w: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个年度获得过“纳税信用A级纳税人”称号（须含202</w:t>
            </w:r>
            <w:r>
              <w:rPr>
                <w:rFonts w:ascii="宋体" w:hAnsi="宋体" w:cs="宋体"/>
                <w:color w:val="auto"/>
                <w:szCs w:val="21"/>
                <w:highlight w:val="none"/>
                <w:lang w:bidi="ar"/>
              </w:rPr>
              <w:t>4</w:t>
            </w:r>
            <w:r>
              <w:rPr>
                <w:rFonts w:hint="eastAsia" w:ascii="宋体" w:hAnsi="宋体" w:cs="宋体"/>
                <w:color w:val="auto"/>
                <w:szCs w:val="21"/>
                <w:highlight w:val="none"/>
                <w:lang w:bidi="ar"/>
              </w:rPr>
              <w:t>评审年度）</w:t>
            </w:r>
            <w:r>
              <w:rPr>
                <w:rFonts w:hint="eastAsia" w:ascii="宋体" w:hAnsi="宋体" w:cs="宋体"/>
                <w:color w:val="auto"/>
                <w:szCs w:val="21"/>
                <w:highlight w:val="none"/>
                <w:lang w:eastAsia="zh-CN" w:bidi="ar"/>
              </w:rPr>
              <w:t>；</w:t>
            </w:r>
          </w:p>
          <w:p w14:paraId="1C47C4C3">
            <w:pPr>
              <w:widowControl/>
              <w:spacing w:line="360" w:lineRule="auto"/>
              <w:jc w:val="left"/>
              <w:rPr>
                <w:rFonts w:hint="eastAsia" w:ascii="宋体" w:hAnsi="宋体" w:eastAsia="宋体" w:cs="宋体"/>
                <w:color w:val="auto"/>
                <w:szCs w:val="21"/>
                <w:highlight w:val="none"/>
                <w:lang w:eastAsia="zh-CN" w:bidi="ar"/>
              </w:rPr>
            </w:pPr>
            <w:r>
              <w:rPr>
                <w:rFonts w:hint="eastAsia" w:ascii="宋体" w:hAnsi="宋体" w:cs="宋体"/>
                <w:color w:val="auto"/>
                <w:szCs w:val="21"/>
                <w:highlight w:val="none"/>
                <w:lang w:val="en-US" w:eastAsia="zh-CN" w:bidi="ar"/>
              </w:rPr>
              <w:t>C.（1分）：</w:t>
            </w:r>
            <w:r>
              <w:rPr>
                <w:rFonts w:hint="eastAsia" w:ascii="宋体" w:hAnsi="宋体" w:cs="宋体"/>
                <w:color w:val="auto"/>
                <w:szCs w:val="21"/>
                <w:highlight w:val="none"/>
                <w:lang w:bidi="ar"/>
              </w:rPr>
              <w:t>投标人连续1</w:t>
            </w:r>
            <w:r>
              <w:rPr>
                <w:rFonts w:ascii="宋体" w:hAnsi="宋体" w:cs="宋体"/>
                <w:color w:val="auto"/>
                <w:szCs w:val="21"/>
                <w:highlight w:val="none"/>
                <w:lang w:bidi="ar"/>
              </w:rPr>
              <w:t>-</w:t>
            </w:r>
            <w:r>
              <w:rPr>
                <w:rFonts w:hint="eastAsia" w:ascii="宋体" w:hAnsi="宋体" w:cs="宋体"/>
                <w:color w:val="auto"/>
                <w:szCs w:val="21"/>
                <w:highlight w:val="none"/>
                <w:lang w:val="en-US" w:eastAsia="zh-CN" w:bidi="ar"/>
              </w:rPr>
              <w:t>2</w:t>
            </w:r>
            <w:r>
              <w:rPr>
                <w:rFonts w:hint="eastAsia" w:ascii="宋体" w:hAnsi="宋体" w:cs="宋体"/>
                <w:color w:val="auto"/>
                <w:szCs w:val="21"/>
                <w:highlight w:val="none"/>
                <w:lang w:bidi="ar"/>
              </w:rPr>
              <w:t>个年度获得过“纳税信用A级纳税人”称号（须含202</w:t>
            </w:r>
            <w:r>
              <w:rPr>
                <w:rFonts w:ascii="宋体" w:hAnsi="宋体" w:cs="宋体"/>
                <w:color w:val="auto"/>
                <w:szCs w:val="21"/>
                <w:highlight w:val="none"/>
                <w:lang w:bidi="ar"/>
              </w:rPr>
              <w:t>4</w:t>
            </w:r>
            <w:r>
              <w:rPr>
                <w:rFonts w:hint="eastAsia" w:ascii="宋体" w:hAnsi="宋体" w:cs="宋体"/>
                <w:color w:val="auto"/>
                <w:szCs w:val="21"/>
                <w:highlight w:val="none"/>
                <w:lang w:bidi="ar"/>
              </w:rPr>
              <w:t>评审年度）</w:t>
            </w:r>
            <w:r>
              <w:rPr>
                <w:rFonts w:hint="eastAsia" w:ascii="宋体" w:hAnsi="宋体" w:cs="宋体"/>
                <w:color w:val="auto"/>
                <w:szCs w:val="21"/>
                <w:highlight w:val="none"/>
                <w:lang w:eastAsia="zh-CN" w:bidi="ar"/>
              </w:rPr>
              <w:t>；</w:t>
            </w:r>
          </w:p>
          <w:p w14:paraId="03793DFD">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D.（0分）：</w:t>
            </w:r>
            <w:r>
              <w:rPr>
                <w:rFonts w:hint="eastAsia" w:ascii="宋体" w:hAnsi="宋体" w:cs="宋体"/>
                <w:color w:val="auto"/>
                <w:szCs w:val="21"/>
                <w:highlight w:val="none"/>
                <w:lang w:eastAsia="zh-CN" w:bidi="ar"/>
              </w:rPr>
              <w:t>其他情况不得分</w:t>
            </w:r>
            <w:r>
              <w:rPr>
                <w:rFonts w:hint="eastAsia" w:ascii="宋体" w:hAnsi="宋体" w:cs="宋体"/>
                <w:color w:val="auto"/>
                <w:szCs w:val="21"/>
                <w:highlight w:val="none"/>
                <w:lang w:bidi="ar"/>
              </w:rPr>
              <w:t>。</w:t>
            </w:r>
          </w:p>
          <w:p w14:paraId="0968DBC6">
            <w:pPr>
              <w:spacing w:line="360" w:lineRule="auto"/>
              <w:rPr>
                <w:rFonts w:hint="eastAsia" w:ascii="宋体" w:hAnsi="宋体" w:cs="宋体"/>
                <w:color w:val="auto"/>
                <w:szCs w:val="21"/>
                <w:highlight w:val="none"/>
                <w:lang w:bidi="ar"/>
              </w:rPr>
            </w:pPr>
            <w:r>
              <w:rPr>
                <w:rFonts w:hint="eastAsia" w:ascii="宋体" w:hAnsi="宋体" w:cs="宋体"/>
                <w:color w:val="auto"/>
                <w:szCs w:val="21"/>
                <w:highlight w:val="none"/>
                <w:lang w:bidi="ar"/>
              </w:rPr>
              <w:t>注：需提供</w:t>
            </w:r>
            <w:r>
              <w:rPr>
                <w:rFonts w:hint="eastAsia" w:ascii="宋体" w:hAnsi="宋体" w:cs="宋体"/>
                <w:color w:val="auto"/>
                <w:szCs w:val="21"/>
                <w:highlight w:val="none"/>
                <w:lang w:eastAsia="zh-CN" w:bidi="ar"/>
              </w:rPr>
              <w:t>以下证明材料之一</w:t>
            </w:r>
            <w:r>
              <w:rPr>
                <w:rFonts w:hint="eastAsia" w:ascii="宋体" w:hAnsi="宋体" w:cs="宋体"/>
                <w:color w:val="auto"/>
                <w:szCs w:val="21"/>
                <w:highlight w:val="none"/>
                <w:lang w:bidi="ar"/>
              </w:rPr>
              <w:t>：①纳税信用A级纳税人证书扫描件</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②省级或以上国家税务局官网（含在国家税务局官网单列的城市）纳税信用信息查询结果（查询结果只计算投标人自身，不计算投标人的分公司、子公司和分支机构）的网页截图。</w:t>
            </w:r>
          </w:p>
        </w:tc>
        <w:tc>
          <w:tcPr>
            <w:tcW w:w="549" w:type="pct"/>
            <w:tcBorders>
              <w:top w:val="single" w:color="auto" w:sz="4" w:space="0"/>
              <w:left w:val="nil"/>
              <w:bottom w:val="single" w:color="auto" w:sz="4" w:space="0"/>
              <w:right w:val="single" w:color="auto" w:sz="4" w:space="0"/>
            </w:tcBorders>
            <w:vAlign w:val="center"/>
          </w:tcPr>
          <w:p w14:paraId="1D61CECE">
            <w:pPr>
              <w:spacing w:line="360" w:lineRule="auto"/>
              <w:jc w:val="center"/>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3分</w:t>
            </w:r>
          </w:p>
        </w:tc>
      </w:tr>
      <w:tr w14:paraId="5502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left w:val="single" w:color="auto" w:sz="4" w:space="0"/>
              <w:bottom w:val="single" w:color="auto" w:sz="4" w:space="0"/>
              <w:right w:val="single" w:color="auto" w:sz="4" w:space="0"/>
            </w:tcBorders>
            <w:vAlign w:val="center"/>
          </w:tcPr>
          <w:p w14:paraId="453CE2DC">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bottom w:val="single" w:color="auto" w:sz="4" w:space="0"/>
              <w:right w:val="single" w:color="auto" w:sz="4" w:space="0"/>
            </w:tcBorders>
            <w:vAlign w:val="center"/>
          </w:tcPr>
          <w:p w14:paraId="54F89C3F">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52A17089">
            <w:pPr>
              <w:widowControl/>
              <w:spacing w:line="360" w:lineRule="auto"/>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监理业绩情况</w:t>
            </w:r>
          </w:p>
        </w:tc>
        <w:tc>
          <w:tcPr>
            <w:tcW w:w="2991" w:type="pct"/>
            <w:tcBorders>
              <w:top w:val="single" w:color="auto" w:sz="4" w:space="0"/>
              <w:left w:val="nil"/>
              <w:bottom w:val="single" w:color="auto" w:sz="4" w:space="0"/>
              <w:right w:val="single" w:color="auto" w:sz="4" w:space="0"/>
            </w:tcBorders>
            <w:vAlign w:val="center"/>
          </w:tcPr>
          <w:p w14:paraId="4E56C734">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A.（5分）：</w:t>
            </w:r>
            <w:r>
              <w:rPr>
                <w:rFonts w:hint="eastAsia" w:ascii="宋体" w:hAnsi="宋体" w:cs="宋体"/>
                <w:color w:val="auto"/>
                <w:szCs w:val="21"/>
                <w:highlight w:val="none"/>
                <w:lang w:bidi="ar"/>
              </w:rPr>
              <w:t>自2022年1月1日至今完成过5个或以上质量合格的类似监理业绩。</w:t>
            </w:r>
          </w:p>
          <w:p w14:paraId="253071CF">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B.（3分）：</w:t>
            </w:r>
            <w:r>
              <w:rPr>
                <w:rFonts w:hint="eastAsia" w:ascii="宋体" w:hAnsi="宋体" w:cs="宋体"/>
                <w:color w:val="auto"/>
                <w:szCs w:val="21"/>
                <w:highlight w:val="none"/>
                <w:lang w:bidi="ar"/>
              </w:rPr>
              <w:t>自2022年1月1日至今完成过3-4个质量合格的类似监理业绩。</w:t>
            </w:r>
          </w:p>
          <w:p w14:paraId="2D6852E0">
            <w:pPr>
              <w:widowControl/>
              <w:spacing w:line="360" w:lineRule="auto"/>
              <w:jc w:val="left"/>
              <w:rPr>
                <w:rFonts w:ascii="宋体" w:hAnsi="宋体" w:cs="宋体"/>
                <w:color w:val="auto"/>
                <w:szCs w:val="21"/>
                <w:highlight w:val="none"/>
                <w:lang w:bidi="ar"/>
              </w:rPr>
            </w:pPr>
            <w:r>
              <w:rPr>
                <w:rFonts w:hint="eastAsia" w:ascii="宋体" w:hAnsi="宋体" w:cs="宋体"/>
                <w:color w:val="auto"/>
                <w:szCs w:val="21"/>
                <w:highlight w:val="none"/>
                <w:lang w:val="en-US" w:eastAsia="zh-CN" w:bidi="ar"/>
              </w:rPr>
              <w:t>C.（1分）：</w:t>
            </w:r>
            <w:r>
              <w:rPr>
                <w:rFonts w:hint="eastAsia" w:ascii="宋体" w:hAnsi="宋体" w:cs="宋体"/>
                <w:color w:val="auto"/>
                <w:szCs w:val="21"/>
                <w:highlight w:val="none"/>
                <w:lang w:bidi="ar"/>
              </w:rPr>
              <w:t>自2022年1月1日至今完成过1-2个质量合格的类似监理业绩。</w:t>
            </w:r>
          </w:p>
          <w:p w14:paraId="7E9FC898">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bidi="ar"/>
              </w:rPr>
              <w:t>D.（0分）：</w:t>
            </w:r>
            <w:r>
              <w:rPr>
                <w:rFonts w:hint="eastAsia" w:ascii="宋体" w:hAnsi="宋体" w:cs="宋体"/>
                <w:color w:val="auto"/>
                <w:szCs w:val="21"/>
                <w:highlight w:val="none"/>
                <w:lang w:bidi="ar"/>
              </w:rPr>
              <w:t>自2022年1月1日至今没有完成过质量合格的类似监理业绩。</w:t>
            </w:r>
          </w:p>
          <w:p w14:paraId="1FCEF7D5">
            <w:pPr>
              <w:spacing w:line="360" w:lineRule="auto"/>
              <w:rPr>
                <w:rFonts w:hint="eastAsia" w:ascii="宋体" w:hAnsi="宋体" w:cs="宋体"/>
                <w:color w:val="auto"/>
                <w:szCs w:val="21"/>
                <w:highlight w:val="none"/>
                <w:lang w:eastAsia="zh-CN" w:bidi="ar"/>
              </w:rPr>
            </w:pPr>
            <w:r>
              <w:rPr>
                <w:rFonts w:hint="eastAsia" w:ascii="宋体" w:hAnsi="宋体" w:cs="宋体"/>
                <w:color w:val="auto"/>
                <w:szCs w:val="21"/>
                <w:highlight w:val="none"/>
                <w:lang w:bidi="ar"/>
              </w:rPr>
              <w:t>注：</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1</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类似监理业绩是指</w:t>
            </w:r>
            <w:r>
              <w:rPr>
                <w:rFonts w:hint="eastAsia"/>
                <w:color w:val="auto"/>
                <w:highlight w:val="none"/>
              </w:rPr>
              <w:t>监理工作范围中包括</w:t>
            </w:r>
            <w:r>
              <w:rPr>
                <w:rFonts w:hint="eastAsia" w:ascii="宋体" w:hAnsi="宋体" w:cs="宋体"/>
                <w:color w:val="auto"/>
                <w:kern w:val="0"/>
                <w:szCs w:val="21"/>
                <w:highlight w:val="none"/>
                <w:lang w:val="en-US" w:eastAsia="zh-CN"/>
              </w:rPr>
              <w:t>房屋建筑工程、或包含变电站建筑部分的输(变)电工程</w:t>
            </w:r>
            <w:r>
              <w:rPr>
                <w:rFonts w:hint="eastAsia" w:cs="宋体"/>
                <w:color w:val="auto"/>
                <w:szCs w:val="21"/>
                <w:highlight w:val="none"/>
              </w:rPr>
              <w:t>的</w:t>
            </w:r>
            <w:r>
              <w:rPr>
                <w:rFonts w:hint="eastAsia" w:ascii="宋体" w:hAnsi="宋体" w:cs="宋体"/>
                <w:color w:val="auto"/>
                <w:szCs w:val="21"/>
                <w:highlight w:val="none"/>
                <w:lang w:bidi="ar"/>
              </w:rPr>
              <w:t>监理业绩</w:t>
            </w:r>
            <w:r>
              <w:rPr>
                <w:rFonts w:hint="eastAsia" w:ascii="宋体" w:hAnsi="宋体" w:cs="宋体"/>
                <w:color w:val="auto"/>
                <w:szCs w:val="21"/>
                <w:highlight w:val="none"/>
                <w:lang w:eastAsia="zh-CN" w:bidi="ar"/>
              </w:rPr>
              <w:t>。</w:t>
            </w:r>
          </w:p>
          <w:p w14:paraId="4B7DC2A0">
            <w:pPr>
              <w:numPr>
                <w:ilvl w:val="0"/>
                <w:numId w:val="6"/>
              </w:numPr>
              <w:spacing w:line="360" w:lineRule="auto"/>
              <w:rPr>
                <w:rFonts w:hint="eastAsia" w:ascii="宋体" w:hAnsi="宋体" w:cs="宋体"/>
                <w:color w:val="auto"/>
                <w:szCs w:val="21"/>
                <w:highlight w:val="none"/>
                <w:lang w:eastAsia="zh-CN" w:bidi="ar"/>
              </w:rPr>
            </w:pPr>
            <w:r>
              <w:rPr>
                <w:rFonts w:hint="eastAsia" w:ascii="宋体" w:hAnsi="宋体" w:cs="宋体"/>
                <w:color w:val="auto"/>
                <w:szCs w:val="21"/>
                <w:highlight w:val="none"/>
                <w:lang w:bidi="ar"/>
              </w:rPr>
              <w:t>需</w:t>
            </w:r>
            <w:r>
              <w:rPr>
                <w:rFonts w:hint="eastAsia" w:ascii="宋体" w:hAnsi="宋体" w:cs="宋体"/>
                <w:color w:val="auto"/>
                <w:szCs w:val="21"/>
                <w:highlight w:val="none"/>
                <w:u w:val="single"/>
                <w:lang w:bidi="ar"/>
              </w:rPr>
              <w:t>同时</w:t>
            </w:r>
            <w:r>
              <w:rPr>
                <w:rFonts w:hint="eastAsia" w:ascii="宋体" w:hAnsi="宋体" w:cs="宋体"/>
                <w:color w:val="auto"/>
                <w:szCs w:val="21"/>
                <w:highlight w:val="none"/>
                <w:lang w:bidi="ar"/>
              </w:rPr>
              <w:t>提供</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①中标通知书扫描件或免招标的相关证明</w:t>
            </w:r>
            <w:r>
              <w:rPr>
                <w:rFonts w:hint="eastAsia" w:ascii="宋体" w:hAnsi="宋体" w:cs="宋体"/>
                <w:color w:val="auto"/>
                <w:szCs w:val="21"/>
                <w:highlight w:val="none"/>
                <w:lang w:eastAsia="zh-CN" w:bidi="ar"/>
              </w:rPr>
              <w:t>；②</w:t>
            </w:r>
            <w:r>
              <w:rPr>
                <w:rFonts w:hint="eastAsia" w:ascii="宋体" w:hAnsi="宋体" w:cs="宋体"/>
                <w:color w:val="auto"/>
                <w:szCs w:val="21"/>
                <w:highlight w:val="none"/>
                <w:lang w:bidi="ar"/>
              </w:rPr>
              <w:t>合同扫描件</w:t>
            </w:r>
            <w:r>
              <w:rPr>
                <w:rFonts w:hint="eastAsia" w:ascii="宋体" w:hAnsi="宋体" w:cs="宋体"/>
                <w:color w:val="auto"/>
                <w:szCs w:val="21"/>
                <w:highlight w:val="none"/>
                <w:lang w:eastAsia="zh-CN" w:bidi="ar"/>
              </w:rPr>
              <w:t>；③</w:t>
            </w:r>
            <w:r>
              <w:rPr>
                <w:rFonts w:hint="eastAsia" w:ascii="宋体" w:hAnsi="宋体" w:cs="宋体"/>
                <w:color w:val="auto"/>
                <w:szCs w:val="21"/>
                <w:highlight w:val="none"/>
                <w:lang w:bidi="ar"/>
              </w:rPr>
              <w:t>竣工验收报告或竣工验收证明的扫描件</w:t>
            </w:r>
            <w:r>
              <w:rPr>
                <w:rFonts w:hint="eastAsia" w:ascii="宋体" w:hAnsi="宋体" w:cs="宋体"/>
                <w:color w:val="auto"/>
                <w:szCs w:val="21"/>
                <w:highlight w:val="none"/>
                <w:lang w:eastAsia="zh-CN" w:bidi="ar"/>
              </w:rPr>
              <w:t>。</w:t>
            </w:r>
          </w:p>
          <w:p w14:paraId="1FE85AC9">
            <w:pPr>
              <w:numPr>
                <w:ilvl w:val="0"/>
                <w:numId w:val="6"/>
              </w:numPr>
              <w:spacing w:line="360" w:lineRule="auto"/>
              <w:rPr>
                <w:rFonts w:hint="eastAsia" w:ascii="宋体" w:hAnsi="宋体" w:cs="宋体"/>
                <w:color w:val="auto"/>
                <w:szCs w:val="21"/>
                <w:highlight w:val="none"/>
                <w:lang w:bidi="ar"/>
              </w:rPr>
            </w:pPr>
            <w:r>
              <w:rPr>
                <w:rFonts w:hint="eastAsia" w:ascii="宋体" w:hAnsi="宋体" w:cs="宋体"/>
                <w:color w:val="auto"/>
                <w:szCs w:val="21"/>
                <w:highlight w:val="none"/>
                <w:lang w:bidi="ar"/>
              </w:rPr>
              <w:t>业绩时间以竣工验收报告或竣工验收证明出具时间为准。</w:t>
            </w:r>
          </w:p>
        </w:tc>
        <w:tc>
          <w:tcPr>
            <w:tcW w:w="549" w:type="pct"/>
            <w:tcBorders>
              <w:top w:val="single" w:color="auto" w:sz="4" w:space="0"/>
              <w:left w:val="nil"/>
              <w:bottom w:val="single" w:color="auto" w:sz="4" w:space="0"/>
              <w:right w:val="single" w:color="auto" w:sz="4" w:space="0"/>
            </w:tcBorders>
            <w:vAlign w:val="center"/>
          </w:tcPr>
          <w:p w14:paraId="38E9A997">
            <w:pPr>
              <w:spacing w:line="360" w:lineRule="auto"/>
              <w:jc w:val="center"/>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5分</w:t>
            </w:r>
          </w:p>
        </w:tc>
      </w:tr>
      <w:tr w14:paraId="5880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restart"/>
            <w:tcBorders>
              <w:top w:val="single" w:color="auto" w:sz="4" w:space="0"/>
              <w:left w:val="single" w:color="auto" w:sz="4" w:space="0"/>
              <w:right w:val="single" w:color="auto" w:sz="4" w:space="0"/>
            </w:tcBorders>
            <w:vAlign w:val="center"/>
          </w:tcPr>
          <w:p w14:paraId="11B20C03">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bidi="ar"/>
              </w:rPr>
              <w:t>2</w:t>
            </w:r>
          </w:p>
        </w:tc>
        <w:tc>
          <w:tcPr>
            <w:tcW w:w="633" w:type="pct"/>
            <w:vMerge w:val="restart"/>
            <w:tcBorders>
              <w:top w:val="single" w:color="auto" w:sz="4" w:space="0"/>
              <w:left w:val="nil"/>
              <w:right w:val="single" w:color="auto" w:sz="4" w:space="0"/>
            </w:tcBorders>
            <w:vAlign w:val="center"/>
          </w:tcPr>
          <w:p w14:paraId="471AD878">
            <w:pP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bidi="ar"/>
              </w:rPr>
              <w:t>方案因素</w:t>
            </w:r>
            <w:r>
              <w:rPr>
                <w:rFonts w:hint="eastAsia" w:ascii="宋体" w:hAnsi="宋体" w:cs="宋体"/>
                <w:color w:val="auto"/>
                <w:szCs w:val="21"/>
                <w:highlight w:val="none"/>
                <w:lang w:val="en-US" w:eastAsia="zh-CN" w:bidi="ar"/>
              </w:rPr>
              <w:t>(50分)</w:t>
            </w:r>
          </w:p>
        </w:tc>
        <w:tc>
          <w:tcPr>
            <w:tcW w:w="575" w:type="pct"/>
            <w:tcBorders>
              <w:top w:val="single" w:color="auto" w:sz="4" w:space="0"/>
              <w:left w:val="nil"/>
              <w:bottom w:val="single" w:color="auto" w:sz="4" w:space="0"/>
              <w:right w:val="single" w:color="auto" w:sz="4" w:space="0"/>
            </w:tcBorders>
            <w:vAlign w:val="center"/>
          </w:tcPr>
          <w:p w14:paraId="11D0CC1D">
            <w:pPr>
              <w:jc w:val="center"/>
              <w:rPr>
                <w:rFonts w:hint="eastAsia" w:ascii="宋体" w:hAnsi="宋体" w:cs="宋体"/>
                <w:color w:val="auto"/>
                <w:szCs w:val="21"/>
                <w:highlight w:val="none"/>
                <w:lang w:bidi="ar"/>
              </w:rPr>
            </w:pPr>
            <w:r>
              <w:rPr>
                <w:rFonts w:hint="eastAsia" w:ascii="宋体" w:hAnsi="宋体"/>
                <w:color w:val="auto"/>
                <w:szCs w:val="21"/>
                <w:highlight w:val="none"/>
              </w:rPr>
              <w:t>质量控制措施</w:t>
            </w:r>
          </w:p>
        </w:tc>
        <w:tc>
          <w:tcPr>
            <w:tcW w:w="2991" w:type="pct"/>
            <w:tcBorders>
              <w:top w:val="single" w:color="auto" w:sz="4" w:space="0"/>
              <w:left w:val="nil"/>
              <w:bottom w:val="single" w:color="auto" w:sz="4" w:space="0"/>
              <w:right w:val="single" w:color="auto" w:sz="4" w:space="0"/>
            </w:tcBorders>
            <w:vAlign w:val="center"/>
          </w:tcPr>
          <w:p w14:paraId="2E4B7AB3">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措施具体、管理方案科学合理，可行性强，完全满足项目要求；</w:t>
            </w:r>
          </w:p>
          <w:p w14:paraId="2F7D1A52">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措施、管理方案基本合理，可行性一般，基本满足项目要求；</w:t>
            </w:r>
          </w:p>
          <w:p w14:paraId="253A259E">
            <w:pPr>
              <w:widowControl/>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措施、管理方案不全面或可行性较差难以满足项目要求。</w:t>
            </w:r>
          </w:p>
          <w:p w14:paraId="63DA9F7E">
            <w:pPr>
              <w:widowControl/>
              <w:spacing w:line="360" w:lineRule="auto"/>
              <w:jc w:val="left"/>
              <w:rPr>
                <w:rFonts w:hint="eastAsia" w:ascii="宋体" w:hAnsi="宋体" w:eastAsia="宋体" w:cs="宋体"/>
                <w:color w:val="auto"/>
                <w:szCs w:val="21"/>
                <w:highlight w:val="none"/>
                <w:lang w:eastAsia="zh-CN"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02448B37">
            <w:pPr>
              <w:widowControl/>
              <w:spacing w:line="360" w:lineRule="auto"/>
              <w:jc w:val="center"/>
              <w:rPr>
                <w:rFonts w:hint="default"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2EC9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25884124">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7A8FE135">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0D74188F">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进度控制措施</w:t>
            </w:r>
          </w:p>
        </w:tc>
        <w:tc>
          <w:tcPr>
            <w:tcW w:w="2991" w:type="pct"/>
            <w:tcBorders>
              <w:top w:val="single" w:color="auto" w:sz="4" w:space="0"/>
              <w:left w:val="nil"/>
              <w:bottom w:val="single" w:color="auto" w:sz="4" w:space="0"/>
              <w:right w:val="single" w:color="auto" w:sz="4" w:space="0"/>
            </w:tcBorders>
            <w:vAlign w:val="center"/>
          </w:tcPr>
          <w:p w14:paraId="4C1F0EA1">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措施具体、管理方案科学合理，可行性强，完全满足项目要求；</w:t>
            </w:r>
          </w:p>
          <w:p w14:paraId="7D59AABF">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措施、管理方案基本合理，可行性一般，基本满足项目要求；</w:t>
            </w:r>
          </w:p>
          <w:p w14:paraId="73E5B86D">
            <w:pPr>
              <w:widowControl/>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措施、管理方案不全面或可行性较差难以满足项目要求。</w:t>
            </w:r>
          </w:p>
          <w:p w14:paraId="004363D2">
            <w:pPr>
              <w:widowControl/>
              <w:spacing w:line="360" w:lineRule="auto"/>
              <w:jc w:val="left"/>
              <w:rPr>
                <w:rFonts w:hint="eastAsia" w:ascii="宋体" w:hAnsi="宋体" w:cs="宋体"/>
                <w:color w:val="auto"/>
                <w:szCs w:val="21"/>
                <w:highlight w:val="none"/>
                <w:lang w:val="en-US" w:eastAsia="zh-CN"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76F71FC9">
            <w:pPr>
              <w:widowControl/>
              <w:spacing w:line="360" w:lineRule="auto"/>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651A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1F0BEE69">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5A11195B">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1115DCF2">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造价控制措施</w:t>
            </w:r>
          </w:p>
        </w:tc>
        <w:tc>
          <w:tcPr>
            <w:tcW w:w="2991" w:type="pct"/>
            <w:tcBorders>
              <w:top w:val="single" w:color="auto" w:sz="4" w:space="0"/>
              <w:left w:val="nil"/>
              <w:bottom w:val="single" w:color="auto" w:sz="4" w:space="0"/>
              <w:right w:val="single" w:color="auto" w:sz="4" w:space="0"/>
            </w:tcBorders>
            <w:vAlign w:val="center"/>
          </w:tcPr>
          <w:p w14:paraId="49F6DBD7">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措施具体、管理方案科学合理，可行性强，完全满足项目要求；</w:t>
            </w:r>
          </w:p>
          <w:p w14:paraId="295850C5">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措施、管理方案基本合理，可行性一般，基本满足项目要求；</w:t>
            </w:r>
          </w:p>
          <w:p w14:paraId="722BACC7">
            <w:pPr>
              <w:widowControl/>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措施、管理方案不全面或可行性较差难以满足项目要求。</w:t>
            </w:r>
          </w:p>
          <w:p w14:paraId="486F62BD">
            <w:pPr>
              <w:widowControl/>
              <w:spacing w:line="360" w:lineRule="auto"/>
              <w:jc w:val="left"/>
              <w:rPr>
                <w:rFonts w:hint="eastAsia" w:ascii="宋体" w:hAnsi="宋体" w:cs="宋体"/>
                <w:color w:val="auto"/>
                <w:szCs w:val="21"/>
                <w:highlight w:val="none"/>
                <w:lang w:val="en-US" w:eastAsia="zh-CN"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176D2162">
            <w:pPr>
              <w:widowControl/>
              <w:spacing w:line="360" w:lineRule="auto"/>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1A33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3CDE3AAD">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5F5B71C6">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03D08F5F">
            <w:pPr>
              <w:jc w:val="center"/>
              <w:rPr>
                <w:rFonts w:hint="eastAsia" w:ascii="宋体" w:hAnsi="宋体" w:eastAsia="宋体" w:cs="宋体"/>
                <w:color w:val="auto"/>
                <w:sz w:val="21"/>
                <w:szCs w:val="21"/>
                <w:highlight w:val="none"/>
              </w:rPr>
            </w:pPr>
            <w:r>
              <w:rPr>
                <w:rFonts w:hint="eastAsia" w:ascii="宋体" w:hAnsi="宋体"/>
                <w:color w:val="auto"/>
                <w:szCs w:val="21"/>
                <w:highlight w:val="none"/>
              </w:rPr>
              <w:t>安全、环保控制措施</w:t>
            </w:r>
          </w:p>
        </w:tc>
        <w:tc>
          <w:tcPr>
            <w:tcW w:w="2991" w:type="pct"/>
            <w:tcBorders>
              <w:top w:val="single" w:color="auto" w:sz="4" w:space="0"/>
              <w:left w:val="nil"/>
              <w:bottom w:val="single" w:color="auto" w:sz="4" w:space="0"/>
              <w:right w:val="single" w:color="auto" w:sz="4" w:space="0"/>
            </w:tcBorders>
            <w:vAlign w:val="center"/>
          </w:tcPr>
          <w:p w14:paraId="09A1077D">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措施具体、管理方案科学合理，可行性强，完全满足项目要求；</w:t>
            </w:r>
          </w:p>
          <w:p w14:paraId="5790F44E">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措施、管理方案基本合理，可行性一般，基本满足项目要求；</w:t>
            </w:r>
          </w:p>
          <w:p w14:paraId="4710258B">
            <w:pPr>
              <w:widowControl/>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措施、管理方案不全面或可行性较差难以满足项目要求。</w:t>
            </w:r>
          </w:p>
          <w:p w14:paraId="2DFD5AFC">
            <w:pPr>
              <w:widowControl/>
              <w:spacing w:line="360" w:lineRule="auto"/>
              <w:jc w:val="left"/>
              <w:rPr>
                <w:rFonts w:hint="eastAsia" w:ascii="宋体" w:hAnsi="宋体" w:cs="宋体"/>
                <w:color w:val="auto"/>
                <w:szCs w:val="21"/>
                <w:highlight w:val="none"/>
                <w:lang w:val="en-US" w:eastAsia="zh-CN"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5A7515F9">
            <w:pPr>
              <w:widowControl/>
              <w:spacing w:line="360" w:lineRule="auto"/>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265D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45733E2F">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5493574D">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439EEFA3">
            <w:pPr>
              <w:snapToGrid w:val="0"/>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监理机构设置和岗位职责</w:t>
            </w:r>
          </w:p>
        </w:tc>
        <w:tc>
          <w:tcPr>
            <w:tcW w:w="2991" w:type="pct"/>
            <w:tcBorders>
              <w:top w:val="single" w:color="auto" w:sz="4" w:space="0"/>
              <w:left w:val="nil"/>
              <w:bottom w:val="single" w:color="auto" w:sz="4" w:space="0"/>
              <w:right w:val="single" w:color="auto" w:sz="4" w:space="0"/>
            </w:tcBorders>
            <w:vAlign w:val="center"/>
          </w:tcPr>
          <w:p w14:paraId="1680E1AB">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机构设置合理，岗位职责明确；</w:t>
            </w:r>
          </w:p>
          <w:p w14:paraId="73C5C307">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机构设置基本合理，岗位职责基本明确；</w:t>
            </w:r>
          </w:p>
          <w:p w14:paraId="32CE0D53">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机构设置不够合理，岗位职责不够明确。</w:t>
            </w:r>
          </w:p>
          <w:p w14:paraId="1358329A">
            <w:pPr>
              <w:spacing w:line="400" w:lineRule="exact"/>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40C94799">
            <w:pPr>
              <w:spacing w:line="400" w:lineRule="exact"/>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49B9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0D79A2AA">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661FF2DE">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11842929">
            <w:pPr>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监理工作程序、方法和制度</w:t>
            </w:r>
          </w:p>
        </w:tc>
        <w:tc>
          <w:tcPr>
            <w:tcW w:w="2991" w:type="pct"/>
            <w:tcBorders>
              <w:top w:val="single" w:color="auto" w:sz="4" w:space="0"/>
              <w:left w:val="nil"/>
              <w:bottom w:val="single" w:color="auto" w:sz="4" w:space="0"/>
              <w:right w:val="single" w:color="auto" w:sz="4" w:space="0"/>
            </w:tcBorders>
            <w:vAlign w:val="center"/>
          </w:tcPr>
          <w:p w14:paraId="03A3B48A">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制度完善，程序、方法科学详细、合理、针对性强；</w:t>
            </w:r>
          </w:p>
          <w:p w14:paraId="6887F78F">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制度较为完善，程序、方法一般、缺乏针对性；</w:t>
            </w:r>
          </w:p>
          <w:p w14:paraId="58AF1C60">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制度不够完善，程序、方法较差、缺乏合理性。</w:t>
            </w:r>
          </w:p>
          <w:p w14:paraId="1B8D896B">
            <w:pPr>
              <w:spacing w:line="400" w:lineRule="exact"/>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0F808043">
            <w:pPr>
              <w:spacing w:line="400" w:lineRule="exact"/>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68FC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405F082C">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1EFEB5D8">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00B097A0">
            <w:pPr>
              <w:snapToGrid w:val="0"/>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合同、信息管理方案</w:t>
            </w:r>
          </w:p>
        </w:tc>
        <w:tc>
          <w:tcPr>
            <w:tcW w:w="2991" w:type="pct"/>
            <w:tcBorders>
              <w:top w:val="single" w:color="auto" w:sz="4" w:space="0"/>
              <w:left w:val="nil"/>
              <w:bottom w:val="single" w:color="auto" w:sz="4" w:space="0"/>
              <w:right w:val="single" w:color="auto" w:sz="4" w:space="0"/>
            </w:tcBorders>
            <w:vAlign w:val="center"/>
          </w:tcPr>
          <w:p w14:paraId="34980099">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方案科学合理，可行性强；</w:t>
            </w:r>
          </w:p>
          <w:p w14:paraId="384D0A3B">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方案基本合理，可行性一般，基本满足项目要求；</w:t>
            </w:r>
          </w:p>
          <w:p w14:paraId="7E896135">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方案不全面或可行性较差难以满足项目要求。</w:t>
            </w:r>
          </w:p>
          <w:p w14:paraId="510D0EB9">
            <w:pPr>
              <w:spacing w:line="400" w:lineRule="exact"/>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7465DE73">
            <w:pPr>
              <w:spacing w:line="400" w:lineRule="exact"/>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1A1E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157FDB78">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6D3B607A">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47645AE8">
            <w:pPr>
              <w:snapToGrid w:val="0"/>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监理组织协调内容及措施</w:t>
            </w:r>
          </w:p>
        </w:tc>
        <w:tc>
          <w:tcPr>
            <w:tcW w:w="2991" w:type="pct"/>
            <w:tcBorders>
              <w:top w:val="single" w:color="auto" w:sz="4" w:space="0"/>
              <w:left w:val="nil"/>
              <w:bottom w:val="single" w:color="auto" w:sz="4" w:space="0"/>
              <w:right w:val="single" w:color="auto" w:sz="4" w:space="0"/>
            </w:tcBorders>
            <w:vAlign w:val="center"/>
          </w:tcPr>
          <w:p w14:paraId="1B39C797">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协调方法合理、针对性强、措施具体；</w:t>
            </w:r>
          </w:p>
          <w:p w14:paraId="7822780F">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协调方法基本合理、针对性一般、措施较具体；</w:t>
            </w:r>
          </w:p>
          <w:p w14:paraId="2F417C15">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协调方法不合理、针对性较差、措施不具体。</w:t>
            </w:r>
          </w:p>
          <w:p w14:paraId="3C92D4B9">
            <w:pPr>
              <w:snapToGrid w:val="0"/>
              <w:spacing w:line="400" w:lineRule="exact"/>
              <w:ind w:left="-38" w:leftChars="-18" w:right="-57" w:rightChars="-27"/>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2D13FB10">
            <w:pPr>
              <w:snapToGrid w:val="0"/>
              <w:spacing w:line="400" w:lineRule="exact"/>
              <w:ind w:left="-38" w:leftChars="-18" w:right="-57" w:rightChars="-27"/>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4181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right w:val="single" w:color="auto" w:sz="4" w:space="0"/>
            </w:tcBorders>
            <w:vAlign w:val="center"/>
          </w:tcPr>
          <w:p w14:paraId="2286C9B6">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right w:val="single" w:color="auto" w:sz="4" w:space="0"/>
            </w:tcBorders>
            <w:vAlign w:val="center"/>
          </w:tcPr>
          <w:p w14:paraId="6918B955">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6F9CF590">
            <w:pPr>
              <w:snapToGrid w:val="0"/>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监理工作重点、难点分析</w:t>
            </w:r>
          </w:p>
        </w:tc>
        <w:tc>
          <w:tcPr>
            <w:tcW w:w="2991" w:type="pct"/>
            <w:tcBorders>
              <w:top w:val="single" w:color="auto" w:sz="4" w:space="0"/>
              <w:left w:val="nil"/>
              <w:bottom w:val="single" w:color="auto" w:sz="4" w:space="0"/>
              <w:right w:val="single" w:color="auto" w:sz="4" w:space="0"/>
            </w:tcBorders>
            <w:vAlign w:val="center"/>
          </w:tcPr>
          <w:p w14:paraId="041164D5">
            <w:pPr>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中标候选人对于本项目的监理工作重点、难点分析情况，分析准确性、针对性，措施具体、可操作性等方面，</w:t>
            </w:r>
          </w:p>
          <w:p w14:paraId="7254708D">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分析准确</w:t>
            </w:r>
            <w:r>
              <w:rPr>
                <w:rFonts w:hint="eastAsia" w:ascii="宋体" w:hAnsi="宋体" w:cs="宋体"/>
                <w:color w:val="auto"/>
                <w:sz w:val="21"/>
                <w:szCs w:val="21"/>
                <w:highlight w:val="none"/>
                <w:lang w:eastAsia="zh-CN"/>
              </w:rPr>
              <w:t>性优秀</w:t>
            </w:r>
            <w:r>
              <w:rPr>
                <w:rFonts w:hint="eastAsia" w:ascii="宋体" w:hAnsi="宋体" w:eastAsia="宋体" w:cs="宋体"/>
                <w:color w:val="auto"/>
                <w:sz w:val="21"/>
                <w:szCs w:val="21"/>
                <w:highlight w:val="none"/>
              </w:rPr>
              <w:t>、针对性</w:t>
            </w:r>
            <w:r>
              <w:rPr>
                <w:rFonts w:hint="eastAsia" w:ascii="宋体" w:hAnsi="宋体" w:cs="宋体"/>
                <w:color w:val="auto"/>
                <w:sz w:val="21"/>
                <w:szCs w:val="21"/>
                <w:highlight w:val="none"/>
                <w:lang w:eastAsia="zh-CN"/>
              </w:rPr>
              <w:t>强、</w:t>
            </w:r>
            <w:r>
              <w:rPr>
                <w:rFonts w:hint="eastAsia" w:ascii="宋体" w:hAnsi="宋体" w:eastAsia="宋体" w:cs="宋体"/>
                <w:color w:val="auto"/>
                <w:sz w:val="21"/>
                <w:szCs w:val="21"/>
                <w:highlight w:val="none"/>
              </w:rPr>
              <w:t>措施具体、可操作性</w:t>
            </w:r>
            <w:r>
              <w:rPr>
                <w:rFonts w:hint="eastAsia" w:ascii="宋体" w:hAnsi="宋体" w:cs="宋体"/>
                <w:color w:val="auto"/>
                <w:sz w:val="21"/>
                <w:szCs w:val="21"/>
                <w:highlight w:val="none"/>
                <w:lang w:eastAsia="zh-CN"/>
              </w:rPr>
              <w:t>较强</w:t>
            </w:r>
            <w:r>
              <w:rPr>
                <w:rFonts w:hint="eastAsia" w:ascii="宋体" w:hAnsi="宋体" w:eastAsia="宋体" w:cs="宋体"/>
                <w:color w:val="auto"/>
                <w:sz w:val="21"/>
                <w:szCs w:val="21"/>
                <w:highlight w:val="none"/>
              </w:rPr>
              <w:t>；</w:t>
            </w:r>
          </w:p>
          <w:p w14:paraId="292E524A">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良好得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分析准确</w:t>
            </w:r>
            <w:r>
              <w:rPr>
                <w:rFonts w:hint="eastAsia" w:ascii="宋体" w:hAnsi="宋体" w:cs="宋体"/>
                <w:color w:val="auto"/>
                <w:sz w:val="21"/>
                <w:szCs w:val="21"/>
                <w:highlight w:val="none"/>
                <w:lang w:eastAsia="zh-CN"/>
              </w:rPr>
              <w:t>较好</w:t>
            </w:r>
            <w:r>
              <w:rPr>
                <w:rFonts w:hint="eastAsia" w:ascii="宋体" w:hAnsi="宋体" w:eastAsia="宋体" w:cs="宋体"/>
                <w:color w:val="auto"/>
                <w:sz w:val="21"/>
                <w:szCs w:val="21"/>
                <w:highlight w:val="none"/>
              </w:rPr>
              <w:t>、针对性</w:t>
            </w:r>
            <w:r>
              <w:rPr>
                <w:rFonts w:hint="eastAsia" w:ascii="宋体" w:hAnsi="宋体" w:cs="宋体"/>
                <w:color w:val="auto"/>
                <w:sz w:val="21"/>
                <w:szCs w:val="21"/>
                <w:highlight w:val="none"/>
                <w:lang w:eastAsia="zh-CN"/>
              </w:rPr>
              <w:t>一般、</w:t>
            </w:r>
            <w:r>
              <w:rPr>
                <w:rFonts w:hint="eastAsia" w:ascii="宋体" w:hAnsi="宋体" w:eastAsia="宋体" w:cs="宋体"/>
                <w:color w:val="auto"/>
                <w:sz w:val="21"/>
                <w:szCs w:val="21"/>
                <w:highlight w:val="none"/>
              </w:rPr>
              <w:t>措施具体</w:t>
            </w:r>
            <w:r>
              <w:rPr>
                <w:rFonts w:hint="eastAsia" w:ascii="宋体" w:hAnsi="宋体" w:cs="宋体"/>
                <w:color w:val="auto"/>
                <w:sz w:val="21"/>
                <w:szCs w:val="21"/>
                <w:highlight w:val="none"/>
                <w:lang w:eastAsia="zh-CN"/>
              </w:rPr>
              <w:t>一般</w:t>
            </w:r>
            <w:r>
              <w:rPr>
                <w:rFonts w:hint="eastAsia" w:ascii="宋体" w:hAnsi="宋体" w:eastAsia="宋体" w:cs="宋体"/>
                <w:color w:val="auto"/>
                <w:sz w:val="21"/>
                <w:szCs w:val="21"/>
                <w:highlight w:val="none"/>
              </w:rPr>
              <w:t>、可操作性</w:t>
            </w:r>
            <w:r>
              <w:rPr>
                <w:rFonts w:hint="eastAsia" w:ascii="宋体" w:hAnsi="宋体" w:cs="宋体"/>
                <w:color w:val="auto"/>
                <w:sz w:val="21"/>
                <w:szCs w:val="21"/>
                <w:highlight w:val="none"/>
                <w:lang w:eastAsia="zh-CN"/>
              </w:rPr>
              <w:t>一般</w:t>
            </w:r>
            <w:r>
              <w:rPr>
                <w:rFonts w:hint="eastAsia" w:ascii="宋体" w:hAnsi="宋体" w:eastAsia="宋体" w:cs="宋体"/>
                <w:color w:val="auto"/>
                <w:sz w:val="21"/>
                <w:szCs w:val="21"/>
                <w:highlight w:val="none"/>
              </w:rPr>
              <w:t xml:space="preserve">； </w:t>
            </w:r>
          </w:p>
          <w:p w14:paraId="603E7F56">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一般得</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分析准确性</w:t>
            </w:r>
            <w:r>
              <w:rPr>
                <w:rFonts w:hint="eastAsia" w:ascii="宋体" w:hAnsi="宋体" w:cs="宋体"/>
                <w:color w:val="auto"/>
                <w:sz w:val="21"/>
                <w:szCs w:val="21"/>
                <w:highlight w:val="none"/>
                <w:lang w:eastAsia="zh-CN"/>
              </w:rPr>
              <w:t>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缺乏</w:t>
            </w:r>
            <w:r>
              <w:rPr>
                <w:rFonts w:hint="eastAsia" w:ascii="宋体" w:hAnsi="宋体" w:eastAsia="宋体" w:cs="宋体"/>
                <w:color w:val="auto"/>
                <w:sz w:val="21"/>
                <w:szCs w:val="21"/>
                <w:highlight w:val="none"/>
              </w:rPr>
              <w:t>针对性</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措施</w:t>
            </w:r>
            <w:r>
              <w:rPr>
                <w:rFonts w:hint="eastAsia" w:ascii="宋体" w:hAnsi="宋体" w:cs="宋体"/>
                <w:color w:val="auto"/>
                <w:sz w:val="21"/>
                <w:szCs w:val="21"/>
                <w:highlight w:val="none"/>
                <w:lang w:eastAsia="zh-CN"/>
              </w:rPr>
              <w:t>不</w:t>
            </w:r>
            <w:r>
              <w:rPr>
                <w:rFonts w:hint="eastAsia" w:ascii="宋体" w:hAnsi="宋体" w:eastAsia="宋体" w:cs="宋体"/>
                <w:color w:val="auto"/>
                <w:sz w:val="21"/>
                <w:szCs w:val="21"/>
                <w:highlight w:val="none"/>
              </w:rPr>
              <w:t>具体、可操作性</w:t>
            </w:r>
            <w:r>
              <w:rPr>
                <w:rFonts w:hint="eastAsia" w:ascii="宋体" w:hAnsi="宋体" w:cs="宋体"/>
                <w:color w:val="auto"/>
                <w:sz w:val="21"/>
                <w:szCs w:val="21"/>
                <w:highlight w:val="none"/>
                <w:lang w:eastAsia="zh-CN"/>
              </w:rPr>
              <w:t>差</w:t>
            </w:r>
            <w:r>
              <w:rPr>
                <w:rFonts w:hint="eastAsia" w:ascii="宋体" w:hAnsi="宋体" w:eastAsia="宋体" w:cs="宋体"/>
                <w:color w:val="auto"/>
                <w:sz w:val="21"/>
                <w:szCs w:val="21"/>
                <w:highlight w:val="none"/>
              </w:rPr>
              <w:t>。</w:t>
            </w:r>
          </w:p>
          <w:p w14:paraId="34D0A032">
            <w:pPr>
              <w:snapToGrid w:val="0"/>
              <w:spacing w:line="400" w:lineRule="exact"/>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3E7F9F11">
            <w:pPr>
              <w:snapToGrid w:val="0"/>
              <w:spacing w:line="400" w:lineRule="exact"/>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10FE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50" w:type="pct"/>
            <w:vMerge w:val="continue"/>
            <w:tcBorders>
              <w:left w:val="single" w:color="auto" w:sz="4" w:space="0"/>
              <w:bottom w:val="single" w:color="auto" w:sz="4" w:space="0"/>
              <w:right w:val="single" w:color="auto" w:sz="4" w:space="0"/>
            </w:tcBorders>
            <w:vAlign w:val="center"/>
          </w:tcPr>
          <w:p w14:paraId="4252EC9B">
            <w:pPr>
              <w:spacing w:line="360" w:lineRule="auto"/>
              <w:jc w:val="center"/>
              <w:rPr>
                <w:rFonts w:hint="eastAsia" w:ascii="宋体" w:hAnsi="宋体" w:cs="宋体"/>
                <w:color w:val="auto"/>
                <w:szCs w:val="21"/>
                <w:highlight w:val="none"/>
                <w:lang w:val="en-US" w:eastAsia="zh-CN" w:bidi="ar"/>
              </w:rPr>
            </w:pPr>
          </w:p>
        </w:tc>
        <w:tc>
          <w:tcPr>
            <w:tcW w:w="633" w:type="pct"/>
            <w:vMerge w:val="continue"/>
            <w:tcBorders>
              <w:left w:val="nil"/>
              <w:bottom w:val="single" w:color="auto" w:sz="4" w:space="0"/>
              <w:right w:val="single" w:color="auto" w:sz="4" w:space="0"/>
            </w:tcBorders>
            <w:vAlign w:val="center"/>
          </w:tcPr>
          <w:p w14:paraId="5FC3CC72">
            <w:pPr>
              <w:spacing w:line="360" w:lineRule="auto"/>
              <w:jc w:val="center"/>
              <w:rPr>
                <w:rFonts w:hint="eastAsia" w:ascii="宋体" w:hAnsi="宋体" w:cs="宋体"/>
                <w:color w:val="auto"/>
                <w:szCs w:val="21"/>
                <w:highlight w:val="none"/>
                <w:lang w:bidi="ar"/>
              </w:rPr>
            </w:pPr>
          </w:p>
        </w:tc>
        <w:tc>
          <w:tcPr>
            <w:tcW w:w="575" w:type="pct"/>
            <w:tcBorders>
              <w:top w:val="single" w:color="auto" w:sz="4" w:space="0"/>
              <w:left w:val="nil"/>
              <w:bottom w:val="single" w:color="auto" w:sz="4" w:space="0"/>
              <w:right w:val="single" w:color="auto" w:sz="4" w:space="0"/>
            </w:tcBorders>
            <w:vAlign w:val="center"/>
          </w:tcPr>
          <w:p w14:paraId="3DC53E63">
            <w:pPr>
              <w:snapToGrid w:val="0"/>
              <w:spacing w:line="400" w:lineRule="exact"/>
              <w:jc w:val="center"/>
              <w:rPr>
                <w:rFonts w:hint="eastAsia" w:ascii="宋体" w:hAnsi="宋体" w:cs="宋体"/>
                <w:color w:val="auto"/>
                <w:szCs w:val="21"/>
                <w:highlight w:val="none"/>
                <w:lang w:bidi="ar"/>
              </w:rPr>
            </w:pPr>
            <w:r>
              <w:rPr>
                <w:rFonts w:hint="eastAsia" w:ascii="宋体" w:hAnsi="宋体" w:eastAsia="宋体" w:cs="宋体"/>
                <w:color w:val="auto"/>
                <w:sz w:val="21"/>
                <w:szCs w:val="21"/>
                <w:highlight w:val="none"/>
              </w:rPr>
              <w:t>合理化建议</w:t>
            </w:r>
          </w:p>
        </w:tc>
        <w:tc>
          <w:tcPr>
            <w:tcW w:w="2991" w:type="pct"/>
            <w:tcBorders>
              <w:top w:val="single" w:color="auto" w:sz="4" w:space="0"/>
              <w:left w:val="nil"/>
              <w:bottom w:val="single" w:color="auto" w:sz="4" w:space="0"/>
              <w:right w:val="single" w:color="auto" w:sz="4" w:space="0"/>
            </w:tcBorders>
            <w:vAlign w:val="center"/>
          </w:tcPr>
          <w:p w14:paraId="337EEDBA">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中标候选人针对本项目的合理化建议情况：</w:t>
            </w:r>
          </w:p>
          <w:p w14:paraId="680479C8">
            <w:pPr>
              <w:snapToGrid w:val="0"/>
              <w:spacing w:line="400" w:lineRule="exact"/>
              <w:ind w:left="-38" w:leftChars="-18" w:right="-57" w:rightChars="-27"/>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A.（</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科学合理，可行性强；</w:t>
            </w:r>
          </w:p>
          <w:p w14:paraId="74EE9F33">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B.（</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 xml:space="preserve">基本合理，可行性一般，基本满足项目要求； </w:t>
            </w:r>
          </w:p>
          <w:p w14:paraId="66296679">
            <w:pPr>
              <w:snapToGrid w:val="0"/>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bidi="ar"/>
              </w:rPr>
              <w:t>C.（</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cs="宋体"/>
                <w:color w:val="auto"/>
                <w:szCs w:val="21"/>
                <w:highlight w:val="none"/>
                <w:lang w:val="en-US" w:eastAsia="zh-CN" w:bidi="ar"/>
              </w:rPr>
              <w:t>）：</w:t>
            </w:r>
            <w:r>
              <w:rPr>
                <w:rFonts w:hint="eastAsia" w:ascii="宋体" w:hAnsi="宋体" w:eastAsia="宋体" w:cs="宋体"/>
                <w:color w:val="auto"/>
                <w:sz w:val="21"/>
                <w:szCs w:val="21"/>
                <w:highlight w:val="none"/>
              </w:rPr>
              <w:t>不全面或可行性较差难以满足项目要求。</w:t>
            </w:r>
          </w:p>
          <w:p w14:paraId="646B3F93">
            <w:pPr>
              <w:snapToGrid w:val="0"/>
              <w:spacing w:line="400" w:lineRule="exact"/>
              <w:rPr>
                <w:rFonts w:hint="eastAsia" w:ascii="宋体" w:hAnsi="宋体" w:cs="宋体"/>
                <w:color w:val="auto"/>
                <w:szCs w:val="21"/>
                <w:highlight w:val="none"/>
                <w:lang w:bidi="ar"/>
              </w:rPr>
            </w:pPr>
            <w:r>
              <w:rPr>
                <w:rFonts w:hint="eastAsia" w:ascii="宋体" w:hAnsi="宋体" w:cs="宋体"/>
                <w:color w:val="auto"/>
                <w:sz w:val="21"/>
                <w:szCs w:val="21"/>
                <w:highlight w:val="none"/>
                <w:lang w:eastAsia="zh-CN"/>
              </w:rPr>
              <w:t>注：</w:t>
            </w:r>
            <w:r>
              <w:rPr>
                <w:rFonts w:hint="eastAsia" w:ascii="宋体" w:hAnsi="宋体" w:eastAsia="宋体" w:cs="宋体"/>
                <w:color w:val="auto"/>
                <w:sz w:val="21"/>
                <w:szCs w:val="21"/>
                <w:highlight w:val="none"/>
              </w:rPr>
              <w:t>无相关描述的不得分</w:t>
            </w:r>
            <w:r>
              <w:rPr>
                <w:rFonts w:hint="eastAsia" w:ascii="宋体" w:hAnsi="宋体" w:cs="宋体"/>
                <w:color w:val="auto"/>
                <w:sz w:val="21"/>
                <w:szCs w:val="21"/>
                <w:highlight w:val="none"/>
                <w:lang w:eastAsia="zh-CN"/>
              </w:rPr>
              <w:t>。</w:t>
            </w:r>
          </w:p>
        </w:tc>
        <w:tc>
          <w:tcPr>
            <w:tcW w:w="549" w:type="pct"/>
            <w:tcBorders>
              <w:top w:val="single" w:color="auto" w:sz="4" w:space="0"/>
              <w:left w:val="nil"/>
              <w:bottom w:val="single" w:color="auto" w:sz="4" w:space="0"/>
              <w:right w:val="single" w:color="auto" w:sz="4" w:space="0"/>
            </w:tcBorders>
            <w:vAlign w:val="center"/>
          </w:tcPr>
          <w:p w14:paraId="5F5E2C2C">
            <w:pPr>
              <w:snapToGrid w:val="0"/>
              <w:spacing w:line="400" w:lineRule="exact"/>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5分</w:t>
            </w:r>
          </w:p>
        </w:tc>
      </w:tr>
      <w:tr w14:paraId="072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tcBorders>
              <w:top w:val="single" w:color="auto" w:sz="4" w:space="0"/>
              <w:left w:val="single" w:color="auto" w:sz="4" w:space="0"/>
              <w:bottom w:val="single" w:color="auto" w:sz="4" w:space="0"/>
              <w:right w:val="single" w:color="auto" w:sz="4" w:space="0"/>
            </w:tcBorders>
            <w:vAlign w:val="center"/>
          </w:tcPr>
          <w:p w14:paraId="3E80AF4F">
            <w:pPr>
              <w:spacing w:line="360" w:lineRule="auto"/>
              <w:jc w:val="center"/>
              <w:rPr>
                <w:rFonts w:hint="eastAsia" w:ascii="宋体" w:hAnsi="宋体" w:eastAsia="宋体" w:cs="宋体"/>
                <w:color w:val="auto"/>
                <w:szCs w:val="21"/>
                <w:highlight w:val="none"/>
                <w:lang w:val="en-US" w:eastAsia="zh-CN" w:bidi="ar"/>
              </w:rPr>
            </w:pPr>
            <w:r>
              <w:rPr>
                <w:rFonts w:hint="eastAsia" w:ascii="宋体" w:hAnsi="宋体" w:cs="宋体"/>
                <w:color w:val="auto"/>
                <w:szCs w:val="21"/>
                <w:highlight w:val="none"/>
                <w:lang w:val="en-US" w:eastAsia="zh-CN" w:bidi="ar"/>
              </w:rPr>
              <w:t>3</w:t>
            </w:r>
          </w:p>
        </w:tc>
        <w:tc>
          <w:tcPr>
            <w:tcW w:w="1208" w:type="pct"/>
            <w:gridSpan w:val="2"/>
            <w:tcBorders>
              <w:top w:val="single" w:color="auto" w:sz="4" w:space="0"/>
              <w:left w:val="nil"/>
              <w:bottom w:val="single" w:color="auto" w:sz="4" w:space="0"/>
              <w:right w:val="single" w:color="auto" w:sz="4" w:space="0"/>
            </w:tcBorders>
            <w:vAlign w:val="center"/>
          </w:tcPr>
          <w:p w14:paraId="1A82C13E">
            <w:pPr>
              <w:spacing w:line="400" w:lineRule="exact"/>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价格因素</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20分</w:t>
            </w:r>
            <w:r>
              <w:rPr>
                <w:rFonts w:hint="eastAsia" w:ascii="宋体" w:hAnsi="宋体" w:cs="宋体"/>
                <w:color w:val="auto"/>
                <w:szCs w:val="21"/>
                <w:highlight w:val="none"/>
                <w:lang w:eastAsia="zh-CN" w:bidi="ar"/>
              </w:rPr>
              <w:t>）</w:t>
            </w:r>
          </w:p>
        </w:tc>
        <w:tc>
          <w:tcPr>
            <w:tcW w:w="2991" w:type="pct"/>
            <w:tcBorders>
              <w:top w:val="single" w:color="auto" w:sz="4" w:space="0"/>
              <w:left w:val="nil"/>
              <w:bottom w:val="single" w:color="auto" w:sz="4" w:space="0"/>
              <w:right w:val="single" w:color="auto" w:sz="4" w:space="0"/>
            </w:tcBorders>
            <w:vAlign w:val="center"/>
          </w:tcPr>
          <w:p w14:paraId="1D85A2ED">
            <w:pPr>
              <w:keepNext w:val="0"/>
              <w:keepLines w:val="0"/>
              <w:pageBreakBefore w:val="0"/>
              <w:numPr>
                <w:ilvl w:val="0"/>
                <w:numId w:val="0"/>
              </w:numPr>
              <w:kinsoku/>
              <w:wordWrap/>
              <w:overflowPunct/>
              <w:topLinePunct w:val="0"/>
              <w:autoSpaceDE/>
              <w:autoSpaceDN/>
              <w:bidi w:val="0"/>
              <w:adjustRightInd/>
              <w:snapToGrid/>
              <w:spacing w:line="312" w:lineRule="auto"/>
              <w:ind w:leftChars="0"/>
              <w:rPr>
                <w:rFonts w:hint="eastAsia" w:asciiTheme="minorEastAsia" w:hAnsiTheme="minorEastAsia" w:eastAsiaTheme="minorEastAsia" w:cstheme="minorEastAsia"/>
                <w:b w:val="0"/>
                <w:bCs w:val="0"/>
                <w:color w:val="auto"/>
                <w:sz w:val="21"/>
                <w:szCs w:val="21"/>
                <w:highlight w:val="none"/>
                <w:u w:val="none"/>
                <w:lang w:eastAsia="zh-CN"/>
              </w:rPr>
            </w:pPr>
            <w:r>
              <w:rPr>
                <w:rFonts w:hint="eastAsia" w:asciiTheme="minorEastAsia" w:hAnsiTheme="minorEastAsia" w:eastAsiaTheme="minorEastAsia" w:cstheme="minorEastAsia"/>
                <w:b w:val="0"/>
                <w:bCs w:val="0"/>
                <w:color w:val="auto"/>
                <w:sz w:val="21"/>
                <w:szCs w:val="21"/>
                <w:highlight w:val="none"/>
                <w:u w:val="none"/>
                <w:lang w:eastAsia="zh-CN"/>
              </w:rPr>
              <w:t>定标委员会对合格的中标候选人投标费率进行评审：</w:t>
            </w:r>
          </w:p>
          <w:p w14:paraId="501EE4BD">
            <w:pPr>
              <w:keepNext w:val="0"/>
              <w:keepLines w:val="0"/>
              <w:pageBreakBefore w:val="0"/>
              <w:numPr>
                <w:ilvl w:val="0"/>
                <w:numId w:val="0"/>
              </w:numPr>
              <w:kinsoku/>
              <w:wordWrap/>
              <w:overflowPunct/>
              <w:topLinePunct w:val="0"/>
              <w:autoSpaceDE/>
              <w:autoSpaceDN/>
              <w:bidi w:val="0"/>
              <w:adjustRightInd/>
              <w:snapToGrid/>
              <w:spacing w:line="312" w:lineRule="auto"/>
              <w:ind w:leftChars="0"/>
              <w:rPr>
                <w:rFonts w:hint="eastAsia" w:asciiTheme="minorEastAsia" w:hAnsiTheme="minorEastAsia" w:eastAsiaTheme="minorEastAsia" w:cstheme="minorEastAsia"/>
                <w:b w:val="0"/>
                <w:bCs w:val="0"/>
                <w:color w:val="auto"/>
                <w:sz w:val="21"/>
                <w:szCs w:val="21"/>
                <w:highlight w:val="none"/>
                <w:u w:val="none"/>
                <w:lang w:eastAsia="zh-CN"/>
              </w:rPr>
            </w:pPr>
            <w:r>
              <w:rPr>
                <w:rFonts w:hint="eastAsia" w:asciiTheme="minorEastAsia" w:hAnsiTheme="minorEastAsia" w:eastAsiaTheme="minorEastAsia" w:cstheme="minorEastAsia"/>
                <w:b w:val="0"/>
                <w:bCs w:val="0"/>
                <w:color w:val="auto"/>
                <w:sz w:val="21"/>
                <w:szCs w:val="21"/>
                <w:highlight w:val="none"/>
                <w:u w:val="none"/>
                <w:lang w:eastAsia="zh-CN"/>
              </w:rPr>
              <w:t>靶心法：</w:t>
            </w:r>
          </w:p>
          <w:p w14:paraId="5A721B69">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default"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rPr>
              <w:t>评标价=</w:t>
            </w:r>
            <w:r>
              <w:rPr>
                <w:rFonts w:hint="eastAsia" w:asciiTheme="minorEastAsia" w:hAnsiTheme="minorEastAsia" w:eastAsiaTheme="minorEastAsia" w:cstheme="minorEastAsia"/>
                <w:color w:val="auto"/>
                <w:szCs w:val="21"/>
                <w:highlight w:val="none"/>
                <w:u w:val="none"/>
              </w:rPr>
              <w:t>中标候选人投标费率</w:t>
            </w:r>
            <w:r>
              <w:rPr>
                <w:rFonts w:hint="eastAsia" w:asciiTheme="minorEastAsia" w:hAnsiTheme="minorEastAsia" w:eastAsiaTheme="minorEastAsia" w:cstheme="minorEastAsia"/>
                <w:b w:val="0"/>
                <w:bCs w:val="0"/>
                <w:color w:val="auto"/>
                <w:sz w:val="21"/>
                <w:szCs w:val="21"/>
                <w:highlight w:val="none"/>
                <w:u w:val="none"/>
              </w:rPr>
              <w:t>。如</w:t>
            </w:r>
            <w:r>
              <w:rPr>
                <w:rFonts w:hint="eastAsia" w:asciiTheme="minorEastAsia" w:hAnsiTheme="minorEastAsia" w:eastAsiaTheme="minorEastAsia" w:cstheme="minorEastAsia"/>
                <w:b w:val="0"/>
                <w:bCs w:val="0"/>
                <w:color w:val="auto"/>
                <w:sz w:val="21"/>
                <w:szCs w:val="21"/>
                <w:highlight w:val="none"/>
                <w:u w:val="none"/>
                <w:lang w:eastAsia="zh-CN"/>
              </w:rPr>
              <w:t>费</w:t>
            </w:r>
            <w:r>
              <w:rPr>
                <w:rFonts w:hint="eastAsia" w:asciiTheme="minorEastAsia" w:hAnsiTheme="minorEastAsia" w:eastAsiaTheme="minorEastAsia" w:cstheme="minorEastAsia"/>
                <w:b w:val="0"/>
                <w:bCs w:val="0"/>
                <w:color w:val="auto"/>
                <w:sz w:val="21"/>
                <w:szCs w:val="21"/>
                <w:highlight w:val="none"/>
                <w:u w:val="none"/>
              </w:rPr>
              <w:t>率为</w:t>
            </w:r>
            <w:r>
              <w:rPr>
                <w:rFonts w:hint="eastAsia" w:asciiTheme="minorEastAsia" w:hAnsiTheme="minorEastAsia" w:eastAsiaTheme="minorEastAsia" w:cstheme="minorEastAsia"/>
                <w:b w:val="0"/>
                <w:bCs w:val="0"/>
                <w:color w:val="auto"/>
                <w:sz w:val="21"/>
                <w:szCs w:val="21"/>
                <w:highlight w:val="none"/>
                <w:u w:val="none"/>
                <w:lang w:val="en-US" w:eastAsia="zh-CN"/>
              </w:rPr>
              <w:t>90</w:t>
            </w:r>
            <w:r>
              <w:rPr>
                <w:rFonts w:hint="eastAsia" w:asciiTheme="minorEastAsia" w:hAnsiTheme="minorEastAsia" w:eastAsiaTheme="minorEastAsia" w:cstheme="minorEastAsia"/>
                <w:b w:val="0"/>
                <w:bCs w:val="0"/>
                <w:color w:val="auto"/>
                <w:sz w:val="21"/>
                <w:szCs w:val="21"/>
                <w:highlight w:val="none"/>
                <w:u w:val="none"/>
              </w:rPr>
              <w:t>%，则评标价为</w:t>
            </w:r>
            <w:r>
              <w:rPr>
                <w:rFonts w:hint="eastAsia" w:asciiTheme="minorEastAsia" w:hAnsiTheme="minorEastAsia" w:eastAsiaTheme="minorEastAsia" w:cstheme="minorEastAsia"/>
                <w:b w:val="0"/>
                <w:bCs w:val="0"/>
                <w:color w:val="auto"/>
                <w:sz w:val="21"/>
                <w:szCs w:val="21"/>
                <w:highlight w:val="none"/>
                <w:u w:val="none"/>
                <w:lang w:val="en-US" w:eastAsia="zh-CN"/>
              </w:rPr>
              <w:t>90</w:t>
            </w:r>
          </w:p>
          <w:p w14:paraId="218A3203">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基准价（Y基准）计算方法：</w:t>
            </w:r>
          </w:p>
          <w:p w14:paraId="788F548B">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1、根据中标候选人评标价，分别</w:t>
            </w:r>
            <w:r>
              <w:rPr>
                <w:rFonts w:hint="eastAsia" w:asciiTheme="minorEastAsia" w:hAnsiTheme="minorEastAsia" w:eastAsiaTheme="minorEastAsia" w:cstheme="minorEastAsia"/>
                <w:b w:val="0"/>
                <w:bCs w:val="0"/>
                <w:color w:val="auto"/>
                <w:sz w:val="21"/>
                <w:szCs w:val="21"/>
                <w:highlight w:val="none"/>
                <w:u w:val="none"/>
                <w:lang w:eastAsia="zh-CN"/>
              </w:rPr>
              <w:t>去掉</w:t>
            </w:r>
            <w:r>
              <w:rPr>
                <w:rFonts w:hint="eastAsia" w:asciiTheme="minorEastAsia" w:hAnsiTheme="minorEastAsia" w:eastAsiaTheme="minorEastAsia" w:cstheme="minorEastAsia"/>
                <w:b w:val="0"/>
                <w:bCs w:val="0"/>
                <w:color w:val="auto"/>
                <w:sz w:val="21"/>
                <w:szCs w:val="21"/>
                <w:highlight w:val="none"/>
                <w:u w:val="none"/>
              </w:rPr>
              <w:t>10%最高及最低的评标价（</w:t>
            </w:r>
            <w:r>
              <w:rPr>
                <w:rFonts w:hint="eastAsia" w:asciiTheme="minorEastAsia" w:hAnsiTheme="minorEastAsia" w:eastAsiaTheme="minorEastAsia" w:cstheme="minorEastAsia"/>
                <w:b w:val="0"/>
                <w:bCs w:val="0"/>
                <w:color w:val="auto"/>
                <w:sz w:val="21"/>
                <w:szCs w:val="21"/>
                <w:highlight w:val="none"/>
                <w:u w:val="none"/>
                <w:lang w:eastAsia="zh-CN"/>
              </w:rPr>
              <w:t>合格</w:t>
            </w:r>
            <w:r>
              <w:rPr>
                <w:rFonts w:hint="eastAsia" w:asciiTheme="minorEastAsia" w:hAnsiTheme="minorEastAsia" w:eastAsiaTheme="minorEastAsia" w:cstheme="minorEastAsia"/>
                <w:b w:val="0"/>
                <w:bCs w:val="0"/>
                <w:color w:val="auto"/>
                <w:sz w:val="21"/>
                <w:szCs w:val="21"/>
                <w:highlight w:val="none"/>
                <w:u w:val="none"/>
              </w:rPr>
              <w:t>中标候选人个数×10%，四舍五入取整）</w:t>
            </w:r>
            <w:r>
              <w:rPr>
                <w:rFonts w:hint="eastAsia" w:asciiTheme="minorEastAsia" w:hAnsiTheme="minorEastAsia" w:eastAsiaTheme="minorEastAsia" w:cstheme="minorEastAsia"/>
                <w:b w:val="0"/>
                <w:bCs w:val="0"/>
                <w:color w:val="auto"/>
                <w:sz w:val="21"/>
                <w:szCs w:val="21"/>
                <w:highlight w:val="none"/>
                <w:u w:val="none"/>
                <w:lang w:eastAsia="zh-CN"/>
              </w:rPr>
              <w:t>，</w:t>
            </w:r>
            <w:r>
              <w:rPr>
                <w:rFonts w:hint="eastAsia" w:asciiTheme="minorEastAsia" w:hAnsiTheme="minorEastAsia" w:eastAsiaTheme="minorEastAsia" w:cstheme="minorEastAsia"/>
                <w:b w:val="0"/>
                <w:bCs w:val="0"/>
                <w:color w:val="auto"/>
                <w:sz w:val="21"/>
                <w:szCs w:val="21"/>
                <w:highlight w:val="none"/>
                <w:u w:val="none"/>
              </w:rPr>
              <w:t>计算平均</w:t>
            </w:r>
            <w:r>
              <w:rPr>
                <w:rFonts w:hint="eastAsia" w:asciiTheme="minorEastAsia" w:hAnsiTheme="minorEastAsia" w:eastAsiaTheme="minorEastAsia" w:cstheme="minorEastAsia"/>
                <w:b w:val="0"/>
                <w:bCs w:val="0"/>
                <w:color w:val="auto"/>
                <w:sz w:val="21"/>
                <w:szCs w:val="21"/>
                <w:highlight w:val="none"/>
                <w:u w:val="none"/>
                <w:lang w:eastAsia="zh-CN"/>
              </w:rPr>
              <w:t>价作为</w:t>
            </w:r>
            <w:r>
              <w:rPr>
                <w:rFonts w:hint="eastAsia" w:asciiTheme="minorEastAsia" w:hAnsiTheme="minorEastAsia" w:eastAsiaTheme="minorEastAsia" w:cstheme="minorEastAsia"/>
                <w:b w:val="0"/>
                <w:bCs w:val="0"/>
                <w:color w:val="auto"/>
                <w:sz w:val="21"/>
                <w:szCs w:val="21"/>
                <w:highlight w:val="none"/>
                <w:u w:val="none"/>
              </w:rPr>
              <w:t>Y平均；</w:t>
            </w:r>
          </w:p>
          <w:p w14:paraId="5772152A">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420" w:firstLineChars="200"/>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2、计算评标基准价，Y基准＝Y平均×（1－X），X为下浮率，下浮率X（从2%、3%、4%、5%中通过摇珠机随机抽取其中之一）。</w:t>
            </w:r>
          </w:p>
          <w:p w14:paraId="716980A0">
            <w:pPr>
              <w:pStyle w:val="23"/>
              <w:pageBreakBefore w:val="0"/>
              <w:kinsoku/>
              <w:wordWrap/>
              <w:overflowPunct/>
              <w:topLinePunct w:val="0"/>
              <w:autoSpaceDE/>
              <w:autoSpaceDN/>
              <w:bidi w:val="0"/>
              <w:spacing w:before="10" w:after="10"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u w:val="none"/>
              </w:rPr>
            </w:pPr>
            <w:r>
              <w:rPr>
                <w:rFonts w:hint="eastAsia" w:asciiTheme="minorEastAsia" w:hAnsiTheme="minorEastAsia" w:eastAsiaTheme="minorEastAsia" w:cstheme="minorEastAsia"/>
                <w:b w:val="0"/>
                <w:bCs w:val="0"/>
                <w:color w:val="auto"/>
                <w:sz w:val="21"/>
                <w:szCs w:val="21"/>
                <w:highlight w:val="none"/>
                <w:u w:val="none"/>
              </w:rPr>
              <w:t>报价得分=满分-满分×n×|评标价-基准价|/基准价，当评标价≤基准价时，n=0.</w:t>
            </w:r>
            <w:r>
              <w:rPr>
                <w:rFonts w:hint="eastAsia" w:asciiTheme="minorEastAsia" w:hAnsiTheme="minorEastAsia" w:eastAsiaTheme="minorEastAsia" w:cstheme="minorEastAsia"/>
                <w:b w:val="0"/>
                <w:bCs w:val="0"/>
                <w:color w:val="auto"/>
                <w:sz w:val="21"/>
                <w:szCs w:val="21"/>
                <w:highlight w:val="none"/>
                <w:u w:val="none"/>
                <w:lang w:val="en-US" w:eastAsia="zh-CN"/>
              </w:rPr>
              <w:t>3</w:t>
            </w:r>
            <w:r>
              <w:rPr>
                <w:rFonts w:hint="eastAsia" w:asciiTheme="minorEastAsia" w:hAnsiTheme="minorEastAsia" w:eastAsiaTheme="minorEastAsia" w:cstheme="minorEastAsia"/>
                <w:b w:val="0"/>
                <w:bCs w:val="0"/>
                <w:color w:val="auto"/>
                <w:sz w:val="21"/>
                <w:szCs w:val="21"/>
                <w:highlight w:val="none"/>
                <w:u w:val="none"/>
              </w:rPr>
              <w:t>，当评标价＞基准价时，n=</w:t>
            </w:r>
            <w:r>
              <w:rPr>
                <w:rFonts w:hint="eastAsia" w:asciiTheme="minorEastAsia" w:hAnsiTheme="minorEastAsia" w:eastAsiaTheme="minorEastAsia" w:cstheme="minorEastAsia"/>
                <w:b w:val="0"/>
                <w:bCs w:val="0"/>
                <w:color w:val="auto"/>
                <w:sz w:val="21"/>
                <w:szCs w:val="21"/>
                <w:highlight w:val="none"/>
                <w:u w:val="none"/>
                <w:lang w:val="en-US" w:eastAsia="zh-CN"/>
              </w:rPr>
              <w:t>0.7</w:t>
            </w:r>
            <w:r>
              <w:rPr>
                <w:rFonts w:hint="eastAsia" w:asciiTheme="minorEastAsia" w:hAnsiTheme="minorEastAsia" w:eastAsiaTheme="minorEastAsia" w:cstheme="minorEastAsia"/>
                <w:b w:val="0"/>
                <w:bCs w:val="0"/>
                <w:color w:val="auto"/>
                <w:sz w:val="21"/>
                <w:szCs w:val="21"/>
                <w:highlight w:val="none"/>
                <w:u w:val="none"/>
              </w:rPr>
              <w:t>。</w:t>
            </w:r>
          </w:p>
          <w:p w14:paraId="204A1C76">
            <w:pPr>
              <w:spacing w:line="400" w:lineRule="exact"/>
              <w:jc w:val="left"/>
              <w:rPr>
                <w:rFonts w:hint="eastAsia" w:ascii="宋体" w:hAnsi="宋体" w:cs="宋体" w:eastAsiaTheme="minorEastAsia"/>
                <w:color w:val="auto"/>
                <w:szCs w:val="21"/>
                <w:highlight w:val="none"/>
                <w:lang w:eastAsia="zh-CN" w:bidi="ar"/>
              </w:rPr>
            </w:pPr>
            <w:r>
              <w:rPr>
                <w:rFonts w:hint="eastAsia" w:asciiTheme="minorEastAsia" w:hAnsiTheme="minorEastAsia" w:eastAsiaTheme="minorEastAsia" w:cstheme="minorEastAsia"/>
                <w:b w:val="0"/>
                <w:bCs w:val="0"/>
                <w:color w:val="auto"/>
                <w:sz w:val="21"/>
                <w:szCs w:val="21"/>
                <w:highlight w:val="none"/>
                <w:u w:val="none"/>
              </w:rPr>
              <w:t>注：基准价、报价得分的结果按“四舍五入”的原则保留两位小数。若报价得分为负分时，则按零分计算</w:t>
            </w:r>
            <w:r>
              <w:rPr>
                <w:rFonts w:hint="eastAsia" w:asciiTheme="minorEastAsia" w:hAnsiTheme="minorEastAsia" w:eastAsiaTheme="minorEastAsia" w:cstheme="minorEastAsia"/>
                <w:b w:val="0"/>
                <w:bCs w:val="0"/>
                <w:color w:val="auto"/>
                <w:sz w:val="21"/>
                <w:szCs w:val="21"/>
                <w:highlight w:val="none"/>
                <w:u w:val="none"/>
                <w:lang w:eastAsia="zh-CN"/>
              </w:rPr>
              <w:t>。</w:t>
            </w:r>
          </w:p>
        </w:tc>
        <w:tc>
          <w:tcPr>
            <w:tcW w:w="549" w:type="pct"/>
            <w:tcBorders>
              <w:top w:val="single" w:color="auto" w:sz="4" w:space="0"/>
              <w:left w:val="nil"/>
              <w:bottom w:val="single" w:color="auto" w:sz="4" w:space="0"/>
              <w:right w:val="single" w:color="auto" w:sz="4" w:space="0"/>
            </w:tcBorders>
            <w:vAlign w:val="center"/>
          </w:tcPr>
          <w:p w14:paraId="2610B79B">
            <w:pPr>
              <w:spacing w:line="400" w:lineRule="exact"/>
              <w:jc w:val="center"/>
              <w:rPr>
                <w:rFonts w:hint="default"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20分</w:t>
            </w:r>
          </w:p>
        </w:tc>
      </w:tr>
      <w:tr w14:paraId="0EDF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14:paraId="0E55E91B">
            <w:pPr>
              <w:spacing w:line="360" w:lineRule="auto"/>
              <w:jc w:val="center"/>
              <w:rPr>
                <w:rFonts w:hint="eastAsia" w:ascii="宋体" w:hAnsi="宋体" w:cs="宋体"/>
                <w:color w:val="auto"/>
                <w:szCs w:val="21"/>
                <w:highlight w:val="none"/>
                <w:lang w:val="en-US" w:eastAsia="zh-CN" w:bidi="ar"/>
              </w:rPr>
            </w:pPr>
            <w:r>
              <w:rPr>
                <w:rFonts w:hint="eastAsia" w:ascii="宋体" w:hAnsi="宋体" w:cs="宋体"/>
                <w:color w:val="auto"/>
                <w:szCs w:val="21"/>
                <w:highlight w:val="none"/>
                <w:lang w:val="en-US" w:eastAsia="zh-CN" w:bidi="ar"/>
              </w:rPr>
              <w:t>4</w:t>
            </w:r>
          </w:p>
        </w:tc>
        <w:tc>
          <w:tcPr>
            <w:tcW w:w="2057" w:type="dxa"/>
            <w:gridSpan w:val="2"/>
            <w:tcBorders>
              <w:top w:val="single" w:color="auto" w:sz="4" w:space="0"/>
              <w:left w:val="nil"/>
              <w:bottom w:val="single" w:color="auto" w:sz="4" w:space="0"/>
              <w:right w:val="single" w:color="auto" w:sz="4" w:space="0"/>
            </w:tcBorders>
            <w:vAlign w:val="center"/>
          </w:tcPr>
          <w:p w14:paraId="5850C06C">
            <w:pPr>
              <w:spacing w:line="360" w:lineRule="auto"/>
              <w:jc w:val="center"/>
              <w:rPr>
                <w:rFonts w:hint="eastAsia" w:ascii="宋体" w:hAnsi="宋体" w:cs="宋体"/>
                <w:color w:val="auto"/>
                <w:szCs w:val="21"/>
                <w:highlight w:val="none"/>
                <w:lang w:bidi="ar"/>
              </w:rPr>
            </w:pPr>
            <w:r>
              <w:rPr>
                <w:rFonts w:hint="eastAsia" w:cs="宋体"/>
                <w:color w:val="auto"/>
                <w:szCs w:val="21"/>
                <w:highlight w:val="none"/>
              </w:rPr>
              <w:t>答辩因素</w:t>
            </w:r>
            <w:r>
              <w:rPr>
                <w:rFonts w:hint="eastAsia" w:cs="宋体"/>
                <w:color w:val="auto"/>
                <w:szCs w:val="21"/>
                <w:highlight w:val="none"/>
                <w:lang w:eastAsia="zh-CN"/>
              </w:rPr>
              <w:t>（</w:t>
            </w:r>
            <w:r>
              <w:rPr>
                <w:rFonts w:hint="eastAsia" w:cs="宋体"/>
                <w:color w:val="auto"/>
                <w:szCs w:val="21"/>
                <w:highlight w:val="none"/>
                <w:lang w:val="en-US" w:eastAsia="zh-CN"/>
              </w:rPr>
              <w:t>20分</w:t>
            </w:r>
            <w:r>
              <w:rPr>
                <w:rFonts w:hint="eastAsia" w:cs="宋体"/>
                <w:color w:val="auto"/>
                <w:szCs w:val="21"/>
                <w:highlight w:val="none"/>
                <w:lang w:eastAsia="zh-CN"/>
              </w:rPr>
              <w:t>）</w:t>
            </w:r>
          </w:p>
        </w:tc>
        <w:tc>
          <w:tcPr>
            <w:tcW w:w="5094" w:type="dxa"/>
            <w:tcBorders>
              <w:top w:val="single" w:color="auto" w:sz="4" w:space="0"/>
              <w:left w:val="nil"/>
              <w:bottom w:val="single" w:color="auto" w:sz="4" w:space="0"/>
              <w:right w:val="single" w:color="auto" w:sz="4" w:space="0"/>
            </w:tcBorders>
            <w:vAlign w:val="center"/>
          </w:tcPr>
          <w:p w14:paraId="3BB7B108">
            <w:pPr>
              <w:bidi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对合格的中标候选人拟派答辩人员的答辩情况进行评审。答辩流程分为如下三个环节：</w:t>
            </w:r>
          </w:p>
          <w:p w14:paraId="11E4E3DA">
            <w:pPr>
              <w:bidi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1.投标人对自身情况的陈述（时间控制在</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分钟内）：</w:t>
            </w:r>
          </w:p>
          <w:p w14:paraId="3AA3D088">
            <w:pPr>
              <w:bidi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①对本次项目管理班子团队人员情况的介绍。</w:t>
            </w:r>
          </w:p>
          <w:p w14:paraId="6573A10A">
            <w:pPr>
              <w:bidi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②</w:t>
            </w:r>
            <w:r>
              <w:rPr>
                <w:rFonts w:hint="eastAsia" w:asciiTheme="minorEastAsia" w:hAnsiTheme="minorEastAsia" w:eastAsiaTheme="minorEastAsia" w:cstheme="minorEastAsia"/>
                <w:color w:val="auto"/>
                <w:highlight w:val="none"/>
              </w:rPr>
              <w:t>投标人实施本项目的自身优势。</w:t>
            </w:r>
          </w:p>
          <w:p w14:paraId="51596032">
            <w:pPr>
              <w:bidi w:val="0"/>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定标委员会对合格的中标候选人的预设提问（时间控制在6分钟之内）</w:t>
            </w:r>
            <w:r>
              <w:rPr>
                <w:rFonts w:hint="eastAsia" w:asciiTheme="minorEastAsia" w:hAnsiTheme="minorEastAsia" w:eastAsiaTheme="minorEastAsia" w:cstheme="minorEastAsia"/>
                <w:color w:val="auto"/>
                <w:highlight w:val="none"/>
                <w:lang w:eastAsia="zh-CN"/>
              </w:rPr>
              <w:t>：</w:t>
            </w:r>
          </w:p>
          <w:p w14:paraId="4DD90D26">
            <w:pPr>
              <w:bidi w:val="0"/>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①对本项目实施设想的陈述、实施本项目的资源优势及相应的保障措施；</w:t>
            </w:r>
          </w:p>
          <w:p w14:paraId="4D3D4059">
            <w:pPr>
              <w:bidi w:val="0"/>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②对项目的整体部署和重难点分析及应对措施，重点描述对项目施工效果及的保证及其措施。</w:t>
            </w:r>
          </w:p>
          <w:p w14:paraId="55CEF751">
            <w:pPr>
              <w:bidi w:val="0"/>
              <w:spacing w:line="360" w:lineRule="auto"/>
              <w:rPr>
                <w:color w:val="auto"/>
                <w:highlight w:val="none"/>
              </w:rPr>
            </w:pPr>
            <w:r>
              <w:rPr>
                <w:rFonts w:hint="eastAsia" w:asciiTheme="minorEastAsia" w:hAnsiTheme="minorEastAsia" w:eastAsiaTheme="minorEastAsia" w:cstheme="minorEastAsia"/>
                <w:color w:val="auto"/>
                <w:highlight w:val="none"/>
              </w:rPr>
              <w:t>3.定标委员会对合格的中标候选人的随机提问（时间控制在3分钟之内）</w:t>
            </w:r>
          </w:p>
          <w:p w14:paraId="2D8F99BF">
            <w:pPr>
              <w:bidi w:val="0"/>
              <w:spacing w:line="360" w:lineRule="auto"/>
              <w:rPr>
                <w:rFonts w:hint="eastAsia" w:asciiTheme="minorEastAsia" w:hAnsiTheme="minorEastAsia" w:eastAsiaTheme="minorEastAsia" w:cstheme="minorEastAsia"/>
                <w:b w:val="0"/>
                <w:bCs w:val="0"/>
                <w:color w:val="auto"/>
                <w:sz w:val="21"/>
                <w:szCs w:val="21"/>
                <w:highlight w:val="none"/>
                <w:u w:val="single"/>
              </w:rPr>
            </w:pPr>
            <w:r>
              <w:rPr>
                <w:rFonts w:hint="eastAsia" w:asciiTheme="minorEastAsia" w:hAnsiTheme="minorEastAsia" w:eastAsiaTheme="minorEastAsia" w:cstheme="minorEastAsia"/>
                <w:color w:val="auto"/>
                <w:highlight w:val="none"/>
              </w:rPr>
              <w:t>优（1</w:t>
            </w: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20分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良（</w:t>
            </w: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w:t>
            </w:r>
            <w:r>
              <w:rPr>
                <w:rFonts w:hint="eastAsia" w:asciiTheme="minorEastAsia" w:hAnsiTheme="minorEastAsia" w:eastAsiaTheme="minorEastAsia" w:cstheme="minorEastAsia"/>
                <w:color w:val="auto"/>
                <w:highlight w:val="none"/>
                <w:lang w:val="en-US" w:eastAsia="zh-CN"/>
              </w:rPr>
              <w:t>6-10</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差</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（0</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分</w:t>
            </w:r>
            <w:r>
              <w:rPr>
                <w:rFonts w:hint="eastAsia" w:asciiTheme="minorEastAsia" w:hAnsiTheme="minorEastAsia" w:eastAsiaTheme="minorEastAsia" w:cstheme="minorEastAsia"/>
                <w:color w:val="auto"/>
                <w:highlight w:val="none"/>
                <w:lang w:eastAsia="zh-CN"/>
              </w:rPr>
              <w:t>）。</w:t>
            </w:r>
          </w:p>
        </w:tc>
        <w:tc>
          <w:tcPr>
            <w:tcW w:w="935" w:type="dxa"/>
            <w:tcBorders>
              <w:top w:val="single" w:color="auto" w:sz="4" w:space="0"/>
              <w:left w:val="nil"/>
              <w:bottom w:val="single" w:color="auto" w:sz="4" w:space="0"/>
              <w:right w:val="single" w:color="auto" w:sz="4" w:space="0"/>
            </w:tcBorders>
            <w:vAlign w:val="center"/>
          </w:tcPr>
          <w:p w14:paraId="104D99DB">
            <w:pPr>
              <w:spacing w:line="360" w:lineRule="auto"/>
              <w:jc w:val="center"/>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20分</w:t>
            </w:r>
          </w:p>
        </w:tc>
      </w:tr>
    </w:tbl>
    <w:p w14:paraId="4720BA63">
      <w:pPr>
        <w:keepNext w:val="0"/>
        <w:keepLines w:val="0"/>
        <w:pageBreakBefore w:val="0"/>
        <w:widowControl/>
        <w:kinsoku/>
        <w:wordWrap/>
        <w:overflowPunct/>
        <w:topLinePunct w:val="0"/>
        <w:autoSpaceDE/>
        <w:autoSpaceDN/>
        <w:bidi w:val="0"/>
        <w:adjustRightInd/>
        <w:snapToGrid/>
        <w:spacing w:before="120" w:beforeLines="50" w:line="360" w:lineRule="exact"/>
        <w:jc w:val="left"/>
        <w:textAlignment w:val="auto"/>
        <w:outlineLvl w:val="9"/>
        <w:rPr>
          <w:rFonts w:ascii="宋体" w:hAnsi="宋体"/>
          <w:b/>
          <w:color w:val="auto"/>
          <w:sz w:val="32"/>
          <w:highlight w:val="none"/>
          <w:u w:val="single"/>
        </w:rPr>
      </w:pPr>
      <w:r>
        <w:rPr>
          <w:rFonts w:hint="eastAsia" w:ascii="宋体" w:hAnsi="宋体"/>
          <w:b w:val="0"/>
          <w:bCs/>
          <w:color w:val="auto"/>
          <w:sz w:val="21"/>
          <w:szCs w:val="21"/>
          <w:highlight w:val="none"/>
          <w:lang w:bidi="ar"/>
        </w:rPr>
        <w:t>注：</w:t>
      </w:r>
    </w:p>
    <w:p w14:paraId="33D535A8">
      <w:pPr>
        <w:spacing w:line="360" w:lineRule="auto"/>
        <w:ind w:firstLine="420" w:firstLineChars="200"/>
        <w:rPr>
          <w:rFonts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bidi="ar"/>
        </w:rPr>
        <w:t>（1）答辩人员组成：由项目总协调人、总监理工程师、总监理工程师代表其中1人或2人组成（参与人员须是本单位的在职人员）；</w:t>
      </w:r>
    </w:p>
    <w:p w14:paraId="1C4478C7">
      <w:pPr>
        <w:spacing w:line="360" w:lineRule="auto"/>
        <w:ind w:firstLine="420" w:firstLineChars="200"/>
        <w:rPr>
          <w:rFonts w:ascii="宋体" w:hAnsi="宋体" w:cs="宋体"/>
          <w:color w:val="auto"/>
          <w:kern w:val="0"/>
          <w:sz w:val="21"/>
          <w:szCs w:val="21"/>
          <w:highlight w:val="none"/>
          <w:shd w:val="clear" w:color="auto" w:fill="FFFFFF"/>
        </w:rPr>
      </w:pPr>
      <w:r>
        <w:rPr>
          <w:rFonts w:hint="eastAsia" w:ascii="宋体" w:hAnsi="宋体" w:cs="宋体"/>
          <w:color w:val="auto"/>
          <w:kern w:val="0"/>
          <w:sz w:val="21"/>
          <w:szCs w:val="21"/>
          <w:highlight w:val="none"/>
          <w:shd w:val="clear" w:color="auto" w:fill="FFFFFF"/>
          <w:lang w:bidi="ar"/>
        </w:rPr>
        <w:t>（2）答辩人员的到场要求：合格的中标候选人在参加答辩时，</w:t>
      </w:r>
      <w:r>
        <w:rPr>
          <w:rFonts w:hint="eastAsia" w:ascii="宋体" w:hAnsi="宋体" w:cs="宋体"/>
          <w:b/>
          <w:bCs/>
          <w:color w:val="auto"/>
          <w:kern w:val="0"/>
          <w:sz w:val="21"/>
          <w:szCs w:val="21"/>
          <w:highlight w:val="none"/>
          <w:shd w:val="clear" w:color="auto" w:fill="FFFFFF"/>
          <w:lang w:bidi="ar"/>
        </w:rPr>
        <w:t>应向招标人（招标代理）出示一份加盖公章的法定代表人证明书原件、法定代表人授权委托证明书原件，本人身份证原件。</w:t>
      </w:r>
      <w:r>
        <w:rPr>
          <w:rFonts w:hint="eastAsia" w:ascii="宋体" w:hAnsi="宋体" w:cs="宋体"/>
          <w:color w:val="auto"/>
          <w:kern w:val="0"/>
          <w:sz w:val="21"/>
          <w:szCs w:val="21"/>
          <w:highlight w:val="none"/>
          <w:shd w:val="clear" w:color="auto" w:fill="FFFFFF"/>
          <w:lang w:bidi="ar"/>
        </w:rPr>
        <w:t>由参与答辩的人员出示身份证原件，核对确认身份后签到。未能出示前述证明文件的单位不予参加答辩环节；</w:t>
      </w:r>
    </w:p>
    <w:p w14:paraId="14A25C58">
      <w:pPr>
        <w:spacing w:line="360" w:lineRule="auto"/>
        <w:ind w:firstLine="420" w:firstLineChars="200"/>
        <w:rPr>
          <w:rFonts w:hint="eastAsia" w:ascii="宋体" w:hAnsi="宋体" w:cs="宋体"/>
          <w:color w:val="auto"/>
          <w:kern w:val="0"/>
          <w:sz w:val="21"/>
          <w:szCs w:val="21"/>
          <w:highlight w:val="none"/>
          <w:shd w:val="clear" w:color="auto" w:fill="FFFFFF"/>
          <w:lang w:bidi="ar"/>
        </w:rPr>
      </w:pPr>
      <w:r>
        <w:rPr>
          <w:rFonts w:hint="eastAsia" w:ascii="宋体" w:hAnsi="宋体" w:cs="宋体"/>
          <w:color w:val="auto"/>
          <w:kern w:val="0"/>
          <w:sz w:val="21"/>
          <w:szCs w:val="21"/>
          <w:highlight w:val="none"/>
          <w:shd w:val="clear" w:color="auto" w:fill="FFFFFF"/>
          <w:lang w:bidi="ar"/>
        </w:rPr>
        <w:t>（</w:t>
      </w:r>
      <w:r>
        <w:rPr>
          <w:rFonts w:hint="eastAsia" w:ascii="宋体" w:hAnsi="宋体" w:cs="宋体"/>
          <w:color w:val="auto"/>
          <w:kern w:val="0"/>
          <w:sz w:val="21"/>
          <w:szCs w:val="21"/>
          <w:highlight w:val="none"/>
          <w:shd w:val="clear" w:color="auto" w:fill="FFFFFF"/>
          <w:lang w:val="en-US" w:eastAsia="zh-CN" w:bidi="ar"/>
        </w:rPr>
        <w:t>3</w:t>
      </w:r>
      <w:r>
        <w:rPr>
          <w:rFonts w:hint="eastAsia" w:ascii="宋体" w:hAnsi="宋体" w:cs="宋体"/>
          <w:color w:val="auto"/>
          <w:kern w:val="0"/>
          <w:sz w:val="21"/>
          <w:szCs w:val="21"/>
          <w:highlight w:val="none"/>
          <w:shd w:val="clear" w:color="auto" w:fill="FFFFFF"/>
          <w:lang w:bidi="ar"/>
        </w:rPr>
        <w:t>）答辩进场顺序：按本项目中标候选人公示信息中合格的中标候选人的顺序依次排序进行答辩；如因合格的中标候选人原因造成逾期到达广州交易集团有限公司（广州公共资源交易中心）指定区域的，视为自动放弃答辩资格，则答辩顺序由后面的序号依次替补而顺延。答辩形式为答辩人员先陈述，评委针对答辩内容提问，由答辩人员进行解答；答辩环节为口头答辩方式，投标人可以自愿为原则。</w:t>
      </w:r>
    </w:p>
    <w:p w14:paraId="59722EB4">
      <w:pPr>
        <w:spacing w:line="360" w:lineRule="auto"/>
        <w:ind w:firstLine="420" w:firstLineChars="200"/>
        <w:rPr>
          <w:rFonts w:hint="eastAsia" w:ascii="宋体" w:hAnsi="宋体" w:cs="宋体"/>
          <w:color w:val="auto"/>
          <w:kern w:val="0"/>
          <w:sz w:val="21"/>
          <w:szCs w:val="21"/>
          <w:highlight w:val="none"/>
          <w:shd w:val="clear" w:color="auto" w:fill="FFFFFF"/>
          <w:lang w:bidi="ar"/>
        </w:rPr>
      </w:pPr>
      <w:r>
        <w:rPr>
          <w:rFonts w:hint="eastAsia" w:ascii="宋体" w:hAnsi="宋体" w:cs="宋体"/>
          <w:color w:val="auto"/>
          <w:kern w:val="0"/>
          <w:sz w:val="21"/>
          <w:szCs w:val="21"/>
          <w:highlight w:val="none"/>
          <w:shd w:val="clear" w:color="auto" w:fill="FFFFFF"/>
          <w:lang w:bidi="ar"/>
        </w:rPr>
        <w:t>（</w:t>
      </w:r>
      <w:r>
        <w:rPr>
          <w:rFonts w:hint="eastAsia" w:ascii="宋体" w:hAnsi="宋体" w:cs="宋体"/>
          <w:color w:val="auto"/>
          <w:kern w:val="0"/>
          <w:sz w:val="21"/>
          <w:szCs w:val="21"/>
          <w:highlight w:val="none"/>
          <w:shd w:val="clear" w:color="auto" w:fill="FFFFFF"/>
          <w:lang w:val="en-US" w:eastAsia="zh-CN" w:bidi="ar"/>
        </w:rPr>
        <w:t>4</w:t>
      </w:r>
      <w:r>
        <w:rPr>
          <w:rFonts w:hint="eastAsia" w:ascii="宋体" w:hAnsi="宋体" w:cs="宋体"/>
          <w:color w:val="auto"/>
          <w:kern w:val="0"/>
          <w:sz w:val="21"/>
          <w:szCs w:val="21"/>
          <w:highlight w:val="none"/>
          <w:shd w:val="clear" w:color="auto" w:fill="FFFFFF"/>
          <w:lang w:bidi="ar"/>
        </w:rPr>
        <w:t>）通知答辩的方式：通过电话和短信通知投标人参加答辩。招标人或招标代理另行通知答辩时间、地点，合格的中标候选人应在定标当天按通知时间到达广州交易集团有限公司（广州公共资源交易中心）（广州市天河区天润路333号）指定区域等候。</w:t>
      </w:r>
    </w:p>
    <w:p w14:paraId="06EA58C9">
      <w:pPr>
        <w:spacing w:line="360" w:lineRule="auto"/>
        <w:ind w:firstLine="420" w:firstLineChars="200"/>
        <w:rPr>
          <w:rFonts w:hint="eastAsia" w:ascii="宋体" w:hAnsi="宋体" w:eastAsia="宋体" w:cs="宋体"/>
          <w:color w:val="auto"/>
          <w:kern w:val="0"/>
          <w:sz w:val="21"/>
          <w:szCs w:val="21"/>
          <w:highlight w:val="none"/>
          <w:shd w:val="clear" w:color="auto" w:fill="FFFFFF"/>
          <w:lang w:eastAsia="zh-CN" w:bidi="ar"/>
        </w:rPr>
      </w:pPr>
      <w:r>
        <w:rPr>
          <w:rFonts w:hint="eastAsia" w:ascii="宋体" w:hAnsi="宋体" w:cs="宋体"/>
          <w:color w:val="auto"/>
          <w:kern w:val="0"/>
          <w:sz w:val="21"/>
          <w:szCs w:val="21"/>
          <w:highlight w:val="none"/>
          <w:shd w:val="clear" w:color="auto" w:fill="FFFFFF"/>
          <w:lang w:bidi="ar"/>
        </w:rPr>
        <w:t>（</w:t>
      </w:r>
      <w:r>
        <w:rPr>
          <w:rFonts w:hint="eastAsia" w:ascii="宋体" w:hAnsi="宋体" w:cs="宋体"/>
          <w:color w:val="auto"/>
          <w:kern w:val="0"/>
          <w:sz w:val="21"/>
          <w:szCs w:val="21"/>
          <w:highlight w:val="none"/>
          <w:shd w:val="clear" w:color="auto" w:fill="FFFFFF"/>
          <w:lang w:val="en-US" w:eastAsia="zh-CN" w:bidi="ar"/>
        </w:rPr>
        <w:t>5</w:t>
      </w:r>
      <w:r>
        <w:rPr>
          <w:rFonts w:hint="eastAsia" w:ascii="宋体" w:hAnsi="宋体" w:cs="宋体"/>
          <w:color w:val="auto"/>
          <w:kern w:val="0"/>
          <w:sz w:val="21"/>
          <w:szCs w:val="21"/>
          <w:highlight w:val="none"/>
          <w:shd w:val="clear" w:color="auto" w:fill="FFFFFF"/>
          <w:lang w:bidi="ar"/>
        </w:rPr>
        <w:t>）各合格中标候选人总得分为各评委评分的算术平均值，得分四舍五入保留两位</w:t>
      </w:r>
      <w:r>
        <w:rPr>
          <w:rFonts w:hint="eastAsia" w:ascii="宋体" w:hAnsi="宋体" w:cs="宋体"/>
          <w:color w:val="auto"/>
          <w:kern w:val="0"/>
          <w:sz w:val="21"/>
          <w:szCs w:val="21"/>
          <w:highlight w:val="none"/>
          <w:shd w:val="clear" w:color="auto" w:fill="FFFFFF"/>
          <w:lang w:eastAsia="zh-CN" w:bidi="ar"/>
        </w:rPr>
        <w:t>小数。</w:t>
      </w:r>
    </w:p>
    <w:p w14:paraId="30978EBD">
      <w:pPr>
        <w:spacing w:line="360" w:lineRule="auto"/>
        <w:ind w:firstLine="562" w:firstLineChars="200"/>
        <w:rPr>
          <w:rFonts w:ascii="宋体" w:hAnsi="宋体"/>
          <w:b/>
          <w:color w:val="auto"/>
          <w:sz w:val="28"/>
          <w:szCs w:val="28"/>
          <w:highlight w:val="none"/>
        </w:rPr>
      </w:pPr>
    </w:p>
    <w:p w14:paraId="48C66EA8">
      <w:pPr>
        <w:keepNext w:val="0"/>
        <w:keepLines w:val="0"/>
        <w:pageBreakBefore w:val="0"/>
        <w:widowControl w:val="0"/>
        <w:tabs>
          <w:tab w:val="left" w:pos="2127"/>
        </w:tabs>
        <w:kinsoku/>
        <w:wordWrap/>
        <w:overflowPunct/>
        <w:topLinePunct w:val="0"/>
        <w:autoSpaceDE/>
        <w:autoSpaceDN/>
        <w:bidi w:val="0"/>
        <w:adjustRightInd/>
        <w:snapToGrid w:val="0"/>
        <w:spacing w:line="360" w:lineRule="auto"/>
        <w:ind w:firstLine="420" w:firstLineChars="200"/>
        <w:textAlignment w:val="auto"/>
        <w:outlineLvl w:val="9"/>
        <w:rPr>
          <w:rFonts w:hint="eastAsia" w:ascii="宋体" w:hAnsi="宋体" w:eastAsia="Times New Roman" w:cs="宋体"/>
          <w:color w:val="auto"/>
          <w:szCs w:val="21"/>
          <w:highlight w:val="none"/>
        </w:rPr>
      </w:pPr>
    </w:p>
    <w:p w14:paraId="6FFC8FD5">
      <w:pPr>
        <w:pStyle w:val="2"/>
        <w:rPr>
          <w:rFonts w:hint="eastAsia" w:ascii="宋体" w:hAnsi="宋体" w:eastAsia="Times New Roman" w:cs="宋体"/>
          <w:color w:val="auto"/>
          <w:szCs w:val="21"/>
          <w:highlight w:val="none"/>
        </w:rPr>
      </w:pPr>
    </w:p>
    <w:p w14:paraId="62C2CD86">
      <w:pPr>
        <w:rPr>
          <w:rFonts w:hint="eastAsia"/>
          <w:color w:val="auto"/>
          <w:highlight w:val="none"/>
          <w:lang w:eastAsia="zh-CN"/>
        </w:rPr>
      </w:pPr>
      <w:r>
        <w:rPr>
          <w:rFonts w:hint="eastAsia"/>
          <w:color w:val="auto"/>
          <w:highlight w:val="none"/>
          <w:lang w:eastAsia="zh-CN"/>
        </w:rPr>
        <w:br w:type="page"/>
      </w:r>
    </w:p>
    <w:p w14:paraId="0CBCAA56">
      <w:pPr>
        <w:jc w:val="left"/>
        <w:rPr>
          <w:rFonts w:hint="eastAsia" w:ascii="宋体" w:hAnsi="宋体" w:cs="宋体"/>
          <w:b/>
          <w:color w:val="auto"/>
          <w:sz w:val="36"/>
          <w:szCs w:val="36"/>
          <w:highlight w:val="none"/>
        </w:rPr>
      </w:pPr>
      <w:r>
        <w:rPr>
          <w:rFonts w:hint="eastAsia"/>
          <w:color w:val="auto"/>
          <w:highlight w:val="none"/>
          <w:lang w:eastAsia="zh-CN"/>
        </w:rPr>
        <w:t>附表三：</w:t>
      </w:r>
    </w:p>
    <w:p w14:paraId="5C624380">
      <w:pPr>
        <w:pStyle w:val="17"/>
        <w:ind w:firstLine="3654" w:firstLineChars="1300"/>
        <w:jc w:val="left"/>
        <w:rPr>
          <w:rFonts w:hint="eastAsia" w:ascii="宋体" w:hAnsi="宋体"/>
          <w:b/>
          <w:color w:val="auto"/>
          <w:sz w:val="24"/>
          <w:highlight w:val="none"/>
        </w:rPr>
      </w:pPr>
      <w:bookmarkStart w:id="2395" w:name="_Toc14748"/>
      <w:r>
        <w:rPr>
          <w:rFonts w:hint="eastAsia" w:ascii="宋体" w:hAnsi="宋体"/>
          <w:b/>
          <w:color w:val="auto"/>
          <w:sz w:val="28"/>
          <w:szCs w:val="24"/>
          <w:highlight w:val="none"/>
        </w:rPr>
        <w:t>定标评分表（个人）</w:t>
      </w:r>
      <w:bookmarkEnd w:id="2395"/>
    </w:p>
    <w:p w14:paraId="21C04EBB">
      <w:pPr>
        <w:pStyle w:val="17"/>
        <w:keepNext w:val="0"/>
        <w:keepLines w:val="0"/>
        <w:pageBreakBefore w:val="0"/>
        <w:widowControl w:val="0"/>
        <w:kinsoku/>
        <w:wordWrap/>
        <w:overflowPunct/>
        <w:topLinePunct w:val="0"/>
        <w:autoSpaceDE/>
        <w:autoSpaceDN/>
        <w:bidi w:val="0"/>
        <w:adjustRightInd/>
        <w:snapToGrid/>
        <w:jc w:val="left"/>
        <w:textAlignment w:val="auto"/>
        <w:outlineLvl w:val="9"/>
        <w:rPr>
          <w:rFonts w:ascii="宋体" w:hAnsi="宋体"/>
          <w:b/>
          <w:color w:val="auto"/>
          <w:sz w:val="24"/>
          <w:highlight w:val="none"/>
        </w:rPr>
      </w:pPr>
      <w:bookmarkStart w:id="2396" w:name="_Toc13941"/>
      <w:r>
        <w:rPr>
          <w:rFonts w:hint="eastAsia" w:ascii="宋体" w:hAnsi="宋体"/>
          <w:b/>
          <w:color w:val="auto"/>
          <w:sz w:val="24"/>
          <w:highlight w:val="none"/>
        </w:rPr>
        <w:t>项目名称：</w:t>
      </w:r>
      <w:bookmarkEnd w:id="2396"/>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322"/>
        <w:gridCol w:w="3178"/>
        <w:gridCol w:w="919"/>
        <w:gridCol w:w="919"/>
        <w:gridCol w:w="919"/>
        <w:gridCol w:w="919"/>
        <w:gridCol w:w="846"/>
      </w:tblGrid>
      <w:tr w14:paraId="5012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05" w:type="dxa"/>
            <w:vMerge w:val="restart"/>
            <w:tcBorders>
              <w:top w:val="single" w:color="auto" w:sz="4" w:space="0"/>
              <w:left w:val="single" w:color="auto" w:sz="4" w:space="0"/>
              <w:right w:val="single" w:color="auto" w:sz="4" w:space="0"/>
            </w:tcBorders>
            <w:noWrap w:val="0"/>
            <w:vAlign w:val="center"/>
          </w:tcPr>
          <w:p w14:paraId="77249938">
            <w:pPr>
              <w:jc w:val="center"/>
              <w:rPr>
                <w:rFonts w:ascii="宋体" w:hAnsi="宋体"/>
                <w:color w:val="auto"/>
                <w:szCs w:val="21"/>
                <w:highlight w:val="none"/>
              </w:rPr>
            </w:pPr>
            <w:r>
              <w:rPr>
                <w:rFonts w:hint="eastAsia" w:ascii="宋体" w:hAnsi="宋体"/>
                <w:color w:val="auto"/>
                <w:szCs w:val="21"/>
                <w:highlight w:val="none"/>
              </w:rPr>
              <w:t>序号</w:t>
            </w:r>
          </w:p>
        </w:tc>
        <w:tc>
          <w:tcPr>
            <w:tcW w:w="4500" w:type="dxa"/>
            <w:gridSpan w:val="2"/>
            <w:vMerge w:val="restart"/>
            <w:tcBorders>
              <w:top w:val="single" w:color="auto" w:sz="4" w:space="0"/>
              <w:left w:val="single" w:color="auto" w:sz="4" w:space="0"/>
              <w:right w:val="single" w:color="auto" w:sz="4" w:space="0"/>
            </w:tcBorders>
            <w:noWrap w:val="0"/>
            <w:vAlign w:val="center"/>
          </w:tcPr>
          <w:p w14:paraId="3F084AC5">
            <w:pPr>
              <w:jc w:val="center"/>
              <w:rPr>
                <w:rFonts w:hint="eastAsia" w:ascii="宋体" w:hAnsi="宋体"/>
                <w:color w:val="auto"/>
                <w:szCs w:val="21"/>
                <w:highlight w:val="none"/>
              </w:rPr>
            </w:pPr>
            <w:r>
              <w:rPr>
                <w:rFonts w:hint="eastAsia" w:ascii="宋体" w:hAnsi="宋体"/>
                <w:color w:val="auto"/>
                <w:szCs w:val="21"/>
                <w:highlight w:val="none"/>
              </w:rPr>
              <w:t>定标因素</w:t>
            </w:r>
          </w:p>
        </w:tc>
        <w:tc>
          <w:tcPr>
            <w:tcW w:w="4522" w:type="dxa"/>
            <w:gridSpan w:val="5"/>
            <w:tcBorders>
              <w:top w:val="single" w:color="auto" w:sz="4" w:space="0"/>
              <w:left w:val="single" w:color="auto" w:sz="4" w:space="0"/>
              <w:bottom w:val="single" w:color="auto" w:sz="4" w:space="0"/>
              <w:right w:val="single" w:color="auto" w:sz="4" w:space="0"/>
            </w:tcBorders>
            <w:noWrap w:val="0"/>
            <w:vAlign w:val="center"/>
          </w:tcPr>
          <w:p w14:paraId="657972BC">
            <w:pPr>
              <w:jc w:val="center"/>
              <w:rPr>
                <w:rFonts w:hint="eastAsia" w:ascii="宋体" w:hAnsi="宋体"/>
                <w:color w:val="auto"/>
                <w:szCs w:val="21"/>
                <w:highlight w:val="none"/>
              </w:rPr>
            </w:pPr>
            <w:r>
              <w:rPr>
                <w:rFonts w:hint="eastAsia" w:ascii="宋体" w:hAnsi="宋体"/>
                <w:color w:val="auto"/>
                <w:szCs w:val="21"/>
                <w:highlight w:val="none"/>
              </w:rPr>
              <w:t>投标人名称</w:t>
            </w:r>
          </w:p>
        </w:tc>
      </w:tr>
      <w:tr w14:paraId="2EBB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605" w:type="dxa"/>
            <w:vMerge w:val="continue"/>
            <w:tcBorders>
              <w:left w:val="single" w:color="auto" w:sz="4" w:space="0"/>
              <w:bottom w:val="single" w:color="auto" w:sz="4" w:space="0"/>
              <w:right w:val="single" w:color="auto" w:sz="4" w:space="0"/>
            </w:tcBorders>
            <w:noWrap w:val="0"/>
            <w:vAlign w:val="center"/>
          </w:tcPr>
          <w:p w14:paraId="55AA00F8">
            <w:pPr>
              <w:jc w:val="center"/>
              <w:rPr>
                <w:rFonts w:hint="eastAsia" w:ascii="宋体" w:hAnsi="宋体"/>
                <w:color w:val="auto"/>
                <w:szCs w:val="21"/>
                <w:highlight w:val="none"/>
              </w:rPr>
            </w:pPr>
          </w:p>
        </w:tc>
        <w:tc>
          <w:tcPr>
            <w:tcW w:w="4500" w:type="dxa"/>
            <w:gridSpan w:val="2"/>
            <w:vMerge w:val="continue"/>
            <w:tcBorders>
              <w:left w:val="single" w:color="auto" w:sz="4" w:space="0"/>
              <w:bottom w:val="single" w:color="auto" w:sz="4" w:space="0"/>
              <w:right w:val="single" w:color="auto" w:sz="4" w:space="0"/>
            </w:tcBorders>
            <w:noWrap w:val="0"/>
            <w:vAlign w:val="center"/>
          </w:tcPr>
          <w:p w14:paraId="69DD1F13">
            <w:pPr>
              <w:jc w:val="center"/>
              <w:rPr>
                <w:rFonts w:hint="eastAsia" w:ascii="宋体" w:hAnsi="宋体"/>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7E1989B">
            <w:pPr>
              <w:jc w:val="center"/>
              <w:rPr>
                <w:rFonts w:ascii="宋体" w:hAnsi="宋体"/>
                <w:color w:val="auto"/>
                <w:szCs w:val="21"/>
                <w:highlight w:val="none"/>
              </w:rPr>
            </w:pPr>
            <w:r>
              <w:rPr>
                <w:rFonts w:hint="eastAsia" w:ascii="宋体" w:hAnsi="宋体"/>
                <w:color w:val="auto"/>
                <w:szCs w:val="21"/>
                <w:highlight w:val="none"/>
              </w:rPr>
              <w:t>投标人1</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384DBF0">
            <w:pPr>
              <w:jc w:val="center"/>
              <w:rPr>
                <w:rFonts w:ascii="宋体" w:hAnsi="宋体"/>
                <w:color w:val="auto"/>
                <w:szCs w:val="21"/>
                <w:highlight w:val="none"/>
              </w:rPr>
            </w:pPr>
            <w:r>
              <w:rPr>
                <w:rFonts w:hint="eastAsia" w:ascii="宋体" w:hAnsi="宋体"/>
                <w:color w:val="auto"/>
                <w:szCs w:val="21"/>
                <w:highlight w:val="none"/>
              </w:rPr>
              <w:t>投标人2</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84339EC">
            <w:pPr>
              <w:jc w:val="center"/>
              <w:rPr>
                <w:rFonts w:ascii="宋体" w:hAnsi="宋体"/>
                <w:color w:val="auto"/>
                <w:szCs w:val="21"/>
                <w:highlight w:val="none"/>
              </w:rPr>
            </w:pPr>
            <w:r>
              <w:rPr>
                <w:rFonts w:hint="eastAsia" w:ascii="宋体" w:hAnsi="宋体"/>
                <w:color w:val="auto"/>
                <w:szCs w:val="21"/>
                <w:highlight w:val="none"/>
              </w:rPr>
              <w:t>投标人3</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FDEC86F">
            <w:pPr>
              <w:jc w:val="center"/>
              <w:rPr>
                <w:rFonts w:ascii="宋体" w:hAnsi="宋体"/>
                <w:color w:val="auto"/>
                <w:szCs w:val="21"/>
                <w:highlight w:val="none"/>
              </w:rPr>
            </w:pPr>
            <w:r>
              <w:rPr>
                <w:rFonts w:hint="eastAsia" w:ascii="宋体" w:hAnsi="宋体"/>
                <w:color w:val="auto"/>
                <w:szCs w:val="21"/>
                <w:highlight w:val="none"/>
              </w:rPr>
              <w:t>投标人4</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E50418B">
            <w:pPr>
              <w:jc w:val="center"/>
              <w:rPr>
                <w:rFonts w:ascii="宋体" w:hAnsi="宋体"/>
                <w:color w:val="auto"/>
                <w:szCs w:val="21"/>
                <w:highlight w:val="none"/>
              </w:rPr>
            </w:pPr>
            <w:r>
              <w:rPr>
                <w:rFonts w:hint="eastAsia" w:ascii="宋体" w:hAnsi="宋体"/>
                <w:color w:val="auto"/>
                <w:szCs w:val="21"/>
                <w:highlight w:val="none"/>
              </w:rPr>
              <w:t>......</w:t>
            </w:r>
          </w:p>
        </w:tc>
      </w:tr>
      <w:tr w14:paraId="7115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05" w:type="dxa"/>
            <w:vMerge w:val="restart"/>
            <w:tcBorders>
              <w:top w:val="single" w:color="auto" w:sz="4" w:space="0"/>
              <w:left w:val="single" w:color="auto" w:sz="4" w:space="0"/>
              <w:right w:val="single" w:color="auto" w:sz="4" w:space="0"/>
            </w:tcBorders>
            <w:noWrap w:val="0"/>
            <w:vAlign w:val="center"/>
          </w:tcPr>
          <w:p w14:paraId="0CAD9612">
            <w:pPr>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1322" w:type="dxa"/>
            <w:vMerge w:val="restart"/>
            <w:tcBorders>
              <w:top w:val="single" w:color="auto" w:sz="4" w:space="0"/>
              <w:left w:val="single" w:color="auto" w:sz="4" w:space="0"/>
              <w:right w:val="single" w:color="auto" w:sz="4" w:space="0"/>
            </w:tcBorders>
            <w:noWrap w:val="0"/>
            <w:vAlign w:val="center"/>
          </w:tcPr>
          <w:p w14:paraId="7F162BB5">
            <w:pPr>
              <w:jc w:val="left"/>
              <w:rPr>
                <w:rFonts w:hint="eastAsia" w:ascii="宋体" w:hAnsi="宋体" w:cs="宋体"/>
                <w:color w:val="auto"/>
                <w:szCs w:val="21"/>
                <w:highlight w:val="none"/>
              </w:rPr>
            </w:pPr>
            <w:r>
              <w:rPr>
                <w:rFonts w:hint="eastAsia" w:ascii="宋体" w:hAnsi="宋体" w:cs="宋体"/>
                <w:color w:val="auto"/>
                <w:szCs w:val="21"/>
                <w:highlight w:val="none"/>
                <w:lang w:bidi="ar"/>
              </w:rPr>
              <w:t>资信因素</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10分</w:t>
            </w:r>
            <w:r>
              <w:rPr>
                <w:rFonts w:hint="eastAsia" w:ascii="宋体" w:hAnsi="宋体" w:cs="宋体"/>
                <w:color w:val="auto"/>
                <w:szCs w:val="21"/>
                <w:highlight w:val="none"/>
                <w:lang w:eastAsia="zh-CN" w:bidi="ar"/>
              </w:rPr>
              <w:t>）</w:t>
            </w:r>
          </w:p>
        </w:tc>
        <w:tc>
          <w:tcPr>
            <w:tcW w:w="3178" w:type="dxa"/>
            <w:tcBorders>
              <w:top w:val="single" w:color="auto" w:sz="4" w:space="0"/>
              <w:left w:val="single" w:color="auto" w:sz="4" w:space="0"/>
              <w:right w:val="single" w:color="auto" w:sz="4" w:space="0"/>
            </w:tcBorders>
            <w:noWrap w:val="0"/>
            <w:vAlign w:val="center"/>
          </w:tcPr>
          <w:p w14:paraId="7C99B02A">
            <w:pPr>
              <w:spacing w:line="360" w:lineRule="auto"/>
              <w:jc w:val="center"/>
              <w:rPr>
                <w:rFonts w:ascii="宋体" w:hAnsi="宋体" w:eastAsia="宋体" w:cs="宋体"/>
                <w:color w:val="auto"/>
                <w:kern w:val="2"/>
                <w:sz w:val="21"/>
                <w:szCs w:val="21"/>
                <w:highlight w:val="none"/>
                <w:u w:val="none"/>
                <w:lang w:val="en-US" w:eastAsia="zh-CN" w:bidi="ar-SA"/>
              </w:rPr>
            </w:pPr>
            <w:r>
              <w:rPr>
                <w:rFonts w:hint="eastAsia" w:ascii="宋体" w:hAnsi="宋体" w:cs="宋体"/>
                <w:color w:val="auto"/>
                <w:szCs w:val="21"/>
                <w:highlight w:val="none"/>
                <w:lang w:bidi="ar"/>
              </w:rPr>
              <w:t>管理体系认证情况</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AED3EF2">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B73A1AB">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BDEB8C0">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1955881">
            <w:pPr>
              <w:rPr>
                <w:rFonts w:hint="eastAsia"/>
                <w:color w:val="auto"/>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F70995">
            <w:pPr>
              <w:rPr>
                <w:rFonts w:hint="eastAsia"/>
                <w:color w:val="auto"/>
                <w:highlight w:val="none"/>
              </w:rPr>
            </w:pPr>
          </w:p>
        </w:tc>
      </w:tr>
      <w:tr w14:paraId="6BB8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05" w:type="dxa"/>
            <w:vMerge w:val="continue"/>
            <w:tcBorders>
              <w:left w:val="single" w:color="auto" w:sz="4" w:space="0"/>
              <w:right w:val="single" w:color="auto" w:sz="4" w:space="0"/>
            </w:tcBorders>
            <w:noWrap w:val="0"/>
            <w:vAlign w:val="center"/>
          </w:tcPr>
          <w:p w14:paraId="4814E1C3">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572AAF15">
            <w:pPr>
              <w:jc w:val="left"/>
              <w:rPr>
                <w:rFonts w:hint="eastAsia" w:ascii="宋体" w:hAnsi="宋体" w:cs="宋体"/>
                <w:color w:val="auto"/>
                <w:szCs w:val="21"/>
                <w:highlight w:val="none"/>
                <w:lang w:bidi="ar"/>
              </w:rPr>
            </w:pPr>
          </w:p>
        </w:tc>
        <w:tc>
          <w:tcPr>
            <w:tcW w:w="3178" w:type="dxa"/>
            <w:tcBorders>
              <w:top w:val="single" w:color="auto" w:sz="4" w:space="0"/>
              <w:left w:val="single" w:color="auto" w:sz="4" w:space="0"/>
              <w:right w:val="single" w:color="auto" w:sz="4" w:space="0"/>
            </w:tcBorders>
            <w:noWrap w:val="0"/>
            <w:vAlign w:val="center"/>
          </w:tcPr>
          <w:p w14:paraId="01805214">
            <w:pPr>
              <w:widowControl/>
              <w:spacing w:line="360" w:lineRule="auto"/>
              <w:jc w:val="center"/>
              <w:rPr>
                <w:rFonts w:ascii="宋体" w:hAnsi="宋体" w:eastAsia="宋体" w:cs="宋体"/>
                <w:color w:val="auto"/>
                <w:kern w:val="2"/>
                <w:sz w:val="21"/>
                <w:szCs w:val="21"/>
                <w:highlight w:val="none"/>
                <w:u w:val="none"/>
                <w:lang w:val="en-US" w:eastAsia="zh-CN" w:bidi="ar-SA"/>
              </w:rPr>
            </w:pPr>
            <w:r>
              <w:rPr>
                <w:rFonts w:hint="eastAsia" w:ascii="宋体" w:hAnsi="宋体" w:cs="宋体"/>
                <w:color w:val="auto"/>
                <w:szCs w:val="21"/>
                <w:highlight w:val="none"/>
                <w:lang w:bidi="ar"/>
              </w:rPr>
              <w:t>纳税情况</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E5FB076">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90B4B9D">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177A9C71">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D37FA15">
            <w:pPr>
              <w:rPr>
                <w:rFonts w:hint="eastAsia"/>
                <w:color w:val="auto"/>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2ACC9D4">
            <w:pPr>
              <w:rPr>
                <w:rFonts w:hint="eastAsia"/>
                <w:color w:val="auto"/>
                <w:highlight w:val="none"/>
              </w:rPr>
            </w:pPr>
          </w:p>
        </w:tc>
      </w:tr>
      <w:tr w14:paraId="7360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05" w:type="dxa"/>
            <w:vMerge w:val="continue"/>
            <w:tcBorders>
              <w:left w:val="single" w:color="auto" w:sz="4" w:space="0"/>
              <w:right w:val="single" w:color="auto" w:sz="4" w:space="0"/>
            </w:tcBorders>
            <w:noWrap w:val="0"/>
            <w:vAlign w:val="center"/>
          </w:tcPr>
          <w:p w14:paraId="2F1F49DA">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092B4C5F">
            <w:pPr>
              <w:jc w:val="left"/>
              <w:rPr>
                <w:rFonts w:hint="eastAsia" w:ascii="宋体" w:hAnsi="宋体" w:cs="宋体"/>
                <w:color w:val="auto"/>
                <w:szCs w:val="21"/>
                <w:highlight w:val="none"/>
              </w:rPr>
            </w:pPr>
          </w:p>
        </w:tc>
        <w:tc>
          <w:tcPr>
            <w:tcW w:w="3178" w:type="dxa"/>
            <w:tcBorders>
              <w:top w:val="single" w:color="auto" w:sz="4" w:space="0"/>
              <w:left w:val="single" w:color="auto" w:sz="4" w:space="0"/>
              <w:right w:val="single" w:color="auto" w:sz="4" w:space="0"/>
            </w:tcBorders>
            <w:noWrap w:val="0"/>
            <w:vAlign w:val="center"/>
          </w:tcPr>
          <w:p w14:paraId="16B4092D">
            <w:pPr>
              <w:widowControl/>
              <w:spacing w:line="360" w:lineRule="auto"/>
              <w:jc w:val="center"/>
              <w:rPr>
                <w:rFonts w:ascii="宋体" w:hAnsi="宋体" w:eastAsia="宋体" w:cs="宋体"/>
                <w:color w:val="auto"/>
                <w:kern w:val="2"/>
                <w:sz w:val="21"/>
                <w:szCs w:val="21"/>
                <w:highlight w:val="none"/>
                <w:u w:val="none"/>
                <w:lang w:val="en-US" w:eastAsia="zh-CN" w:bidi="ar-SA"/>
              </w:rPr>
            </w:pPr>
            <w:r>
              <w:rPr>
                <w:rFonts w:hint="eastAsia" w:ascii="宋体" w:hAnsi="宋体" w:cs="宋体"/>
                <w:color w:val="auto"/>
                <w:szCs w:val="21"/>
                <w:highlight w:val="none"/>
                <w:lang w:bidi="ar"/>
              </w:rPr>
              <w:t>监理业绩情况</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4BC9EB40">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4509E8DC">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17F2E1A6">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8EBA937">
            <w:pPr>
              <w:rPr>
                <w:rFonts w:hint="eastAsia"/>
                <w:color w:val="auto"/>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8702A28">
            <w:pPr>
              <w:rPr>
                <w:rFonts w:hint="eastAsia"/>
                <w:color w:val="auto"/>
                <w:highlight w:val="none"/>
              </w:rPr>
            </w:pPr>
          </w:p>
        </w:tc>
      </w:tr>
      <w:tr w14:paraId="6FC5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05" w:type="dxa"/>
            <w:vMerge w:val="restart"/>
            <w:tcBorders>
              <w:top w:val="single" w:color="auto" w:sz="4" w:space="0"/>
              <w:left w:val="single" w:color="auto" w:sz="4" w:space="0"/>
              <w:right w:val="single" w:color="auto" w:sz="4" w:space="0"/>
            </w:tcBorders>
            <w:noWrap w:val="0"/>
            <w:vAlign w:val="center"/>
          </w:tcPr>
          <w:p w14:paraId="670F4AB1">
            <w:pPr>
              <w:jc w:val="center"/>
              <w:rPr>
                <w:rFonts w:hint="eastAsia" w:ascii="宋体" w:hAnsi="宋体"/>
                <w:color w:val="auto"/>
                <w:szCs w:val="21"/>
                <w:highlight w:val="none"/>
              </w:rPr>
            </w:pPr>
            <w:r>
              <w:rPr>
                <w:rFonts w:hint="eastAsia" w:ascii="宋体" w:hAnsi="宋体"/>
                <w:color w:val="auto"/>
                <w:szCs w:val="21"/>
                <w:highlight w:val="none"/>
              </w:rPr>
              <w:t>1</w:t>
            </w:r>
          </w:p>
        </w:tc>
        <w:tc>
          <w:tcPr>
            <w:tcW w:w="1322" w:type="dxa"/>
            <w:vMerge w:val="restart"/>
            <w:tcBorders>
              <w:top w:val="single" w:color="auto" w:sz="4" w:space="0"/>
              <w:left w:val="single" w:color="auto" w:sz="4" w:space="0"/>
              <w:right w:val="single" w:color="auto" w:sz="4" w:space="0"/>
            </w:tcBorders>
            <w:noWrap w:val="0"/>
            <w:vAlign w:val="center"/>
          </w:tcPr>
          <w:p w14:paraId="16E4A7BB">
            <w:pPr>
              <w:jc w:val="left"/>
              <w:rPr>
                <w:rFonts w:ascii="宋体" w:hAnsi="宋体" w:cs="宋体"/>
                <w:color w:val="auto"/>
                <w:szCs w:val="21"/>
                <w:highlight w:val="none"/>
              </w:rPr>
            </w:pPr>
            <w:r>
              <w:rPr>
                <w:rFonts w:hint="eastAsia" w:ascii="宋体" w:hAnsi="宋体" w:cs="宋体"/>
                <w:color w:val="auto"/>
                <w:szCs w:val="21"/>
                <w:highlight w:val="none"/>
              </w:rPr>
              <w:t>方案因素（50分）</w:t>
            </w:r>
          </w:p>
        </w:tc>
        <w:tc>
          <w:tcPr>
            <w:tcW w:w="3178" w:type="dxa"/>
            <w:tcBorders>
              <w:top w:val="single" w:color="auto" w:sz="4" w:space="0"/>
              <w:left w:val="single" w:color="auto" w:sz="4" w:space="0"/>
              <w:right w:val="single" w:color="auto" w:sz="4" w:space="0"/>
            </w:tcBorders>
            <w:noWrap w:val="0"/>
            <w:vAlign w:val="center"/>
          </w:tcPr>
          <w:p w14:paraId="377EAF6F">
            <w:pPr>
              <w:jc w:val="center"/>
              <w:rPr>
                <w:rFonts w:ascii="宋体" w:hAnsi="宋体" w:eastAsia="宋体" w:cs="宋体"/>
                <w:color w:val="auto"/>
                <w:kern w:val="2"/>
                <w:sz w:val="21"/>
                <w:szCs w:val="21"/>
                <w:highlight w:val="none"/>
                <w:u w:val="none"/>
                <w:lang w:val="en-US" w:eastAsia="zh-CN" w:bidi="ar-SA"/>
              </w:rPr>
            </w:pPr>
            <w:r>
              <w:rPr>
                <w:rFonts w:hint="eastAsia" w:ascii="宋体" w:hAnsi="宋体"/>
                <w:color w:val="auto"/>
                <w:szCs w:val="21"/>
                <w:highlight w:val="none"/>
              </w:rPr>
              <w:t>质量控制措施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266573B">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B4F7C33">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A2D44EA">
            <w:pPr>
              <w:rPr>
                <w:rFonts w:hint="eastAsia"/>
                <w:color w:val="auto"/>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F6BBCB4">
            <w:pPr>
              <w:rPr>
                <w:rFonts w:hint="eastAsia"/>
                <w:color w:val="auto"/>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3BBDC7">
            <w:pPr>
              <w:rPr>
                <w:rFonts w:hint="eastAsia"/>
                <w:color w:val="auto"/>
                <w:highlight w:val="none"/>
              </w:rPr>
            </w:pPr>
          </w:p>
        </w:tc>
      </w:tr>
      <w:tr w14:paraId="5DF3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05" w:type="dxa"/>
            <w:vMerge w:val="continue"/>
            <w:tcBorders>
              <w:left w:val="single" w:color="auto" w:sz="4" w:space="0"/>
              <w:right w:val="single" w:color="auto" w:sz="4" w:space="0"/>
            </w:tcBorders>
            <w:noWrap w:val="0"/>
            <w:vAlign w:val="center"/>
          </w:tcPr>
          <w:p w14:paraId="1BEA699F">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36B7621C">
            <w:pPr>
              <w:jc w:val="left"/>
              <w:rPr>
                <w:rFonts w:ascii="宋体" w:hAnsi="宋体"/>
                <w:color w:val="auto"/>
                <w:szCs w:val="21"/>
                <w:highlight w:val="none"/>
              </w:rPr>
            </w:pPr>
          </w:p>
        </w:tc>
        <w:tc>
          <w:tcPr>
            <w:tcW w:w="3178" w:type="dxa"/>
            <w:tcBorders>
              <w:left w:val="single" w:color="auto" w:sz="4" w:space="0"/>
              <w:right w:val="single" w:color="auto" w:sz="4" w:space="0"/>
            </w:tcBorders>
            <w:noWrap w:val="0"/>
            <w:vAlign w:val="center"/>
          </w:tcPr>
          <w:p w14:paraId="15B10324">
            <w:pPr>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olor w:val="auto"/>
                <w:szCs w:val="21"/>
                <w:highlight w:val="none"/>
              </w:rPr>
              <w:t>进度控制措施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5632A4A">
            <w:pPr>
              <w:pStyle w:val="2"/>
              <w:rPr>
                <w:rFonts w:ascii="宋体" w:hAnsi="宋体"/>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34C3D1E">
            <w:pPr>
              <w:pStyle w:val="2"/>
              <w:rPr>
                <w:rFonts w:ascii="宋体" w:hAnsi="宋体"/>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5BF6100">
            <w:pPr>
              <w:pStyle w:val="2"/>
              <w:rPr>
                <w:rFonts w:ascii="宋体" w:hAnsi="宋体"/>
                <w:color w:val="auto"/>
                <w:szCs w:val="21"/>
                <w:highlight w:val="non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2C6B5628">
            <w:pPr>
              <w:pStyle w:val="2"/>
              <w:rPr>
                <w:rFonts w:ascii="宋体" w:hAnsi="宋体"/>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F6C5710">
            <w:pPr>
              <w:pStyle w:val="2"/>
              <w:rPr>
                <w:rFonts w:ascii="宋体" w:hAnsi="宋体"/>
                <w:color w:val="auto"/>
                <w:szCs w:val="21"/>
                <w:highlight w:val="none"/>
              </w:rPr>
            </w:pPr>
          </w:p>
        </w:tc>
      </w:tr>
      <w:tr w14:paraId="238F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05" w:type="dxa"/>
            <w:vMerge w:val="continue"/>
            <w:tcBorders>
              <w:left w:val="single" w:color="auto" w:sz="4" w:space="0"/>
              <w:right w:val="single" w:color="auto" w:sz="4" w:space="0"/>
            </w:tcBorders>
            <w:noWrap w:val="0"/>
            <w:vAlign w:val="center"/>
          </w:tcPr>
          <w:p w14:paraId="3738724F">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3E233A15">
            <w:pPr>
              <w:jc w:val="left"/>
              <w:rPr>
                <w:rFonts w:ascii="宋体" w:hAnsi="宋体"/>
                <w:color w:val="auto"/>
                <w:szCs w:val="21"/>
                <w:highlight w:val="none"/>
              </w:rPr>
            </w:pPr>
          </w:p>
        </w:tc>
        <w:tc>
          <w:tcPr>
            <w:tcW w:w="3178" w:type="dxa"/>
            <w:tcBorders>
              <w:left w:val="single" w:color="auto" w:sz="4" w:space="0"/>
              <w:right w:val="single" w:color="auto" w:sz="4" w:space="0"/>
            </w:tcBorders>
            <w:noWrap w:val="0"/>
            <w:vAlign w:val="center"/>
          </w:tcPr>
          <w:p w14:paraId="013316FF">
            <w:pPr>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olor w:val="auto"/>
                <w:szCs w:val="21"/>
                <w:highlight w:val="none"/>
              </w:rPr>
              <w:t>造价控制措施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BBDF4F2">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E4DC479">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D16D904">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11485AB">
            <w:pPr>
              <w:pStyle w:val="2"/>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EE72AD1">
            <w:pPr>
              <w:pStyle w:val="2"/>
              <w:rPr>
                <w:rFonts w:hint="eastAsia" w:ascii="宋体" w:hAnsi="宋体" w:cs="宋体"/>
                <w:color w:val="auto"/>
                <w:szCs w:val="21"/>
                <w:highlight w:val="none"/>
                <w:u w:val="single"/>
              </w:rPr>
            </w:pPr>
          </w:p>
        </w:tc>
      </w:tr>
      <w:tr w14:paraId="41B6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05" w:type="dxa"/>
            <w:vMerge w:val="continue"/>
            <w:tcBorders>
              <w:left w:val="single" w:color="auto" w:sz="4" w:space="0"/>
              <w:right w:val="single" w:color="auto" w:sz="4" w:space="0"/>
            </w:tcBorders>
            <w:noWrap w:val="0"/>
            <w:vAlign w:val="center"/>
          </w:tcPr>
          <w:p w14:paraId="6B21802E">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4C331A2F">
            <w:pPr>
              <w:jc w:val="left"/>
              <w:rPr>
                <w:rFonts w:ascii="宋体" w:hAnsi="宋体"/>
                <w:color w:val="auto"/>
                <w:szCs w:val="21"/>
                <w:highlight w:val="none"/>
              </w:rPr>
            </w:pPr>
          </w:p>
        </w:tc>
        <w:tc>
          <w:tcPr>
            <w:tcW w:w="3178" w:type="dxa"/>
            <w:tcBorders>
              <w:left w:val="single" w:color="auto" w:sz="4" w:space="0"/>
              <w:right w:val="single" w:color="auto" w:sz="4" w:space="0"/>
            </w:tcBorders>
            <w:noWrap w:val="0"/>
            <w:vAlign w:val="center"/>
          </w:tcPr>
          <w:p w14:paraId="1F850707">
            <w:pPr>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olor w:val="auto"/>
                <w:szCs w:val="21"/>
                <w:highlight w:val="none"/>
              </w:rPr>
              <w:t>安全、环保控制措施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A67D9A0">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570D646">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98AB8C0">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448C90A">
            <w:pPr>
              <w:pStyle w:val="2"/>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71D9F5">
            <w:pPr>
              <w:pStyle w:val="2"/>
              <w:rPr>
                <w:rFonts w:hint="eastAsia" w:ascii="宋体" w:hAnsi="宋体" w:cs="宋体"/>
                <w:color w:val="auto"/>
                <w:szCs w:val="21"/>
                <w:highlight w:val="none"/>
                <w:u w:val="single"/>
              </w:rPr>
            </w:pPr>
          </w:p>
        </w:tc>
      </w:tr>
      <w:tr w14:paraId="3976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05" w:type="dxa"/>
            <w:vMerge w:val="continue"/>
            <w:tcBorders>
              <w:left w:val="single" w:color="auto" w:sz="4" w:space="0"/>
              <w:right w:val="single" w:color="auto" w:sz="4" w:space="0"/>
            </w:tcBorders>
            <w:noWrap w:val="0"/>
            <w:vAlign w:val="center"/>
          </w:tcPr>
          <w:p w14:paraId="3B7D467B">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3BD2C559">
            <w:pPr>
              <w:jc w:val="left"/>
              <w:rPr>
                <w:rFonts w:hint="eastAsia" w:ascii="宋体" w:hAnsi="宋体" w:cs="宋体"/>
                <w:color w:val="auto"/>
                <w:szCs w:val="21"/>
                <w:highlight w:val="none"/>
              </w:rPr>
            </w:pPr>
          </w:p>
        </w:tc>
        <w:tc>
          <w:tcPr>
            <w:tcW w:w="3178" w:type="dxa"/>
            <w:tcBorders>
              <w:left w:val="single" w:color="auto" w:sz="4" w:space="0"/>
              <w:right w:val="single" w:color="auto" w:sz="4" w:space="0"/>
            </w:tcBorders>
            <w:noWrap w:val="0"/>
            <w:vAlign w:val="center"/>
          </w:tcPr>
          <w:p w14:paraId="4A390CE9">
            <w:pPr>
              <w:snapToGrid w:val="0"/>
              <w:spacing w:line="40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监理机构设置和岗位职责</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45FF32B9">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6E02788">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1ACDB68">
            <w:pPr>
              <w:pStyle w:val="2"/>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800B74A">
            <w:pPr>
              <w:pStyle w:val="2"/>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DE0D251">
            <w:pPr>
              <w:pStyle w:val="2"/>
              <w:rPr>
                <w:rFonts w:hint="eastAsia" w:ascii="宋体" w:hAnsi="宋体" w:cs="宋体"/>
                <w:color w:val="auto"/>
                <w:szCs w:val="21"/>
                <w:highlight w:val="none"/>
                <w:u w:val="single"/>
              </w:rPr>
            </w:pPr>
          </w:p>
        </w:tc>
      </w:tr>
      <w:tr w14:paraId="39F8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05" w:type="dxa"/>
            <w:vMerge w:val="continue"/>
            <w:tcBorders>
              <w:left w:val="single" w:color="auto" w:sz="4" w:space="0"/>
              <w:right w:val="single" w:color="auto" w:sz="4" w:space="0"/>
            </w:tcBorders>
            <w:noWrap w:val="0"/>
            <w:vAlign w:val="center"/>
          </w:tcPr>
          <w:p w14:paraId="69712B2D">
            <w:pPr>
              <w:jc w:val="center"/>
              <w:rPr>
                <w:rFonts w:hint="eastAsia" w:ascii="宋体" w:hAnsi="宋体"/>
                <w:color w:val="auto"/>
                <w:szCs w:val="21"/>
                <w:highlight w:val="none"/>
              </w:rPr>
            </w:pPr>
          </w:p>
        </w:tc>
        <w:tc>
          <w:tcPr>
            <w:tcW w:w="1322" w:type="dxa"/>
            <w:vMerge w:val="continue"/>
            <w:tcBorders>
              <w:left w:val="single" w:color="auto" w:sz="4" w:space="0"/>
              <w:right w:val="single" w:color="auto" w:sz="4" w:space="0"/>
            </w:tcBorders>
            <w:noWrap w:val="0"/>
            <w:vAlign w:val="center"/>
          </w:tcPr>
          <w:p w14:paraId="1D15866A">
            <w:pPr>
              <w:jc w:val="left"/>
              <w:rPr>
                <w:rFonts w:hint="eastAsia" w:ascii="宋体" w:hAnsi="宋体" w:cs="宋体"/>
                <w:color w:val="auto"/>
                <w:szCs w:val="21"/>
                <w:highlight w:val="none"/>
              </w:rPr>
            </w:pPr>
          </w:p>
        </w:tc>
        <w:tc>
          <w:tcPr>
            <w:tcW w:w="3178" w:type="dxa"/>
            <w:tcBorders>
              <w:left w:val="single" w:color="auto" w:sz="4" w:space="0"/>
              <w:right w:val="single" w:color="auto" w:sz="4" w:space="0"/>
            </w:tcBorders>
            <w:noWrap w:val="0"/>
            <w:vAlign w:val="center"/>
          </w:tcPr>
          <w:p w14:paraId="2D56CF7C">
            <w:pPr>
              <w:spacing w:line="400" w:lineRule="exact"/>
              <w:jc w:val="center"/>
              <w:rPr>
                <w:rFonts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监理工作程序、方法和制度</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0880D65">
            <w:pPr>
              <w:pStyle w:val="2"/>
              <w:rPr>
                <w:rFonts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EB24C3A">
            <w:pPr>
              <w:pStyle w:val="2"/>
              <w:rPr>
                <w:rFonts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72F0BF4">
            <w:pPr>
              <w:pStyle w:val="2"/>
              <w:rPr>
                <w:rFonts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B8C5FD2">
            <w:pPr>
              <w:pStyle w:val="2"/>
              <w:rPr>
                <w:rFonts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6682B53">
            <w:pPr>
              <w:pStyle w:val="2"/>
              <w:rPr>
                <w:rFonts w:ascii="宋体" w:hAnsi="宋体" w:cs="宋体"/>
                <w:color w:val="auto"/>
                <w:szCs w:val="21"/>
                <w:highlight w:val="none"/>
                <w:u w:val="single"/>
              </w:rPr>
            </w:pPr>
          </w:p>
        </w:tc>
      </w:tr>
      <w:tr w14:paraId="30A6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vMerge w:val="continue"/>
            <w:tcBorders>
              <w:left w:val="single" w:color="auto" w:sz="4" w:space="0"/>
              <w:bottom w:val="single" w:color="auto" w:sz="4" w:space="0"/>
              <w:right w:val="single" w:color="auto" w:sz="4" w:space="0"/>
            </w:tcBorders>
            <w:noWrap w:val="0"/>
            <w:vAlign w:val="center"/>
          </w:tcPr>
          <w:p w14:paraId="3166B2C1">
            <w:pPr>
              <w:jc w:val="center"/>
              <w:rPr>
                <w:rFonts w:hint="eastAsia" w:ascii="宋体" w:hAnsi="宋体"/>
                <w:color w:val="auto"/>
                <w:szCs w:val="21"/>
                <w:highlight w:val="none"/>
              </w:rPr>
            </w:pPr>
          </w:p>
        </w:tc>
        <w:tc>
          <w:tcPr>
            <w:tcW w:w="1322" w:type="dxa"/>
            <w:vMerge w:val="continue"/>
            <w:tcBorders>
              <w:left w:val="single" w:color="auto" w:sz="4" w:space="0"/>
              <w:bottom w:val="single" w:color="auto" w:sz="4" w:space="0"/>
              <w:right w:val="single" w:color="auto" w:sz="4" w:space="0"/>
            </w:tcBorders>
            <w:noWrap w:val="0"/>
            <w:vAlign w:val="center"/>
          </w:tcPr>
          <w:p w14:paraId="13845638">
            <w:pPr>
              <w:jc w:val="left"/>
              <w:rPr>
                <w:rFonts w:ascii="宋体" w:hAnsi="宋体" w:cs="宋体"/>
                <w:color w:val="auto"/>
                <w:szCs w:val="21"/>
                <w:highlight w:val="none"/>
              </w:rPr>
            </w:pPr>
          </w:p>
        </w:tc>
        <w:tc>
          <w:tcPr>
            <w:tcW w:w="3178" w:type="dxa"/>
            <w:tcBorders>
              <w:left w:val="single" w:color="auto" w:sz="4" w:space="0"/>
              <w:bottom w:val="single" w:color="auto" w:sz="4" w:space="0"/>
              <w:right w:val="single" w:color="auto" w:sz="4" w:space="0"/>
            </w:tcBorders>
            <w:noWrap w:val="0"/>
            <w:vAlign w:val="center"/>
          </w:tcPr>
          <w:p w14:paraId="6E17A64A">
            <w:pPr>
              <w:snapToGrid w:val="0"/>
              <w:spacing w:line="400" w:lineRule="exact"/>
              <w:jc w:val="center"/>
              <w:rPr>
                <w:rFonts w:ascii="宋体" w:hAnsi="宋体" w:eastAsia="宋体" w:cs="宋体"/>
                <w:color w:val="auto"/>
                <w:szCs w:val="21"/>
                <w:highlight w:val="none"/>
                <w:u w:val="none"/>
              </w:rPr>
            </w:pPr>
            <w:r>
              <w:rPr>
                <w:rFonts w:hint="eastAsia" w:ascii="宋体" w:hAnsi="宋体" w:eastAsia="宋体" w:cs="宋体"/>
                <w:color w:val="auto"/>
                <w:sz w:val="21"/>
                <w:szCs w:val="21"/>
                <w:highlight w:val="none"/>
              </w:rPr>
              <w:t>合同、信息管理方案</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70652D9">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450DB709">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7114783">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132FC848">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ACB0F43">
            <w:pPr>
              <w:jc w:val="left"/>
              <w:rPr>
                <w:rFonts w:hint="eastAsia" w:ascii="宋体" w:hAnsi="宋体" w:cs="宋体"/>
                <w:color w:val="auto"/>
                <w:szCs w:val="21"/>
                <w:highlight w:val="none"/>
                <w:u w:val="single"/>
              </w:rPr>
            </w:pPr>
          </w:p>
        </w:tc>
      </w:tr>
      <w:tr w14:paraId="51E0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vMerge w:val="continue"/>
            <w:tcBorders>
              <w:left w:val="single" w:color="auto" w:sz="4" w:space="0"/>
              <w:bottom w:val="single" w:color="auto" w:sz="4" w:space="0"/>
              <w:right w:val="single" w:color="auto" w:sz="4" w:space="0"/>
            </w:tcBorders>
            <w:noWrap w:val="0"/>
            <w:vAlign w:val="center"/>
          </w:tcPr>
          <w:p w14:paraId="77FE2461">
            <w:pPr>
              <w:jc w:val="center"/>
              <w:rPr>
                <w:rFonts w:hint="eastAsia" w:ascii="宋体" w:hAnsi="宋体"/>
                <w:color w:val="auto"/>
                <w:szCs w:val="21"/>
                <w:highlight w:val="none"/>
              </w:rPr>
            </w:pPr>
          </w:p>
        </w:tc>
        <w:tc>
          <w:tcPr>
            <w:tcW w:w="1322" w:type="dxa"/>
            <w:vMerge w:val="continue"/>
            <w:tcBorders>
              <w:left w:val="single" w:color="auto" w:sz="4" w:space="0"/>
              <w:bottom w:val="single" w:color="auto" w:sz="4" w:space="0"/>
              <w:right w:val="single" w:color="auto" w:sz="4" w:space="0"/>
            </w:tcBorders>
            <w:noWrap w:val="0"/>
            <w:vAlign w:val="center"/>
          </w:tcPr>
          <w:p w14:paraId="59E52285">
            <w:pPr>
              <w:jc w:val="left"/>
              <w:rPr>
                <w:rFonts w:ascii="宋体" w:hAnsi="宋体" w:cs="宋体"/>
                <w:color w:val="auto"/>
                <w:szCs w:val="21"/>
                <w:highlight w:val="none"/>
              </w:rPr>
            </w:pPr>
          </w:p>
        </w:tc>
        <w:tc>
          <w:tcPr>
            <w:tcW w:w="3178" w:type="dxa"/>
            <w:tcBorders>
              <w:left w:val="single" w:color="auto" w:sz="4" w:space="0"/>
              <w:bottom w:val="single" w:color="auto" w:sz="4" w:space="0"/>
              <w:right w:val="single" w:color="auto" w:sz="4" w:space="0"/>
            </w:tcBorders>
            <w:noWrap w:val="0"/>
            <w:vAlign w:val="center"/>
          </w:tcPr>
          <w:p w14:paraId="185558FD">
            <w:pPr>
              <w:snapToGrid w:val="0"/>
              <w:spacing w:line="400" w:lineRule="exact"/>
              <w:jc w:val="center"/>
              <w:rPr>
                <w:rFonts w:ascii="宋体" w:hAnsi="宋体" w:eastAsia="宋体" w:cs="宋体"/>
                <w:color w:val="auto"/>
                <w:szCs w:val="21"/>
                <w:highlight w:val="none"/>
                <w:u w:val="none"/>
              </w:rPr>
            </w:pPr>
            <w:r>
              <w:rPr>
                <w:rFonts w:hint="eastAsia" w:ascii="宋体" w:hAnsi="宋体" w:eastAsia="宋体" w:cs="宋体"/>
                <w:color w:val="auto"/>
                <w:sz w:val="21"/>
                <w:szCs w:val="21"/>
                <w:highlight w:val="none"/>
              </w:rPr>
              <w:t>监理组织协调内容及措施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91BCC97">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9597DFD">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CCD729C">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10E420C0">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B972469">
            <w:pPr>
              <w:jc w:val="left"/>
              <w:rPr>
                <w:rFonts w:hint="eastAsia" w:ascii="宋体" w:hAnsi="宋体" w:cs="宋体"/>
                <w:color w:val="auto"/>
                <w:szCs w:val="21"/>
                <w:highlight w:val="none"/>
                <w:u w:val="single"/>
              </w:rPr>
            </w:pPr>
          </w:p>
        </w:tc>
      </w:tr>
      <w:tr w14:paraId="4E6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vMerge w:val="continue"/>
            <w:tcBorders>
              <w:left w:val="single" w:color="auto" w:sz="4" w:space="0"/>
              <w:bottom w:val="single" w:color="auto" w:sz="4" w:space="0"/>
              <w:right w:val="single" w:color="auto" w:sz="4" w:space="0"/>
            </w:tcBorders>
            <w:noWrap w:val="0"/>
            <w:vAlign w:val="center"/>
          </w:tcPr>
          <w:p w14:paraId="5489E1F0">
            <w:pPr>
              <w:jc w:val="center"/>
              <w:rPr>
                <w:rFonts w:hint="eastAsia" w:ascii="宋体" w:hAnsi="宋体"/>
                <w:color w:val="auto"/>
                <w:szCs w:val="21"/>
                <w:highlight w:val="none"/>
              </w:rPr>
            </w:pPr>
          </w:p>
        </w:tc>
        <w:tc>
          <w:tcPr>
            <w:tcW w:w="1322" w:type="dxa"/>
            <w:vMerge w:val="continue"/>
            <w:tcBorders>
              <w:left w:val="single" w:color="auto" w:sz="4" w:space="0"/>
              <w:bottom w:val="single" w:color="auto" w:sz="4" w:space="0"/>
              <w:right w:val="single" w:color="auto" w:sz="4" w:space="0"/>
            </w:tcBorders>
            <w:noWrap w:val="0"/>
            <w:vAlign w:val="center"/>
          </w:tcPr>
          <w:p w14:paraId="3D41A0F6">
            <w:pPr>
              <w:jc w:val="left"/>
              <w:rPr>
                <w:rFonts w:ascii="宋体" w:hAnsi="宋体" w:cs="宋体"/>
                <w:color w:val="auto"/>
                <w:szCs w:val="21"/>
                <w:highlight w:val="none"/>
              </w:rPr>
            </w:pPr>
          </w:p>
        </w:tc>
        <w:tc>
          <w:tcPr>
            <w:tcW w:w="3178" w:type="dxa"/>
            <w:tcBorders>
              <w:left w:val="single" w:color="auto" w:sz="4" w:space="0"/>
              <w:bottom w:val="single" w:color="auto" w:sz="4" w:space="0"/>
              <w:right w:val="single" w:color="auto" w:sz="4" w:space="0"/>
            </w:tcBorders>
            <w:noWrap w:val="0"/>
            <w:vAlign w:val="center"/>
          </w:tcPr>
          <w:p w14:paraId="2C29FDDE">
            <w:pPr>
              <w:snapToGrid w:val="0"/>
              <w:spacing w:line="400" w:lineRule="exact"/>
              <w:jc w:val="center"/>
              <w:rPr>
                <w:rFonts w:ascii="宋体" w:hAnsi="宋体" w:eastAsia="宋体" w:cs="宋体"/>
                <w:color w:val="auto"/>
                <w:szCs w:val="21"/>
                <w:highlight w:val="none"/>
                <w:u w:val="none"/>
              </w:rPr>
            </w:pPr>
            <w:r>
              <w:rPr>
                <w:rFonts w:hint="eastAsia" w:ascii="宋体" w:hAnsi="宋体" w:eastAsia="宋体" w:cs="宋体"/>
                <w:color w:val="auto"/>
                <w:sz w:val="21"/>
                <w:szCs w:val="21"/>
                <w:highlight w:val="none"/>
              </w:rPr>
              <w:t>监理工作重点、难点分析</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1E6C805">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A15177C">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1063A4B3">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2C89BBD7">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D9D9A0D">
            <w:pPr>
              <w:jc w:val="left"/>
              <w:rPr>
                <w:rFonts w:hint="eastAsia" w:ascii="宋体" w:hAnsi="宋体" w:cs="宋体"/>
                <w:color w:val="auto"/>
                <w:szCs w:val="21"/>
                <w:highlight w:val="none"/>
                <w:u w:val="single"/>
              </w:rPr>
            </w:pPr>
          </w:p>
        </w:tc>
      </w:tr>
      <w:tr w14:paraId="6C06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vMerge w:val="continue"/>
            <w:tcBorders>
              <w:left w:val="single" w:color="auto" w:sz="4" w:space="0"/>
              <w:bottom w:val="single" w:color="auto" w:sz="4" w:space="0"/>
              <w:right w:val="single" w:color="auto" w:sz="4" w:space="0"/>
            </w:tcBorders>
            <w:noWrap w:val="0"/>
            <w:vAlign w:val="center"/>
          </w:tcPr>
          <w:p w14:paraId="4FD9EE7A">
            <w:pPr>
              <w:jc w:val="center"/>
              <w:rPr>
                <w:rFonts w:hint="eastAsia" w:ascii="宋体" w:hAnsi="宋体"/>
                <w:color w:val="auto"/>
                <w:szCs w:val="21"/>
                <w:highlight w:val="none"/>
              </w:rPr>
            </w:pPr>
          </w:p>
        </w:tc>
        <w:tc>
          <w:tcPr>
            <w:tcW w:w="1322" w:type="dxa"/>
            <w:vMerge w:val="continue"/>
            <w:tcBorders>
              <w:left w:val="single" w:color="auto" w:sz="4" w:space="0"/>
              <w:bottom w:val="single" w:color="auto" w:sz="4" w:space="0"/>
              <w:right w:val="single" w:color="auto" w:sz="4" w:space="0"/>
            </w:tcBorders>
            <w:noWrap w:val="0"/>
            <w:vAlign w:val="center"/>
          </w:tcPr>
          <w:p w14:paraId="3E39877E">
            <w:pPr>
              <w:jc w:val="left"/>
              <w:rPr>
                <w:rFonts w:ascii="宋体" w:hAnsi="宋体" w:cs="宋体"/>
                <w:color w:val="auto"/>
                <w:szCs w:val="21"/>
                <w:highlight w:val="none"/>
              </w:rPr>
            </w:pPr>
          </w:p>
        </w:tc>
        <w:tc>
          <w:tcPr>
            <w:tcW w:w="3178" w:type="dxa"/>
            <w:tcBorders>
              <w:left w:val="single" w:color="auto" w:sz="4" w:space="0"/>
              <w:bottom w:val="single" w:color="auto" w:sz="4" w:space="0"/>
              <w:right w:val="single" w:color="auto" w:sz="4" w:space="0"/>
            </w:tcBorders>
            <w:noWrap w:val="0"/>
            <w:vAlign w:val="center"/>
          </w:tcPr>
          <w:p w14:paraId="3344E068">
            <w:pPr>
              <w:snapToGrid w:val="0"/>
              <w:spacing w:line="400" w:lineRule="exact"/>
              <w:jc w:val="center"/>
              <w:rPr>
                <w:rFonts w:ascii="宋体" w:hAnsi="宋体" w:eastAsia="宋体" w:cs="宋体"/>
                <w:color w:val="auto"/>
                <w:szCs w:val="21"/>
                <w:highlight w:val="none"/>
                <w:u w:val="none"/>
              </w:rPr>
            </w:pPr>
            <w:r>
              <w:rPr>
                <w:rFonts w:hint="eastAsia" w:ascii="宋体" w:hAnsi="宋体" w:eastAsia="宋体" w:cs="宋体"/>
                <w:color w:val="auto"/>
                <w:sz w:val="21"/>
                <w:szCs w:val="21"/>
                <w:highlight w:val="none"/>
              </w:rPr>
              <w:t>合理化建议</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AFAF6C2">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DE9F2C1">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C3FBEA9">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5078370">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6543286">
            <w:pPr>
              <w:jc w:val="left"/>
              <w:rPr>
                <w:rFonts w:hint="eastAsia" w:ascii="宋体" w:hAnsi="宋体" w:cs="宋体"/>
                <w:color w:val="auto"/>
                <w:szCs w:val="21"/>
                <w:highlight w:val="none"/>
                <w:u w:val="single"/>
              </w:rPr>
            </w:pPr>
          </w:p>
        </w:tc>
      </w:tr>
      <w:tr w14:paraId="54B4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tcBorders>
              <w:top w:val="single" w:color="auto" w:sz="4" w:space="0"/>
              <w:left w:val="single" w:color="auto" w:sz="4" w:space="0"/>
              <w:bottom w:val="single" w:color="auto" w:sz="4" w:space="0"/>
              <w:right w:val="single" w:color="auto" w:sz="4" w:space="0"/>
            </w:tcBorders>
            <w:noWrap w:val="0"/>
            <w:vAlign w:val="center"/>
          </w:tcPr>
          <w:p w14:paraId="58C958DB">
            <w:pPr>
              <w:jc w:val="center"/>
              <w:rPr>
                <w:rFonts w:ascii="宋体" w:hAnsi="宋体"/>
                <w:color w:val="auto"/>
                <w:szCs w:val="21"/>
                <w:highlight w:val="none"/>
              </w:rPr>
            </w:pPr>
            <w:r>
              <w:rPr>
                <w:rFonts w:hint="eastAsia" w:ascii="宋体" w:hAnsi="宋体"/>
                <w:color w:val="auto"/>
                <w:szCs w:val="21"/>
                <w:highlight w:val="none"/>
              </w:rPr>
              <w:t>2</w:t>
            </w:r>
          </w:p>
        </w:tc>
        <w:tc>
          <w:tcPr>
            <w:tcW w:w="4500" w:type="dxa"/>
            <w:gridSpan w:val="2"/>
            <w:tcBorders>
              <w:top w:val="single" w:color="auto" w:sz="4" w:space="0"/>
              <w:left w:val="single" w:color="auto" w:sz="4" w:space="0"/>
              <w:bottom w:val="single" w:color="auto" w:sz="4" w:space="0"/>
              <w:right w:val="single" w:color="auto" w:sz="4" w:space="0"/>
            </w:tcBorders>
            <w:noWrap w:val="0"/>
            <w:vAlign w:val="center"/>
          </w:tcPr>
          <w:p w14:paraId="2463C423">
            <w:pPr>
              <w:jc w:val="left"/>
              <w:rPr>
                <w:rFonts w:hint="eastAsia" w:ascii="宋体" w:hAnsi="宋体" w:cs="宋体"/>
                <w:color w:val="auto"/>
                <w:szCs w:val="21"/>
                <w:highlight w:val="none"/>
              </w:rPr>
            </w:pPr>
            <w:r>
              <w:rPr>
                <w:rFonts w:hint="eastAsia" w:ascii="宋体" w:hAnsi="宋体" w:cs="宋体"/>
                <w:color w:val="auto"/>
                <w:szCs w:val="21"/>
                <w:highlight w:val="none"/>
              </w:rPr>
              <w:t>价格因素（20分）</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DCDE207">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FAA626A">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32F7302">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43189E5D">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DB5C99">
            <w:pPr>
              <w:jc w:val="left"/>
              <w:rPr>
                <w:rFonts w:hint="eastAsia" w:ascii="宋体" w:hAnsi="宋体" w:cs="宋体"/>
                <w:color w:val="auto"/>
                <w:szCs w:val="21"/>
                <w:highlight w:val="none"/>
                <w:u w:val="single"/>
              </w:rPr>
            </w:pPr>
          </w:p>
        </w:tc>
      </w:tr>
      <w:tr w14:paraId="422C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05" w:type="dxa"/>
            <w:tcBorders>
              <w:top w:val="single" w:color="auto" w:sz="4" w:space="0"/>
              <w:left w:val="single" w:color="auto" w:sz="4" w:space="0"/>
              <w:bottom w:val="single" w:color="auto" w:sz="4" w:space="0"/>
              <w:right w:val="single" w:color="auto" w:sz="4" w:space="0"/>
            </w:tcBorders>
            <w:noWrap w:val="0"/>
            <w:vAlign w:val="center"/>
          </w:tcPr>
          <w:p w14:paraId="649C88D7">
            <w:pPr>
              <w:jc w:val="center"/>
              <w:rPr>
                <w:rFonts w:ascii="宋体" w:hAnsi="宋体"/>
                <w:color w:val="auto"/>
                <w:szCs w:val="21"/>
                <w:highlight w:val="none"/>
              </w:rPr>
            </w:pPr>
            <w:r>
              <w:rPr>
                <w:rFonts w:hint="eastAsia" w:ascii="宋体" w:hAnsi="宋体"/>
                <w:color w:val="auto"/>
                <w:szCs w:val="21"/>
                <w:highlight w:val="none"/>
              </w:rPr>
              <w:t>3</w:t>
            </w:r>
          </w:p>
        </w:tc>
        <w:tc>
          <w:tcPr>
            <w:tcW w:w="4500" w:type="dxa"/>
            <w:gridSpan w:val="2"/>
            <w:tcBorders>
              <w:top w:val="single" w:color="auto" w:sz="4" w:space="0"/>
              <w:left w:val="single" w:color="auto" w:sz="4" w:space="0"/>
              <w:bottom w:val="single" w:color="auto" w:sz="4" w:space="0"/>
              <w:right w:val="single" w:color="auto" w:sz="4" w:space="0"/>
            </w:tcBorders>
            <w:noWrap w:val="0"/>
            <w:vAlign w:val="center"/>
          </w:tcPr>
          <w:p w14:paraId="66BC8B53">
            <w:pPr>
              <w:jc w:val="left"/>
              <w:rPr>
                <w:rFonts w:hint="eastAsia" w:ascii="宋体" w:hAnsi="宋体" w:cs="宋体"/>
                <w:color w:val="auto"/>
                <w:szCs w:val="21"/>
                <w:highlight w:val="none"/>
              </w:rPr>
            </w:pPr>
            <w:r>
              <w:rPr>
                <w:rFonts w:hint="eastAsia" w:ascii="宋体" w:hAnsi="宋体" w:cs="宋体"/>
                <w:color w:val="auto"/>
                <w:szCs w:val="21"/>
                <w:highlight w:val="none"/>
              </w:rPr>
              <w:t>答辩因素（20分）</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438B038">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03CFA791">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7714FB47">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E38FB3D">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2D9F6A8">
            <w:pPr>
              <w:jc w:val="left"/>
              <w:rPr>
                <w:rFonts w:hint="eastAsia" w:ascii="宋体" w:hAnsi="宋体" w:cs="宋体"/>
                <w:color w:val="auto"/>
                <w:szCs w:val="21"/>
                <w:highlight w:val="none"/>
                <w:u w:val="single"/>
              </w:rPr>
            </w:pPr>
          </w:p>
        </w:tc>
      </w:tr>
      <w:tr w14:paraId="361C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5105" w:type="dxa"/>
            <w:gridSpan w:val="3"/>
            <w:tcBorders>
              <w:top w:val="single" w:color="auto" w:sz="4" w:space="0"/>
              <w:left w:val="single" w:color="auto" w:sz="4" w:space="0"/>
              <w:right w:val="single" w:color="auto" w:sz="4" w:space="0"/>
            </w:tcBorders>
            <w:noWrap w:val="0"/>
            <w:vAlign w:val="center"/>
          </w:tcPr>
          <w:p w14:paraId="0726FA10">
            <w:pPr>
              <w:jc w:val="left"/>
              <w:rPr>
                <w:rFonts w:hint="eastAsia" w:ascii="宋体" w:hAnsi="宋体" w:cs="宋体"/>
                <w:color w:val="auto"/>
                <w:szCs w:val="21"/>
                <w:highlight w:val="none"/>
              </w:rPr>
            </w:pPr>
            <w:r>
              <w:rPr>
                <w:rFonts w:hint="eastAsia" w:ascii="宋体" w:hAnsi="宋体" w:cs="宋体"/>
                <w:color w:val="auto"/>
                <w:szCs w:val="21"/>
                <w:highlight w:val="none"/>
              </w:rPr>
              <w:t>合计</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42149495">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68D75183">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372034EB">
            <w:pPr>
              <w:jc w:val="left"/>
              <w:rPr>
                <w:rFonts w:hint="eastAsia" w:ascii="宋体" w:hAnsi="宋体" w:cs="宋体"/>
                <w:color w:val="auto"/>
                <w:szCs w:val="21"/>
                <w:highlight w:val="none"/>
                <w:u w:val="single"/>
              </w:rPr>
            </w:pPr>
          </w:p>
        </w:tc>
        <w:tc>
          <w:tcPr>
            <w:tcW w:w="919" w:type="dxa"/>
            <w:tcBorders>
              <w:top w:val="single" w:color="auto" w:sz="4" w:space="0"/>
              <w:left w:val="single" w:color="auto" w:sz="4" w:space="0"/>
              <w:bottom w:val="single" w:color="auto" w:sz="4" w:space="0"/>
              <w:right w:val="single" w:color="auto" w:sz="4" w:space="0"/>
            </w:tcBorders>
            <w:noWrap w:val="0"/>
            <w:vAlign w:val="center"/>
          </w:tcPr>
          <w:p w14:paraId="50EE5818">
            <w:pPr>
              <w:jc w:val="left"/>
              <w:rPr>
                <w:rFonts w:hint="eastAsia" w:ascii="宋体" w:hAnsi="宋体" w:cs="宋体"/>
                <w:color w:val="auto"/>
                <w:szCs w:val="21"/>
                <w:highlight w:val="none"/>
                <w:u w:val="singl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E1364B2">
            <w:pPr>
              <w:jc w:val="left"/>
              <w:rPr>
                <w:rFonts w:hint="eastAsia" w:ascii="宋体" w:hAnsi="宋体" w:cs="宋体"/>
                <w:color w:val="auto"/>
                <w:szCs w:val="21"/>
                <w:highlight w:val="none"/>
                <w:u w:val="single"/>
              </w:rPr>
            </w:pPr>
          </w:p>
        </w:tc>
      </w:tr>
    </w:tbl>
    <w:p w14:paraId="198A067F">
      <w:pPr>
        <w:rPr>
          <w:rFonts w:hint="eastAsia" w:ascii="宋体" w:hAnsi="宋体" w:cs="宋体"/>
          <w:b/>
          <w:bCs/>
          <w:color w:val="auto"/>
          <w:kern w:val="0"/>
          <w:sz w:val="28"/>
          <w:szCs w:val="28"/>
          <w:highlight w:val="none"/>
        </w:rPr>
      </w:pPr>
      <w:r>
        <w:rPr>
          <w:rFonts w:hint="eastAsia" w:ascii="宋体" w:hAnsi="宋体" w:cs="宋体"/>
          <w:color w:val="auto"/>
          <w:sz w:val="24"/>
          <w:szCs w:val="24"/>
          <w:highlight w:val="none"/>
        </w:rPr>
        <w:t>定标委员会成员：                                  日期：  年    月   日</w:t>
      </w:r>
      <w:r>
        <w:rPr>
          <w:rFonts w:hint="eastAsia" w:ascii="宋体" w:hAnsi="宋体" w:cs="宋体"/>
          <w:color w:val="auto"/>
          <w:sz w:val="24"/>
          <w:szCs w:val="24"/>
          <w:highlight w:val="none"/>
        </w:rPr>
        <w:br w:type="page"/>
      </w:r>
    </w:p>
    <w:p w14:paraId="1D7BE972">
      <w:pPr>
        <w:adjustRightInd w:val="0"/>
        <w:snapToGrid w:val="0"/>
        <w:spacing w:line="360" w:lineRule="auto"/>
        <w:jc w:val="left"/>
        <w:rPr>
          <w:rFonts w:hint="eastAsia" w:ascii="宋体" w:hAnsi="宋体" w:cs="宋体"/>
          <w:b/>
          <w:color w:val="auto"/>
          <w:sz w:val="36"/>
          <w:szCs w:val="36"/>
          <w:highlight w:val="none"/>
        </w:rPr>
      </w:pPr>
      <w:r>
        <w:rPr>
          <w:rFonts w:hint="eastAsia"/>
          <w:color w:val="auto"/>
          <w:highlight w:val="none"/>
          <w:lang w:eastAsia="zh-CN"/>
        </w:rPr>
        <w:t>附表四：</w:t>
      </w:r>
    </w:p>
    <w:p w14:paraId="666FCAFB">
      <w:pPr>
        <w:pStyle w:val="17"/>
        <w:jc w:val="center"/>
        <w:rPr>
          <w:rFonts w:hint="eastAsia" w:ascii="宋体" w:hAnsi="宋体"/>
          <w:b/>
          <w:color w:val="auto"/>
          <w:sz w:val="28"/>
          <w:szCs w:val="24"/>
          <w:highlight w:val="none"/>
        </w:rPr>
      </w:pPr>
      <w:bookmarkStart w:id="2397" w:name="_Toc23023"/>
      <w:r>
        <w:rPr>
          <w:rFonts w:hint="eastAsia" w:ascii="宋体" w:hAnsi="宋体"/>
          <w:b/>
          <w:color w:val="auto"/>
          <w:sz w:val="28"/>
          <w:szCs w:val="24"/>
          <w:highlight w:val="none"/>
        </w:rPr>
        <w:t>定标评分汇总表</w:t>
      </w:r>
      <w:bookmarkEnd w:id="2397"/>
    </w:p>
    <w:p w14:paraId="5AF80667">
      <w:pPr>
        <w:pStyle w:val="17"/>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color w:val="auto"/>
          <w:highlight w:val="none"/>
        </w:rPr>
      </w:pPr>
      <w:bookmarkStart w:id="2398" w:name="_Toc27421"/>
      <w:r>
        <w:rPr>
          <w:rFonts w:hint="eastAsia" w:ascii="宋体" w:hAnsi="宋体"/>
          <w:b/>
          <w:color w:val="auto"/>
          <w:sz w:val="24"/>
          <w:highlight w:val="none"/>
        </w:rPr>
        <w:t>项目名称：</w:t>
      </w:r>
      <w:bookmarkEnd w:id="2398"/>
    </w:p>
    <w:tbl>
      <w:tblPr>
        <w:tblStyle w:val="46"/>
        <w:tblW w:w="0" w:type="auto"/>
        <w:tblInd w:w="0" w:type="dxa"/>
        <w:tblLayout w:type="fixed"/>
        <w:tblCellMar>
          <w:top w:w="0" w:type="dxa"/>
          <w:left w:w="108" w:type="dxa"/>
          <w:bottom w:w="0" w:type="dxa"/>
          <w:right w:w="108" w:type="dxa"/>
        </w:tblCellMar>
      </w:tblPr>
      <w:tblGrid>
        <w:gridCol w:w="660"/>
        <w:gridCol w:w="2876"/>
        <w:gridCol w:w="936"/>
        <w:gridCol w:w="937"/>
        <w:gridCol w:w="937"/>
        <w:gridCol w:w="937"/>
        <w:gridCol w:w="937"/>
        <w:gridCol w:w="1407"/>
      </w:tblGrid>
      <w:tr w14:paraId="4875036C">
        <w:tblPrEx>
          <w:tblCellMar>
            <w:top w:w="0" w:type="dxa"/>
            <w:left w:w="108" w:type="dxa"/>
            <w:bottom w:w="0" w:type="dxa"/>
            <w:right w:w="108" w:type="dxa"/>
          </w:tblCellMar>
        </w:tblPrEx>
        <w:trPr>
          <w:trHeight w:val="60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4A3F8A33">
            <w:pPr>
              <w:widowControl/>
              <w:jc w:val="center"/>
              <w:textAlignment w:val="center"/>
              <w:rPr>
                <w:rFonts w:hint="eastAsia" w:ascii="宋体" w:hAnsi="宋体" w:cs="宋体"/>
                <w:b/>
                <w:bCs/>
                <w:color w:val="auto"/>
                <w:sz w:val="22"/>
                <w:highlight w:val="none"/>
              </w:rPr>
            </w:pPr>
            <w:r>
              <w:rPr>
                <w:rFonts w:hint="eastAsia" w:ascii="宋体" w:hAnsi="宋体" w:cs="宋体"/>
                <w:b/>
                <w:bCs/>
                <w:color w:val="auto"/>
                <w:kern w:val="0"/>
                <w:sz w:val="22"/>
                <w:highlight w:val="none"/>
                <w:lang w:bidi="ar"/>
              </w:rPr>
              <w:t>序号</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3368D764">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投标人</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83450C8">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定标委员1</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4746113">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定标委员2</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453B2B25">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定标委员3</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6A9710BA">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定标委员4</w:t>
            </w: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9A5F57D">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定标委员5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497252CE">
            <w:pPr>
              <w:widowControl/>
              <w:jc w:val="center"/>
              <w:textAlignment w:val="center"/>
              <w:rPr>
                <w:rFonts w:hint="eastAsia" w:ascii="宋体" w:hAnsi="宋体" w:cs="宋体"/>
                <w:b/>
                <w:bCs/>
                <w:color w:val="auto"/>
                <w:sz w:val="24"/>
                <w:szCs w:val="24"/>
                <w:highlight w:val="none"/>
              </w:rPr>
            </w:pPr>
            <w:r>
              <w:rPr>
                <w:rFonts w:hint="eastAsia" w:ascii="宋体" w:hAnsi="宋体" w:cs="宋体"/>
                <w:b/>
                <w:bCs/>
                <w:color w:val="auto"/>
                <w:kern w:val="0"/>
                <w:sz w:val="24"/>
                <w:szCs w:val="24"/>
                <w:highlight w:val="none"/>
                <w:lang w:bidi="ar"/>
              </w:rPr>
              <w:t>总得分</w:t>
            </w:r>
          </w:p>
        </w:tc>
      </w:tr>
      <w:tr w14:paraId="0801DFF6">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00D5C484">
            <w:pPr>
              <w:widowControl/>
              <w:jc w:val="center"/>
              <w:textAlignment w:val="center"/>
              <w:rPr>
                <w:rFonts w:hint="eastAsia" w:ascii="宋体" w:hAnsi="宋体" w:cs="宋体"/>
                <w:color w:val="auto"/>
                <w:sz w:val="22"/>
                <w:highlight w:val="none"/>
              </w:rPr>
            </w:pPr>
            <w:r>
              <w:rPr>
                <w:rFonts w:hint="eastAsia" w:ascii="宋体" w:hAnsi="宋体" w:cs="宋体"/>
                <w:color w:val="auto"/>
                <w:kern w:val="0"/>
                <w:sz w:val="22"/>
                <w:highlight w:val="none"/>
                <w:lang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79812B91">
            <w:pPr>
              <w:jc w:val="center"/>
              <w:rPr>
                <w:rFonts w:hint="eastAsia" w:ascii="宋体" w:hAnsi="宋体" w:cs="宋体"/>
                <w:color w:val="auto"/>
                <w:sz w:val="24"/>
                <w:szCs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BBFD14E">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16B91E6D">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16E6F411">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5A394B18">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626EAA2">
            <w:pPr>
              <w:jc w:val="center"/>
              <w:rPr>
                <w:rFonts w:hint="eastAsia" w:ascii="宋体" w:hAnsi="宋体" w:cs="宋体"/>
                <w:color w:val="auto"/>
                <w:sz w:val="24"/>
                <w:szCs w:val="24"/>
                <w:highlight w:val="none"/>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71F3E5B0">
            <w:pPr>
              <w:jc w:val="center"/>
              <w:rPr>
                <w:rFonts w:hint="eastAsia" w:ascii="宋体" w:hAnsi="宋体" w:cs="宋体"/>
                <w:color w:val="auto"/>
                <w:sz w:val="24"/>
                <w:szCs w:val="24"/>
                <w:highlight w:val="none"/>
              </w:rPr>
            </w:pPr>
          </w:p>
        </w:tc>
      </w:tr>
      <w:tr w14:paraId="11EB0DB5">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7D716A3A">
            <w:pPr>
              <w:widowControl/>
              <w:jc w:val="center"/>
              <w:textAlignment w:val="center"/>
              <w:rPr>
                <w:rFonts w:hint="eastAsia" w:ascii="宋体" w:hAnsi="宋体" w:cs="宋体"/>
                <w:color w:val="auto"/>
                <w:sz w:val="22"/>
                <w:highlight w:val="none"/>
              </w:rPr>
            </w:pPr>
            <w:r>
              <w:rPr>
                <w:rFonts w:hint="eastAsia" w:ascii="宋体" w:hAnsi="宋体" w:cs="宋体"/>
                <w:color w:val="auto"/>
                <w:kern w:val="0"/>
                <w:sz w:val="22"/>
                <w:highlight w:val="none"/>
                <w:lang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5E16AD5B">
            <w:pPr>
              <w:jc w:val="center"/>
              <w:rPr>
                <w:rFonts w:hint="eastAsia" w:ascii="宋体" w:hAnsi="宋体" w:cs="宋体"/>
                <w:color w:val="auto"/>
                <w:sz w:val="24"/>
                <w:szCs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ECDA915">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4CFA05FE">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5BFE21DE">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C950151">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106C4D91">
            <w:pPr>
              <w:jc w:val="center"/>
              <w:rPr>
                <w:rFonts w:hint="eastAsia" w:ascii="宋体" w:hAnsi="宋体" w:cs="宋体"/>
                <w:color w:val="auto"/>
                <w:sz w:val="24"/>
                <w:szCs w:val="24"/>
                <w:highlight w:val="none"/>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487AEB02">
            <w:pPr>
              <w:jc w:val="center"/>
              <w:rPr>
                <w:rFonts w:hint="eastAsia" w:ascii="宋体" w:hAnsi="宋体" w:cs="宋体"/>
                <w:color w:val="auto"/>
                <w:sz w:val="24"/>
                <w:szCs w:val="24"/>
                <w:highlight w:val="none"/>
              </w:rPr>
            </w:pPr>
          </w:p>
        </w:tc>
      </w:tr>
      <w:tr w14:paraId="3662E4CB">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08095FE9">
            <w:pPr>
              <w:widowControl/>
              <w:jc w:val="center"/>
              <w:textAlignment w:val="center"/>
              <w:rPr>
                <w:rFonts w:hint="eastAsia" w:ascii="宋体" w:hAnsi="宋体" w:cs="宋体"/>
                <w:color w:val="auto"/>
                <w:sz w:val="22"/>
                <w:highlight w:val="none"/>
              </w:rPr>
            </w:pPr>
            <w:r>
              <w:rPr>
                <w:rFonts w:hint="eastAsia" w:ascii="宋体" w:hAnsi="宋体" w:cs="宋体"/>
                <w:color w:val="auto"/>
                <w:kern w:val="0"/>
                <w:sz w:val="22"/>
                <w:highlight w:val="none"/>
                <w:lang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72C42243">
            <w:pPr>
              <w:jc w:val="center"/>
              <w:rPr>
                <w:rFonts w:hint="eastAsia" w:ascii="宋体" w:hAnsi="宋体" w:cs="宋体"/>
                <w:color w:val="auto"/>
                <w:sz w:val="24"/>
                <w:szCs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1F8C9C83">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2F21E33D">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51008347">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5DEA482">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51BC7166">
            <w:pPr>
              <w:jc w:val="center"/>
              <w:rPr>
                <w:rFonts w:hint="eastAsia" w:ascii="宋体" w:hAnsi="宋体" w:cs="宋体"/>
                <w:color w:val="auto"/>
                <w:sz w:val="24"/>
                <w:szCs w:val="24"/>
                <w:highlight w:val="none"/>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1DC3D85D">
            <w:pPr>
              <w:jc w:val="center"/>
              <w:rPr>
                <w:rFonts w:hint="eastAsia" w:ascii="宋体" w:hAnsi="宋体" w:cs="宋体"/>
                <w:color w:val="auto"/>
                <w:sz w:val="24"/>
                <w:szCs w:val="24"/>
                <w:highlight w:val="none"/>
              </w:rPr>
            </w:pPr>
          </w:p>
        </w:tc>
      </w:tr>
      <w:tr w14:paraId="1CC9510C">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162B1C0E">
            <w:pPr>
              <w:widowControl/>
              <w:jc w:val="center"/>
              <w:textAlignment w:val="center"/>
              <w:rPr>
                <w:rFonts w:hint="eastAsia" w:ascii="宋体" w:hAnsi="宋体" w:cs="宋体"/>
                <w:color w:val="auto"/>
                <w:sz w:val="22"/>
                <w:highlight w:val="none"/>
              </w:rPr>
            </w:pPr>
            <w:r>
              <w:rPr>
                <w:rFonts w:hint="eastAsia" w:ascii="宋体" w:hAnsi="宋体" w:cs="宋体"/>
                <w:color w:val="auto"/>
                <w:kern w:val="0"/>
                <w:sz w:val="22"/>
                <w:highlight w:val="none"/>
                <w:lang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5A58AE45">
            <w:pPr>
              <w:jc w:val="center"/>
              <w:rPr>
                <w:rFonts w:hint="eastAsia" w:ascii="宋体" w:hAnsi="宋体" w:cs="宋体"/>
                <w:color w:val="auto"/>
                <w:sz w:val="24"/>
                <w:szCs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3B48D0B">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32D44C0A">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47AA9927">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55593261">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24F875AF">
            <w:pPr>
              <w:jc w:val="center"/>
              <w:rPr>
                <w:rFonts w:hint="eastAsia" w:ascii="宋体" w:hAnsi="宋体" w:cs="宋体"/>
                <w:color w:val="auto"/>
                <w:sz w:val="24"/>
                <w:szCs w:val="24"/>
                <w:highlight w:val="none"/>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08DEC964">
            <w:pPr>
              <w:jc w:val="center"/>
              <w:rPr>
                <w:rFonts w:hint="eastAsia" w:ascii="宋体" w:hAnsi="宋体" w:cs="宋体"/>
                <w:color w:val="auto"/>
                <w:sz w:val="24"/>
                <w:szCs w:val="24"/>
                <w:highlight w:val="none"/>
              </w:rPr>
            </w:pPr>
          </w:p>
        </w:tc>
      </w:tr>
      <w:tr w14:paraId="69CAF611">
        <w:tblPrEx>
          <w:tblCellMar>
            <w:top w:w="0" w:type="dxa"/>
            <w:left w:w="108" w:type="dxa"/>
            <w:bottom w:w="0" w:type="dxa"/>
            <w:right w:w="108" w:type="dxa"/>
          </w:tblCellMar>
        </w:tblPrEx>
        <w:trPr>
          <w:trHeight w:val="560" w:hRule="atLeast"/>
        </w:trPr>
        <w:tc>
          <w:tcPr>
            <w:tcW w:w="660" w:type="dxa"/>
            <w:tcBorders>
              <w:top w:val="single" w:color="000000" w:sz="4" w:space="0"/>
              <w:left w:val="single" w:color="000000" w:sz="4" w:space="0"/>
              <w:bottom w:val="single" w:color="000000" w:sz="4" w:space="0"/>
              <w:right w:val="single" w:color="000000" w:sz="4" w:space="0"/>
            </w:tcBorders>
            <w:noWrap/>
            <w:vAlign w:val="center"/>
          </w:tcPr>
          <w:p w14:paraId="32BE3D9D">
            <w:pPr>
              <w:widowControl/>
              <w:jc w:val="center"/>
              <w:textAlignment w:val="center"/>
              <w:rPr>
                <w:rFonts w:hint="eastAsia" w:ascii="宋体" w:hAnsi="宋体" w:cs="宋体"/>
                <w:color w:val="auto"/>
                <w:sz w:val="22"/>
                <w:highlight w:val="none"/>
              </w:rPr>
            </w:pPr>
          </w:p>
        </w:tc>
        <w:tc>
          <w:tcPr>
            <w:tcW w:w="2876" w:type="dxa"/>
            <w:tcBorders>
              <w:top w:val="single" w:color="000000" w:sz="4" w:space="0"/>
              <w:left w:val="single" w:color="000000" w:sz="4" w:space="0"/>
              <w:bottom w:val="single" w:color="000000" w:sz="4" w:space="0"/>
              <w:right w:val="single" w:color="000000" w:sz="4" w:space="0"/>
            </w:tcBorders>
            <w:noWrap w:val="0"/>
            <w:vAlign w:val="center"/>
          </w:tcPr>
          <w:p w14:paraId="2B3D84B4">
            <w:pPr>
              <w:jc w:val="center"/>
              <w:rPr>
                <w:rFonts w:hint="eastAsia" w:ascii="宋体" w:hAnsi="宋体" w:cs="宋体"/>
                <w:color w:val="auto"/>
                <w:sz w:val="24"/>
                <w:szCs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BD6A4D2">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712D86F7">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677538A8">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1FC8A0FD">
            <w:pPr>
              <w:jc w:val="center"/>
              <w:rPr>
                <w:rFonts w:hint="eastAsia" w:ascii="宋体" w:hAnsi="宋体" w:cs="宋体"/>
                <w:color w:val="auto"/>
                <w:sz w:val="24"/>
                <w:szCs w:val="24"/>
                <w:highlight w:val="none"/>
              </w:rPr>
            </w:pPr>
          </w:p>
        </w:tc>
        <w:tc>
          <w:tcPr>
            <w:tcW w:w="937" w:type="dxa"/>
            <w:tcBorders>
              <w:top w:val="single" w:color="000000" w:sz="4" w:space="0"/>
              <w:left w:val="single" w:color="000000" w:sz="4" w:space="0"/>
              <w:bottom w:val="single" w:color="000000" w:sz="4" w:space="0"/>
              <w:right w:val="single" w:color="000000" w:sz="4" w:space="0"/>
            </w:tcBorders>
            <w:noWrap w:val="0"/>
            <w:vAlign w:val="center"/>
          </w:tcPr>
          <w:p w14:paraId="7BDA6C65">
            <w:pPr>
              <w:jc w:val="center"/>
              <w:rPr>
                <w:rFonts w:hint="eastAsia" w:ascii="宋体" w:hAnsi="宋体" w:cs="宋体"/>
                <w:color w:val="auto"/>
                <w:sz w:val="24"/>
                <w:szCs w:val="24"/>
                <w:highlight w:val="none"/>
              </w:rPr>
            </w:pP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7461498E">
            <w:pPr>
              <w:jc w:val="center"/>
              <w:rPr>
                <w:rFonts w:hint="eastAsia" w:ascii="宋体" w:hAnsi="宋体" w:cs="宋体"/>
                <w:color w:val="auto"/>
                <w:sz w:val="24"/>
                <w:szCs w:val="24"/>
                <w:highlight w:val="none"/>
              </w:rPr>
            </w:pPr>
          </w:p>
        </w:tc>
      </w:tr>
    </w:tbl>
    <w:p w14:paraId="0F9BA99A">
      <w:pPr>
        <w:bidi w:val="0"/>
        <w:rPr>
          <w:color w:val="auto"/>
          <w:highlight w:val="none"/>
        </w:rPr>
      </w:pPr>
    </w:p>
    <w:p w14:paraId="604EA52F">
      <w:pPr>
        <w:pStyle w:val="17"/>
        <w:keepNext w:val="0"/>
        <w:keepLines w:val="0"/>
        <w:pageBreakBefore w:val="0"/>
        <w:widowControl w:val="0"/>
        <w:kinsoku/>
        <w:wordWrap/>
        <w:overflowPunct/>
        <w:topLinePunct w:val="0"/>
        <w:autoSpaceDE/>
        <w:autoSpaceDN/>
        <w:bidi w:val="0"/>
        <w:adjustRightInd/>
        <w:snapToGrid/>
        <w:textAlignment w:val="auto"/>
        <w:outlineLvl w:val="9"/>
        <w:rPr>
          <w:rFonts w:hint="eastAsia"/>
          <w:color w:val="auto"/>
          <w:highlight w:val="none"/>
        </w:rPr>
      </w:pPr>
      <w:bookmarkStart w:id="2399" w:name="_Toc10158"/>
      <w:r>
        <w:rPr>
          <w:rFonts w:hint="eastAsia" w:ascii="宋体" w:hAnsi="宋体" w:cs="宋体"/>
          <w:color w:val="auto"/>
          <w:sz w:val="24"/>
          <w:szCs w:val="24"/>
          <w:highlight w:val="none"/>
        </w:rPr>
        <w:t>定标委员会：                                  日期：  年    月   日</w:t>
      </w:r>
      <w:bookmarkEnd w:id="2399"/>
    </w:p>
    <w:p w14:paraId="699C937B">
      <w:pPr>
        <w:adjustRightInd w:val="0"/>
        <w:snapToGrid w:val="0"/>
        <w:spacing w:line="360" w:lineRule="auto"/>
        <w:rPr>
          <w:rFonts w:ascii="宋体" w:hAnsi="宋体" w:cs="宋体"/>
          <w:b/>
          <w:color w:val="auto"/>
          <w:kern w:val="0"/>
          <w:highlight w:val="none"/>
        </w:rPr>
      </w:pPr>
    </w:p>
    <w:p w14:paraId="14A94270">
      <w:pPr>
        <w:adjustRightInd w:val="0"/>
        <w:snapToGrid w:val="0"/>
        <w:spacing w:line="360" w:lineRule="auto"/>
        <w:rPr>
          <w:rFonts w:ascii="宋体" w:hAnsi="宋体" w:cs="宋体"/>
          <w:color w:val="auto"/>
          <w:kern w:val="0"/>
          <w:highlight w:val="none"/>
        </w:rPr>
      </w:pPr>
      <w:r>
        <w:rPr>
          <w:rFonts w:hint="eastAsia" w:ascii="宋体" w:hAnsi="宋体" w:cs="宋体"/>
          <w:color w:val="auto"/>
          <w:kern w:val="0"/>
          <w:highlight w:val="none"/>
        </w:rPr>
        <w:t xml:space="preserve"> </w:t>
      </w:r>
    </w:p>
    <w:p w14:paraId="3DCA78C1">
      <w:pPr>
        <w:pStyle w:val="280"/>
        <w:jc w:val="cente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DF55E24">
      <w:pPr>
        <w:pStyle w:val="3"/>
        <w:pageBreakBefore/>
        <w:widowControl/>
        <w:numPr>
          <w:ilvl w:val="0"/>
          <w:numId w:val="5"/>
        </w:numPr>
        <w:tabs>
          <w:tab w:val="left" w:pos="2127"/>
        </w:tabs>
        <w:kinsoku/>
        <w:overflowPunct/>
        <w:bidi w:val="0"/>
        <w:spacing w:before="0" w:after="0" w:line="360" w:lineRule="auto"/>
        <w:jc w:val="center"/>
        <w:textAlignment w:val="auto"/>
        <w:rPr>
          <w:rFonts w:ascii="宋体" w:hAnsi="宋体"/>
          <w:color w:val="auto"/>
          <w:kern w:val="0"/>
          <w:sz w:val="32"/>
          <w:szCs w:val="32"/>
          <w:highlight w:val="none"/>
        </w:rPr>
      </w:pPr>
      <w:bookmarkStart w:id="2400" w:name="_Toc465866198"/>
      <w:bookmarkEnd w:id="2400"/>
      <w:bookmarkStart w:id="2401" w:name="_Toc4124"/>
      <w:bookmarkStart w:id="2402" w:name="_Toc11822"/>
      <w:bookmarkStart w:id="2403" w:name="_Toc384914928"/>
      <w:bookmarkStart w:id="2404" w:name="_Toc14551"/>
      <w:r>
        <w:rPr>
          <w:rFonts w:hint="eastAsia" w:ascii="宋体" w:hAnsi="宋体"/>
          <w:color w:val="auto"/>
          <w:kern w:val="0"/>
          <w:sz w:val="32"/>
          <w:szCs w:val="32"/>
          <w:highlight w:val="none"/>
        </w:rPr>
        <w:t>合同条款及格式</w:t>
      </w:r>
      <w:bookmarkEnd w:id="2401"/>
      <w:bookmarkEnd w:id="2402"/>
      <w:bookmarkEnd w:id="2403"/>
      <w:bookmarkEnd w:id="2404"/>
    </w:p>
    <w:p w14:paraId="5023984E">
      <w:pPr>
        <w:kinsoku/>
        <w:overflowPunct/>
        <w:bidi w:val="0"/>
        <w:spacing w:line="360" w:lineRule="auto"/>
        <w:jc w:val="center"/>
        <w:textAlignment w:val="auto"/>
        <w:rPr>
          <w:color w:val="auto"/>
          <w:highlight w:val="none"/>
        </w:rPr>
      </w:pPr>
      <w:r>
        <w:rPr>
          <w:rFonts w:hint="eastAsia" w:ascii="宋体" w:hAnsi="宋体" w:cs="宋体"/>
          <w:b/>
          <w:color w:val="auto"/>
          <w:sz w:val="24"/>
          <w:szCs w:val="24"/>
          <w:highlight w:val="none"/>
        </w:rPr>
        <w:t>（另册）</w:t>
      </w:r>
    </w:p>
    <w:p w14:paraId="1EF72A1B">
      <w:pPr>
        <w:pStyle w:val="3"/>
        <w:pageBreakBefore/>
        <w:widowControl/>
        <w:kinsoku/>
        <w:overflowPunct/>
        <w:bidi w:val="0"/>
        <w:spacing w:before="0" w:beforeLines="0" w:after="0" w:afterLines="0" w:line="360" w:lineRule="auto"/>
        <w:ind w:firstLine="4417" w:firstLineChars="1000"/>
        <w:jc w:val="both"/>
        <w:textAlignment w:val="auto"/>
        <w:rPr>
          <w:rFonts w:ascii="宋体" w:hAnsi="宋体"/>
          <w:color w:val="auto"/>
          <w:kern w:val="0"/>
          <w:highlight w:val="none"/>
        </w:rPr>
      </w:pPr>
      <w:bookmarkStart w:id="2405" w:name="_Toc31657"/>
      <w:bookmarkStart w:id="2406" w:name="_Toc17340"/>
      <w:bookmarkStart w:id="2407" w:name="_Toc11065"/>
      <w:r>
        <w:rPr>
          <w:rFonts w:hint="eastAsia" w:ascii="宋体" w:hAnsi="宋体"/>
          <w:color w:val="auto"/>
          <w:kern w:val="0"/>
          <w:highlight w:val="none"/>
        </w:rPr>
        <w:t>第二卷</w:t>
      </w:r>
      <w:bookmarkEnd w:id="2405"/>
      <w:bookmarkEnd w:id="2406"/>
      <w:bookmarkEnd w:id="2407"/>
    </w:p>
    <w:p w14:paraId="06818287">
      <w:pPr>
        <w:rPr>
          <w:rFonts w:ascii="宋体" w:hAnsi="宋体" w:cs="黑体"/>
          <w:color w:val="auto"/>
          <w:kern w:val="0"/>
          <w:sz w:val="28"/>
          <w:szCs w:val="28"/>
          <w:highlight w:val="none"/>
        </w:rPr>
      </w:pPr>
      <w:r>
        <w:rPr>
          <w:rFonts w:ascii="宋体" w:hAnsi="宋体" w:cs="黑体"/>
          <w:color w:val="auto"/>
          <w:kern w:val="0"/>
          <w:sz w:val="28"/>
          <w:szCs w:val="28"/>
          <w:highlight w:val="none"/>
        </w:rPr>
        <w:br w:type="page"/>
      </w:r>
    </w:p>
    <w:p w14:paraId="7C6DCCE0">
      <w:pPr>
        <w:pStyle w:val="3"/>
        <w:pageBreakBefore/>
        <w:widowControl/>
        <w:numPr>
          <w:ilvl w:val="0"/>
          <w:numId w:val="5"/>
        </w:numPr>
        <w:tabs>
          <w:tab w:val="left" w:pos="2127"/>
        </w:tabs>
        <w:kinsoku/>
        <w:overflowPunct/>
        <w:bidi w:val="0"/>
        <w:spacing w:before="0" w:after="0" w:line="360" w:lineRule="auto"/>
        <w:jc w:val="center"/>
        <w:textAlignment w:val="auto"/>
        <w:rPr>
          <w:rFonts w:hint="eastAsia" w:eastAsia="宋体"/>
          <w:color w:val="auto"/>
          <w:sz w:val="32"/>
          <w:szCs w:val="32"/>
          <w:highlight w:val="none"/>
          <w:lang w:eastAsia="zh-CN"/>
        </w:rPr>
      </w:pPr>
      <w:bookmarkStart w:id="2408" w:name="_Toc19434"/>
      <w:r>
        <w:rPr>
          <w:rFonts w:hint="eastAsia"/>
          <w:color w:val="auto"/>
          <w:sz w:val="32"/>
          <w:szCs w:val="32"/>
          <w:highlight w:val="none"/>
          <w:lang w:eastAsia="zh-CN"/>
        </w:rPr>
        <w:t>技术标准、要求</w:t>
      </w:r>
      <w:bookmarkEnd w:id="2408"/>
    </w:p>
    <w:p w14:paraId="0DBCE33D">
      <w:pPr>
        <w:kinsoku/>
        <w:wordWrap/>
        <w:overflowPunct/>
        <w:topLinePunct w:val="0"/>
        <w:autoSpaceDE/>
        <w:autoSpaceDN/>
        <w:bidi w:val="0"/>
        <w:adjustRightInd/>
        <w:snapToGrid/>
        <w:spacing w:line="312" w:lineRule="auto"/>
        <w:ind w:firstLine="420" w:firstLineChars="200"/>
        <w:textAlignment w:val="auto"/>
        <w:rPr>
          <w:color w:val="auto"/>
          <w:highlight w:val="none"/>
        </w:rPr>
      </w:pPr>
    </w:p>
    <w:p w14:paraId="54429A56">
      <w:pPr>
        <w:pStyle w:val="17"/>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委托人要求</w:t>
      </w:r>
    </w:p>
    <w:p w14:paraId="10DB08E2">
      <w:pPr>
        <w:pStyle w:val="4"/>
        <w:spacing w:line="240" w:lineRule="auto"/>
        <w:rPr>
          <w:rFonts w:ascii="Times New Roman" w:hAnsi="Times New Roman"/>
          <w:b w:val="0"/>
          <w:color w:val="auto"/>
          <w:sz w:val="28"/>
          <w:szCs w:val="28"/>
          <w:highlight w:val="none"/>
        </w:rPr>
      </w:pPr>
      <w:bookmarkStart w:id="2409" w:name="_Toc27515"/>
      <w:bookmarkStart w:id="2410" w:name="_Toc14346"/>
      <w:r>
        <w:rPr>
          <w:rFonts w:hint="eastAsia" w:ascii="Times New Roman" w:hAnsi="Times New Roman"/>
          <w:b w:val="0"/>
          <w:color w:val="auto"/>
          <w:sz w:val="28"/>
          <w:szCs w:val="28"/>
          <w:highlight w:val="none"/>
        </w:rPr>
        <w:t>1.管理规范和技术（规范）标准</w:t>
      </w:r>
      <w:bookmarkEnd w:id="2409"/>
      <w:bookmarkEnd w:id="2410"/>
    </w:p>
    <w:p w14:paraId="7BF16217">
      <w:pPr>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见“合同条款及格式”</w:t>
      </w:r>
      <w:r>
        <w:rPr>
          <w:rFonts w:hint="eastAsia" w:ascii="Times New Roman" w:hAnsi="Times New Roman"/>
          <w:color w:val="auto"/>
          <w:highlight w:val="none"/>
          <w:lang w:eastAsia="zh-CN"/>
        </w:rPr>
        <w:t>章节</w:t>
      </w:r>
      <w:r>
        <w:rPr>
          <w:rFonts w:hint="eastAsia" w:ascii="Times New Roman" w:hAnsi="Times New Roman"/>
          <w:color w:val="auto"/>
          <w:highlight w:val="none"/>
        </w:rPr>
        <w:t>。</w:t>
      </w:r>
    </w:p>
    <w:p w14:paraId="0B6EF4DB">
      <w:pPr>
        <w:pStyle w:val="4"/>
        <w:spacing w:line="240" w:lineRule="auto"/>
        <w:rPr>
          <w:rFonts w:ascii="Times New Roman" w:hAnsi="Times New Roman"/>
          <w:b w:val="0"/>
          <w:color w:val="auto"/>
          <w:sz w:val="28"/>
          <w:szCs w:val="28"/>
          <w:highlight w:val="none"/>
        </w:rPr>
      </w:pPr>
      <w:bookmarkStart w:id="2411" w:name="_Toc2464"/>
      <w:bookmarkStart w:id="2412" w:name="_Toc12634"/>
      <w:bookmarkStart w:id="2413" w:name="_Toc482188639"/>
      <w:r>
        <w:rPr>
          <w:rFonts w:hint="eastAsia" w:ascii="Times New Roman" w:hAnsi="Times New Roman"/>
          <w:b w:val="0"/>
          <w:color w:val="auto"/>
          <w:sz w:val="28"/>
          <w:szCs w:val="28"/>
          <w:highlight w:val="none"/>
        </w:rPr>
        <w:t>2.技术</w:t>
      </w:r>
      <w:r>
        <w:rPr>
          <w:rFonts w:ascii="Times New Roman" w:hAnsi="Times New Roman"/>
          <w:b w:val="0"/>
          <w:color w:val="auto"/>
          <w:sz w:val="28"/>
          <w:szCs w:val="28"/>
          <w:highlight w:val="none"/>
        </w:rPr>
        <w:t>要求</w:t>
      </w:r>
      <w:bookmarkEnd w:id="2411"/>
      <w:bookmarkEnd w:id="2412"/>
      <w:bookmarkEnd w:id="2413"/>
    </w:p>
    <w:p w14:paraId="6D13E71E">
      <w:pPr>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1、中国南方电网有限责任公司《监理项目部工作手册》、中国南方电网有限责任公司基建管理制度、建设单位的质量、环境和职业健康安全管理体系文件、其他有关制度和规定。</w:t>
      </w:r>
    </w:p>
    <w:p w14:paraId="5CD5377F">
      <w:pPr>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2、图纸及技术文件的要求。</w:t>
      </w:r>
    </w:p>
    <w:p w14:paraId="138074EF">
      <w:pPr>
        <w:pStyle w:val="4"/>
        <w:spacing w:line="240" w:lineRule="auto"/>
        <w:rPr>
          <w:rFonts w:ascii="Times New Roman" w:hAnsi="Times New Roman"/>
          <w:b w:val="0"/>
          <w:color w:val="auto"/>
          <w:sz w:val="28"/>
          <w:szCs w:val="28"/>
          <w:highlight w:val="none"/>
        </w:rPr>
      </w:pPr>
      <w:bookmarkStart w:id="2414" w:name="_Toc19984"/>
      <w:bookmarkStart w:id="2415" w:name="_Toc11396"/>
      <w:r>
        <w:rPr>
          <w:rFonts w:hint="eastAsia" w:ascii="Times New Roman" w:hAnsi="Times New Roman"/>
          <w:b w:val="0"/>
          <w:color w:val="auto"/>
          <w:sz w:val="28"/>
          <w:szCs w:val="28"/>
          <w:highlight w:val="none"/>
        </w:rPr>
        <w:t>3.图纸</w:t>
      </w:r>
      <w:bookmarkEnd w:id="2414"/>
      <w:bookmarkEnd w:id="2415"/>
    </w:p>
    <w:p w14:paraId="51BBBAB5">
      <w:pPr>
        <w:spacing w:line="360" w:lineRule="auto"/>
        <w:ind w:firstLine="420" w:firstLineChars="200"/>
        <w:rPr>
          <w:rFonts w:ascii="Times New Roman" w:hAnsi="Times New Roman"/>
          <w:color w:val="auto"/>
          <w:highlight w:val="none"/>
        </w:rPr>
      </w:pPr>
      <w:bookmarkStart w:id="2416" w:name="_Toc482188644"/>
      <w:r>
        <w:rPr>
          <w:rFonts w:hint="eastAsia"/>
          <w:color w:val="auto"/>
          <w:highlight w:val="none"/>
        </w:rPr>
        <w:t>有关设计文件、图纸及资料。</w:t>
      </w:r>
    </w:p>
    <w:bookmarkEnd w:id="2416"/>
    <w:p w14:paraId="5B45CDD8">
      <w:pPr>
        <w:pStyle w:val="3"/>
        <w:pageBreakBefore/>
        <w:widowControl/>
        <w:kinsoku/>
        <w:overflowPunct/>
        <w:bidi w:val="0"/>
        <w:spacing w:before="0" w:beforeLines="0" w:after="0" w:afterLines="0" w:line="360" w:lineRule="auto"/>
        <w:jc w:val="center"/>
        <w:textAlignment w:val="auto"/>
        <w:rPr>
          <w:rFonts w:ascii="宋体" w:hAnsi="宋体"/>
          <w:color w:val="auto"/>
          <w:kern w:val="0"/>
          <w:highlight w:val="none"/>
        </w:rPr>
      </w:pPr>
      <w:bookmarkStart w:id="2417" w:name="_Toc15440"/>
      <w:bookmarkStart w:id="2418" w:name="_Toc17456"/>
      <w:bookmarkStart w:id="2419" w:name="_Toc18469"/>
      <w:r>
        <w:rPr>
          <w:rFonts w:hint="eastAsia" w:ascii="宋体" w:hAnsi="宋体"/>
          <w:color w:val="auto"/>
          <w:kern w:val="0"/>
          <w:highlight w:val="none"/>
        </w:rPr>
        <w:t>第三卷</w:t>
      </w:r>
      <w:bookmarkEnd w:id="2417"/>
      <w:bookmarkEnd w:id="2418"/>
      <w:bookmarkEnd w:id="2419"/>
    </w:p>
    <w:p w14:paraId="74C4E40C">
      <w:pPr>
        <w:rPr>
          <w:color w:val="auto"/>
          <w:highlight w:val="none"/>
        </w:rPr>
      </w:pPr>
      <w:r>
        <w:rPr>
          <w:color w:val="auto"/>
          <w:highlight w:val="none"/>
        </w:rPr>
        <w:br w:type="page"/>
      </w:r>
    </w:p>
    <w:p w14:paraId="4A8B2F0D">
      <w:pPr>
        <w:pStyle w:val="3"/>
        <w:pageBreakBefore/>
        <w:widowControl/>
        <w:tabs>
          <w:tab w:val="left" w:pos="2127"/>
        </w:tabs>
        <w:kinsoku/>
        <w:overflowPunct/>
        <w:bidi w:val="0"/>
        <w:spacing w:before="0" w:beforeLines="0" w:after="0" w:afterLines="0" w:line="360" w:lineRule="auto"/>
        <w:jc w:val="center"/>
        <w:textAlignment w:val="auto"/>
        <w:outlineLvl w:val="0"/>
        <w:rPr>
          <w:rFonts w:hint="eastAsia" w:ascii="宋体" w:hAnsi="宋体"/>
          <w:color w:val="auto"/>
          <w:kern w:val="0"/>
          <w:sz w:val="32"/>
          <w:szCs w:val="32"/>
          <w:highlight w:val="none"/>
        </w:rPr>
      </w:pPr>
      <w:bookmarkStart w:id="2420" w:name="_Toc4535"/>
      <w:bookmarkStart w:id="2421" w:name="_Toc30736"/>
      <w:bookmarkStart w:id="2422" w:name="_Toc15579"/>
      <w:r>
        <w:rPr>
          <w:rFonts w:hint="eastAsia" w:ascii="宋体" w:hAnsi="宋体"/>
          <w:color w:val="auto"/>
          <w:kern w:val="0"/>
          <w:sz w:val="32"/>
          <w:szCs w:val="32"/>
          <w:highlight w:val="none"/>
        </w:rPr>
        <w:t xml:space="preserve">第六章 </w:t>
      </w:r>
      <w:r>
        <w:rPr>
          <w:rFonts w:hint="eastAsia" w:ascii="宋体" w:hAnsi="宋体"/>
          <w:color w:val="auto"/>
          <w:kern w:val="0"/>
          <w:sz w:val="32"/>
          <w:szCs w:val="32"/>
          <w:highlight w:val="none"/>
          <w:lang w:val="en-US" w:eastAsia="zh-CN"/>
        </w:rPr>
        <w:t>投标</w:t>
      </w:r>
      <w:r>
        <w:rPr>
          <w:rFonts w:hint="eastAsia" w:ascii="宋体" w:hAnsi="宋体"/>
          <w:color w:val="auto"/>
          <w:kern w:val="0"/>
          <w:sz w:val="32"/>
          <w:szCs w:val="32"/>
          <w:highlight w:val="none"/>
          <w:lang w:eastAsia="zh-CN"/>
        </w:rPr>
        <w:t>文件（含定标文件）</w:t>
      </w:r>
      <w:r>
        <w:rPr>
          <w:rFonts w:hint="eastAsia" w:ascii="宋体" w:hAnsi="宋体"/>
          <w:color w:val="auto"/>
          <w:kern w:val="0"/>
          <w:sz w:val="32"/>
          <w:szCs w:val="32"/>
          <w:highlight w:val="none"/>
        </w:rPr>
        <w:t>格式</w:t>
      </w:r>
      <w:bookmarkEnd w:id="2420"/>
      <w:bookmarkEnd w:id="2421"/>
      <w:bookmarkEnd w:id="2422"/>
    </w:p>
    <w:p w14:paraId="668B9B06">
      <w:pPr>
        <w:rPr>
          <w:color w:val="auto"/>
          <w:highlight w:val="none"/>
        </w:rPr>
      </w:pPr>
      <w:r>
        <w:rPr>
          <w:color w:val="auto"/>
          <w:highlight w:val="none"/>
        </w:rPr>
        <w:br w:type="page"/>
      </w:r>
    </w:p>
    <w:p w14:paraId="7F622F66">
      <w:pPr>
        <w:pStyle w:val="17"/>
        <w:keepNext w:val="0"/>
        <w:keepLines w:val="0"/>
        <w:pageBreakBefore w:val="0"/>
        <w:widowControl w:val="0"/>
        <w:kinsoku/>
        <w:wordWrap/>
        <w:overflowPunct/>
        <w:topLinePunct w:val="0"/>
        <w:autoSpaceDE/>
        <w:autoSpaceDN/>
        <w:bidi w:val="0"/>
        <w:adjustRightInd/>
        <w:snapToGrid/>
        <w:jc w:val="left"/>
        <w:textAlignment w:val="auto"/>
        <w:outlineLvl w:val="9"/>
        <w:rPr>
          <w:color w:val="auto"/>
          <w:highlight w:val="none"/>
        </w:rPr>
      </w:pPr>
    </w:p>
    <w:p w14:paraId="44E3F89E">
      <w:pPr>
        <w:pStyle w:val="18"/>
        <w:keepNext w:val="0"/>
        <w:keepLines w:val="0"/>
        <w:pageBreakBefore w:val="0"/>
        <w:widowControl w:val="0"/>
        <w:kinsoku/>
        <w:wordWrap/>
        <w:overflowPunct/>
        <w:topLinePunct w:val="0"/>
        <w:autoSpaceDE/>
        <w:autoSpaceDN/>
        <w:bidi w:val="0"/>
        <w:adjustRightInd/>
        <w:snapToGrid/>
        <w:textAlignment w:val="auto"/>
        <w:outlineLvl w:val="9"/>
        <w:rPr>
          <w:color w:val="auto"/>
          <w:highlight w:val="none"/>
        </w:rPr>
      </w:pPr>
    </w:p>
    <w:p w14:paraId="06F65731">
      <w:pPr>
        <w:rPr>
          <w:color w:val="auto"/>
          <w:highlight w:val="none"/>
        </w:rPr>
      </w:pPr>
    </w:p>
    <w:p w14:paraId="458A20BE">
      <w:pPr>
        <w:kinsoku/>
        <w:overflowPunct/>
        <w:bidi w:val="0"/>
        <w:snapToGrid/>
        <w:spacing w:line="312" w:lineRule="auto"/>
        <w:jc w:val="center"/>
        <w:rPr>
          <w:rFonts w:hint="eastAsia" w:ascii="宋体" w:hAnsi="宋体" w:eastAsia="宋体" w:cs="宋体"/>
          <w:color w:val="auto"/>
          <w:sz w:val="28"/>
          <w:szCs w:val="28"/>
          <w:highlight w:val="none"/>
          <w:lang w:val="en-US" w:eastAsia="zh-CN"/>
        </w:rPr>
      </w:pPr>
      <w:r>
        <w:rPr>
          <w:rFonts w:hint="eastAsia" w:ascii="宋体" w:hAnsi="宋体" w:cs="黑体"/>
          <w:b/>
          <w:bCs/>
          <w:color w:val="auto"/>
          <w:kern w:val="0"/>
          <w:sz w:val="44"/>
          <w:szCs w:val="44"/>
          <w:highlight w:val="none"/>
          <w:lang w:val="en-US" w:eastAsia="zh-CN"/>
        </w:rPr>
        <w:t>项目名称：500千伏番南输变电工程（变电站建筑）监理服务</w:t>
      </w:r>
    </w:p>
    <w:p w14:paraId="217E85FF">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u w:val="single"/>
        </w:rPr>
      </w:pPr>
      <w:r>
        <w:rPr>
          <w:rFonts w:hint="eastAsia" w:ascii="宋体" w:hAnsi="宋体" w:cs="黑体"/>
          <w:b/>
          <w:bCs/>
          <w:color w:val="auto"/>
          <w:kern w:val="0"/>
          <w:sz w:val="44"/>
          <w:szCs w:val="44"/>
          <w:highlight w:val="none"/>
          <w:lang w:val="en-US" w:eastAsia="zh-CN"/>
        </w:rPr>
        <w:t>标段名称：500千伏番南输变电工程（变电站建筑）监理服务</w:t>
      </w:r>
    </w:p>
    <w:p w14:paraId="100D70C3">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28"/>
          <w:szCs w:val="28"/>
          <w:highlight w:val="none"/>
        </w:rPr>
      </w:pPr>
    </w:p>
    <w:p w14:paraId="01E76406">
      <w:pPr>
        <w:pStyle w:val="277"/>
        <w:rPr>
          <w:rFonts w:hint="eastAsia" w:ascii="宋体" w:hAnsi="宋体" w:eastAsia="宋体" w:cs="宋体"/>
          <w:b w:val="0"/>
          <w:color w:val="auto"/>
          <w:highlight w:val="none"/>
        </w:rPr>
      </w:pPr>
      <w:r>
        <w:rPr>
          <w:rFonts w:hint="eastAsia" w:ascii="宋体" w:hAnsi="宋体" w:eastAsia="宋体" w:cs="宋体"/>
          <w:b w:val="0"/>
          <w:color w:val="auto"/>
          <w:highlight w:val="none"/>
        </w:rPr>
        <w:t>投标文件</w:t>
      </w:r>
    </w:p>
    <w:p w14:paraId="45FA3FFA">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r>
        <w:rPr>
          <w:rFonts w:hint="eastAsia" w:ascii="宋体" w:hAnsi="宋体" w:cs="宋体"/>
          <w:color w:val="auto"/>
          <w:sz w:val="32"/>
          <w:szCs w:val="32"/>
          <w:highlight w:val="none"/>
        </w:rPr>
        <w:t>（含</w:t>
      </w:r>
      <w:r>
        <w:rPr>
          <w:rFonts w:hint="eastAsia" w:ascii="宋体" w:hAnsi="宋体" w:cs="宋体"/>
          <w:color w:val="auto"/>
          <w:sz w:val="32"/>
          <w:szCs w:val="32"/>
          <w:highlight w:val="none"/>
          <w:lang w:eastAsia="zh-CN"/>
        </w:rPr>
        <w:t>定标文件</w:t>
      </w:r>
      <w:r>
        <w:rPr>
          <w:rFonts w:hint="eastAsia" w:ascii="宋体" w:hAnsi="宋体" w:cs="宋体"/>
          <w:color w:val="auto"/>
          <w:sz w:val="32"/>
          <w:szCs w:val="32"/>
          <w:highlight w:val="none"/>
        </w:rPr>
        <w:t>）</w:t>
      </w:r>
    </w:p>
    <w:p w14:paraId="43094B2C">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44"/>
          <w:szCs w:val="44"/>
          <w:highlight w:val="none"/>
        </w:rPr>
      </w:pPr>
    </w:p>
    <w:p w14:paraId="5406AC50">
      <w:pPr>
        <w:bidi w:val="0"/>
        <w:rPr>
          <w:color w:val="auto"/>
          <w:highlight w:val="none"/>
        </w:rPr>
      </w:pPr>
    </w:p>
    <w:p w14:paraId="7CBAADAC">
      <w:pPr>
        <w:tabs>
          <w:tab w:val="left" w:pos="2127"/>
        </w:tabs>
        <w:kinsoku/>
        <w:overflowPunct/>
        <w:autoSpaceDE w:val="0"/>
        <w:autoSpaceDN w:val="0"/>
        <w:bidi w:val="0"/>
        <w:adjustRightInd w:val="0"/>
        <w:spacing w:line="360" w:lineRule="auto"/>
        <w:jc w:val="both"/>
        <w:textAlignment w:val="auto"/>
        <w:rPr>
          <w:rFonts w:ascii="宋体" w:hAnsi="宋体" w:cs="黑体"/>
          <w:color w:val="auto"/>
          <w:kern w:val="0"/>
          <w:sz w:val="44"/>
          <w:szCs w:val="44"/>
          <w:highlight w:val="none"/>
        </w:rPr>
      </w:pPr>
    </w:p>
    <w:p w14:paraId="61D35AF8">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322899F8">
      <w:pPr>
        <w:tabs>
          <w:tab w:val="left" w:pos="2127"/>
        </w:tabs>
        <w:kinsoku/>
        <w:overflowPunct/>
        <w:autoSpaceDE w:val="0"/>
        <w:autoSpaceDN w:val="0"/>
        <w:bidi w:val="0"/>
        <w:adjustRightInd w:val="0"/>
        <w:spacing w:line="360" w:lineRule="auto"/>
        <w:jc w:val="center"/>
        <w:textAlignment w:val="auto"/>
        <w:rPr>
          <w:rFonts w:hint="eastAsia" w:ascii="宋体" w:hAnsi="宋体" w:cs="黑体"/>
          <w:color w:val="auto"/>
          <w:kern w:val="0"/>
          <w:sz w:val="28"/>
          <w:szCs w:val="28"/>
          <w:highlight w:val="none"/>
        </w:rPr>
      </w:pPr>
    </w:p>
    <w:p w14:paraId="6B3430A9">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rPr>
        <w:t>投标人</w:t>
      </w:r>
      <w:r>
        <w:rPr>
          <w:rFonts w:hint="eastAsia" w:ascii="宋体" w:hAnsi="宋体" w:cs="黑体"/>
          <w:color w:val="auto"/>
          <w:kern w:val="0"/>
          <w:sz w:val="28"/>
          <w:szCs w:val="28"/>
          <w:highlight w:val="none"/>
          <w:lang w:eastAsia="zh-CN"/>
        </w:rPr>
        <w:t>名称</w:t>
      </w:r>
      <w:r>
        <w:rPr>
          <w:rFonts w:hint="eastAsia" w:ascii="宋体" w:hAnsi="宋体" w:cs="黑体"/>
          <w:color w:val="auto"/>
          <w:kern w:val="0"/>
          <w:sz w:val="28"/>
          <w:szCs w:val="28"/>
          <w:highlight w:val="none"/>
        </w:rPr>
        <w:t>：</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（盖电子印章）</w:t>
      </w:r>
    </w:p>
    <w:p w14:paraId="221C76CE">
      <w:pPr>
        <w:tabs>
          <w:tab w:val="left" w:pos="2127"/>
        </w:tabs>
        <w:kinsoku/>
        <w:overflowPunct/>
        <w:autoSpaceDE w:val="0"/>
        <w:autoSpaceDN w:val="0"/>
        <w:bidi w:val="0"/>
        <w:adjustRightInd w:val="0"/>
        <w:spacing w:line="360" w:lineRule="auto"/>
        <w:jc w:val="center"/>
        <w:textAlignment w:val="auto"/>
        <w:rPr>
          <w:rFonts w:ascii="宋体" w:hAnsi="宋体" w:cs="黑体"/>
          <w:color w:val="auto"/>
          <w:kern w:val="0"/>
          <w:sz w:val="28"/>
          <w:szCs w:val="28"/>
          <w:highlight w:val="none"/>
        </w:rPr>
      </w:pP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年</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月</w:t>
      </w:r>
      <w:r>
        <w:rPr>
          <w:rFonts w:hint="eastAsia" w:ascii="宋体" w:hAnsi="宋体" w:cs="黑体"/>
          <w:color w:val="auto"/>
          <w:kern w:val="0"/>
          <w:sz w:val="28"/>
          <w:szCs w:val="28"/>
          <w:highlight w:val="none"/>
          <w:u w:val="single"/>
        </w:rPr>
        <w:t xml:space="preserve">    </w:t>
      </w:r>
      <w:r>
        <w:rPr>
          <w:rFonts w:hint="eastAsia" w:ascii="宋体" w:hAnsi="宋体" w:cs="黑体"/>
          <w:color w:val="auto"/>
          <w:kern w:val="0"/>
          <w:sz w:val="28"/>
          <w:szCs w:val="28"/>
          <w:highlight w:val="none"/>
        </w:rPr>
        <w:t>日</w:t>
      </w:r>
    </w:p>
    <w:p w14:paraId="4CBC7FBF">
      <w:pPr>
        <w:kinsoku/>
        <w:overflowPunct/>
        <w:bidi w:val="0"/>
        <w:spacing w:before="0" w:after="0" w:line="360" w:lineRule="auto"/>
        <w:textAlignment w:val="auto"/>
        <w:outlineLvl w:val="9"/>
        <w:rPr>
          <w:rFonts w:hint="eastAsia"/>
          <w:color w:val="auto"/>
          <w:highlight w:val="none"/>
        </w:rPr>
      </w:pPr>
      <w:bookmarkStart w:id="2423" w:name="_Toc10299"/>
      <w:bookmarkStart w:id="2424" w:name="_Toc5040"/>
      <w:bookmarkStart w:id="2425" w:name="_Toc27945"/>
      <w:bookmarkStart w:id="2426" w:name="_Toc3431"/>
      <w:bookmarkStart w:id="2427" w:name="_Toc482803126"/>
      <w:bookmarkStart w:id="2428" w:name="_Toc484792239"/>
    </w:p>
    <w:p w14:paraId="099427B4">
      <w:pPr>
        <w:kinsoku/>
        <w:overflowPunct/>
        <w:bidi w:val="0"/>
        <w:spacing w:before="0" w:after="0" w:line="360" w:lineRule="auto"/>
        <w:textAlignment w:val="auto"/>
        <w:outlineLvl w:val="9"/>
        <w:rPr>
          <w:rFonts w:hint="eastAsia"/>
          <w:color w:val="auto"/>
          <w:highlight w:val="none"/>
        </w:rPr>
      </w:pPr>
      <w:r>
        <w:rPr>
          <w:rFonts w:hint="eastAsia"/>
          <w:color w:val="auto"/>
          <w:highlight w:val="none"/>
        </w:rPr>
        <w:br w:type="page"/>
      </w:r>
      <w:bookmarkStart w:id="2429" w:name="_Toc28672"/>
      <w:bookmarkStart w:id="2430" w:name="_Toc10806"/>
      <w:bookmarkStart w:id="2431" w:name="_Toc6488"/>
      <w:bookmarkStart w:id="2432" w:name="_Toc4425"/>
      <w:bookmarkStart w:id="2433" w:name="_Toc3047"/>
    </w:p>
    <w:p w14:paraId="7948595C">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b/>
          <w:bCs/>
          <w:color w:val="auto"/>
          <w:sz w:val="32"/>
          <w:szCs w:val="28"/>
          <w:highlight w:val="none"/>
          <w:lang w:eastAsia="zh-CN"/>
        </w:rPr>
      </w:pPr>
      <w:bookmarkStart w:id="2434" w:name="_Toc17690"/>
      <w:bookmarkStart w:id="2435" w:name="_Toc15670"/>
      <w:bookmarkStart w:id="2436" w:name="_Toc28901"/>
      <w:r>
        <w:rPr>
          <w:rFonts w:hint="eastAsia"/>
          <w:b/>
          <w:bCs/>
          <w:color w:val="auto"/>
          <w:sz w:val="32"/>
          <w:szCs w:val="28"/>
          <w:highlight w:val="none"/>
          <w:lang w:eastAsia="zh-CN"/>
        </w:rPr>
        <w:t>目录</w:t>
      </w:r>
      <w:bookmarkEnd w:id="2434"/>
      <w:bookmarkEnd w:id="2435"/>
    </w:p>
    <w:p w14:paraId="1D71C164">
      <w:pPr>
        <w:pStyle w:val="44"/>
        <w:ind w:left="0" w:leftChars="0" w:firstLine="0" w:firstLineChars="0"/>
        <w:jc w:val="center"/>
        <w:rPr>
          <w:rFonts w:hint="eastAsia"/>
          <w:i/>
          <w:iCs/>
          <w:color w:val="auto"/>
          <w:sz w:val="13"/>
          <w:szCs w:val="16"/>
          <w:highlight w:val="none"/>
          <w:lang w:eastAsia="zh-CN"/>
        </w:rPr>
      </w:pPr>
      <w:r>
        <w:rPr>
          <w:rFonts w:hint="eastAsia"/>
          <w:b/>
          <w:bCs/>
          <w:i/>
          <w:iCs/>
          <w:color w:val="auto"/>
          <w:sz w:val="20"/>
          <w:szCs w:val="18"/>
          <w:highlight w:val="none"/>
          <w:lang w:eastAsia="zh-CN"/>
        </w:rPr>
        <w:t>（格式自拟）</w:t>
      </w:r>
    </w:p>
    <w:p w14:paraId="27EA09BD">
      <w:pPr>
        <w:rPr>
          <w:rFonts w:hint="eastAsia"/>
          <w:color w:val="auto"/>
          <w:highlight w:val="none"/>
        </w:rPr>
      </w:pPr>
      <w:r>
        <w:rPr>
          <w:rFonts w:hint="eastAsia"/>
          <w:color w:val="auto"/>
          <w:highlight w:val="none"/>
        </w:rPr>
        <w:br w:type="page"/>
      </w:r>
    </w:p>
    <w:p w14:paraId="29BA5E26">
      <w:pPr>
        <w:pStyle w:val="5"/>
        <w:kinsoku/>
        <w:overflowPunct/>
        <w:bidi w:val="0"/>
        <w:spacing w:before="0" w:after="0" w:line="360" w:lineRule="auto"/>
        <w:jc w:val="center"/>
        <w:textAlignment w:val="auto"/>
        <w:outlineLvl w:val="2"/>
        <w:rPr>
          <w:rFonts w:hint="eastAsia" w:ascii="宋体" w:hAnsi="宋体" w:cs="宋体"/>
          <w:b/>
          <w:color w:val="auto"/>
          <w:sz w:val="24"/>
          <w:szCs w:val="24"/>
          <w:highlight w:val="none"/>
        </w:rPr>
      </w:pPr>
      <w:bookmarkStart w:id="2437" w:name="_Toc7665"/>
      <w:bookmarkStart w:id="2438" w:name="_Toc11032"/>
      <w:bookmarkStart w:id="2439" w:name="_Toc19570"/>
      <w:bookmarkStart w:id="2440" w:name="_Toc23482"/>
      <w:bookmarkStart w:id="2441" w:name="_Toc29946"/>
      <w:bookmarkStart w:id="2442" w:name="_Toc25598"/>
      <w:bookmarkStart w:id="2443" w:name="_Toc32564"/>
      <w:bookmarkStart w:id="2444" w:name="_Toc484792254"/>
      <w:bookmarkStart w:id="2445" w:name="_Toc20080"/>
      <w:bookmarkStart w:id="2446" w:name="_Toc4375"/>
      <w:bookmarkStart w:id="2447" w:name="_Toc482803141"/>
      <w:bookmarkStart w:id="2448" w:name="_Toc10422"/>
      <w:bookmarkStart w:id="2449" w:name="_Toc729"/>
      <w:bookmarkStart w:id="2450" w:name="_Toc22610"/>
      <w:r>
        <w:rPr>
          <w:rFonts w:hint="eastAsia" w:ascii="Times New Roman" w:hAnsi="Times New Roman" w:eastAsia="宋体" w:cs="Times New Roman"/>
          <w:color w:val="auto"/>
          <w:highlight w:val="none"/>
          <w:lang w:eastAsia="zh-CN"/>
        </w:rPr>
        <w:t>一、</w:t>
      </w:r>
      <w:r>
        <w:rPr>
          <w:rFonts w:hint="eastAsia" w:ascii="Times New Roman" w:hAnsi="Times New Roman" w:eastAsia="宋体" w:cs="Times New Roman"/>
          <w:color w:val="auto"/>
          <w:highlight w:val="none"/>
        </w:rPr>
        <w:t>投标函</w:t>
      </w:r>
      <w:bookmarkEnd w:id="2437"/>
      <w:bookmarkEnd w:id="2438"/>
    </w:p>
    <w:p w14:paraId="3EBC08BA">
      <w:pPr>
        <w:keepNext w:val="0"/>
        <w:keepLines w:val="0"/>
        <w:pageBreakBefore w:val="0"/>
        <w:widowControl w:val="0"/>
        <w:numPr>
          <w:ilvl w:val="0"/>
          <w:numId w:val="0"/>
        </w:numPr>
        <w:tabs>
          <w:tab w:val="left" w:pos="900"/>
          <w:tab w:val="left" w:pos="2127"/>
        </w:tabs>
        <w:kinsoku/>
        <w:wordWrap/>
        <w:overflowPunct/>
        <w:topLinePunct w:val="0"/>
        <w:autoSpaceDE/>
        <w:autoSpaceDN/>
        <w:bidi w:val="0"/>
        <w:adjustRightInd/>
        <w:snapToGrid w:val="0"/>
        <w:spacing w:line="360" w:lineRule="auto"/>
        <w:jc w:val="center"/>
        <w:textAlignment w:val="auto"/>
        <w:outlineLvl w:val="9"/>
        <w:rPr>
          <w:rFonts w:hint="eastAsia" w:ascii="宋体" w:hAnsi="宋体" w:eastAsia="宋体" w:cs="宋体"/>
          <w:color w:val="auto"/>
          <w:highlight w:val="none"/>
          <w:lang w:eastAsia="zh-CN"/>
        </w:rPr>
      </w:pPr>
      <w:r>
        <w:rPr>
          <w:rFonts w:hint="eastAsia" w:ascii="宋体" w:hAnsi="宋体" w:cs="宋体"/>
          <w:b/>
          <w:color w:val="auto"/>
          <w:sz w:val="24"/>
          <w:szCs w:val="24"/>
          <w:highlight w:val="none"/>
        </w:rPr>
        <w:t>投标函</w:t>
      </w:r>
      <w:bookmarkEnd w:id="2439"/>
    </w:p>
    <w:p w14:paraId="3B9E3212">
      <w:pPr>
        <w:pStyle w:val="23"/>
        <w:tabs>
          <w:tab w:val="left" w:pos="2127"/>
        </w:tabs>
        <w:kinsoku/>
        <w:overflowPunct/>
        <w:bidi w:val="0"/>
        <w:spacing w:line="360" w:lineRule="auto"/>
        <w:rPr>
          <w:rFonts w:hint="eastAsia" w:hAnsi="宋体"/>
          <w:color w:val="auto"/>
          <w:highlight w:val="none"/>
        </w:rPr>
      </w:pPr>
      <w:r>
        <w:rPr>
          <w:rFonts w:hint="eastAsia" w:hAnsi="宋体"/>
          <w:color w:val="auto"/>
          <w:highlight w:val="none"/>
          <w:lang w:eastAsia="zh-CN"/>
        </w:rPr>
        <w:t>招标人</w:t>
      </w:r>
      <w:r>
        <w:rPr>
          <w:rFonts w:hint="eastAsia" w:hAnsi="宋体"/>
          <w:color w:val="auto"/>
          <w:highlight w:val="none"/>
        </w:rPr>
        <w:t>:</w:t>
      </w:r>
      <w:r>
        <w:rPr>
          <w:rFonts w:hint="eastAsia" w:hAnsi="宋体"/>
          <w:color w:val="auto"/>
          <w:highlight w:val="none"/>
          <w:u w:val="single"/>
          <w:lang w:val="en-US" w:eastAsia="zh-CN"/>
        </w:rPr>
        <w:t>广州市番南能源有限公司</w:t>
      </w:r>
    </w:p>
    <w:p w14:paraId="257E16E3">
      <w:pPr>
        <w:pStyle w:val="23"/>
        <w:tabs>
          <w:tab w:val="left" w:pos="2127"/>
        </w:tabs>
        <w:kinsoku/>
        <w:overflowPunct/>
        <w:bidi w:val="0"/>
        <w:spacing w:line="360" w:lineRule="auto"/>
        <w:ind w:firstLine="420" w:firstLineChars="200"/>
        <w:rPr>
          <w:rFonts w:hAnsi="宋体"/>
          <w:color w:val="auto"/>
          <w:highlight w:val="none"/>
        </w:rPr>
      </w:pPr>
      <w:r>
        <w:rPr>
          <w:rFonts w:hint="eastAsia" w:hAnsi="宋体"/>
          <w:color w:val="auto"/>
          <w:highlight w:val="none"/>
        </w:rPr>
        <w:t>1、根据已收到的</w:t>
      </w:r>
      <w:r>
        <w:rPr>
          <w:rFonts w:hint="eastAsia" w:ascii="宋体" w:hAnsi="宋体" w:cs="宋体"/>
          <w:color w:val="auto"/>
          <w:kern w:val="0"/>
          <w:sz w:val="21"/>
          <w:szCs w:val="21"/>
          <w:highlight w:val="none"/>
          <w:u w:val="single"/>
          <w:shd w:val="clear" w:color="auto" w:fill="FFFFFF"/>
          <w:lang w:bidi="ar"/>
        </w:rPr>
        <w:t>项目名称：</w:t>
      </w:r>
      <w:r>
        <w:rPr>
          <w:rFonts w:hint="eastAsia" w:hAnsi="宋体" w:cs="宋体"/>
          <w:color w:val="auto"/>
          <w:kern w:val="0"/>
          <w:sz w:val="21"/>
          <w:szCs w:val="21"/>
          <w:highlight w:val="none"/>
          <w:u w:val="single"/>
          <w:shd w:val="clear" w:color="auto" w:fill="FFFFFF"/>
          <w:lang w:eastAsia="zh-CN" w:bidi="ar"/>
        </w:rPr>
        <w:t>500千伏番南输变电工程（变电站建筑）监理服务</w:t>
      </w:r>
      <w:r>
        <w:rPr>
          <w:rFonts w:hint="eastAsia" w:hAnsi="宋体"/>
          <w:color w:val="auto"/>
          <w:highlight w:val="none"/>
          <w:u w:val="single"/>
          <w:lang w:eastAsia="zh-CN"/>
        </w:rPr>
        <w:t xml:space="preserve"> </w:t>
      </w:r>
      <w:r>
        <w:rPr>
          <w:rFonts w:hint="eastAsia" w:hAnsi="宋体"/>
          <w:color w:val="auto"/>
          <w:highlight w:val="none"/>
          <w:lang w:eastAsia="zh-CN"/>
        </w:rPr>
        <w:t>招标文件</w:t>
      </w:r>
      <w:r>
        <w:rPr>
          <w:rFonts w:hAnsi="宋体"/>
          <w:color w:val="auto"/>
          <w:szCs w:val="21"/>
          <w:highlight w:val="none"/>
        </w:rPr>
        <w:t>的全部内容</w:t>
      </w:r>
      <w:r>
        <w:rPr>
          <w:rFonts w:hint="eastAsia" w:hAnsi="宋体"/>
          <w:color w:val="auto"/>
          <w:highlight w:val="none"/>
        </w:rPr>
        <w:t>，遵照</w:t>
      </w:r>
      <w:r>
        <w:rPr>
          <w:rFonts w:hint="eastAsia" w:ascii="宋体" w:hAnsi="宋体" w:eastAsia="宋体" w:cs="宋体"/>
          <w:color w:val="auto"/>
          <w:highlight w:val="none"/>
          <w:u w:val="none"/>
          <w:lang w:val="en-US" w:eastAsia="zh-CN"/>
        </w:rPr>
        <w:t>广州南方投资集团有限公司</w:t>
      </w:r>
      <w:r>
        <w:rPr>
          <w:rFonts w:hint="eastAsia" w:hAnsi="宋体"/>
          <w:color w:val="auto"/>
          <w:highlight w:val="none"/>
        </w:rPr>
        <w:t>采购相关规定，我单位研究上述项目</w:t>
      </w:r>
      <w:r>
        <w:rPr>
          <w:rFonts w:hint="eastAsia" w:hAnsi="宋体"/>
          <w:color w:val="auto"/>
          <w:highlight w:val="none"/>
          <w:lang w:eastAsia="zh-CN"/>
        </w:rPr>
        <w:t>招标文件</w:t>
      </w:r>
      <w:r>
        <w:rPr>
          <w:rFonts w:hint="eastAsia" w:hAnsi="宋体"/>
          <w:color w:val="auto"/>
          <w:highlight w:val="none"/>
        </w:rPr>
        <w:t>的</w:t>
      </w:r>
      <w:r>
        <w:rPr>
          <w:rFonts w:hint="eastAsia" w:hAnsi="宋体"/>
          <w:color w:val="auto"/>
          <w:highlight w:val="none"/>
          <w:lang w:val="en-US" w:eastAsia="zh-CN"/>
        </w:rPr>
        <w:t>投标人</w:t>
      </w:r>
      <w:r>
        <w:rPr>
          <w:rFonts w:hint="eastAsia" w:hAnsi="宋体"/>
          <w:color w:val="auto"/>
          <w:highlight w:val="none"/>
        </w:rPr>
        <w:t>须知、合同条件、技术规范和其他有关文件后，</w:t>
      </w:r>
      <w:r>
        <w:rPr>
          <w:rFonts w:hint="eastAsia" w:ascii="宋体" w:hAnsi="宋体" w:eastAsia="宋体" w:cs="宋体"/>
          <w:color w:val="auto"/>
          <w:highlight w:val="none"/>
        </w:rPr>
        <w:t>我方愿以</w:t>
      </w:r>
      <w:r>
        <w:rPr>
          <w:rFonts w:hint="eastAsia" w:hAnsi="宋体" w:cs="宋体"/>
          <w:b/>
          <w:bCs/>
          <w:color w:val="auto"/>
          <w:highlight w:val="none"/>
          <w:u w:val="none"/>
          <w:lang w:eastAsia="zh-CN"/>
        </w:rPr>
        <w:t>费率</w:t>
      </w:r>
      <w:r>
        <w:rPr>
          <w:rFonts w:hint="eastAsia" w:ascii="宋体" w:hAnsi="宋体" w:eastAsia="宋体" w:cs="宋体"/>
          <w:b/>
          <w:bCs/>
          <w:color w:val="auto"/>
          <w:szCs w:val="21"/>
          <w:highlight w:val="none"/>
          <w:u w:val="single"/>
          <w:lang w:val="en-US" w:eastAsia="zh-CN"/>
        </w:rPr>
        <w:t xml:space="preserve">     </w:t>
      </w:r>
      <w:r>
        <w:rPr>
          <w:rFonts w:hint="eastAsia" w:hAnsi="宋体" w:cs="宋体"/>
          <w:b/>
          <w:bCs/>
          <w:color w:val="auto"/>
          <w:szCs w:val="21"/>
          <w:highlight w:val="none"/>
          <w:u w:val="single"/>
          <w:lang w:val="en-US" w:eastAsia="zh-CN"/>
        </w:rPr>
        <w:t>%</w:t>
      </w:r>
      <w:r>
        <w:rPr>
          <w:rFonts w:hint="eastAsia" w:hAnsi="宋体" w:cs="宋体"/>
          <w:b/>
          <w:bCs/>
          <w:color w:val="auto"/>
          <w:szCs w:val="21"/>
          <w:highlight w:val="none"/>
          <w:u w:val="none"/>
          <w:lang w:val="en-US" w:eastAsia="zh-CN"/>
        </w:rPr>
        <w:t>的报价</w:t>
      </w:r>
      <w:r>
        <w:rPr>
          <w:rFonts w:hint="eastAsia" w:ascii="宋体" w:hAnsi="宋体" w:eastAsia="宋体" w:cs="宋体"/>
          <w:color w:val="auto"/>
          <w:szCs w:val="21"/>
          <w:highlight w:val="none"/>
        </w:rPr>
        <w:t>完成</w:t>
      </w:r>
      <w:r>
        <w:rPr>
          <w:rFonts w:hint="eastAsia" w:hAnsi="宋体" w:cs="宋体"/>
          <w:color w:val="auto"/>
          <w:kern w:val="0"/>
          <w:sz w:val="21"/>
          <w:szCs w:val="21"/>
          <w:highlight w:val="none"/>
          <w:u w:val="single"/>
          <w:shd w:val="clear" w:color="auto" w:fill="FFFFFF"/>
          <w:lang w:val="en-US" w:eastAsia="zh-CN" w:bidi="ar"/>
        </w:rPr>
        <w:t>标段名称：500千伏番南输变电工程（变电站建筑）监理服务</w:t>
      </w:r>
      <w:r>
        <w:rPr>
          <w:rFonts w:hint="eastAsia" w:ascii="宋体" w:hAnsi="宋体" w:eastAsia="宋体" w:cs="宋体"/>
          <w:color w:val="auto"/>
          <w:szCs w:val="21"/>
          <w:highlight w:val="none"/>
        </w:rPr>
        <w:t>工程，并按合同约定履行义务。</w:t>
      </w:r>
      <w:r>
        <w:rPr>
          <w:rFonts w:hint="eastAsia" w:ascii="宋体" w:hAnsi="宋体" w:eastAsia="宋体" w:cs="宋体"/>
          <w:color w:val="auto"/>
          <w:szCs w:val="21"/>
          <w:highlight w:val="none"/>
          <w:lang w:val="en-US" w:eastAsia="zh-CN"/>
        </w:rPr>
        <w:t>监理目标：</w:t>
      </w:r>
      <w:r>
        <w:rPr>
          <w:rFonts w:hint="eastAsia" w:ascii="宋体" w:hAnsi="宋体" w:eastAsia="宋体" w:cs="宋体"/>
          <w:color w:val="auto"/>
          <w:szCs w:val="21"/>
          <w:highlight w:val="none"/>
          <w:u w:val="single"/>
        </w:rPr>
        <w:t>按照</w:t>
      </w:r>
      <w:r>
        <w:rPr>
          <w:rFonts w:hint="eastAsia" w:hAnsi="宋体" w:cs="宋体"/>
          <w:color w:val="auto"/>
          <w:szCs w:val="21"/>
          <w:highlight w:val="none"/>
          <w:u w:val="single"/>
          <w:lang w:val="en-US" w:eastAsia="zh-CN"/>
        </w:rPr>
        <w:t>招标</w:t>
      </w:r>
      <w:r>
        <w:rPr>
          <w:rFonts w:hint="eastAsia" w:ascii="宋体" w:hAnsi="宋体" w:eastAsia="宋体" w:cs="宋体"/>
          <w:color w:val="auto"/>
          <w:szCs w:val="21"/>
          <w:highlight w:val="none"/>
          <w:u w:val="single"/>
        </w:rPr>
        <w:t>文件要求</w:t>
      </w:r>
      <w:r>
        <w:rPr>
          <w:rFonts w:hint="eastAsia" w:ascii="宋体" w:hAnsi="宋体" w:eastAsia="宋体" w:cs="宋体"/>
          <w:color w:val="auto"/>
          <w:szCs w:val="21"/>
          <w:highlight w:val="none"/>
        </w:rPr>
        <w:t>；</w:t>
      </w:r>
      <w:r>
        <w:rPr>
          <w:rFonts w:hint="eastAsia" w:hAnsi="宋体" w:cs="宋体"/>
          <w:color w:val="auto"/>
          <w:szCs w:val="21"/>
          <w:highlight w:val="none"/>
          <w:lang w:val="en-US" w:eastAsia="zh-CN"/>
        </w:rPr>
        <w:t>监理服务期限</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按照</w:t>
      </w:r>
      <w:r>
        <w:rPr>
          <w:rFonts w:hint="eastAsia" w:hAnsi="宋体" w:cs="宋体"/>
          <w:color w:val="auto"/>
          <w:szCs w:val="21"/>
          <w:highlight w:val="none"/>
          <w:u w:val="single"/>
          <w:lang w:val="en-US" w:eastAsia="zh-CN"/>
        </w:rPr>
        <w:t>招标</w:t>
      </w:r>
      <w:r>
        <w:rPr>
          <w:rFonts w:hint="eastAsia" w:ascii="宋体" w:hAnsi="宋体" w:eastAsia="宋体" w:cs="宋体"/>
          <w:color w:val="auto"/>
          <w:szCs w:val="21"/>
          <w:highlight w:val="none"/>
          <w:u w:val="single"/>
        </w:rPr>
        <w:t>文件要求</w:t>
      </w:r>
      <w:r>
        <w:rPr>
          <w:rFonts w:hint="eastAsia" w:hAnsi="宋体" w:cs="宋体"/>
          <w:color w:val="auto"/>
          <w:szCs w:val="21"/>
          <w:highlight w:val="none"/>
          <w:u w:val="single"/>
          <w:lang w:eastAsia="zh-CN"/>
        </w:rPr>
        <w:t>；工程质量：按照招标文件要求。</w:t>
      </w:r>
    </w:p>
    <w:p w14:paraId="48AD7F8F">
      <w:pPr>
        <w:tabs>
          <w:tab w:val="left" w:pos="2127"/>
        </w:tabs>
        <w:kinsoku/>
        <w:overflowPunct/>
        <w:bidi w:val="0"/>
        <w:spacing w:line="360" w:lineRule="auto"/>
        <w:ind w:firstLine="420" w:firstLineChars="200"/>
        <w:rPr>
          <w:rFonts w:ascii="宋体" w:hAnsi="宋体"/>
          <w:color w:val="auto"/>
          <w:highlight w:val="none"/>
        </w:rPr>
      </w:pPr>
      <w:r>
        <w:rPr>
          <w:rFonts w:ascii="宋体" w:hAnsi="宋体"/>
          <w:color w:val="auto"/>
          <w:highlight w:val="none"/>
        </w:rPr>
        <w:t>2．我方承诺在</w:t>
      </w:r>
      <w:r>
        <w:rPr>
          <w:rFonts w:hint="eastAsia" w:ascii="宋体" w:hAnsi="宋体"/>
          <w:color w:val="auto"/>
          <w:highlight w:val="none"/>
          <w:lang w:eastAsia="zh-CN"/>
        </w:rPr>
        <w:t>投标有效期</w:t>
      </w:r>
      <w:r>
        <w:rPr>
          <w:rFonts w:ascii="宋体" w:hAnsi="宋体"/>
          <w:color w:val="auto"/>
          <w:highlight w:val="none"/>
        </w:rPr>
        <w:t>内不修改、撤销</w:t>
      </w:r>
      <w:r>
        <w:rPr>
          <w:rFonts w:hint="eastAsia" w:ascii="宋体" w:hAnsi="宋体"/>
          <w:color w:val="auto"/>
          <w:highlight w:val="none"/>
          <w:lang w:val="en-US" w:eastAsia="zh-CN"/>
        </w:rPr>
        <w:t>投标文件（含定标文件）</w:t>
      </w:r>
      <w:r>
        <w:rPr>
          <w:rFonts w:ascii="宋体" w:hAnsi="宋体"/>
          <w:color w:val="auto"/>
          <w:highlight w:val="none"/>
        </w:rPr>
        <w:t>。</w:t>
      </w:r>
    </w:p>
    <w:p w14:paraId="1B52F487">
      <w:pPr>
        <w:tabs>
          <w:tab w:val="left" w:pos="2127"/>
        </w:tabs>
        <w:kinsoku/>
        <w:overflowPunct/>
        <w:bidi w:val="0"/>
        <w:spacing w:line="360" w:lineRule="auto"/>
        <w:ind w:firstLine="420" w:firstLineChars="200"/>
        <w:rPr>
          <w:rFonts w:ascii="宋体" w:hAnsi="宋体"/>
          <w:color w:val="auto"/>
          <w:highlight w:val="none"/>
        </w:rPr>
      </w:pPr>
      <w:r>
        <w:rPr>
          <w:rFonts w:hint="eastAsia" w:ascii="宋体" w:hAnsi="宋体"/>
          <w:color w:val="auto"/>
          <w:highlight w:val="none"/>
          <w:lang w:val="en-US" w:eastAsia="zh-CN"/>
        </w:rPr>
        <w:t>3</w:t>
      </w:r>
      <w:r>
        <w:rPr>
          <w:rFonts w:ascii="宋体" w:hAnsi="宋体"/>
          <w:color w:val="auto"/>
          <w:highlight w:val="none"/>
        </w:rPr>
        <w:t>．如我方</w:t>
      </w:r>
      <w:r>
        <w:rPr>
          <w:rFonts w:hint="eastAsia" w:ascii="宋体" w:hAnsi="宋体"/>
          <w:color w:val="auto"/>
          <w:highlight w:val="none"/>
        </w:rPr>
        <w:t>成为</w:t>
      </w:r>
      <w:r>
        <w:rPr>
          <w:rFonts w:hint="eastAsia"/>
          <w:color w:val="auto"/>
          <w:highlight w:val="none"/>
          <w:lang w:val="en-US" w:eastAsia="zh-CN"/>
        </w:rPr>
        <w:t>中标单位</w:t>
      </w:r>
      <w:r>
        <w:rPr>
          <w:rFonts w:ascii="宋体" w:hAnsi="宋体"/>
          <w:color w:val="auto"/>
          <w:highlight w:val="none"/>
        </w:rPr>
        <w:t>：</w:t>
      </w:r>
    </w:p>
    <w:p w14:paraId="245D8FDD">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（1</w:t>
      </w:r>
      <w:r>
        <w:rPr>
          <w:rFonts w:hint="eastAsia" w:ascii="宋体" w:hAnsi="宋体" w:eastAsia="宋体" w:cs="宋体"/>
          <w:color w:val="auto"/>
          <w:szCs w:val="21"/>
          <w:highlight w:val="none"/>
        </w:rPr>
        <w:t>）在收到</w:t>
      </w:r>
      <w:r>
        <w:rPr>
          <w:rFonts w:hint="eastAsia" w:ascii="宋体" w:hAnsi="宋体" w:cs="宋体"/>
          <w:color w:val="auto"/>
          <w:szCs w:val="21"/>
          <w:highlight w:val="none"/>
          <w:lang w:val="en-US" w:eastAsia="zh-CN"/>
        </w:rPr>
        <w:t>中标通知书</w:t>
      </w:r>
      <w:r>
        <w:rPr>
          <w:rFonts w:hint="eastAsia" w:ascii="宋体" w:hAnsi="宋体" w:eastAsia="宋体" w:cs="宋体"/>
          <w:color w:val="auto"/>
          <w:szCs w:val="21"/>
          <w:highlight w:val="none"/>
        </w:rPr>
        <w:t>后，在</w:t>
      </w:r>
      <w:r>
        <w:rPr>
          <w:rFonts w:hint="eastAsia" w:ascii="宋体" w:hAnsi="宋体" w:cs="宋体"/>
          <w:color w:val="auto"/>
          <w:szCs w:val="21"/>
          <w:highlight w:val="none"/>
          <w:lang w:eastAsia="zh-CN"/>
        </w:rPr>
        <w:t>中标通知书</w:t>
      </w:r>
      <w:r>
        <w:rPr>
          <w:rFonts w:hint="eastAsia" w:ascii="宋体" w:hAnsi="宋体" w:eastAsia="宋体" w:cs="宋体"/>
          <w:color w:val="auto"/>
          <w:szCs w:val="21"/>
          <w:highlight w:val="none"/>
        </w:rPr>
        <w:t>规定的期限内与你方签订合同</w:t>
      </w:r>
      <w:r>
        <w:rPr>
          <w:rFonts w:hint="eastAsia" w:ascii="宋体" w:hAnsi="宋体" w:eastAsia="宋体" w:cs="宋体"/>
          <w:color w:val="auto"/>
          <w:szCs w:val="21"/>
          <w:highlight w:val="none"/>
          <w:lang w:eastAsia="zh-CN"/>
        </w:rPr>
        <w:t>；</w:t>
      </w:r>
    </w:p>
    <w:p w14:paraId="2BDD49F5">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highlight w:val="none"/>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在签订合同时不向你方提出附加条件；</w:t>
      </w:r>
    </w:p>
    <w:p w14:paraId="4E493879">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rPr>
        <w:t>按</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要求</w:t>
      </w:r>
      <w:r>
        <w:rPr>
          <w:rFonts w:hint="eastAsia" w:hAnsi="宋体" w:cs="宋体"/>
          <w:color w:val="auto"/>
          <w:szCs w:val="21"/>
          <w:highlight w:val="none"/>
          <w:lang w:val="en-US" w:eastAsia="zh-CN"/>
        </w:rPr>
        <w:t>监理服务期限</w:t>
      </w:r>
      <w:r>
        <w:rPr>
          <w:rFonts w:hint="eastAsia" w:ascii="宋体" w:hAnsi="宋体" w:eastAsia="宋体" w:cs="宋体"/>
          <w:color w:val="auto"/>
          <w:sz w:val="21"/>
          <w:szCs w:val="21"/>
          <w:highlight w:val="none"/>
        </w:rPr>
        <w:t>内</w:t>
      </w:r>
      <w:r>
        <w:rPr>
          <w:rFonts w:hint="eastAsia" w:ascii="宋体" w:hAnsi="宋体" w:eastAsia="宋体" w:cs="宋体"/>
          <w:color w:val="auto"/>
          <w:sz w:val="21"/>
          <w:szCs w:val="21"/>
          <w:highlight w:val="none"/>
          <w:lang w:val="en-US" w:eastAsia="zh-CN"/>
        </w:rPr>
        <w:t>完成项目</w:t>
      </w:r>
      <w:r>
        <w:rPr>
          <w:rFonts w:hint="eastAsia" w:ascii="宋体" w:hAnsi="宋体" w:eastAsia="宋体" w:cs="宋体"/>
          <w:color w:val="auto"/>
          <w:sz w:val="21"/>
          <w:szCs w:val="21"/>
          <w:highlight w:val="none"/>
          <w:lang w:eastAsia="zh-CN"/>
        </w:rPr>
        <w:t>；</w:t>
      </w:r>
    </w:p>
    <w:p w14:paraId="1392ED2B">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szCs w:val="21"/>
          <w:highlight w:val="none"/>
        </w:rPr>
        <w:t>）</w:t>
      </w:r>
      <w:r>
        <w:rPr>
          <w:rFonts w:hint="eastAsia" w:ascii="宋体" w:hAnsi="宋体" w:cs="宋体"/>
          <w:color w:val="auto"/>
          <w:sz w:val="21"/>
          <w:szCs w:val="21"/>
          <w:highlight w:val="none"/>
          <w:lang w:eastAsia="zh-CN"/>
        </w:rPr>
        <w:t>投标有效期</w:t>
      </w:r>
      <w:r>
        <w:rPr>
          <w:rFonts w:hint="eastAsia" w:ascii="宋体" w:hAnsi="宋体" w:eastAsia="宋体" w:cs="宋体"/>
          <w:color w:val="auto"/>
          <w:sz w:val="21"/>
          <w:szCs w:val="21"/>
          <w:highlight w:val="none"/>
          <w:lang w:eastAsia="zh-CN"/>
        </w:rPr>
        <w:t>按照</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lang w:eastAsia="zh-CN"/>
        </w:rPr>
        <w:t>要求；</w:t>
      </w:r>
    </w:p>
    <w:p w14:paraId="4CC037A2">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合同有效</w:t>
      </w:r>
      <w:r>
        <w:rPr>
          <w:rFonts w:hint="eastAsia" w:ascii="宋体" w:hAnsi="宋体" w:eastAsia="宋体" w:cs="宋体"/>
          <w:color w:val="auto"/>
          <w:highlight w:val="none"/>
        </w:rPr>
        <w:t>期间严格执行</w:t>
      </w:r>
      <w:r>
        <w:rPr>
          <w:rFonts w:hint="eastAsia" w:ascii="宋体" w:hAnsi="宋体" w:cs="宋体"/>
          <w:color w:val="auto"/>
          <w:highlight w:val="none"/>
          <w:lang w:val="en-US" w:eastAsia="zh-CN"/>
        </w:rPr>
        <w:t>招标人</w:t>
      </w:r>
      <w:r>
        <w:rPr>
          <w:rFonts w:hint="eastAsia" w:ascii="宋体" w:hAnsi="宋体" w:eastAsia="宋体" w:cs="宋体"/>
          <w:color w:val="auto"/>
          <w:highlight w:val="none"/>
        </w:rPr>
        <w:t>相关管理制度及规定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如若违反相关条款，自愿接受相关的处罚</w:t>
      </w:r>
      <w:r>
        <w:rPr>
          <w:rFonts w:hint="eastAsia" w:ascii="宋体" w:hAnsi="宋体" w:eastAsia="宋体" w:cs="宋体"/>
          <w:color w:val="auto"/>
          <w:highlight w:val="none"/>
          <w:lang w:eastAsia="zh-CN"/>
        </w:rPr>
        <w:t>；</w:t>
      </w:r>
    </w:p>
    <w:p w14:paraId="2B9066E8">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）在参加承包商评价和</w:t>
      </w:r>
      <w:r>
        <w:rPr>
          <w:rFonts w:hint="eastAsia" w:ascii="宋体" w:hAnsi="宋体" w:cs="宋体"/>
          <w:color w:val="auto"/>
          <w:kern w:val="0"/>
          <w:szCs w:val="21"/>
          <w:highlight w:val="none"/>
          <w:lang w:val="en-US" w:eastAsia="zh-CN"/>
        </w:rPr>
        <w:t>投标</w:t>
      </w:r>
      <w:r>
        <w:rPr>
          <w:rFonts w:hint="eastAsia" w:ascii="宋体" w:hAnsi="宋体" w:eastAsia="宋体" w:cs="宋体"/>
          <w:color w:val="auto"/>
          <w:highlight w:val="none"/>
        </w:rPr>
        <w:t>中，如有弄虚作假，自愿接受停止投标资格的处罚</w:t>
      </w:r>
      <w:r>
        <w:rPr>
          <w:rFonts w:hint="eastAsia" w:ascii="宋体" w:hAnsi="宋体" w:eastAsia="宋体" w:cs="宋体"/>
          <w:color w:val="auto"/>
          <w:highlight w:val="none"/>
          <w:lang w:eastAsia="zh-CN"/>
        </w:rPr>
        <w:t>；</w:t>
      </w:r>
    </w:p>
    <w:p w14:paraId="3AA382D6">
      <w:pPr>
        <w:pStyle w:val="23"/>
        <w:tabs>
          <w:tab w:val="left" w:pos="2127"/>
        </w:tabs>
        <w:kinsoku/>
        <w:overflowPunct/>
        <w:bidi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）除非另外达成协议并生效，你方的</w:t>
      </w:r>
      <w:r>
        <w:rPr>
          <w:rFonts w:hint="eastAsia" w:ascii="宋体" w:hAnsi="宋体" w:cs="宋体"/>
          <w:color w:val="auto"/>
          <w:highlight w:val="none"/>
          <w:lang w:eastAsia="zh-CN"/>
        </w:rPr>
        <w:t>中标通知书</w:t>
      </w:r>
      <w:r>
        <w:rPr>
          <w:rFonts w:hint="eastAsia" w:ascii="宋体" w:hAnsi="宋体" w:eastAsia="宋体" w:cs="宋体"/>
          <w:color w:val="auto"/>
          <w:highlight w:val="none"/>
        </w:rPr>
        <w:t>和本</w:t>
      </w:r>
      <w:r>
        <w:rPr>
          <w:rFonts w:hint="eastAsia" w:hAnsi="宋体" w:cs="宋体"/>
          <w:color w:val="auto"/>
          <w:highlight w:val="none"/>
          <w:lang w:val="en-US" w:eastAsia="zh-CN"/>
        </w:rPr>
        <w:t>投标文件（含定标文件）</w:t>
      </w:r>
      <w:r>
        <w:rPr>
          <w:rFonts w:hint="eastAsia" w:ascii="宋体" w:hAnsi="宋体" w:eastAsia="宋体" w:cs="宋体"/>
          <w:color w:val="auto"/>
          <w:highlight w:val="none"/>
        </w:rPr>
        <w:t>将构成约束我们双方的合同。</w:t>
      </w:r>
    </w:p>
    <w:p w14:paraId="27675422">
      <w:pPr>
        <w:pStyle w:val="23"/>
        <w:tabs>
          <w:tab w:val="left" w:pos="2127"/>
        </w:tabs>
        <w:kinsoku/>
        <w:overflowPunct/>
        <w:bidi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4．当我方报价有算术错误及其他错误的，我方授权评审工作组按采购文件第三章“评</w:t>
      </w:r>
      <w:r>
        <w:rPr>
          <w:rFonts w:hint="eastAsia" w:hAnsi="宋体" w:cs="宋体"/>
          <w:color w:val="auto"/>
          <w:highlight w:val="none"/>
          <w:lang w:eastAsia="zh-CN"/>
        </w:rPr>
        <w:t>标</w:t>
      </w:r>
      <w:r>
        <w:rPr>
          <w:rFonts w:hint="eastAsia" w:ascii="宋体" w:hAnsi="宋体" w:eastAsia="宋体" w:cs="宋体"/>
          <w:color w:val="auto"/>
          <w:highlight w:val="none"/>
        </w:rPr>
        <w:t>办法”第3.</w:t>
      </w:r>
      <w:r>
        <w:rPr>
          <w:rFonts w:hint="eastAsia" w:ascii="宋体" w:hAnsi="宋体" w:cs="宋体"/>
          <w:color w:val="auto"/>
          <w:highlight w:val="none"/>
          <w:lang w:val="en-US" w:eastAsia="zh-CN"/>
        </w:rPr>
        <w:t>3</w:t>
      </w:r>
      <w:r>
        <w:rPr>
          <w:rFonts w:hint="eastAsia" w:ascii="宋体" w:hAnsi="宋体" w:eastAsia="宋体" w:cs="宋体"/>
          <w:color w:val="auto"/>
          <w:highlight w:val="none"/>
        </w:rPr>
        <w:t>.3 项规定对我方报价进行修正，并承诺接受由此修正后的报价。如我方违反，自愿接受相关的处罚，并承担由此对采购人带来的损失。</w:t>
      </w:r>
    </w:p>
    <w:p w14:paraId="77E6EBCB">
      <w:pPr>
        <w:pStyle w:val="23"/>
        <w:tabs>
          <w:tab w:val="left" w:pos="2127"/>
        </w:tabs>
        <w:kinsoku/>
        <w:overflowPunct/>
        <w:bidi w:val="0"/>
        <w:spacing w:line="360" w:lineRule="auto"/>
        <w:ind w:firstLine="420" w:firstLineChars="200"/>
        <w:rPr>
          <w:rFonts w:hint="eastAsia" w:hAnsi="宋体" w:cs="Times New Roman"/>
          <w:color w:val="auto"/>
          <w:sz w:val="21"/>
          <w:szCs w:val="21"/>
          <w:highlight w:val="none"/>
          <w:lang w:val="en-US" w:eastAsia="zh-CN"/>
        </w:rPr>
      </w:pPr>
      <w:r>
        <w:rPr>
          <w:rFonts w:hint="eastAsia" w:ascii="宋体" w:hAnsi="宋体" w:eastAsia="宋体" w:cs="宋体"/>
          <w:color w:val="auto"/>
          <w:highlight w:val="none"/>
        </w:rPr>
        <w:t>5.我方在此声明，所递交的</w:t>
      </w:r>
      <w:r>
        <w:rPr>
          <w:rFonts w:hint="eastAsia" w:hAnsi="宋体" w:cs="宋体"/>
          <w:color w:val="auto"/>
          <w:highlight w:val="none"/>
          <w:lang w:eastAsia="zh-CN"/>
        </w:rPr>
        <w:t>投标文件（含定标文件）</w:t>
      </w:r>
      <w:r>
        <w:rPr>
          <w:rFonts w:hint="eastAsia" w:ascii="宋体" w:hAnsi="宋体" w:eastAsia="宋体" w:cs="宋体"/>
          <w:color w:val="auto"/>
          <w:highlight w:val="none"/>
        </w:rPr>
        <w:t>及有关资料内容完整、真实和准确，且不存在采购文件第二章“</w:t>
      </w:r>
      <w:r>
        <w:rPr>
          <w:rFonts w:hint="eastAsia" w:hAnsi="宋体" w:cs="宋体"/>
          <w:color w:val="auto"/>
          <w:highlight w:val="none"/>
          <w:lang w:eastAsia="zh-CN"/>
        </w:rPr>
        <w:t>投标人</w:t>
      </w:r>
      <w:r>
        <w:rPr>
          <w:rFonts w:hint="eastAsia" w:ascii="宋体" w:hAnsi="宋体" w:eastAsia="宋体" w:cs="宋体"/>
          <w:color w:val="auto"/>
          <w:highlight w:val="none"/>
        </w:rPr>
        <w:t>须知”第1.4.3项规定的任何一种情形。</w:t>
      </w:r>
    </w:p>
    <w:p w14:paraId="343DEA68">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 xml:space="preserve">                              </w:t>
      </w:r>
      <w:r>
        <w:rPr>
          <w:rFonts w:hint="eastAsia" w:ascii="宋体" w:hAnsi="宋体" w:cs="宋体"/>
          <w:color w:val="auto"/>
          <w:highlight w:val="none"/>
          <w:lang w:val="en-US" w:eastAsia="zh-CN"/>
        </w:rPr>
        <w:t>投标人</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w:t>
      </w:r>
      <w:r>
        <w:rPr>
          <w:rFonts w:hint="eastAsia" w:ascii="宋体" w:hAnsi="宋体" w:cs="宋体"/>
          <w:color w:val="auto"/>
          <w:highlight w:val="none"/>
          <w:u w:val="none"/>
          <w:lang w:val="en-US" w:eastAsia="zh-CN"/>
        </w:rPr>
        <w:t>加盖电子印章</w:t>
      </w:r>
      <w:r>
        <w:rPr>
          <w:rFonts w:hint="eastAsia" w:ascii="宋体" w:hAnsi="宋体" w:eastAsia="宋体" w:cs="宋体"/>
          <w:color w:val="auto"/>
          <w:highlight w:val="none"/>
          <w:u w:val="none"/>
          <w:lang w:val="en-US" w:eastAsia="zh-CN"/>
        </w:rPr>
        <w:t>）</w:t>
      </w:r>
    </w:p>
    <w:p w14:paraId="62B1276E">
      <w:pPr>
        <w:pStyle w:val="23"/>
        <w:tabs>
          <w:tab w:val="left" w:pos="2127"/>
        </w:tabs>
        <w:kinsoku/>
        <w:overflowPunct/>
        <w:bidi w:val="0"/>
        <w:spacing w:line="360" w:lineRule="auto"/>
        <w:ind w:firstLine="1050" w:firstLineChars="500"/>
        <w:outlineLvl w:val="9"/>
        <w:rPr>
          <w:rFonts w:hint="eastAsia"/>
          <w:color w:val="auto"/>
          <w:highlight w:val="none"/>
        </w:rPr>
      </w:pPr>
      <w:r>
        <w:rPr>
          <w:rFonts w:hint="eastAsia" w:hAnsi="宋体" w:cs="宋体"/>
          <w:color w:val="auto"/>
          <w:highlight w:val="none"/>
        </w:rPr>
        <w:t xml:space="preserve">                    法定代表人或者其委托的代理人:</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hAnsi="宋体" w:cs="宋体"/>
          <w:color w:val="auto"/>
          <w:highlight w:val="none"/>
        </w:rPr>
        <w:t>(签字或</w:t>
      </w:r>
      <w:r>
        <w:rPr>
          <w:rFonts w:hint="eastAsia" w:hAnsi="宋体" w:cs="宋体"/>
          <w:color w:val="auto"/>
          <w:highlight w:val="none"/>
          <w:lang w:val="en-US" w:eastAsia="zh-CN"/>
        </w:rPr>
        <w:t>签</w:t>
      </w:r>
      <w:r>
        <w:rPr>
          <w:rFonts w:hint="eastAsia" w:hAnsi="宋体" w:cs="宋体"/>
          <w:color w:val="auto"/>
          <w:highlight w:val="none"/>
        </w:rPr>
        <w:t>章)</w:t>
      </w:r>
    </w:p>
    <w:p w14:paraId="46A89834">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单位地址</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p>
    <w:p w14:paraId="1308FC0C">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邮政编码</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1B7B5B37">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电    话</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14:paraId="62D1B761">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12" w:lineRule="auto"/>
        <w:ind w:left="0" w:leftChars="0" w:right="0"/>
        <w:textAlignment w:val="auto"/>
        <w:outlineLvl w:val="9"/>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 xml:space="preserve">                              传    真</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p w14:paraId="26777BCB">
      <w:pPr>
        <w:kinsoku/>
        <w:overflowPunct/>
        <w:topLinePunct/>
        <w:bidi w:val="0"/>
        <w:spacing w:line="360" w:lineRule="auto"/>
        <w:ind w:firstLine="3150" w:firstLineChars="150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日   </w:t>
      </w:r>
    </w:p>
    <w:p w14:paraId="660E7C3F">
      <w:pPr>
        <w:pStyle w:val="18"/>
        <w:outlineLvl w:val="9"/>
        <w:rPr>
          <w:rFonts w:hint="eastAsia"/>
          <w:color w:val="auto"/>
          <w:highlight w:val="none"/>
          <w:lang w:val="en-US" w:eastAsia="zh-CN"/>
        </w:rPr>
      </w:pPr>
    </w:p>
    <w:p w14:paraId="00322633">
      <w:pPr>
        <w:pStyle w:val="5"/>
        <w:kinsoku/>
        <w:overflowPunct/>
        <w:bidi w:val="0"/>
        <w:spacing w:before="0" w:after="0" w:line="360" w:lineRule="auto"/>
        <w:textAlignment w:val="auto"/>
        <w:outlineLvl w:val="2"/>
        <w:rPr>
          <w:rFonts w:hint="eastAsia" w:eastAsia="宋体"/>
          <w:color w:val="auto"/>
          <w:highlight w:val="none"/>
          <w:lang w:eastAsia="zh-CN"/>
        </w:rPr>
      </w:pPr>
      <w:bookmarkStart w:id="2451" w:name="_Toc32538"/>
      <w:bookmarkStart w:id="2452" w:name="_Toc23961"/>
      <w:bookmarkStart w:id="2453" w:name="_Toc17183"/>
      <w:r>
        <w:rPr>
          <w:rFonts w:hint="eastAsia"/>
          <w:color w:val="auto"/>
          <w:highlight w:val="none"/>
        </w:rPr>
        <w:t>二</w:t>
      </w:r>
      <w:r>
        <w:rPr>
          <w:color w:val="auto"/>
          <w:highlight w:val="none"/>
        </w:rPr>
        <w:t>、</w:t>
      </w:r>
      <w:bookmarkEnd w:id="2440"/>
      <w:bookmarkEnd w:id="2441"/>
      <w:bookmarkEnd w:id="2442"/>
      <w:bookmarkEnd w:id="2443"/>
      <w:bookmarkEnd w:id="2444"/>
      <w:bookmarkEnd w:id="2445"/>
      <w:bookmarkEnd w:id="2446"/>
      <w:bookmarkEnd w:id="2447"/>
      <w:bookmarkEnd w:id="2448"/>
      <w:bookmarkEnd w:id="2449"/>
      <w:bookmarkEnd w:id="2450"/>
      <w:r>
        <w:rPr>
          <w:rFonts w:hint="eastAsia"/>
          <w:color w:val="auto"/>
          <w:highlight w:val="none"/>
        </w:rPr>
        <w:t>报价书及成本分析报告</w:t>
      </w:r>
      <w:bookmarkEnd w:id="2451"/>
      <w:bookmarkEnd w:id="2452"/>
      <w:bookmarkEnd w:id="2453"/>
    </w:p>
    <w:p w14:paraId="01560D72">
      <w:pPr>
        <w:pStyle w:val="23"/>
        <w:tabs>
          <w:tab w:val="left" w:pos="2127"/>
        </w:tabs>
        <w:spacing w:line="360" w:lineRule="auto"/>
        <w:outlineLvl w:val="3"/>
        <w:rPr>
          <w:rFonts w:hint="eastAsia" w:hAnsi="宋体" w:eastAsia="宋体" w:cs="宋体"/>
          <w:b/>
          <w:color w:val="auto"/>
          <w:sz w:val="24"/>
          <w:szCs w:val="24"/>
          <w:highlight w:val="none"/>
        </w:rPr>
      </w:pPr>
      <w:bookmarkStart w:id="2454" w:name="_Toc10650"/>
      <w:r>
        <w:rPr>
          <w:rFonts w:hint="eastAsia" w:hAnsi="宋体" w:eastAsia="宋体" w:cs="宋体"/>
          <w:b/>
          <w:color w:val="auto"/>
          <w:sz w:val="24"/>
          <w:szCs w:val="24"/>
          <w:highlight w:val="none"/>
        </w:rPr>
        <w:t>（一）报价书</w:t>
      </w:r>
      <w:bookmarkEnd w:id="2454"/>
      <w:r>
        <w:rPr>
          <w:rFonts w:hint="eastAsia" w:ascii="Times New Roman" w:hAnsi="宋体" w:eastAsia="宋体" w:cs="宋体"/>
          <w:b/>
          <w:color w:val="auto"/>
          <w:sz w:val="24"/>
          <w:szCs w:val="24"/>
          <w:highlight w:val="none"/>
          <w:lang w:eastAsia="zh-CN"/>
        </w:rPr>
        <w:t>（</w:t>
      </w:r>
      <w:r>
        <w:rPr>
          <w:rFonts w:hint="eastAsia" w:ascii="Times New Roman" w:hAnsi="宋体" w:eastAsia="宋体" w:cs="宋体"/>
          <w:b/>
          <w:color w:val="auto"/>
          <w:sz w:val="24"/>
          <w:szCs w:val="24"/>
          <w:highlight w:val="none"/>
          <w:lang w:val="en-US" w:eastAsia="zh-CN"/>
        </w:rPr>
        <w:t>如有</w:t>
      </w:r>
      <w:r>
        <w:rPr>
          <w:rFonts w:hint="eastAsia" w:ascii="Times New Roman" w:hAnsi="宋体" w:eastAsia="宋体" w:cs="宋体"/>
          <w:b/>
          <w:color w:val="auto"/>
          <w:sz w:val="24"/>
          <w:szCs w:val="24"/>
          <w:highlight w:val="none"/>
          <w:lang w:eastAsia="zh-CN"/>
        </w:rPr>
        <w:t>）</w:t>
      </w:r>
    </w:p>
    <w:p w14:paraId="30324823">
      <w:pPr>
        <w:bidi w:val="0"/>
        <w:rPr>
          <w:rFonts w:hint="eastAsia"/>
          <w:color w:val="auto"/>
          <w:highlight w:val="none"/>
        </w:rPr>
      </w:pPr>
      <w:bookmarkStart w:id="2455" w:name="_Toc14374"/>
      <w:r>
        <w:rPr>
          <w:rFonts w:hint="eastAsia" w:ascii="宋体" w:hAnsi="宋体" w:eastAsia="宋体" w:cs="宋体"/>
          <w:b/>
          <w:bCs/>
          <w:color w:val="auto"/>
          <w:highlight w:val="none"/>
        </w:rPr>
        <w:t>注：</w:t>
      </w:r>
      <w:r>
        <w:rPr>
          <w:rFonts w:hint="eastAsia" w:ascii="宋体" w:hAnsi="宋体" w:eastAsia="宋体" w:cs="宋体"/>
          <w:b/>
          <w:bCs/>
          <w:color w:val="auto"/>
          <w:kern w:val="2"/>
          <w:sz w:val="21"/>
          <w:highlight w:val="none"/>
          <w:lang w:val="en-US" w:eastAsia="zh-CN" w:bidi="ar-SA"/>
        </w:rPr>
        <w:t>格式自定义，需加盖电子印章。</w:t>
      </w:r>
    </w:p>
    <w:p w14:paraId="05B6B2E8">
      <w:pPr>
        <w:bidi w:val="0"/>
        <w:rPr>
          <w:rFonts w:hint="eastAsia"/>
          <w:color w:val="auto"/>
          <w:highlight w:val="none"/>
        </w:rPr>
      </w:pPr>
    </w:p>
    <w:p w14:paraId="55DF3B20">
      <w:pPr>
        <w:tabs>
          <w:tab w:val="left" w:pos="8100"/>
        </w:tabs>
        <w:kinsoku/>
        <w:overflowPunct/>
        <w:bidi w:val="0"/>
        <w:adjustRightInd w:val="0"/>
        <w:snapToGrid w:val="0"/>
        <w:spacing w:beforeAutospacing="0" w:afterAutospacing="0" w:line="360" w:lineRule="auto"/>
        <w:ind w:right="210"/>
        <w:jc w:val="both"/>
        <w:textAlignment w:val="auto"/>
        <w:outlineLvl w:val="3"/>
        <w:rPr>
          <w:rFonts w:hint="eastAsia" w:ascii="宋体" w:hAnsi="宋体" w:eastAsia="宋体" w:cs="宋体"/>
          <w:b/>
          <w:bCs/>
          <w:color w:val="auto"/>
          <w:highlight w:val="none"/>
        </w:rPr>
      </w:pPr>
      <w:r>
        <w:rPr>
          <w:rFonts w:hint="eastAsia" w:hAnsi="宋体" w:eastAsia="宋体" w:cs="宋体"/>
          <w:b/>
          <w:color w:val="auto"/>
          <w:sz w:val="24"/>
          <w:szCs w:val="24"/>
          <w:highlight w:val="none"/>
        </w:rPr>
        <w:t>（</w:t>
      </w:r>
      <w:r>
        <w:rPr>
          <w:rFonts w:hint="eastAsia" w:hAnsi="宋体" w:eastAsia="宋体" w:cs="宋体"/>
          <w:b/>
          <w:color w:val="auto"/>
          <w:sz w:val="24"/>
          <w:szCs w:val="24"/>
          <w:highlight w:val="none"/>
          <w:lang w:val="en-US" w:eastAsia="zh-CN"/>
        </w:rPr>
        <w:t>二</w:t>
      </w:r>
      <w:r>
        <w:rPr>
          <w:rFonts w:hint="eastAsia" w:hAnsi="宋体" w:eastAsia="宋体" w:cs="宋体"/>
          <w:b/>
          <w:color w:val="auto"/>
          <w:sz w:val="24"/>
          <w:szCs w:val="24"/>
          <w:highlight w:val="none"/>
        </w:rPr>
        <w:t>）成本分析报告</w:t>
      </w:r>
      <w:r>
        <w:rPr>
          <w:rFonts w:hint="eastAsia" w:ascii="Times New Roman" w:hAnsi="宋体" w:eastAsia="宋体" w:cs="宋体"/>
          <w:b/>
          <w:color w:val="auto"/>
          <w:sz w:val="24"/>
          <w:szCs w:val="24"/>
          <w:highlight w:val="none"/>
          <w:lang w:eastAsia="zh-CN"/>
        </w:rPr>
        <w:t>（</w:t>
      </w:r>
      <w:r>
        <w:rPr>
          <w:rFonts w:hint="eastAsia" w:ascii="Times New Roman" w:hAnsi="宋体" w:eastAsia="宋体" w:cs="宋体"/>
          <w:b/>
          <w:color w:val="auto"/>
          <w:sz w:val="24"/>
          <w:szCs w:val="24"/>
          <w:highlight w:val="none"/>
          <w:lang w:val="en-US" w:eastAsia="zh-CN"/>
        </w:rPr>
        <w:t>如有</w:t>
      </w:r>
      <w:r>
        <w:rPr>
          <w:rFonts w:hint="eastAsia" w:ascii="Times New Roman" w:hAnsi="宋体" w:eastAsia="宋体" w:cs="宋体"/>
          <w:b/>
          <w:color w:val="auto"/>
          <w:sz w:val="24"/>
          <w:szCs w:val="24"/>
          <w:highlight w:val="none"/>
          <w:lang w:eastAsia="zh-CN"/>
        </w:rPr>
        <w:t>）</w:t>
      </w:r>
      <w:bookmarkEnd w:id="2455"/>
    </w:p>
    <w:p w14:paraId="1563D825">
      <w:pPr>
        <w:pStyle w:val="23"/>
        <w:kinsoku/>
        <w:wordWrap w:val="0"/>
        <w:overflowPunct/>
        <w:bidi w:val="0"/>
        <w:spacing w:line="360" w:lineRule="auto"/>
        <w:rPr>
          <w:rFonts w:hint="eastAsia" w:ascii="宋体" w:hAnsi="宋体" w:eastAsia="宋体" w:cs="宋体"/>
          <w:b/>
          <w:bCs/>
          <w:color w:val="auto"/>
          <w:kern w:val="2"/>
          <w:sz w:val="21"/>
          <w:highlight w:val="none"/>
          <w:lang w:val="en-US" w:eastAsia="zh-CN" w:bidi="ar-SA"/>
        </w:rPr>
      </w:pPr>
      <w:r>
        <w:rPr>
          <w:rFonts w:hint="eastAsia" w:ascii="宋体" w:hAnsi="宋体" w:eastAsia="宋体" w:cs="宋体"/>
          <w:b/>
          <w:bCs/>
          <w:color w:val="auto"/>
          <w:highlight w:val="none"/>
        </w:rPr>
        <w:t>注：</w:t>
      </w:r>
      <w:r>
        <w:rPr>
          <w:rFonts w:hint="eastAsia" w:ascii="宋体" w:hAnsi="宋体" w:eastAsia="宋体" w:cs="宋体"/>
          <w:b/>
          <w:bCs/>
          <w:color w:val="auto"/>
          <w:kern w:val="2"/>
          <w:sz w:val="21"/>
          <w:highlight w:val="none"/>
          <w:lang w:val="en-US" w:eastAsia="zh-CN" w:bidi="ar-SA"/>
        </w:rPr>
        <w:t>格式自定义，需加盖电子印章。</w:t>
      </w:r>
    </w:p>
    <w:p w14:paraId="75537EE8">
      <w:pPr>
        <w:rPr>
          <w:rFonts w:hint="eastAsia"/>
          <w:color w:val="auto"/>
          <w:highlight w:val="none"/>
        </w:rPr>
      </w:pPr>
      <w:r>
        <w:rPr>
          <w:rFonts w:hint="eastAsia"/>
          <w:color w:val="auto"/>
          <w:highlight w:val="none"/>
        </w:rPr>
        <w:br w:type="page"/>
      </w:r>
    </w:p>
    <w:p w14:paraId="1439544C">
      <w:pPr>
        <w:pStyle w:val="5"/>
        <w:kinsoku/>
        <w:overflowPunct/>
        <w:bidi w:val="0"/>
        <w:spacing w:before="0" w:after="0" w:line="360" w:lineRule="auto"/>
        <w:textAlignment w:val="auto"/>
        <w:rPr>
          <w:color w:val="auto"/>
          <w:sz w:val="21"/>
          <w:szCs w:val="20"/>
          <w:highlight w:val="none"/>
        </w:rPr>
      </w:pPr>
      <w:bookmarkStart w:id="2456" w:name="_Toc18933"/>
      <w:bookmarkStart w:id="2457" w:name="_Toc10693"/>
      <w:r>
        <w:rPr>
          <w:rFonts w:hint="eastAsia"/>
          <w:color w:val="auto"/>
          <w:highlight w:val="none"/>
          <w:lang w:eastAsia="zh-CN"/>
        </w:rPr>
        <w:t>三</w:t>
      </w:r>
      <w:r>
        <w:rPr>
          <w:rFonts w:hint="eastAsia"/>
          <w:color w:val="auto"/>
          <w:highlight w:val="none"/>
        </w:rPr>
        <w:t>、</w:t>
      </w:r>
      <w:bookmarkEnd w:id="2423"/>
      <w:bookmarkEnd w:id="2424"/>
      <w:bookmarkEnd w:id="2425"/>
      <w:bookmarkEnd w:id="2426"/>
      <w:bookmarkEnd w:id="2427"/>
      <w:bookmarkEnd w:id="2428"/>
      <w:bookmarkEnd w:id="2429"/>
      <w:bookmarkEnd w:id="2430"/>
      <w:bookmarkEnd w:id="2431"/>
      <w:bookmarkEnd w:id="2432"/>
      <w:bookmarkEnd w:id="2433"/>
      <w:r>
        <w:rPr>
          <w:rFonts w:hint="eastAsia"/>
          <w:color w:val="auto"/>
          <w:highlight w:val="none"/>
        </w:rPr>
        <w:t>法定代表人证明、授权委托书</w:t>
      </w:r>
      <w:bookmarkEnd w:id="2436"/>
      <w:bookmarkEnd w:id="2456"/>
      <w:bookmarkEnd w:id="2457"/>
    </w:p>
    <w:p w14:paraId="2F5A5CC7">
      <w:pPr>
        <w:keepNext w:val="0"/>
        <w:keepLines w:val="0"/>
        <w:pageBreakBefore w:val="0"/>
        <w:widowControl w:val="0"/>
        <w:kinsoku/>
        <w:overflow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p>
    <w:p w14:paraId="1048AA33">
      <w:pPr>
        <w:keepNext w:val="0"/>
        <w:keepLines w:val="0"/>
        <w:pageBreakBefore w:val="0"/>
        <w:widowControl w:val="0"/>
        <w:kinsoku/>
        <w:overflow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法定代表人证明</w:t>
      </w:r>
    </w:p>
    <w:p w14:paraId="75F1D494">
      <w:pPr>
        <w:keepNext w:val="0"/>
        <w:keepLines w:val="0"/>
        <w:pageBreakBefore w:val="0"/>
        <w:widowControl w:val="0"/>
        <w:kinsoku/>
        <w:overflowPunct/>
        <w:bidi w:val="0"/>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p>
    <w:p w14:paraId="13D04EE8">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 xml:space="preserve">                          </w:t>
      </w:r>
    </w:p>
    <w:p w14:paraId="1ABDD08B">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020B73E9">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，性别：</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，职务：</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u w:val="single"/>
        </w:rPr>
        <w:t xml:space="preserve">  （投标人名称）</w:t>
      </w:r>
      <w:r>
        <w:rPr>
          <w:rFonts w:hint="eastAsia" w:ascii="宋体" w:hAnsi="宋体" w:eastAsia="宋体" w:cs="宋体"/>
          <w:color w:val="auto"/>
          <w:szCs w:val="21"/>
          <w:highlight w:val="none"/>
        </w:rPr>
        <w:t>的法定代表人。</w:t>
      </w:r>
    </w:p>
    <w:p w14:paraId="2D938B40">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特此证明。</w:t>
      </w:r>
    </w:p>
    <w:p w14:paraId="451089E1">
      <w:pPr>
        <w:keepNext w:val="0"/>
        <w:keepLines w:val="0"/>
        <w:pageBreakBefore w:val="0"/>
        <w:widowControl w:val="0"/>
        <w:kinsoku/>
        <w:overflowPunct/>
        <w:bidi w:val="0"/>
        <w:snapToGrid/>
        <w:spacing w:beforeAutospacing="0" w:afterAutospacing="0" w:line="312" w:lineRule="auto"/>
        <w:ind w:left="0" w:leftChars="0" w:right="0"/>
        <w:textAlignment w:val="auto"/>
        <w:rPr>
          <w:rFonts w:hint="eastAsia" w:ascii="宋体" w:hAnsi="宋体" w:eastAsia="宋体" w:cs="宋体"/>
          <w:color w:val="auto"/>
          <w:highlight w:val="none"/>
        </w:rPr>
      </w:pPr>
    </w:p>
    <w:p w14:paraId="07C40F80">
      <w:pPr>
        <w:keepNext w:val="0"/>
        <w:keepLines w:val="0"/>
        <w:pageBreakBefore w:val="0"/>
        <w:widowControl w:val="0"/>
        <w:kinsoku/>
        <w:overflowPunct/>
        <w:bidi w:val="0"/>
        <w:snapToGrid/>
        <w:spacing w:beforeAutospacing="0" w:afterAutospacing="0" w:line="312" w:lineRule="auto"/>
        <w:ind w:left="0" w:leftChars="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附：法定代表人身份证复印件。</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14:paraId="1103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4643" w:type="dxa"/>
            <w:noWrap w:val="0"/>
            <w:vAlign w:val="top"/>
          </w:tcPr>
          <w:p w14:paraId="152EFABD">
            <w:pPr>
              <w:pStyle w:val="18"/>
              <w:keepNext w:val="0"/>
              <w:keepLines w:val="0"/>
              <w:pageBreakBefore w:val="0"/>
              <w:widowControl w:val="0"/>
              <w:suppressLineNumbers w:val="0"/>
              <w:kinsoku/>
              <w:overflowPunct/>
              <w:bidi w:val="0"/>
              <w:snapToGrid/>
              <w:spacing w:before="0" w:beforeAutospacing="0" w:after="0" w:afterAutospacing="0" w:line="312" w:lineRule="auto"/>
              <w:ind w:left="0" w:leftChars="0" w:right="0"/>
              <w:textAlignment w:val="auto"/>
              <w:outlineLvl w:val="9"/>
              <w:rPr>
                <w:rFonts w:hint="eastAsia" w:ascii="宋体" w:hAnsi="宋体" w:eastAsia="宋体" w:cs="宋体"/>
                <w:color w:val="auto"/>
                <w:highlight w:val="none"/>
                <w:vertAlign w:val="baseline"/>
              </w:rPr>
            </w:pPr>
          </w:p>
        </w:tc>
        <w:tc>
          <w:tcPr>
            <w:tcW w:w="4643" w:type="dxa"/>
            <w:noWrap w:val="0"/>
            <w:vAlign w:val="top"/>
          </w:tcPr>
          <w:p w14:paraId="4EB55BDA">
            <w:pPr>
              <w:pStyle w:val="18"/>
              <w:keepNext w:val="0"/>
              <w:keepLines w:val="0"/>
              <w:pageBreakBefore w:val="0"/>
              <w:widowControl w:val="0"/>
              <w:suppressLineNumbers w:val="0"/>
              <w:kinsoku/>
              <w:overflowPunct/>
              <w:bidi w:val="0"/>
              <w:snapToGrid/>
              <w:spacing w:before="0" w:beforeAutospacing="0" w:after="0" w:afterAutospacing="0" w:line="312" w:lineRule="auto"/>
              <w:ind w:left="0" w:leftChars="0" w:right="0"/>
              <w:textAlignment w:val="auto"/>
              <w:outlineLvl w:val="9"/>
              <w:rPr>
                <w:rFonts w:hint="eastAsia" w:ascii="宋体" w:hAnsi="宋体" w:eastAsia="宋体" w:cs="宋体"/>
                <w:color w:val="auto"/>
                <w:highlight w:val="none"/>
                <w:vertAlign w:val="baseline"/>
              </w:rPr>
            </w:pPr>
          </w:p>
        </w:tc>
      </w:tr>
    </w:tbl>
    <w:p w14:paraId="39C3019E">
      <w:pPr>
        <w:keepNext w:val="0"/>
        <w:keepLines w:val="0"/>
        <w:pageBreakBefore w:val="0"/>
        <w:widowControl w:val="0"/>
        <w:kinsoku/>
        <w:overflowPunct/>
        <w:bidi w:val="0"/>
        <w:snapToGrid/>
        <w:spacing w:beforeAutospacing="0" w:afterAutospacing="0" w:line="312" w:lineRule="auto"/>
        <w:ind w:left="0" w:leftChars="0" w:right="0"/>
        <w:textAlignment w:val="auto"/>
        <w:rPr>
          <w:rFonts w:hint="eastAsia" w:ascii="宋体" w:hAnsi="宋体" w:eastAsia="宋体" w:cs="宋体"/>
          <w:color w:val="auto"/>
          <w:highlight w:val="none"/>
        </w:rPr>
      </w:pPr>
    </w:p>
    <w:p w14:paraId="2C1919D6">
      <w:pPr>
        <w:keepNext w:val="0"/>
        <w:keepLines w:val="0"/>
        <w:pageBreakBefore w:val="0"/>
        <w:widowControl w:val="0"/>
        <w:kinsoku/>
        <w:wordWrap w:val="0"/>
        <w:overflowPunct/>
        <w:bidi w:val="0"/>
        <w:snapToGrid/>
        <w:spacing w:beforeAutospacing="0" w:afterAutospacing="0" w:line="312" w:lineRule="auto"/>
        <w:ind w:left="0" w:leftChars="0" w:right="0"/>
        <w:jc w:val="righ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cs="宋体"/>
          <w:color w:val="auto"/>
          <w:highlight w:val="none"/>
          <w:u w:val="none"/>
          <w:lang w:val="en-US" w:eastAsia="zh-CN"/>
        </w:rPr>
        <w:t>盖电子印章</w:t>
      </w:r>
      <w:r>
        <w:rPr>
          <w:rFonts w:hint="eastAsia" w:ascii="宋体" w:hAnsi="宋体" w:eastAsia="宋体" w:cs="宋体"/>
          <w:color w:val="auto"/>
          <w:szCs w:val="21"/>
          <w:highlight w:val="none"/>
        </w:rPr>
        <w:t>）</w:t>
      </w:r>
    </w:p>
    <w:p w14:paraId="355F7F5D">
      <w:pPr>
        <w:keepNext w:val="0"/>
        <w:keepLines w:val="0"/>
        <w:pageBreakBefore w:val="0"/>
        <w:widowControl w:val="0"/>
        <w:kinsoku/>
        <w:wordWrap w:val="0"/>
        <w:overflowPunct/>
        <w:bidi w:val="0"/>
        <w:snapToGrid/>
        <w:spacing w:beforeAutospacing="0" w:afterAutospacing="0" w:line="312" w:lineRule="auto"/>
        <w:ind w:left="0" w:leftChars="0" w:right="0"/>
        <w:jc w:val="righ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4873B6C2">
      <w:pPr>
        <w:rPr>
          <w:rFonts w:ascii="宋体" w:hAnsi="宋体"/>
          <w:b/>
          <w:vanish/>
          <w:color w:val="auto"/>
          <w:highlight w:val="none"/>
        </w:rPr>
      </w:pPr>
    </w:p>
    <w:p w14:paraId="011CCFCE">
      <w:pP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br w:type="page"/>
      </w:r>
    </w:p>
    <w:p w14:paraId="7EBA7B31">
      <w:pPr>
        <w:keepNext w:val="0"/>
        <w:keepLines w:val="0"/>
        <w:pageBreakBefore w:val="0"/>
        <w:widowControl w:val="0"/>
        <w:kinsoku/>
        <w:overflowPunct/>
        <w:topLinePunct/>
        <w:bidi w:val="0"/>
        <w:snapToGrid/>
        <w:spacing w:beforeAutospacing="0" w:afterAutospacing="0" w:line="312" w:lineRule="auto"/>
        <w:ind w:left="0" w:leftChars="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w:t>
      </w:r>
    </w:p>
    <w:p w14:paraId="4538AB15">
      <w:pPr>
        <w:keepNext w:val="0"/>
        <w:keepLines w:val="0"/>
        <w:pageBreakBefore w:val="0"/>
        <w:widowControl w:val="0"/>
        <w:kinsoku/>
        <w:overflowPunct/>
        <w:bidi w:val="0"/>
        <w:snapToGrid/>
        <w:spacing w:beforeAutospacing="0" w:afterAutospacing="0" w:line="312" w:lineRule="auto"/>
        <w:ind w:left="0" w:leftChars="0" w:right="0"/>
        <w:textAlignment w:val="auto"/>
        <w:outlineLvl w:val="9"/>
        <w:rPr>
          <w:rFonts w:hint="eastAsia" w:ascii="宋体" w:hAnsi="宋体" w:eastAsia="宋体" w:cs="宋体"/>
          <w:color w:val="auto"/>
          <w:highlight w:val="none"/>
        </w:rPr>
      </w:pPr>
    </w:p>
    <w:p w14:paraId="3A30FB47">
      <w:pPr>
        <w:topLinePunct/>
        <w:spacing w:line="360" w:lineRule="auto"/>
        <w:ind w:firstLine="420" w:firstLineChars="200"/>
        <w:jc w:val="left"/>
        <w:outlineLvl w:val="9"/>
        <w:rPr>
          <w:rFonts w:hint="eastAsia" w:ascii="宋体" w:hAnsi="宋体" w:cs="宋体"/>
          <w:color w:val="auto"/>
          <w:szCs w:val="21"/>
          <w:highlight w:val="none"/>
        </w:rPr>
      </w:pPr>
      <w:r>
        <w:rPr>
          <w:rFonts w:hint="eastAsia" w:ascii="宋体" w:hAnsi="宋体" w:cs="宋体"/>
          <w:color w:val="auto"/>
          <w:szCs w:val="21"/>
          <w:highlight w:val="none"/>
        </w:rPr>
        <w:t>本人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名称）的法定代表人，现委托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（姓名）为我方代理人。代理人根据授权，以我方名义签署、澄清、说明、补正、递交、撤回、修改</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500千伏番南输变电工程（变电站建筑）监理服务</w:t>
      </w:r>
      <w:r>
        <w:rPr>
          <w:rFonts w:hint="eastAsia" w:ascii="宋体" w:hAnsi="宋体" w:cs="宋体"/>
          <w:color w:val="auto"/>
          <w:kern w:val="0"/>
          <w:sz w:val="21"/>
          <w:szCs w:val="21"/>
          <w:highlight w:val="none"/>
          <w:u w:val="single"/>
          <w:shd w:val="clear" w:color="auto" w:fill="FFFFFF"/>
          <w:lang w:val="en-US" w:eastAsia="zh-CN" w:bidi="ar"/>
        </w:rPr>
        <w:t>，标段名称：500千伏番南输变电工程（变电站建筑）监理服务</w:t>
      </w:r>
      <w:r>
        <w:rPr>
          <w:rFonts w:hint="eastAsia" w:ascii="宋体" w:hAnsi="宋体"/>
          <w:color w:val="auto"/>
          <w:highlight w:val="none"/>
          <w:lang w:val="en-US" w:eastAsia="zh-CN"/>
        </w:rPr>
        <w:t>投标文件（含定标文件）</w:t>
      </w:r>
      <w:r>
        <w:rPr>
          <w:rFonts w:hint="eastAsia" w:ascii="宋体" w:hAnsi="宋体" w:cs="宋体"/>
          <w:color w:val="auto"/>
          <w:szCs w:val="21"/>
          <w:highlight w:val="none"/>
        </w:rPr>
        <w:t>、签订合同和处理有关事宜，其法律后果由我方承担。</w:t>
      </w:r>
    </w:p>
    <w:p w14:paraId="2D95EEA9">
      <w:pPr>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eastAsia="宋体" w:cs="宋体"/>
          <w:color w:val="auto"/>
          <w:szCs w:val="21"/>
          <w:highlight w:val="none"/>
          <w:u w:val="none"/>
        </w:rPr>
        <w:t>委托期限：</w:t>
      </w:r>
      <w:r>
        <w:rPr>
          <w:rFonts w:hint="eastAsia" w:ascii="宋体" w:hAnsi="宋体" w:eastAsia="宋体" w:cs="宋体"/>
          <w:color w:val="auto"/>
          <w:szCs w:val="21"/>
          <w:highlight w:val="none"/>
          <w:u w:val="single"/>
        </w:rPr>
        <w:t>自本委托签署之日起至项目签订采购合同之日止</w:t>
      </w:r>
      <w:r>
        <w:rPr>
          <w:rFonts w:hint="eastAsia" w:ascii="宋体" w:hAnsi="宋体" w:cs="宋体"/>
          <w:color w:val="auto"/>
          <w:szCs w:val="21"/>
          <w:highlight w:val="none"/>
        </w:rPr>
        <w:t>。</w:t>
      </w:r>
    </w:p>
    <w:p w14:paraId="09C06664">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代理人无转委托权。</w:t>
      </w:r>
    </w:p>
    <w:p w14:paraId="1EC7E93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2458" w:name="_Toc28894"/>
    </w:p>
    <w:p w14:paraId="45D22A5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附：</w:t>
      </w:r>
      <w:bookmarkEnd w:id="2458"/>
      <w:bookmarkStart w:id="2459" w:name="_Toc11979"/>
      <w:r>
        <w:rPr>
          <w:rFonts w:hint="eastAsia" w:ascii="宋体" w:hAnsi="宋体" w:eastAsia="宋体" w:cs="宋体"/>
          <w:b w:val="0"/>
          <w:bCs w:val="0"/>
          <w:color w:val="auto"/>
          <w:kern w:val="2"/>
          <w:sz w:val="21"/>
          <w:szCs w:val="21"/>
          <w:highlight w:val="none"/>
          <w:lang w:val="en-US" w:eastAsia="zh-CN" w:bidi="ar-SA"/>
        </w:rPr>
        <w:t>委托代理人身份证复印件。</w:t>
      </w:r>
      <w:bookmarkEnd w:id="2459"/>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14:paraId="33DA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4643" w:type="dxa"/>
            <w:noWrap w:val="0"/>
            <w:vAlign w:val="top"/>
          </w:tcPr>
          <w:p w14:paraId="2DB76395">
            <w:pPr>
              <w:pStyle w:val="18"/>
              <w:spacing w:line="360" w:lineRule="auto"/>
              <w:outlineLvl w:val="9"/>
              <w:rPr>
                <w:rFonts w:hint="eastAsia" w:ascii="宋体" w:hAnsi="宋体" w:cs="宋体"/>
                <w:color w:val="auto"/>
                <w:highlight w:val="none"/>
              </w:rPr>
            </w:pPr>
          </w:p>
        </w:tc>
        <w:tc>
          <w:tcPr>
            <w:tcW w:w="4643" w:type="dxa"/>
            <w:noWrap w:val="0"/>
            <w:vAlign w:val="top"/>
          </w:tcPr>
          <w:p w14:paraId="48DD349C">
            <w:pPr>
              <w:pStyle w:val="18"/>
              <w:spacing w:line="360" w:lineRule="auto"/>
              <w:outlineLvl w:val="9"/>
              <w:rPr>
                <w:rFonts w:hint="eastAsia" w:ascii="宋体" w:hAnsi="宋体" w:cs="宋体"/>
                <w:color w:val="auto"/>
                <w:highlight w:val="none"/>
              </w:rPr>
            </w:pPr>
          </w:p>
        </w:tc>
      </w:tr>
    </w:tbl>
    <w:p w14:paraId="163AE775">
      <w:pPr>
        <w:spacing w:line="360" w:lineRule="auto"/>
        <w:outlineLvl w:val="9"/>
        <w:rPr>
          <w:rFonts w:hint="eastAsia" w:ascii="宋体" w:hAnsi="宋体" w:cs="宋体"/>
          <w:color w:val="auto"/>
          <w:highlight w:val="none"/>
        </w:rPr>
      </w:pPr>
    </w:p>
    <w:p w14:paraId="5A711C27">
      <w:pPr>
        <w:spacing w:line="360" w:lineRule="auto"/>
        <w:outlineLvl w:val="9"/>
        <w:rPr>
          <w:rFonts w:hint="eastAsia" w:ascii="宋体" w:hAnsi="宋体" w:cs="宋体"/>
          <w:color w:val="auto"/>
          <w:szCs w:val="21"/>
          <w:highlight w:val="none"/>
        </w:rPr>
      </w:pPr>
    </w:p>
    <w:p w14:paraId="4156829D">
      <w:pPr>
        <w:kinsoku/>
        <w:overflowPunct/>
        <w:bidi w:val="0"/>
        <w:spacing w:line="360" w:lineRule="auto"/>
        <w:ind w:firstLine="3990" w:firstLineChars="1900"/>
        <w:textAlignment w:val="auto"/>
        <w:outlineLvl w:val="9"/>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w:t>
      </w:r>
      <w:r>
        <w:rPr>
          <w:rFonts w:hint="eastAsia" w:ascii="宋体" w:hAnsi="宋体" w:eastAsia="宋体" w:cs="宋体"/>
          <w:color w:val="auto"/>
          <w:szCs w:val="21"/>
          <w:highlight w:val="none"/>
          <w:lang w:val="en-US" w:eastAsia="zh-CN"/>
        </w:rPr>
        <w:t>名称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r>
        <w:rPr>
          <w:rFonts w:hint="eastAsia" w:ascii="宋体" w:hAnsi="宋体" w:cs="宋体"/>
          <w:color w:val="auto"/>
          <w:highlight w:val="none"/>
          <w:u w:val="none"/>
          <w:lang w:val="en-US" w:eastAsia="zh-CN"/>
        </w:rPr>
        <w:t>盖电子印章</w:t>
      </w:r>
      <w:r>
        <w:rPr>
          <w:rFonts w:hint="eastAsia" w:ascii="宋体" w:hAnsi="宋体" w:eastAsia="宋体" w:cs="宋体"/>
          <w:color w:val="auto"/>
          <w:szCs w:val="21"/>
          <w:highlight w:val="none"/>
        </w:rPr>
        <w:t>）</w:t>
      </w:r>
    </w:p>
    <w:p w14:paraId="5C86A9A0">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none"/>
        </w:rPr>
        <w:t>（签字或签章）</w:t>
      </w:r>
    </w:p>
    <w:p w14:paraId="38388E14">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CC6DE71">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（签字或签章） </w:t>
      </w:r>
    </w:p>
    <w:p w14:paraId="4541F5D3">
      <w:pPr>
        <w:kinsoku/>
        <w:overflowPunct/>
        <w:bidi w:val="0"/>
        <w:spacing w:line="360" w:lineRule="auto"/>
        <w:ind w:firstLine="4725" w:firstLineChars="225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06DC0EA9">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u w:val="none"/>
        </w:rPr>
        <w:t>日</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期</w:t>
      </w:r>
      <w:r>
        <w:rPr>
          <w:rFonts w:hint="eastAsia" w:ascii="宋体" w:hAnsi="宋体" w:cs="宋体"/>
          <w:color w:val="auto"/>
          <w:szCs w:val="21"/>
          <w:highlight w:val="none"/>
          <w:u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rPr>
        <w:t>日</w:t>
      </w:r>
    </w:p>
    <w:p w14:paraId="156A1CCE">
      <w:pPr>
        <w:kinsoku/>
        <w:overflowPunct/>
        <w:bidi w:val="0"/>
        <w:spacing w:line="360" w:lineRule="auto"/>
        <w:textAlignment w:val="auto"/>
        <w:rPr>
          <w:color w:val="auto"/>
          <w:highlight w:val="none"/>
        </w:rPr>
      </w:pPr>
      <w:r>
        <w:rPr>
          <w:color w:val="auto"/>
          <w:highlight w:val="none"/>
        </w:rPr>
        <w:br w:type="page"/>
      </w:r>
    </w:p>
    <w:p w14:paraId="2B52D634">
      <w:pPr>
        <w:pStyle w:val="5"/>
        <w:numPr>
          <w:ilvl w:val="0"/>
          <w:numId w:val="0"/>
        </w:numPr>
        <w:kinsoku/>
        <w:overflowPunct/>
        <w:bidi w:val="0"/>
        <w:spacing w:before="0" w:after="0" w:line="360" w:lineRule="auto"/>
        <w:jc w:val="center"/>
        <w:textAlignment w:val="auto"/>
        <w:rPr>
          <w:rFonts w:hint="eastAsia"/>
          <w:color w:val="auto"/>
          <w:highlight w:val="none"/>
          <w:lang w:val="en-US" w:eastAsia="zh-CN"/>
        </w:rPr>
      </w:pPr>
      <w:bookmarkStart w:id="2460" w:name="_Toc25224"/>
      <w:bookmarkStart w:id="2461" w:name="_Toc11490"/>
      <w:bookmarkStart w:id="2462" w:name="_Toc30497"/>
      <w:bookmarkStart w:id="2463" w:name="_Toc9926"/>
      <w:bookmarkStart w:id="2464" w:name="_Toc9210"/>
      <w:bookmarkStart w:id="2465" w:name="_Toc20005"/>
      <w:bookmarkStart w:id="2466" w:name="_Toc21499"/>
      <w:bookmarkStart w:id="2467" w:name="_Toc8333"/>
      <w:bookmarkStart w:id="2468" w:name="_Toc27255"/>
      <w:bookmarkStart w:id="2469" w:name="_Toc31200"/>
      <w:bookmarkStart w:id="2470" w:name="_Toc17980"/>
      <w:bookmarkStart w:id="2471" w:name="_Toc13568"/>
      <w:r>
        <w:rPr>
          <w:rFonts w:hint="eastAsia"/>
          <w:color w:val="auto"/>
          <w:highlight w:val="none"/>
          <w:lang w:val="en-US" w:eastAsia="zh-CN"/>
        </w:rPr>
        <w:t>四、投标人廉洁承诺书</w:t>
      </w:r>
      <w:bookmarkEnd w:id="2460"/>
      <w:bookmarkEnd w:id="2461"/>
      <w:bookmarkEnd w:id="2462"/>
      <w:bookmarkEnd w:id="2463"/>
    </w:p>
    <w:p w14:paraId="18CF7712">
      <w:pPr>
        <w:pStyle w:val="23"/>
        <w:kinsoku/>
        <w:overflowPunct/>
        <w:bidi w:val="0"/>
        <w:spacing w:line="360" w:lineRule="auto"/>
        <w:rPr>
          <w:rFonts w:hint="eastAsia" w:hAnsi="宋体" w:cs="宋体"/>
          <w:color w:val="auto"/>
          <w:szCs w:val="21"/>
          <w:highlight w:val="none"/>
          <w:u w:val="none"/>
        </w:rPr>
      </w:pPr>
      <w:r>
        <w:rPr>
          <w:rFonts w:hint="eastAsia" w:hAnsi="宋体" w:cs="宋体"/>
          <w:color w:val="auto"/>
          <w:szCs w:val="21"/>
          <w:highlight w:val="none"/>
          <w:u w:val="none"/>
        </w:rPr>
        <w:t>致</w:t>
      </w:r>
      <w:r>
        <w:rPr>
          <w:rFonts w:hint="eastAsia" w:hAnsi="宋体" w:cs="宋体"/>
          <w:color w:val="auto"/>
          <w:szCs w:val="21"/>
          <w:highlight w:val="none"/>
          <w:u w:val="none"/>
          <w:lang w:val="en-US" w:eastAsia="zh-CN"/>
        </w:rPr>
        <w:t>招标</w:t>
      </w:r>
      <w:r>
        <w:rPr>
          <w:rFonts w:hint="eastAsia" w:hAnsi="宋体" w:cs="宋体"/>
          <w:color w:val="auto"/>
          <w:szCs w:val="21"/>
          <w:highlight w:val="none"/>
          <w:u w:val="none"/>
        </w:rPr>
        <w:t>人：</w:t>
      </w:r>
      <w:r>
        <w:rPr>
          <w:rFonts w:hint="eastAsia" w:hAnsi="宋体" w:cs="宋体"/>
          <w:color w:val="auto"/>
          <w:szCs w:val="21"/>
          <w:highlight w:val="none"/>
          <w:u w:val="single"/>
          <w:lang w:val="en-US" w:eastAsia="zh-CN"/>
        </w:rPr>
        <w:t>广州市番南能源有限公司</w:t>
      </w:r>
    </w:p>
    <w:p w14:paraId="12A144A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为了积极配合贵单位进行的</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500千伏番南输变电工程（变电站建筑）监理服务</w:t>
      </w:r>
      <w:r>
        <w:rPr>
          <w:rFonts w:hint="eastAsia" w:ascii="宋体" w:hAnsi="宋体" w:cs="宋体"/>
          <w:color w:val="auto"/>
          <w:kern w:val="0"/>
          <w:sz w:val="21"/>
          <w:szCs w:val="21"/>
          <w:highlight w:val="none"/>
          <w:u w:val="single"/>
          <w:shd w:val="clear" w:color="auto" w:fill="FFFFFF"/>
          <w:lang w:val="en-US" w:eastAsia="zh-CN" w:bidi="ar"/>
        </w:rPr>
        <w:t>，标段名称：500千伏番南输变电工程（变电站建筑）监理服务</w:t>
      </w:r>
      <w:r>
        <w:rPr>
          <w:rFonts w:hint="eastAsia" w:ascii="宋体" w:hAnsi="宋体" w:cs="宋体"/>
          <w:color w:val="auto"/>
          <w:szCs w:val="21"/>
          <w:highlight w:val="none"/>
        </w:rPr>
        <w:t>采购工作，有效遏制不公平竞争和违规违纪行为的发生，确保采购工作的公平、公正、公开、有序进行，我们保证认真贯彻执行</w:t>
      </w:r>
      <w:r>
        <w:rPr>
          <w:rFonts w:hint="eastAsia" w:ascii="宋体" w:hAnsi="宋体" w:eastAsia="宋体" w:cs="宋体"/>
          <w:color w:val="auto"/>
          <w:kern w:val="0"/>
          <w:szCs w:val="21"/>
          <w:highlight w:val="none"/>
        </w:rPr>
        <w:t>广州南方投资集团有限公司</w:t>
      </w:r>
      <w:r>
        <w:rPr>
          <w:rFonts w:hint="eastAsia" w:ascii="宋体" w:hAnsi="宋体" w:cs="宋体"/>
          <w:color w:val="auto"/>
          <w:kern w:val="0"/>
          <w:szCs w:val="21"/>
          <w:highlight w:val="none"/>
        </w:rPr>
        <w:t>采购相关规定</w:t>
      </w:r>
      <w:r>
        <w:rPr>
          <w:rFonts w:hint="eastAsia" w:ascii="宋体" w:hAnsi="宋体" w:cs="宋体"/>
          <w:color w:val="auto"/>
          <w:szCs w:val="21"/>
          <w:highlight w:val="none"/>
        </w:rPr>
        <w:t>以及与廉洁有关的规章制度，特向贵单位承诺如下事项：</w:t>
      </w:r>
    </w:p>
    <w:p w14:paraId="6CB1B04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一、自觉遵守国家有关法律法规及廉洁规定。</w:t>
      </w:r>
    </w:p>
    <w:p w14:paraId="7695FA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二、不与采购单位工作人员串通采购，损害国家利益、企业利益以及他人的合法利益；不与其他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相互串通采购报价，不排挤其他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，不损害</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或其他</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的合法权益。</w:t>
      </w:r>
    </w:p>
    <w:p w14:paraId="78D374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三、不以任何名义为参与采购、评审工作的有关人员报销应由参与采购、评审工作的有关人员支付的任何费用；</w:t>
      </w:r>
    </w:p>
    <w:p w14:paraId="49CE59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四、不以任何名义向参与采购、评审工作的有关人员赠送回扣、红包、礼金、购物卡、有价证券、贵重物品和好处费、感谢费等；</w:t>
      </w:r>
    </w:p>
    <w:p w14:paraId="2B5D65B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五、不以任何名义向参与采购、评审工作的有关人员提供高消费宴请及娱乐活动；</w:t>
      </w:r>
    </w:p>
    <w:p w14:paraId="006B6F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六、不以谋取非正当利益为目的，擅自与参与采购、评审工作的有关人员就业务问题进行私下商谈或者达成利益默契；</w:t>
      </w:r>
    </w:p>
    <w:p w14:paraId="5CC180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七、不以任何名义接受或暗示为参与采购、评审工作的有关人员装修住房、婚丧嫁取、配偶子女的工作安排以及境内外旅游等提供方便；</w:t>
      </w:r>
    </w:p>
    <w:p w14:paraId="1F7B42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贵单位既可根据国家有关单位的判决、裁定等有效文书认定我单位是否违反承诺，也有权通过对贵单位相关人员的调查来认定我单位是否违反承诺（我单位不会以任何理由否定贵单位的调查结果）。如违反以上承诺，我单位自愿接受</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依据有关规定对我单位进行严肃处理（包括但不限于实施市场禁入、取消投、中标、成交资格以及终止合同等），给贵单位造成损失的，予以赔偿。</w:t>
      </w:r>
    </w:p>
    <w:p w14:paraId="3B6D7E3D">
      <w:p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本廉洁承诺书为我单位应答此次</w:t>
      </w:r>
      <w:r>
        <w:rPr>
          <w:rFonts w:hint="eastAsia" w:ascii="宋体" w:hAnsi="宋体" w:cs="宋体"/>
          <w:color w:val="auto"/>
          <w:szCs w:val="21"/>
          <w:highlight w:val="none"/>
          <w:lang w:val="en-US" w:eastAsia="zh-CN"/>
        </w:rPr>
        <w:t>招标</w:t>
      </w:r>
      <w:r>
        <w:rPr>
          <w:rFonts w:hint="eastAsia" w:ascii="宋体" w:hAnsi="宋体" w:eastAsia="宋体" w:cs="宋体"/>
          <w:color w:val="auto"/>
          <w:szCs w:val="21"/>
          <w:highlight w:val="none"/>
        </w:rPr>
        <w:t>项目正式文件的附件，与其他</w:t>
      </w:r>
      <w:r>
        <w:rPr>
          <w:rFonts w:hint="eastAsia" w:ascii="宋体" w:hAnsi="宋体"/>
          <w:color w:val="auto"/>
          <w:highlight w:val="none"/>
          <w:lang w:val="en-US" w:eastAsia="zh-CN"/>
        </w:rPr>
        <w:t>投标</w:t>
      </w:r>
      <w:r>
        <w:rPr>
          <w:rFonts w:hint="eastAsia" w:ascii="宋体" w:hAnsi="宋体"/>
          <w:color w:val="auto"/>
          <w:highlight w:val="none"/>
        </w:rPr>
        <w:t>文件（含定标文件）</w:t>
      </w:r>
      <w:r>
        <w:rPr>
          <w:rFonts w:hint="eastAsia" w:ascii="宋体" w:hAnsi="宋体" w:eastAsia="宋体" w:cs="宋体"/>
          <w:color w:val="auto"/>
          <w:szCs w:val="21"/>
          <w:highlight w:val="none"/>
        </w:rPr>
        <w:t>具有同等法律效力，经我单位盖章后立即生效</w:t>
      </w:r>
      <w:r>
        <w:rPr>
          <w:rFonts w:hint="eastAsia" w:ascii="宋体" w:hAnsi="宋体" w:cs="宋体"/>
          <w:color w:val="auto"/>
          <w:szCs w:val="21"/>
          <w:highlight w:val="none"/>
        </w:rPr>
        <w:t>。</w:t>
      </w:r>
    </w:p>
    <w:p w14:paraId="287E2C44">
      <w:pPr>
        <w:spacing w:line="360" w:lineRule="auto"/>
        <w:rPr>
          <w:rFonts w:hint="eastAsia" w:ascii="宋体" w:hAnsi="宋体" w:cs="宋体"/>
          <w:color w:val="auto"/>
          <w:szCs w:val="21"/>
          <w:highlight w:val="none"/>
        </w:rPr>
      </w:pPr>
    </w:p>
    <w:p w14:paraId="2E8D062E">
      <w:pPr>
        <w:spacing w:line="360" w:lineRule="auto"/>
        <w:ind w:firstLine="4987" w:firstLineChars="2375"/>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w:t>
      </w:r>
      <w:r>
        <w:rPr>
          <w:rFonts w:hint="eastAsia" w:ascii="宋体" w:hAnsi="宋体" w:cs="宋体"/>
          <w:color w:val="auto"/>
          <w:highlight w:val="none"/>
          <w:u w:val="none"/>
          <w:lang w:val="en-US" w:eastAsia="zh-CN"/>
        </w:rPr>
        <w:t>盖电子印章</w:t>
      </w:r>
      <w:r>
        <w:rPr>
          <w:rFonts w:hint="eastAsia" w:ascii="宋体" w:hAnsi="宋体" w:cs="宋体"/>
          <w:color w:val="auto"/>
          <w:szCs w:val="21"/>
          <w:highlight w:val="none"/>
        </w:rPr>
        <w:t>）：</w:t>
      </w:r>
      <w:r>
        <w:rPr>
          <w:rFonts w:hint="eastAsia" w:ascii="宋体" w:hAnsi="宋体" w:cs="宋体"/>
          <w:color w:val="auto"/>
          <w:szCs w:val="21"/>
          <w:highlight w:val="none"/>
          <w:u w:val="single"/>
          <w:lang w:val="en-US" w:eastAsia="zh-CN"/>
        </w:rPr>
        <w:t xml:space="preserve">                 </w:t>
      </w:r>
    </w:p>
    <w:p w14:paraId="51B568FD">
      <w:pPr>
        <w:tabs>
          <w:tab w:val="left" w:pos="7560"/>
        </w:tabs>
        <w:adjustRightInd w:val="0"/>
        <w:snapToGrid w:val="0"/>
        <w:spacing w:line="360" w:lineRule="auto"/>
        <w:ind w:right="420"/>
        <w:jc w:val="right"/>
        <w:rPr>
          <w:rFonts w:hint="eastAsia" w:ascii="宋体" w:hAnsi="宋体" w:cs="宋体"/>
          <w:color w:val="auto"/>
          <w:szCs w:val="21"/>
          <w:highlight w:val="none"/>
          <w:lang w:val="en-US" w:eastAsia="zh-CN"/>
        </w:rPr>
      </w:pPr>
      <w:r>
        <w:rPr>
          <w:rFonts w:hint="eastAsia" w:ascii="宋体" w:hAnsi="宋体" w:cs="宋体"/>
          <w:color w:val="auto"/>
          <w:szCs w:val="21"/>
          <w:highlight w:val="none"/>
          <w:u w:val="none"/>
        </w:rPr>
        <w:t>日</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期</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val="en-US" w:eastAsia="zh-CN"/>
        </w:rPr>
        <w:t>日</w:t>
      </w:r>
    </w:p>
    <w:p w14:paraId="260EA2C9">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2464"/>
    <w:bookmarkEnd w:id="2465"/>
    <w:bookmarkEnd w:id="2466"/>
    <w:bookmarkEnd w:id="2467"/>
    <w:bookmarkEnd w:id="2468"/>
    <w:bookmarkEnd w:id="2469"/>
    <w:bookmarkEnd w:id="2470"/>
    <w:bookmarkEnd w:id="2471"/>
    <w:p w14:paraId="605CA480">
      <w:pPr>
        <w:pStyle w:val="5"/>
        <w:numPr>
          <w:ilvl w:val="0"/>
          <w:numId w:val="0"/>
        </w:numPr>
        <w:kinsoku/>
        <w:overflowPunct/>
        <w:bidi w:val="0"/>
        <w:spacing w:before="0" w:after="0" w:line="360" w:lineRule="auto"/>
        <w:ind w:leftChars="0"/>
        <w:jc w:val="center"/>
        <w:textAlignment w:val="auto"/>
        <w:rPr>
          <w:rFonts w:hint="eastAsia"/>
          <w:color w:val="auto"/>
          <w:highlight w:val="none"/>
        </w:rPr>
      </w:pPr>
      <w:bookmarkStart w:id="2472" w:name="_Toc1452"/>
      <w:bookmarkStart w:id="2473" w:name="_Toc16998"/>
      <w:bookmarkStart w:id="2474" w:name="_Toc12607"/>
      <w:bookmarkStart w:id="2475" w:name="_Toc28962"/>
      <w:bookmarkStart w:id="2476" w:name="_Toc3332"/>
      <w:bookmarkStart w:id="2477" w:name="_Toc430261280"/>
      <w:bookmarkStart w:id="2478" w:name="_Toc8788"/>
      <w:r>
        <w:rPr>
          <w:rFonts w:hint="eastAsia"/>
          <w:color w:val="auto"/>
          <w:highlight w:val="none"/>
          <w:lang w:val="en-US" w:eastAsia="zh-CN"/>
        </w:rPr>
        <w:t>五、投标人</w:t>
      </w:r>
      <w:r>
        <w:rPr>
          <w:rFonts w:hint="eastAsia"/>
          <w:color w:val="auto"/>
          <w:highlight w:val="none"/>
        </w:rPr>
        <w:t>关联企业情况声明</w:t>
      </w:r>
      <w:bookmarkEnd w:id="2472"/>
      <w:bookmarkEnd w:id="2473"/>
      <w:bookmarkEnd w:id="2474"/>
    </w:p>
    <w:p w14:paraId="7894B630">
      <w:pPr>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人：</w:t>
      </w:r>
      <w:r>
        <w:rPr>
          <w:rFonts w:hint="eastAsia" w:ascii="宋体" w:hAnsi="宋体" w:cs="宋体"/>
          <w:color w:val="auto"/>
          <w:szCs w:val="21"/>
          <w:highlight w:val="none"/>
          <w:u w:val="single"/>
          <w:lang w:val="en-US" w:eastAsia="zh-CN"/>
        </w:rPr>
        <w:t>广州市番南能源有限公司</w:t>
      </w:r>
    </w:p>
    <w:p w14:paraId="0685119C">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我公司郑重声明如下：</w:t>
      </w:r>
    </w:p>
    <w:p w14:paraId="583098CC">
      <w:pPr>
        <w:spacing w:line="360" w:lineRule="auto"/>
        <w:ind w:left="0" w:leftChars="0" w:firstLine="420" w:firstLineChars="200"/>
        <w:outlineLvl w:val="9"/>
        <w:rPr>
          <w:rFonts w:hint="eastAsia" w:ascii="宋体" w:hAnsi="宋体" w:cs="宋体"/>
          <w:color w:val="auto"/>
          <w:szCs w:val="21"/>
          <w:highlight w:val="none"/>
        </w:rPr>
      </w:pPr>
      <w:bookmarkStart w:id="2479" w:name="_Toc29982"/>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名称（按营业执照的全称填写）：</w:t>
      </w:r>
      <w:bookmarkEnd w:id="2479"/>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37248B3F">
      <w:pPr>
        <w:kinsoku/>
        <w:overflowPunct/>
        <w:bidi w:val="0"/>
        <w:spacing w:line="360" w:lineRule="auto"/>
        <w:ind w:left="0" w:leftChars="0" w:firstLine="420" w:firstLineChars="200"/>
        <w:outlineLvl w:val="9"/>
        <w:rPr>
          <w:rFonts w:hint="eastAsia" w:ascii="宋体" w:hAnsi="宋体" w:cs="宋体"/>
          <w:color w:val="auto"/>
          <w:szCs w:val="21"/>
          <w:highlight w:val="none"/>
        </w:rPr>
      </w:pPr>
      <w:bookmarkStart w:id="2480" w:name="_Toc19521"/>
      <w:r>
        <w:rPr>
          <w:rFonts w:hint="eastAsia" w:ascii="宋体" w:hAnsi="宋体" w:cs="宋体"/>
          <w:color w:val="auto"/>
          <w:szCs w:val="21"/>
          <w:highlight w:val="none"/>
        </w:rPr>
        <w:t>2．本公司的直接上级控股/管理单位和直接下级控股/管理单位情况：</w:t>
      </w:r>
      <w:bookmarkEnd w:id="2480"/>
    </w:p>
    <w:tbl>
      <w:tblPr>
        <w:tblStyle w:val="46"/>
        <w:tblW w:w="99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762"/>
        <w:gridCol w:w="1713"/>
        <w:gridCol w:w="1600"/>
        <w:gridCol w:w="1817"/>
      </w:tblGrid>
      <w:tr w14:paraId="20FC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008" w:type="dxa"/>
            <w:noWrap w:val="0"/>
            <w:vAlign w:val="center"/>
          </w:tcPr>
          <w:p w14:paraId="20CCC867">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直接上级控股/管理单位名称</w:t>
            </w:r>
          </w:p>
        </w:tc>
        <w:tc>
          <w:tcPr>
            <w:tcW w:w="1762" w:type="dxa"/>
            <w:noWrap w:val="0"/>
            <w:vAlign w:val="center"/>
          </w:tcPr>
          <w:p w14:paraId="0997149A">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对本单位的控股（出资）比例(%)</w:t>
            </w:r>
          </w:p>
        </w:tc>
        <w:tc>
          <w:tcPr>
            <w:tcW w:w="1713" w:type="dxa"/>
            <w:noWrap w:val="0"/>
            <w:vAlign w:val="center"/>
          </w:tcPr>
          <w:p w14:paraId="1A657A2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1AD8CEA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17" w:type="dxa"/>
            <w:noWrap w:val="0"/>
            <w:vAlign w:val="center"/>
          </w:tcPr>
          <w:p w14:paraId="43614B88">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2EF2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7BA8EE3C">
            <w:pPr>
              <w:kinsoku/>
              <w:overflowPunct/>
              <w:bidi w:val="0"/>
              <w:spacing w:line="360" w:lineRule="auto"/>
              <w:outlineLvl w:val="9"/>
              <w:rPr>
                <w:rFonts w:hint="eastAsia" w:ascii="宋体" w:hAnsi="宋体" w:cs="宋体"/>
                <w:color w:val="auto"/>
                <w:szCs w:val="21"/>
                <w:highlight w:val="none"/>
              </w:rPr>
            </w:pPr>
          </w:p>
        </w:tc>
        <w:tc>
          <w:tcPr>
            <w:tcW w:w="1762" w:type="dxa"/>
            <w:noWrap w:val="0"/>
            <w:vAlign w:val="top"/>
          </w:tcPr>
          <w:p w14:paraId="76C2D89B">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4750B38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557DC020">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30C7948A">
            <w:pPr>
              <w:kinsoku/>
              <w:overflowPunct/>
              <w:bidi w:val="0"/>
              <w:spacing w:line="360" w:lineRule="auto"/>
              <w:outlineLvl w:val="9"/>
              <w:rPr>
                <w:rFonts w:hint="eastAsia" w:ascii="宋体" w:hAnsi="宋体" w:cs="宋体"/>
                <w:color w:val="auto"/>
                <w:szCs w:val="21"/>
                <w:highlight w:val="none"/>
              </w:rPr>
            </w:pPr>
          </w:p>
        </w:tc>
      </w:tr>
      <w:tr w14:paraId="0D2D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6037DC06">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62" w:type="dxa"/>
            <w:noWrap w:val="0"/>
            <w:vAlign w:val="top"/>
          </w:tcPr>
          <w:p w14:paraId="644E7254">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1DB9DE75">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34E76BD3">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10121716">
            <w:pPr>
              <w:kinsoku/>
              <w:overflowPunct/>
              <w:bidi w:val="0"/>
              <w:spacing w:line="360" w:lineRule="auto"/>
              <w:outlineLvl w:val="9"/>
              <w:rPr>
                <w:rFonts w:hint="eastAsia" w:ascii="宋体" w:hAnsi="宋体" w:cs="宋体"/>
                <w:color w:val="auto"/>
                <w:szCs w:val="21"/>
                <w:highlight w:val="none"/>
              </w:rPr>
            </w:pPr>
          </w:p>
        </w:tc>
      </w:tr>
      <w:tr w14:paraId="40C3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900" w:type="dxa"/>
            <w:gridSpan w:val="5"/>
            <w:noWrap w:val="0"/>
            <w:vAlign w:val="top"/>
          </w:tcPr>
          <w:p w14:paraId="0C60AEA3">
            <w:pPr>
              <w:kinsoku/>
              <w:overflowPunct/>
              <w:bidi w:val="0"/>
              <w:spacing w:line="360" w:lineRule="auto"/>
              <w:outlineLvl w:val="9"/>
              <w:rPr>
                <w:rFonts w:hint="eastAsia" w:ascii="宋体" w:hAnsi="宋体" w:cs="宋体"/>
                <w:color w:val="auto"/>
                <w:szCs w:val="21"/>
                <w:highlight w:val="none"/>
              </w:rPr>
            </w:pPr>
          </w:p>
        </w:tc>
      </w:tr>
      <w:tr w14:paraId="1AAF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008" w:type="dxa"/>
            <w:noWrap w:val="0"/>
            <w:vAlign w:val="center"/>
          </w:tcPr>
          <w:p w14:paraId="5BD19F2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直接下级控股/管理单位名称</w:t>
            </w:r>
          </w:p>
        </w:tc>
        <w:tc>
          <w:tcPr>
            <w:tcW w:w="1762" w:type="dxa"/>
            <w:noWrap w:val="0"/>
            <w:vAlign w:val="center"/>
          </w:tcPr>
          <w:p w14:paraId="117FE2A3">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本单位控股（出资）比例(%)</w:t>
            </w:r>
          </w:p>
        </w:tc>
        <w:tc>
          <w:tcPr>
            <w:tcW w:w="1713" w:type="dxa"/>
            <w:noWrap w:val="0"/>
            <w:vAlign w:val="center"/>
          </w:tcPr>
          <w:p w14:paraId="3258A2D7">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08BD6242">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17" w:type="dxa"/>
            <w:noWrap w:val="0"/>
            <w:vAlign w:val="center"/>
          </w:tcPr>
          <w:p w14:paraId="3C4B03DE">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4474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22727214">
            <w:pPr>
              <w:kinsoku/>
              <w:overflowPunct/>
              <w:bidi w:val="0"/>
              <w:spacing w:line="360" w:lineRule="auto"/>
              <w:outlineLvl w:val="9"/>
              <w:rPr>
                <w:rFonts w:hint="eastAsia" w:ascii="宋体" w:hAnsi="宋体" w:cs="宋体"/>
                <w:color w:val="auto"/>
                <w:szCs w:val="21"/>
                <w:highlight w:val="none"/>
              </w:rPr>
            </w:pPr>
          </w:p>
        </w:tc>
        <w:tc>
          <w:tcPr>
            <w:tcW w:w="1762" w:type="dxa"/>
            <w:noWrap w:val="0"/>
            <w:vAlign w:val="top"/>
          </w:tcPr>
          <w:p w14:paraId="0A9571B5">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72299997">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42DFC235">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2BFA5A6C">
            <w:pPr>
              <w:kinsoku/>
              <w:overflowPunct/>
              <w:bidi w:val="0"/>
              <w:spacing w:line="360" w:lineRule="auto"/>
              <w:outlineLvl w:val="9"/>
              <w:rPr>
                <w:rFonts w:hint="eastAsia" w:ascii="宋体" w:hAnsi="宋体" w:cs="宋体"/>
                <w:color w:val="auto"/>
                <w:szCs w:val="21"/>
                <w:highlight w:val="none"/>
              </w:rPr>
            </w:pPr>
          </w:p>
        </w:tc>
      </w:tr>
      <w:tr w14:paraId="151B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6FBF388A">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62" w:type="dxa"/>
            <w:noWrap w:val="0"/>
            <w:vAlign w:val="top"/>
          </w:tcPr>
          <w:p w14:paraId="69EEB083">
            <w:pPr>
              <w:kinsoku/>
              <w:overflowPunct/>
              <w:bidi w:val="0"/>
              <w:spacing w:line="360" w:lineRule="auto"/>
              <w:outlineLvl w:val="9"/>
              <w:rPr>
                <w:rFonts w:hint="eastAsia" w:ascii="宋体" w:hAnsi="宋体" w:cs="宋体"/>
                <w:color w:val="auto"/>
                <w:szCs w:val="21"/>
                <w:highlight w:val="none"/>
              </w:rPr>
            </w:pPr>
          </w:p>
        </w:tc>
        <w:tc>
          <w:tcPr>
            <w:tcW w:w="1713" w:type="dxa"/>
            <w:noWrap w:val="0"/>
            <w:vAlign w:val="top"/>
          </w:tcPr>
          <w:p w14:paraId="19087D0D">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2582C491">
            <w:pPr>
              <w:kinsoku/>
              <w:overflowPunct/>
              <w:bidi w:val="0"/>
              <w:spacing w:line="360" w:lineRule="auto"/>
              <w:outlineLvl w:val="9"/>
              <w:rPr>
                <w:rFonts w:hint="eastAsia" w:ascii="宋体" w:hAnsi="宋体" w:cs="宋体"/>
                <w:color w:val="auto"/>
                <w:szCs w:val="21"/>
                <w:highlight w:val="none"/>
              </w:rPr>
            </w:pPr>
          </w:p>
        </w:tc>
        <w:tc>
          <w:tcPr>
            <w:tcW w:w="1817" w:type="dxa"/>
            <w:noWrap w:val="0"/>
            <w:vAlign w:val="top"/>
          </w:tcPr>
          <w:p w14:paraId="7F3A913B">
            <w:pPr>
              <w:kinsoku/>
              <w:overflowPunct/>
              <w:bidi w:val="0"/>
              <w:spacing w:line="360" w:lineRule="auto"/>
              <w:outlineLvl w:val="9"/>
              <w:rPr>
                <w:rFonts w:hint="eastAsia" w:ascii="宋体" w:hAnsi="宋体" w:cs="宋体"/>
                <w:color w:val="auto"/>
                <w:szCs w:val="21"/>
                <w:highlight w:val="none"/>
              </w:rPr>
            </w:pPr>
          </w:p>
        </w:tc>
      </w:tr>
    </w:tbl>
    <w:p w14:paraId="6217A4A8">
      <w:pPr>
        <w:kinsoku/>
        <w:overflowPunct/>
        <w:bidi w:val="0"/>
        <w:spacing w:line="360" w:lineRule="auto"/>
        <w:ind w:firstLine="420" w:firstLineChars="200"/>
        <w:outlineLvl w:val="9"/>
        <w:rPr>
          <w:rFonts w:hint="eastAsia" w:ascii="宋体" w:hAnsi="宋体" w:cs="宋体"/>
          <w:color w:val="auto"/>
          <w:szCs w:val="21"/>
          <w:highlight w:val="none"/>
        </w:rPr>
      </w:pPr>
      <w:bookmarkStart w:id="2481" w:name="_Toc18031"/>
      <w:r>
        <w:rPr>
          <w:rFonts w:hint="eastAsia" w:ascii="宋体" w:hAnsi="宋体" w:cs="宋体"/>
          <w:color w:val="auto"/>
          <w:szCs w:val="21"/>
          <w:highlight w:val="none"/>
        </w:rPr>
        <w:t>3．属于同一直接上级控股/管理单位的其他兄弟单位情况：</w:t>
      </w:r>
      <w:bookmarkEnd w:id="2481"/>
    </w:p>
    <w:tbl>
      <w:tblPr>
        <w:tblStyle w:val="46"/>
        <w:tblW w:w="99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8"/>
        <w:gridCol w:w="1750"/>
        <w:gridCol w:w="1737"/>
        <w:gridCol w:w="1600"/>
        <w:gridCol w:w="1805"/>
      </w:tblGrid>
      <w:tr w14:paraId="6D3E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4" w:hRule="atLeast"/>
        </w:trPr>
        <w:tc>
          <w:tcPr>
            <w:tcW w:w="3008" w:type="dxa"/>
            <w:noWrap w:val="0"/>
            <w:vAlign w:val="center"/>
          </w:tcPr>
          <w:p w14:paraId="723BAF9F">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直接上级控股/管理单位名称</w:t>
            </w:r>
          </w:p>
        </w:tc>
        <w:tc>
          <w:tcPr>
            <w:tcW w:w="1750" w:type="dxa"/>
            <w:noWrap w:val="0"/>
            <w:vAlign w:val="center"/>
          </w:tcPr>
          <w:p w14:paraId="134F16FD">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对本单位控股（出资）比例(%)</w:t>
            </w:r>
          </w:p>
        </w:tc>
        <w:tc>
          <w:tcPr>
            <w:tcW w:w="1737" w:type="dxa"/>
            <w:noWrap w:val="0"/>
            <w:vAlign w:val="center"/>
          </w:tcPr>
          <w:p w14:paraId="26FEDE7E">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3BBA38C9">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05" w:type="dxa"/>
            <w:noWrap w:val="0"/>
            <w:vAlign w:val="center"/>
          </w:tcPr>
          <w:p w14:paraId="1A10F169">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3172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5808174F">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632A394A">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24A8881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7621D50B">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03348E9E">
            <w:pPr>
              <w:kinsoku/>
              <w:overflowPunct/>
              <w:bidi w:val="0"/>
              <w:spacing w:line="360" w:lineRule="auto"/>
              <w:outlineLvl w:val="9"/>
              <w:rPr>
                <w:rFonts w:hint="eastAsia" w:ascii="宋体" w:hAnsi="宋体" w:cs="宋体"/>
                <w:color w:val="auto"/>
                <w:szCs w:val="21"/>
                <w:highlight w:val="none"/>
              </w:rPr>
            </w:pPr>
          </w:p>
        </w:tc>
      </w:tr>
      <w:tr w14:paraId="480E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4EA71E52">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50" w:type="dxa"/>
            <w:noWrap w:val="0"/>
            <w:vAlign w:val="top"/>
          </w:tcPr>
          <w:p w14:paraId="3A25B0E5">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72B8E084">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6F6509ED">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29048BD3">
            <w:pPr>
              <w:kinsoku/>
              <w:overflowPunct/>
              <w:bidi w:val="0"/>
              <w:spacing w:line="360" w:lineRule="auto"/>
              <w:outlineLvl w:val="9"/>
              <w:rPr>
                <w:rFonts w:hint="eastAsia" w:ascii="宋体" w:hAnsi="宋体" w:cs="宋体"/>
                <w:color w:val="auto"/>
                <w:szCs w:val="21"/>
                <w:highlight w:val="none"/>
              </w:rPr>
            </w:pPr>
          </w:p>
        </w:tc>
      </w:tr>
      <w:tr w14:paraId="0E5B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9900" w:type="dxa"/>
            <w:gridSpan w:val="5"/>
            <w:noWrap w:val="0"/>
            <w:vAlign w:val="top"/>
          </w:tcPr>
          <w:p w14:paraId="27C02019">
            <w:pPr>
              <w:kinsoku/>
              <w:overflowPunct/>
              <w:bidi w:val="0"/>
              <w:spacing w:line="360" w:lineRule="auto"/>
              <w:outlineLvl w:val="9"/>
              <w:rPr>
                <w:rFonts w:hint="eastAsia" w:ascii="宋体" w:hAnsi="宋体" w:cs="宋体"/>
                <w:color w:val="auto"/>
                <w:szCs w:val="21"/>
                <w:highlight w:val="none"/>
              </w:rPr>
            </w:pPr>
          </w:p>
        </w:tc>
      </w:tr>
      <w:tr w14:paraId="6A3D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center"/>
          </w:tcPr>
          <w:p w14:paraId="67185A8C">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其他兄弟单位名称</w:t>
            </w:r>
          </w:p>
        </w:tc>
        <w:tc>
          <w:tcPr>
            <w:tcW w:w="1750" w:type="dxa"/>
            <w:noWrap w:val="0"/>
            <w:vAlign w:val="center"/>
          </w:tcPr>
          <w:p w14:paraId="11B6234F">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对该单位控股（出资）比例(%)</w:t>
            </w:r>
          </w:p>
        </w:tc>
        <w:tc>
          <w:tcPr>
            <w:tcW w:w="1737" w:type="dxa"/>
            <w:noWrap w:val="0"/>
            <w:vAlign w:val="center"/>
          </w:tcPr>
          <w:p w14:paraId="44F7A1F0">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单位负责人</w:t>
            </w:r>
          </w:p>
        </w:tc>
        <w:tc>
          <w:tcPr>
            <w:tcW w:w="1600" w:type="dxa"/>
            <w:noWrap w:val="0"/>
            <w:vAlign w:val="center"/>
          </w:tcPr>
          <w:p w14:paraId="03E07AE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联系人及电话</w:t>
            </w:r>
          </w:p>
        </w:tc>
        <w:tc>
          <w:tcPr>
            <w:tcW w:w="1805" w:type="dxa"/>
            <w:noWrap w:val="0"/>
            <w:vAlign w:val="center"/>
          </w:tcPr>
          <w:p w14:paraId="756681EB">
            <w:pPr>
              <w:kinsoku/>
              <w:overflowPunct/>
              <w:bidi w:val="0"/>
              <w:spacing w:line="360" w:lineRule="auto"/>
              <w:jc w:val="center"/>
              <w:outlineLvl w:val="9"/>
              <w:rPr>
                <w:rFonts w:hint="eastAsia" w:ascii="宋体" w:hAnsi="宋体" w:cs="宋体"/>
                <w:color w:val="auto"/>
                <w:szCs w:val="21"/>
                <w:highlight w:val="none"/>
              </w:rPr>
            </w:pPr>
            <w:r>
              <w:rPr>
                <w:rFonts w:hint="eastAsia" w:ascii="宋体" w:hAnsi="宋体" w:cs="宋体"/>
                <w:color w:val="auto"/>
                <w:szCs w:val="21"/>
                <w:highlight w:val="none"/>
              </w:rPr>
              <w:t>单位地址</w:t>
            </w:r>
          </w:p>
        </w:tc>
      </w:tr>
      <w:tr w14:paraId="37ED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008" w:type="dxa"/>
            <w:noWrap w:val="0"/>
            <w:vAlign w:val="top"/>
          </w:tcPr>
          <w:p w14:paraId="5134CE8E">
            <w:pPr>
              <w:kinsoku/>
              <w:overflowPunct/>
              <w:bidi w:val="0"/>
              <w:spacing w:line="360" w:lineRule="auto"/>
              <w:outlineLvl w:val="9"/>
              <w:rPr>
                <w:rFonts w:hint="eastAsia" w:ascii="宋体" w:hAnsi="宋体" w:cs="宋体"/>
                <w:color w:val="auto"/>
                <w:szCs w:val="21"/>
                <w:highlight w:val="none"/>
              </w:rPr>
            </w:pPr>
          </w:p>
        </w:tc>
        <w:tc>
          <w:tcPr>
            <w:tcW w:w="1750" w:type="dxa"/>
            <w:noWrap w:val="0"/>
            <w:vAlign w:val="top"/>
          </w:tcPr>
          <w:p w14:paraId="7470E568">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21697261">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2B4907EB">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640F744D">
            <w:pPr>
              <w:kinsoku/>
              <w:overflowPunct/>
              <w:bidi w:val="0"/>
              <w:spacing w:line="360" w:lineRule="auto"/>
              <w:outlineLvl w:val="9"/>
              <w:rPr>
                <w:rFonts w:hint="eastAsia" w:ascii="宋体" w:hAnsi="宋体" w:cs="宋体"/>
                <w:color w:val="auto"/>
                <w:szCs w:val="21"/>
                <w:highlight w:val="none"/>
              </w:rPr>
            </w:pPr>
          </w:p>
        </w:tc>
      </w:tr>
      <w:tr w14:paraId="540F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8" w:type="dxa"/>
            <w:noWrap w:val="0"/>
            <w:vAlign w:val="top"/>
          </w:tcPr>
          <w:p w14:paraId="12D3739A">
            <w:pPr>
              <w:kinsoku/>
              <w:overflowPunct/>
              <w:bidi w:val="0"/>
              <w:spacing w:line="360" w:lineRule="auto"/>
              <w:outlineLvl w:val="9"/>
              <w:rPr>
                <w:rFonts w:hint="eastAsia" w:ascii="宋体" w:hAnsi="宋体" w:cs="宋体"/>
                <w:color w:val="auto"/>
                <w:szCs w:val="21"/>
                <w:highlight w:val="none"/>
              </w:rPr>
            </w:pPr>
            <w:r>
              <w:rPr>
                <w:rFonts w:hint="eastAsia" w:ascii="宋体" w:hAnsi="宋体" w:cs="宋体"/>
                <w:color w:val="auto"/>
                <w:szCs w:val="21"/>
                <w:highlight w:val="none"/>
              </w:rPr>
              <w:t>……</w:t>
            </w:r>
          </w:p>
        </w:tc>
        <w:tc>
          <w:tcPr>
            <w:tcW w:w="1750" w:type="dxa"/>
            <w:noWrap w:val="0"/>
            <w:vAlign w:val="top"/>
          </w:tcPr>
          <w:p w14:paraId="40581B6D">
            <w:pPr>
              <w:kinsoku/>
              <w:overflowPunct/>
              <w:bidi w:val="0"/>
              <w:spacing w:line="360" w:lineRule="auto"/>
              <w:outlineLvl w:val="9"/>
              <w:rPr>
                <w:rFonts w:hint="eastAsia" w:ascii="宋体" w:hAnsi="宋体" w:cs="宋体"/>
                <w:color w:val="auto"/>
                <w:szCs w:val="21"/>
                <w:highlight w:val="none"/>
              </w:rPr>
            </w:pPr>
          </w:p>
        </w:tc>
        <w:tc>
          <w:tcPr>
            <w:tcW w:w="1737" w:type="dxa"/>
            <w:noWrap w:val="0"/>
            <w:vAlign w:val="top"/>
          </w:tcPr>
          <w:p w14:paraId="75A13F51">
            <w:pPr>
              <w:kinsoku/>
              <w:overflowPunct/>
              <w:bidi w:val="0"/>
              <w:spacing w:line="360" w:lineRule="auto"/>
              <w:outlineLvl w:val="9"/>
              <w:rPr>
                <w:rFonts w:hint="eastAsia" w:ascii="宋体" w:hAnsi="宋体" w:cs="宋体"/>
                <w:color w:val="auto"/>
                <w:szCs w:val="21"/>
                <w:highlight w:val="none"/>
              </w:rPr>
            </w:pPr>
          </w:p>
        </w:tc>
        <w:tc>
          <w:tcPr>
            <w:tcW w:w="1600" w:type="dxa"/>
            <w:noWrap w:val="0"/>
            <w:vAlign w:val="top"/>
          </w:tcPr>
          <w:p w14:paraId="40419F10">
            <w:pPr>
              <w:kinsoku/>
              <w:overflowPunct/>
              <w:bidi w:val="0"/>
              <w:spacing w:line="360" w:lineRule="auto"/>
              <w:outlineLvl w:val="9"/>
              <w:rPr>
                <w:rFonts w:hint="eastAsia" w:ascii="宋体" w:hAnsi="宋体" w:cs="宋体"/>
                <w:color w:val="auto"/>
                <w:szCs w:val="21"/>
                <w:highlight w:val="none"/>
              </w:rPr>
            </w:pPr>
          </w:p>
        </w:tc>
        <w:tc>
          <w:tcPr>
            <w:tcW w:w="1805" w:type="dxa"/>
            <w:noWrap w:val="0"/>
            <w:vAlign w:val="top"/>
          </w:tcPr>
          <w:p w14:paraId="3CED0100">
            <w:pPr>
              <w:kinsoku/>
              <w:overflowPunct/>
              <w:bidi w:val="0"/>
              <w:spacing w:line="360" w:lineRule="auto"/>
              <w:outlineLvl w:val="9"/>
              <w:rPr>
                <w:rFonts w:hint="eastAsia" w:ascii="宋体" w:hAnsi="宋体" w:cs="宋体"/>
                <w:color w:val="auto"/>
                <w:szCs w:val="21"/>
                <w:highlight w:val="none"/>
              </w:rPr>
            </w:pPr>
          </w:p>
        </w:tc>
      </w:tr>
    </w:tbl>
    <w:p w14:paraId="62458BDF">
      <w:pPr>
        <w:kinsoku/>
        <w:overflowPunct/>
        <w:bidi w:val="0"/>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我公司承诺：如未提供或未如实填写直接上级控股/管理单位和直接下级控股/管理单位，接受本次投标作为否决投标处理和按照</w:t>
      </w:r>
      <w:r>
        <w:rPr>
          <w:rFonts w:hint="eastAsia" w:ascii="宋体" w:hAnsi="宋体" w:cs="宋体"/>
          <w:color w:val="auto"/>
          <w:szCs w:val="21"/>
          <w:highlight w:val="none"/>
          <w:lang w:val="en-US" w:eastAsia="zh-CN"/>
        </w:rPr>
        <w:t>招标人及其上级单位</w:t>
      </w:r>
      <w:r>
        <w:rPr>
          <w:rFonts w:hint="eastAsia" w:ascii="宋体" w:hAnsi="宋体" w:cs="宋体"/>
          <w:color w:val="auto"/>
          <w:szCs w:val="21"/>
          <w:highlight w:val="none"/>
        </w:rPr>
        <w:t>相关规定进行的相应处罚。</w:t>
      </w:r>
    </w:p>
    <w:p w14:paraId="4BBA237A">
      <w:pPr>
        <w:spacing w:line="360" w:lineRule="auto"/>
        <w:ind w:firstLine="420" w:firstLineChars="200"/>
        <w:outlineLvl w:val="9"/>
        <w:rPr>
          <w:rFonts w:hint="default" w:ascii="宋体" w:hAnsi="宋体" w:eastAsia="宋体" w:cs="宋体"/>
          <w:color w:val="auto"/>
          <w:szCs w:val="21"/>
          <w:highlight w:val="none"/>
          <w:lang w:val="en-US" w:eastAsia="zh-CN"/>
        </w:rPr>
      </w:pPr>
      <w:bookmarkStart w:id="2482" w:name="_Toc9754"/>
      <w:bookmarkStart w:id="2483" w:name="_Toc18934"/>
      <w:r>
        <w:rPr>
          <w:rFonts w:hint="eastAsia" w:ascii="宋体" w:hAnsi="宋体" w:cs="宋体"/>
          <w:color w:val="auto"/>
          <w:szCs w:val="21"/>
          <w:highlight w:val="none"/>
          <w:lang w:val="en-US" w:eastAsia="zh-CN"/>
        </w:rPr>
        <w:t>投标人名称</w:t>
      </w:r>
      <w:r>
        <w:rPr>
          <w:rFonts w:hint="eastAsia" w:ascii="宋体" w:hAnsi="宋体" w:cs="宋体"/>
          <w:color w:val="auto"/>
          <w:szCs w:val="21"/>
          <w:highlight w:val="none"/>
        </w:rPr>
        <w:t>：</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（盖电子印章）</w:t>
      </w:r>
    </w:p>
    <w:p w14:paraId="24F11441">
      <w:pPr>
        <w:spacing w:line="360" w:lineRule="auto"/>
        <w:ind w:firstLine="420" w:firstLineChars="200"/>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日</w:t>
      </w:r>
    </w:p>
    <w:p w14:paraId="6AD9A890">
      <w:pPr>
        <w:spacing w:line="360" w:lineRule="auto"/>
        <w:ind w:firstLine="420" w:firstLineChars="200"/>
        <w:outlineLvl w:val="9"/>
        <w:rPr>
          <w:rFonts w:hint="eastAsia" w:ascii="宋体" w:hAnsi="宋体" w:cs="宋体"/>
          <w:color w:val="auto"/>
          <w:szCs w:val="21"/>
          <w:highlight w:val="none"/>
        </w:rPr>
      </w:pPr>
    </w:p>
    <w:bookmarkEnd w:id="2482"/>
    <w:bookmarkEnd w:id="2483"/>
    <w:p w14:paraId="639FAF8C">
      <w:pPr>
        <w:rPr>
          <w:rFonts w:hint="eastAsia" w:ascii="宋体" w:hAnsi="宋体" w:cs="宋体"/>
          <w:b/>
          <w:bCs/>
          <w:color w:val="auto"/>
          <w:szCs w:val="21"/>
          <w:highlight w:val="none"/>
        </w:rPr>
      </w:pPr>
    </w:p>
    <w:p w14:paraId="00A39747">
      <w:pPr>
        <w:rPr>
          <w:rFonts w:hint="eastAsia"/>
          <w:color w:val="auto"/>
          <w:highlight w:val="none"/>
        </w:rPr>
      </w:pPr>
    </w:p>
    <w:p w14:paraId="6E355D84">
      <w:pPr>
        <w:rPr>
          <w:rFonts w:hint="eastAsia"/>
          <w:color w:val="auto"/>
          <w:highlight w:val="none"/>
        </w:rPr>
      </w:pPr>
      <w:r>
        <w:rPr>
          <w:rFonts w:hint="eastAsia"/>
          <w:color w:val="auto"/>
          <w:highlight w:val="none"/>
        </w:rPr>
        <w:br w:type="page"/>
      </w:r>
    </w:p>
    <w:p w14:paraId="62384E02">
      <w:pPr>
        <w:pStyle w:val="5"/>
        <w:numPr>
          <w:ilvl w:val="0"/>
          <w:numId w:val="0"/>
        </w:numPr>
        <w:kinsoku/>
        <w:overflowPunct/>
        <w:bidi w:val="0"/>
        <w:spacing w:before="0" w:after="0" w:line="360" w:lineRule="auto"/>
        <w:ind w:leftChars="0"/>
        <w:jc w:val="center"/>
        <w:textAlignment w:val="auto"/>
        <w:rPr>
          <w:rFonts w:hint="eastAsia"/>
          <w:color w:val="auto"/>
          <w:highlight w:val="none"/>
        </w:rPr>
      </w:pPr>
      <w:bookmarkStart w:id="2484" w:name="_Toc26313"/>
      <w:bookmarkStart w:id="2485" w:name="_Toc8809"/>
      <w:bookmarkStart w:id="2486" w:name="_Toc21002"/>
      <w:r>
        <w:rPr>
          <w:rFonts w:hint="eastAsia"/>
          <w:color w:val="auto"/>
          <w:highlight w:val="none"/>
          <w:lang w:eastAsia="zh-CN"/>
        </w:rPr>
        <w:t>六、</w:t>
      </w:r>
      <w:r>
        <w:rPr>
          <w:rFonts w:hint="eastAsia"/>
          <w:color w:val="auto"/>
          <w:highlight w:val="none"/>
        </w:rPr>
        <w:t>交纳</w:t>
      </w:r>
      <w:r>
        <w:rPr>
          <w:rFonts w:hint="eastAsia"/>
          <w:color w:val="auto"/>
          <w:highlight w:val="none"/>
          <w:lang w:val="en-US" w:eastAsia="zh-CN"/>
        </w:rPr>
        <w:t>招标</w:t>
      </w:r>
      <w:r>
        <w:rPr>
          <w:rFonts w:hint="eastAsia"/>
          <w:color w:val="auto"/>
          <w:highlight w:val="none"/>
        </w:rPr>
        <w:t>代理服务费承诺书</w:t>
      </w:r>
      <w:bookmarkEnd w:id="2484"/>
      <w:bookmarkEnd w:id="2485"/>
      <w:bookmarkEnd w:id="2486"/>
    </w:p>
    <w:p w14:paraId="4C40B277">
      <w:pPr>
        <w:kinsoku/>
        <w:overflowPunct/>
        <w:bidi w:val="0"/>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 </w:t>
      </w:r>
    </w:p>
    <w:p w14:paraId="1035AB6F">
      <w:pPr>
        <w:kinsoku/>
        <w:overflowPunct/>
        <w:bidi w:val="0"/>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交纳</w:t>
      </w:r>
      <w:r>
        <w:rPr>
          <w:rFonts w:hint="eastAsia" w:ascii="宋体" w:hAnsi="宋体" w:cs="宋体"/>
          <w:b/>
          <w:color w:val="auto"/>
          <w:sz w:val="30"/>
          <w:szCs w:val="30"/>
          <w:highlight w:val="none"/>
          <w:lang w:val="en-US" w:eastAsia="zh-CN"/>
        </w:rPr>
        <w:t>招标</w:t>
      </w:r>
      <w:r>
        <w:rPr>
          <w:rFonts w:hint="eastAsia" w:ascii="宋体" w:hAnsi="宋体" w:cs="宋体"/>
          <w:b/>
          <w:color w:val="auto"/>
          <w:sz w:val="30"/>
          <w:szCs w:val="30"/>
          <w:highlight w:val="none"/>
        </w:rPr>
        <w:t>代理服务费承诺书</w:t>
      </w:r>
    </w:p>
    <w:p w14:paraId="4A58DEE4">
      <w:pPr>
        <w:widowControl/>
        <w:kinsoku/>
        <w:overflowPunct/>
        <w:bidi w:val="0"/>
        <w:spacing w:line="360" w:lineRule="auto"/>
        <w:jc w:val="left"/>
        <w:rPr>
          <w:rFonts w:hint="eastAsia" w:ascii="宋体" w:hAnsi="宋体" w:cs="宋体"/>
          <w:color w:val="auto"/>
          <w:kern w:val="0"/>
          <w:sz w:val="24"/>
          <w:szCs w:val="24"/>
          <w:highlight w:val="none"/>
          <w:u w:val="single"/>
          <w:shd w:val="clear" w:color="auto" w:fill="FFFFFF"/>
          <w:lang w:bidi="ar"/>
        </w:rPr>
      </w:pPr>
    </w:p>
    <w:p w14:paraId="7BE18E8A">
      <w:pPr>
        <w:keepNext w:val="0"/>
        <w:keepLines w:val="0"/>
        <w:pageBreakBefore w:val="0"/>
        <w:widowControl/>
        <w:kinsoku/>
        <w:wordWrap/>
        <w:overflowPunct/>
        <w:topLinePunct w:val="0"/>
        <w:autoSpaceDE/>
        <w:autoSpaceDN/>
        <w:bidi w:val="0"/>
        <w:adjustRightInd/>
        <w:snapToGrid/>
        <w:spacing w:line="360" w:lineRule="auto"/>
        <w:ind w:right="567"/>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u w:val="single"/>
          <w:shd w:val="clear" w:color="auto" w:fill="FFFFFF"/>
          <w:lang w:val="en-US" w:eastAsia="zh-CN" w:bidi="ar"/>
        </w:rPr>
        <w:t>广州竣盛工程造价咨询有限公司</w:t>
      </w:r>
      <w:r>
        <w:rPr>
          <w:rFonts w:hint="eastAsia" w:ascii="宋体" w:hAnsi="宋体" w:cs="宋体"/>
          <w:color w:val="auto"/>
          <w:kern w:val="0"/>
          <w:sz w:val="24"/>
          <w:szCs w:val="24"/>
          <w:highlight w:val="none"/>
          <w:shd w:val="clear" w:color="auto" w:fill="FFFFFF"/>
          <w:lang w:bidi="ar"/>
        </w:rPr>
        <w:t>：</w:t>
      </w:r>
    </w:p>
    <w:p w14:paraId="63BFF35B">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我司自愿参与贵司代理</w:t>
      </w:r>
      <w:r>
        <w:rPr>
          <w:rFonts w:hint="eastAsia" w:ascii="宋体" w:hAnsi="宋体" w:cs="宋体"/>
          <w:color w:val="auto"/>
          <w:kern w:val="0"/>
          <w:sz w:val="24"/>
          <w:szCs w:val="24"/>
          <w:highlight w:val="none"/>
          <w:u w:val="single"/>
          <w:shd w:val="clear" w:color="auto" w:fill="FFFFFF"/>
          <w:lang w:bidi="ar"/>
        </w:rPr>
        <w:t>项目名称：</w:t>
      </w:r>
      <w:r>
        <w:rPr>
          <w:rFonts w:hint="eastAsia" w:ascii="宋体" w:hAnsi="宋体" w:cs="宋体"/>
          <w:color w:val="auto"/>
          <w:kern w:val="0"/>
          <w:sz w:val="24"/>
          <w:szCs w:val="24"/>
          <w:highlight w:val="none"/>
          <w:u w:val="single"/>
          <w:shd w:val="clear" w:color="auto" w:fill="FFFFFF"/>
          <w:lang w:eastAsia="zh-CN" w:bidi="ar"/>
        </w:rPr>
        <w:t>500千伏番南输变电工程（变电站建筑）监理服务</w:t>
      </w:r>
      <w:r>
        <w:rPr>
          <w:rFonts w:hint="eastAsia" w:ascii="宋体" w:hAnsi="宋体" w:cs="宋体"/>
          <w:color w:val="auto"/>
          <w:kern w:val="0"/>
          <w:sz w:val="24"/>
          <w:szCs w:val="24"/>
          <w:highlight w:val="none"/>
          <w:u w:val="single"/>
          <w:shd w:val="clear" w:color="auto" w:fill="FFFFFF"/>
          <w:lang w:val="en-US" w:eastAsia="zh-CN" w:bidi="ar"/>
        </w:rPr>
        <w:t xml:space="preserve">，标段名称：500千伏番南输变电工程（变电站建筑）监理服务 </w:t>
      </w:r>
      <w:r>
        <w:rPr>
          <w:rFonts w:hint="eastAsia" w:ascii="宋体" w:hAnsi="宋体" w:cs="宋体"/>
          <w:color w:val="auto"/>
          <w:kern w:val="0"/>
          <w:sz w:val="24"/>
          <w:szCs w:val="24"/>
          <w:highlight w:val="none"/>
          <w:shd w:val="clear" w:color="auto" w:fill="FFFFFF"/>
          <w:lang w:bidi="ar"/>
        </w:rPr>
        <w:t>的采购活动，若贵司发出本项目的中标通知书或成交通知书，则视为贵司已完成本项目的全部采购代理工作，我司承诺将按照</w:t>
      </w:r>
      <w:r>
        <w:rPr>
          <w:rFonts w:hint="eastAsia" w:ascii="宋体" w:hAnsi="宋体" w:cs="宋体"/>
          <w:color w:val="auto"/>
          <w:kern w:val="0"/>
          <w:sz w:val="24"/>
          <w:szCs w:val="24"/>
          <w:highlight w:val="none"/>
          <w:shd w:val="clear" w:color="auto" w:fill="FFFFFF"/>
          <w:lang w:eastAsia="zh-CN" w:bidi="ar"/>
        </w:rPr>
        <w:t>招标文件</w:t>
      </w:r>
      <w:r>
        <w:rPr>
          <w:rFonts w:hint="eastAsia" w:ascii="宋体" w:hAnsi="宋体" w:cs="宋体"/>
          <w:color w:val="auto"/>
          <w:kern w:val="0"/>
          <w:sz w:val="24"/>
          <w:szCs w:val="24"/>
          <w:highlight w:val="none"/>
          <w:shd w:val="clear" w:color="auto" w:fill="FFFFFF"/>
          <w:lang w:bidi="ar"/>
        </w:rPr>
        <w:t>约定的标准及时、足额交纳</w:t>
      </w:r>
      <w:r>
        <w:rPr>
          <w:rFonts w:hint="eastAsia" w:ascii="宋体" w:hAnsi="宋体" w:cs="宋体"/>
          <w:color w:val="auto"/>
          <w:kern w:val="0"/>
          <w:sz w:val="24"/>
          <w:szCs w:val="24"/>
          <w:highlight w:val="none"/>
          <w:shd w:val="clear" w:color="auto" w:fill="FFFFFF"/>
          <w:lang w:val="en-US" w:eastAsia="zh-CN" w:bidi="ar"/>
        </w:rPr>
        <w:t>招标</w:t>
      </w:r>
      <w:r>
        <w:rPr>
          <w:rFonts w:hint="eastAsia" w:ascii="宋体" w:hAnsi="宋体" w:cs="宋体"/>
          <w:color w:val="auto"/>
          <w:kern w:val="0"/>
          <w:sz w:val="24"/>
          <w:szCs w:val="24"/>
          <w:highlight w:val="none"/>
          <w:shd w:val="clear" w:color="auto" w:fill="FFFFFF"/>
          <w:lang w:bidi="ar"/>
        </w:rPr>
        <w:t>代理服务费且贵司的收费不因我司中标（成交）或签约资格被取消等情形受影响。</w:t>
      </w:r>
    </w:p>
    <w:p w14:paraId="0E73275A">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若违反本承诺，我司同意贵司从投标保证金中扣减相应的金额（如因其他原因导致无法扣减的，则另行支付）且愿承担由此导致的不利信用评价风险。</w:t>
      </w:r>
    </w:p>
    <w:p w14:paraId="17AF947D">
      <w:pPr>
        <w:keepNext w:val="0"/>
        <w:keepLines w:val="0"/>
        <w:pageBreakBefore w:val="0"/>
        <w:widowControl/>
        <w:kinsoku/>
        <w:wordWrap/>
        <w:overflowPunct/>
        <w:topLinePunct w:val="0"/>
        <w:autoSpaceDE/>
        <w:autoSpaceDN/>
        <w:bidi w:val="0"/>
        <w:adjustRightInd/>
        <w:snapToGrid/>
        <w:spacing w:line="360" w:lineRule="auto"/>
        <w:ind w:right="567" w:firstLine="560"/>
        <w:jc w:val="left"/>
        <w:textAlignment w:val="auto"/>
        <w:rPr>
          <w:rFonts w:hint="eastAsia" w:ascii="宋体" w:hAnsi="宋体" w:cs="宋体"/>
          <w:color w:val="auto"/>
          <w:sz w:val="24"/>
          <w:szCs w:val="24"/>
          <w:highlight w:val="none"/>
        </w:rPr>
      </w:pPr>
      <w:r>
        <w:rPr>
          <w:rFonts w:hint="eastAsia" w:ascii="宋体" w:hAnsi="宋体" w:cs="宋体"/>
          <w:color w:val="auto"/>
          <w:kern w:val="0"/>
          <w:sz w:val="24"/>
          <w:szCs w:val="24"/>
          <w:highlight w:val="none"/>
          <w:shd w:val="clear" w:color="auto" w:fill="FFFFFF"/>
          <w:lang w:bidi="ar"/>
        </w:rPr>
        <w:t>特此承诺！</w:t>
      </w:r>
    </w:p>
    <w:p w14:paraId="53E5666B">
      <w:pPr>
        <w:pStyle w:val="224"/>
        <w:keepNext w:val="0"/>
        <w:keepLines w:val="0"/>
        <w:pageBreakBefore w:val="0"/>
        <w:kinsoku/>
        <w:wordWrap/>
        <w:overflowPunct/>
        <w:topLinePunct w:val="0"/>
        <w:autoSpaceDE/>
        <w:autoSpaceDN/>
        <w:bidi w:val="0"/>
        <w:adjustRightInd/>
        <w:snapToGrid/>
        <w:spacing w:before="0" w:line="360" w:lineRule="auto"/>
        <w:ind w:right="567"/>
        <w:jc w:val="right"/>
        <w:textAlignment w:val="auto"/>
        <w:rPr>
          <w:rFonts w:hint="eastAsia" w:cs="宋体"/>
          <w:snapToGrid w:val="0"/>
          <w:color w:val="auto"/>
          <w:kern w:val="24"/>
          <w:szCs w:val="24"/>
          <w:highlight w:val="none"/>
          <w:lang w:val="en-US"/>
        </w:rPr>
      </w:pPr>
    </w:p>
    <w:p w14:paraId="05BF14F7">
      <w:pPr>
        <w:keepNext w:val="0"/>
        <w:keepLines w:val="0"/>
        <w:pageBreakBefore w:val="0"/>
        <w:kinsoku/>
        <w:wordWrap/>
        <w:overflowPunct/>
        <w:topLinePunct w:val="0"/>
        <w:autoSpaceDE/>
        <w:autoSpaceDN/>
        <w:bidi w:val="0"/>
        <w:adjustRightInd/>
        <w:snapToGrid/>
        <w:spacing w:line="360" w:lineRule="auto"/>
        <w:ind w:right="567" w:firstLine="3465" w:firstLineChars="1575"/>
        <w:textAlignment w:val="auto"/>
        <w:rPr>
          <w:rFonts w:hint="default" w:ascii="宋体" w:hAnsi="宋体" w:eastAsia="宋体" w:cs="宋体"/>
          <w:color w:val="auto"/>
          <w:sz w:val="22"/>
          <w:szCs w:val="22"/>
          <w:highlight w:val="none"/>
          <w:u w:val="single"/>
          <w:lang w:val="en-US" w:eastAsia="zh-CN"/>
        </w:rPr>
      </w:pPr>
      <w:r>
        <w:rPr>
          <w:rFonts w:hint="eastAsia" w:ascii="宋体" w:hAnsi="宋体" w:cs="宋体"/>
          <w:color w:val="auto"/>
          <w:sz w:val="22"/>
          <w:szCs w:val="22"/>
          <w:highlight w:val="none"/>
          <w:lang w:val="en-US" w:eastAsia="zh-CN"/>
        </w:rPr>
        <w:t>投标人</w:t>
      </w:r>
      <w:r>
        <w:rPr>
          <w:rFonts w:hint="eastAsia" w:ascii="宋体" w:hAnsi="宋体" w:cs="宋体"/>
          <w:color w:val="auto"/>
          <w:sz w:val="22"/>
          <w:szCs w:val="22"/>
          <w:highlight w:val="none"/>
        </w:rPr>
        <w:t>名称（</w:t>
      </w:r>
      <w:r>
        <w:rPr>
          <w:rFonts w:hint="eastAsia" w:ascii="宋体" w:hAnsi="宋体" w:cs="宋体"/>
          <w:color w:val="auto"/>
          <w:highlight w:val="none"/>
          <w:u w:val="none"/>
          <w:lang w:val="en-US" w:eastAsia="zh-CN"/>
        </w:rPr>
        <w:t>盖电子印章</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 xml:space="preserve">            </w:t>
      </w:r>
    </w:p>
    <w:p w14:paraId="1831F3AA">
      <w:pPr>
        <w:pStyle w:val="17"/>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 xml:space="preserve">                                    </w:t>
      </w:r>
      <w:r>
        <w:rPr>
          <w:rFonts w:hint="eastAsia" w:ascii="宋体" w:hAnsi="宋体" w:eastAsia="宋体" w:cs="宋体"/>
          <w:b w:val="0"/>
          <w:bCs w:val="0"/>
          <w:color w:val="auto"/>
          <w:kern w:val="2"/>
          <w:sz w:val="22"/>
          <w:szCs w:val="22"/>
          <w:highlight w:val="none"/>
          <w:lang w:val="en-US" w:eastAsia="zh-CN" w:bidi="ar-SA"/>
        </w:rPr>
        <w:t>日    期：     年     月     日</w:t>
      </w:r>
    </w:p>
    <w:p w14:paraId="580A91EC">
      <w:pPr>
        <w:bidi w:val="0"/>
        <w:rPr>
          <w:color w:val="auto"/>
          <w:highlight w:val="none"/>
        </w:rPr>
      </w:pPr>
    </w:p>
    <w:p w14:paraId="2C3BFA71">
      <w:pPr>
        <w:pStyle w:val="43"/>
        <w:rPr>
          <w:rFonts w:hint="eastAsia"/>
          <w:color w:val="auto"/>
          <w:sz w:val="36"/>
          <w:szCs w:val="36"/>
          <w:highlight w:val="none"/>
        </w:rPr>
        <w:sectPr>
          <w:headerReference r:id="rId8" w:type="default"/>
          <w:footerReference r:id="rId9" w:type="default"/>
          <w:pgSz w:w="11906" w:h="16838"/>
          <w:pgMar w:top="1440" w:right="1080" w:bottom="1440" w:left="1080" w:header="964" w:footer="992" w:gutter="0"/>
          <w:pgNumType w:fmt="decimal"/>
          <w:cols w:space="720" w:num="1"/>
          <w:docGrid w:type="lines" w:linePitch="312" w:charSpace="0"/>
        </w:sectPr>
      </w:pPr>
    </w:p>
    <w:p w14:paraId="32FA60A8">
      <w:pPr>
        <w:pStyle w:val="5"/>
        <w:kinsoku/>
        <w:overflowPunct/>
        <w:bidi w:val="0"/>
        <w:spacing w:before="0" w:after="0" w:line="360" w:lineRule="auto"/>
        <w:textAlignment w:val="auto"/>
        <w:rPr>
          <w:rFonts w:hint="eastAsia" w:eastAsia="宋体"/>
          <w:color w:val="auto"/>
          <w:highlight w:val="none"/>
          <w:lang w:eastAsia="zh-CN"/>
        </w:rPr>
      </w:pPr>
      <w:bookmarkStart w:id="2487" w:name="_Toc797"/>
      <w:bookmarkStart w:id="2488" w:name="_Toc3015"/>
      <w:bookmarkStart w:id="2489" w:name="_Toc27713"/>
      <w:r>
        <w:rPr>
          <w:rFonts w:hint="eastAsia"/>
          <w:color w:val="auto"/>
          <w:highlight w:val="none"/>
          <w:lang w:val="en-US" w:eastAsia="zh-CN"/>
        </w:rPr>
        <w:t>七、投标</w:t>
      </w:r>
      <w:r>
        <w:rPr>
          <w:rFonts w:hint="eastAsia"/>
          <w:color w:val="auto"/>
          <w:highlight w:val="none"/>
        </w:rPr>
        <w:t>偏差表</w:t>
      </w:r>
      <w:bookmarkEnd w:id="2487"/>
      <w:bookmarkEnd w:id="2488"/>
      <w:bookmarkEnd w:id="2489"/>
    </w:p>
    <w:p w14:paraId="5EA6E64C">
      <w:pPr>
        <w:kinsoku/>
        <w:overflowPunct/>
        <w:bidi w:val="0"/>
        <w:spacing w:line="360" w:lineRule="auto"/>
        <w:rPr>
          <w:rFonts w:hint="eastAsia" w:ascii="宋体" w:hAnsi="宋体" w:cs="宋体"/>
          <w:color w:val="auto"/>
          <w:szCs w:val="21"/>
          <w:highlight w:val="none"/>
        </w:rPr>
      </w:pPr>
    </w:p>
    <w:p w14:paraId="4330E175">
      <w:pPr>
        <w:kinsoku/>
        <w:overflowPunct/>
        <w:bidi w:val="0"/>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500千伏番南输变电工程（变电站建筑）监理服务</w:t>
      </w:r>
    </w:p>
    <w:p w14:paraId="02428771">
      <w:pPr>
        <w:kinsoku/>
        <w:overflowPunct/>
        <w:bidi w:val="0"/>
        <w:spacing w:line="360" w:lineRule="auto"/>
        <w:rPr>
          <w:rFonts w:hint="eastAsia" w:ascii="宋体" w:hAnsi="宋体" w:eastAsia="宋体" w:cs="宋体"/>
          <w:color w:val="auto"/>
          <w:szCs w:val="21"/>
          <w:highlight w:val="none"/>
          <w:lang w:val="en-US" w:eastAsia="zh-CN"/>
        </w:rPr>
      </w:pPr>
      <w:r>
        <w:rPr>
          <w:rFonts w:hint="eastAsia" w:hAnsi="宋体"/>
          <w:color w:val="auto"/>
          <w:highlight w:val="none"/>
          <w:u w:val="none"/>
          <w:lang w:eastAsia="zh-CN"/>
        </w:rPr>
        <w:t>标段名称：</w:t>
      </w:r>
      <w:r>
        <w:rPr>
          <w:rFonts w:hint="eastAsia" w:hAnsi="宋体"/>
          <w:color w:val="auto"/>
          <w:highlight w:val="none"/>
          <w:u w:val="single"/>
          <w:lang w:eastAsia="zh-CN"/>
        </w:rPr>
        <w:t>500千伏番南输变电工程（变电站建筑）监理服务</w:t>
      </w:r>
    </w:p>
    <w:tbl>
      <w:tblPr>
        <w:tblStyle w:val="46"/>
        <w:tblW w:w="10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917"/>
        <w:gridCol w:w="1929"/>
        <w:gridCol w:w="2180"/>
        <w:gridCol w:w="1983"/>
        <w:gridCol w:w="1822"/>
      </w:tblGrid>
      <w:tr w14:paraId="6F73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1FF97329">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51498AD">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文件条目号</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53F875D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招标</w:t>
            </w:r>
            <w:r>
              <w:rPr>
                <w:rFonts w:hint="eastAsia" w:ascii="宋体" w:hAnsi="宋体" w:cs="宋体"/>
                <w:color w:val="auto"/>
                <w:szCs w:val="21"/>
                <w:highlight w:val="none"/>
              </w:rPr>
              <w:t>文件条款</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6F0A4A28">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投标文件（含定标文件）</w:t>
            </w:r>
            <w:r>
              <w:rPr>
                <w:rFonts w:hint="eastAsia" w:ascii="宋体" w:hAnsi="宋体" w:cs="宋体"/>
                <w:color w:val="auto"/>
                <w:szCs w:val="21"/>
                <w:highlight w:val="none"/>
              </w:rPr>
              <w:t>条目号</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295586F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olor w:val="auto"/>
                <w:highlight w:val="none"/>
                <w:lang w:val="en-US" w:eastAsia="zh-CN"/>
              </w:rPr>
              <w:t>投标文件（含定标文件）</w:t>
            </w:r>
            <w:r>
              <w:rPr>
                <w:rFonts w:hint="eastAsia" w:ascii="宋体" w:hAnsi="宋体" w:cs="宋体"/>
                <w:color w:val="auto"/>
                <w:szCs w:val="21"/>
                <w:highlight w:val="none"/>
              </w:rPr>
              <w:t>条款</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4313D649">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偏差说明</w:t>
            </w:r>
          </w:p>
        </w:tc>
      </w:tr>
      <w:tr w14:paraId="326B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72DF9EB9">
            <w:pPr>
              <w:kinsoku/>
              <w:overflowPunct/>
              <w:autoSpaceDE w:val="0"/>
              <w:autoSpaceDN w:val="0"/>
              <w:bidi w:val="0"/>
              <w:adjustRightIn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A838C5B">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29" w:type="dxa"/>
            <w:tcBorders>
              <w:top w:val="single" w:color="auto" w:sz="4" w:space="0"/>
              <w:left w:val="single" w:color="auto" w:sz="4" w:space="0"/>
              <w:bottom w:val="single" w:color="auto" w:sz="4" w:space="0"/>
              <w:right w:val="single" w:color="auto" w:sz="4" w:space="0"/>
            </w:tcBorders>
            <w:noWrap w:val="0"/>
            <w:vAlign w:val="center"/>
          </w:tcPr>
          <w:p w14:paraId="5BE9A1BB">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2180" w:type="dxa"/>
            <w:tcBorders>
              <w:top w:val="single" w:color="auto" w:sz="4" w:space="0"/>
              <w:left w:val="single" w:color="auto" w:sz="4" w:space="0"/>
              <w:bottom w:val="single" w:color="auto" w:sz="4" w:space="0"/>
              <w:right w:val="single" w:color="auto" w:sz="4" w:space="0"/>
            </w:tcBorders>
            <w:noWrap w:val="0"/>
            <w:vAlign w:val="center"/>
          </w:tcPr>
          <w:p w14:paraId="3162F209">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983" w:type="dxa"/>
            <w:tcBorders>
              <w:top w:val="single" w:color="auto" w:sz="4" w:space="0"/>
              <w:left w:val="single" w:color="auto" w:sz="4" w:space="0"/>
              <w:bottom w:val="single" w:color="auto" w:sz="4" w:space="0"/>
              <w:right w:val="single" w:color="auto" w:sz="4" w:space="0"/>
            </w:tcBorders>
            <w:noWrap w:val="0"/>
            <w:vAlign w:val="center"/>
          </w:tcPr>
          <w:p w14:paraId="5B88FC6F">
            <w:pPr>
              <w:kinsoku/>
              <w:overflowPunct/>
              <w:autoSpaceDE w:val="0"/>
              <w:autoSpaceDN w:val="0"/>
              <w:bidi w:val="0"/>
              <w:adjustRightInd w:val="0"/>
              <w:spacing w:line="360" w:lineRule="auto"/>
              <w:jc w:val="center"/>
              <w:rPr>
                <w:rFonts w:ascii="宋体" w:hAnsi="宋体" w:cs="宋体"/>
                <w:color w:val="auto"/>
                <w:szCs w:val="21"/>
                <w:highlight w:val="none"/>
              </w:rPr>
            </w:pPr>
          </w:p>
        </w:tc>
        <w:tc>
          <w:tcPr>
            <w:tcW w:w="1822" w:type="dxa"/>
            <w:tcBorders>
              <w:top w:val="single" w:color="auto" w:sz="4" w:space="0"/>
              <w:left w:val="single" w:color="auto" w:sz="4" w:space="0"/>
              <w:bottom w:val="single" w:color="auto" w:sz="4" w:space="0"/>
              <w:right w:val="single" w:color="auto" w:sz="4" w:space="0"/>
            </w:tcBorders>
            <w:noWrap w:val="0"/>
            <w:vAlign w:val="center"/>
          </w:tcPr>
          <w:p w14:paraId="6E6DC8DA">
            <w:pPr>
              <w:kinsoku/>
              <w:overflowPunct/>
              <w:autoSpaceDE w:val="0"/>
              <w:autoSpaceDN w:val="0"/>
              <w:bidi w:val="0"/>
              <w:adjustRightInd w:val="0"/>
              <w:spacing w:line="360" w:lineRule="auto"/>
              <w:jc w:val="center"/>
              <w:rPr>
                <w:rFonts w:ascii="宋体" w:hAnsi="宋体" w:cs="宋体"/>
                <w:color w:val="auto"/>
                <w:szCs w:val="21"/>
                <w:highlight w:val="none"/>
              </w:rPr>
            </w:pPr>
          </w:p>
        </w:tc>
      </w:tr>
      <w:tr w14:paraId="0878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14:paraId="27E977FC">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2160F3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29" w:type="dxa"/>
            <w:tcBorders>
              <w:top w:val="single" w:color="auto" w:sz="4" w:space="0"/>
              <w:left w:val="single" w:color="auto" w:sz="4" w:space="0"/>
              <w:bottom w:val="single" w:color="auto" w:sz="4" w:space="0"/>
              <w:right w:val="single" w:color="auto" w:sz="4" w:space="0"/>
            </w:tcBorders>
            <w:noWrap w:val="0"/>
            <w:vAlign w:val="center"/>
          </w:tcPr>
          <w:p w14:paraId="469CAB07">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2180" w:type="dxa"/>
            <w:tcBorders>
              <w:top w:val="single" w:color="auto" w:sz="4" w:space="0"/>
              <w:left w:val="single" w:color="auto" w:sz="4" w:space="0"/>
              <w:bottom w:val="single" w:color="auto" w:sz="4" w:space="0"/>
              <w:right w:val="single" w:color="auto" w:sz="4" w:space="0"/>
            </w:tcBorders>
            <w:noWrap w:val="0"/>
            <w:vAlign w:val="center"/>
          </w:tcPr>
          <w:p w14:paraId="0AA2E21A">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3F23EBFA">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822" w:type="dxa"/>
            <w:tcBorders>
              <w:top w:val="single" w:color="auto" w:sz="4" w:space="0"/>
              <w:left w:val="single" w:color="auto" w:sz="4" w:space="0"/>
              <w:bottom w:val="single" w:color="auto" w:sz="4" w:space="0"/>
              <w:right w:val="single" w:color="auto" w:sz="4" w:space="0"/>
            </w:tcBorders>
            <w:noWrap w:val="0"/>
            <w:vAlign w:val="center"/>
          </w:tcPr>
          <w:p w14:paraId="3DC0426B">
            <w:pPr>
              <w:kinsoku/>
              <w:overflowPunct/>
              <w:autoSpaceDE w:val="0"/>
              <w:autoSpaceDN w:val="0"/>
              <w:bidi w:val="0"/>
              <w:adjustRightIn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p>
        </w:tc>
      </w:tr>
    </w:tbl>
    <w:p w14:paraId="297FEAF5">
      <w:pPr>
        <w:kinsoku/>
        <w:overflowPunct/>
        <w:autoSpaceDE w:val="0"/>
        <w:autoSpaceDN w:val="0"/>
        <w:bidi w:val="0"/>
        <w:adjustRightIn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w:t>
      </w:r>
    </w:p>
    <w:p w14:paraId="1D980FFE">
      <w:pPr>
        <w:kinsoku/>
        <w:overflowPunct/>
        <w:autoSpaceDE w:val="0"/>
        <w:autoSpaceDN w:val="0"/>
        <w:bidi w:val="0"/>
        <w:adjustRightIn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1.投标人对招标文件的所有条款、条件及规定的任何偏差，无论偏差多么微小，都应在偏差表中加以说明；如无偏差，投标人应在偏差表中填写“无偏差”。</w:t>
      </w:r>
    </w:p>
    <w:p w14:paraId="495E03FD">
      <w:pPr>
        <w:kinsoku/>
        <w:overflowPunct/>
        <w:autoSpaceDE w:val="0"/>
        <w:autoSpaceDN w:val="0"/>
        <w:bidi w:val="0"/>
        <w:adjustRightIn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2.对于投标人提出的但未在投标偏差表列明的偏差部分，招标人将视为投标人未提出该偏差，视为投标方完全响应本项目招标文件的所有条款要求。 </w:t>
      </w:r>
    </w:p>
    <w:p w14:paraId="03AA12B5">
      <w:pPr>
        <w:kinsoku/>
        <w:overflowPunct/>
        <w:autoSpaceDE w:val="0"/>
        <w:autoSpaceDN w:val="0"/>
        <w:bidi w:val="0"/>
        <w:adjustRightInd w:val="0"/>
        <w:spacing w:line="360" w:lineRule="auto"/>
        <w:rPr>
          <w:rFonts w:ascii="宋体" w:hAnsi="宋体" w:cs="宋体"/>
          <w:color w:val="auto"/>
          <w:szCs w:val="21"/>
          <w:highlight w:val="none"/>
        </w:rPr>
      </w:pPr>
      <w:r>
        <w:rPr>
          <w:rFonts w:hint="eastAsia" w:ascii="宋体" w:hAnsi="宋体" w:cs="宋体"/>
          <w:color w:val="auto"/>
          <w:szCs w:val="21"/>
          <w:highlight w:val="none"/>
        </w:rPr>
        <w:t>3.投标偏差表内容和其他</w:t>
      </w:r>
      <w:r>
        <w:rPr>
          <w:rFonts w:hint="eastAsia" w:ascii="宋体" w:hAnsi="宋体" w:cs="宋体"/>
          <w:color w:val="auto"/>
          <w:szCs w:val="21"/>
          <w:highlight w:val="none"/>
          <w:lang w:eastAsia="zh-CN"/>
        </w:rPr>
        <w:t>投标文件（含定标文件）</w:t>
      </w:r>
      <w:r>
        <w:rPr>
          <w:rFonts w:hint="eastAsia" w:ascii="宋体" w:hAnsi="宋体" w:cs="宋体"/>
          <w:color w:val="auto"/>
          <w:szCs w:val="21"/>
          <w:highlight w:val="none"/>
        </w:rPr>
        <w:t>内容表述不一致时，以偏差表为准。</w:t>
      </w:r>
    </w:p>
    <w:p w14:paraId="48D1C8B3">
      <w:pPr>
        <w:kinsoku/>
        <w:overflowPunct/>
        <w:bidi w:val="0"/>
        <w:spacing w:line="360" w:lineRule="auto"/>
        <w:ind w:firstLine="3885" w:firstLineChars="1850"/>
        <w:rPr>
          <w:rFonts w:hint="eastAsia" w:ascii="宋体" w:hAnsi="宋体" w:cs="宋体"/>
          <w:color w:val="auto"/>
          <w:szCs w:val="21"/>
          <w:highlight w:val="none"/>
        </w:rPr>
      </w:pPr>
    </w:p>
    <w:p w14:paraId="215B42E8">
      <w:pPr>
        <w:ind w:firstLine="3885" w:firstLineChars="1850"/>
        <w:outlineLvl w:val="9"/>
        <w:rPr>
          <w:rFonts w:ascii="宋体" w:hAnsi="宋体" w:cs="宋体"/>
          <w:color w:val="auto"/>
          <w:szCs w:val="21"/>
          <w:highlight w:val="none"/>
          <w:u w:val="single"/>
        </w:rPr>
      </w:pPr>
      <w:bookmarkStart w:id="2490" w:name="_Toc1585"/>
      <w:bookmarkStart w:id="2491" w:name="_Toc14850"/>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w:t>
      </w:r>
      <w:r>
        <w:rPr>
          <w:rFonts w:hint="eastAsia" w:ascii="宋体" w:hAnsi="宋体" w:cs="宋体"/>
          <w:color w:val="auto"/>
          <w:highlight w:val="none"/>
          <w:u w:val="none"/>
          <w:lang w:val="en-US" w:eastAsia="zh-CN"/>
        </w:rPr>
        <w:t>盖电子印章</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rPr>
        <w:t xml:space="preserve">                                   </w:t>
      </w:r>
    </w:p>
    <w:p w14:paraId="594F1C14">
      <w:pPr>
        <w:ind w:firstLine="3885" w:firstLineChars="1850"/>
        <w:outlineLvl w:val="9"/>
        <w:rPr>
          <w:rFonts w:ascii="宋体" w:hAnsi="宋体" w:cs="宋体"/>
          <w:color w:val="auto"/>
          <w:szCs w:val="21"/>
          <w:highlight w:val="none"/>
          <w:u w:val="single"/>
        </w:rPr>
      </w:pPr>
    </w:p>
    <w:p w14:paraId="67091C98">
      <w:pPr>
        <w:kinsoku/>
        <w:overflowPunct/>
        <w:bidi w:val="0"/>
        <w:spacing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bookmarkEnd w:id="2490"/>
      <w:bookmarkEnd w:id="2491"/>
    </w:p>
    <w:p w14:paraId="40446825">
      <w:pPr>
        <w:rPr>
          <w:b/>
          <w:color w:val="auto"/>
          <w:szCs w:val="21"/>
          <w:highlight w:val="none"/>
          <w:shd w:val="clear" w:color="auto" w:fill="FFFFFF"/>
        </w:rPr>
      </w:pPr>
    </w:p>
    <w:p w14:paraId="2E78D8DB">
      <w:pPr>
        <w:rPr>
          <w:b/>
          <w:color w:val="auto"/>
          <w:szCs w:val="21"/>
          <w:highlight w:val="none"/>
          <w:shd w:val="clear" w:color="auto" w:fill="FFFFFF"/>
        </w:rPr>
      </w:pPr>
    </w:p>
    <w:p w14:paraId="54A8D81E">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05C42CC7">
      <w:pPr>
        <w:pStyle w:val="5"/>
        <w:kinsoku/>
        <w:overflowPunct/>
        <w:bidi w:val="0"/>
        <w:spacing w:before="0" w:after="0" w:line="360" w:lineRule="auto"/>
        <w:textAlignment w:val="auto"/>
        <w:rPr>
          <w:rFonts w:hint="eastAsia"/>
          <w:color w:val="auto"/>
          <w:highlight w:val="none"/>
          <w:lang w:val="en-US" w:eastAsia="zh-CN"/>
        </w:rPr>
      </w:pPr>
      <w:bookmarkStart w:id="2492" w:name="_Toc30617"/>
      <w:bookmarkStart w:id="2493" w:name="_Toc3071"/>
      <w:bookmarkStart w:id="2494" w:name="_Toc12325"/>
      <w:r>
        <w:rPr>
          <w:rFonts w:hint="eastAsia"/>
          <w:color w:val="auto"/>
          <w:highlight w:val="none"/>
          <w:lang w:val="en-US" w:eastAsia="zh-CN"/>
        </w:rPr>
        <w:t>八、企业基本情况</w:t>
      </w:r>
      <w:bookmarkEnd w:id="2492"/>
      <w:bookmarkEnd w:id="2493"/>
      <w:bookmarkEnd w:id="2494"/>
    </w:p>
    <w:p w14:paraId="0F2EE313">
      <w:pPr>
        <w:kinsoku/>
        <w:overflowPunct/>
        <w:bidi w:val="0"/>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附表：</w:t>
      </w:r>
      <w:r>
        <w:rPr>
          <w:rFonts w:hint="eastAsia" w:ascii="宋体" w:hAnsi="宋体" w:cs="宋体"/>
          <w:b/>
          <w:color w:val="auto"/>
          <w:sz w:val="24"/>
          <w:szCs w:val="24"/>
          <w:highlight w:val="none"/>
          <w:lang w:val="en-US" w:eastAsia="zh-CN"/>
        </w:rPr>
        <w:t>投标人</w:t>
      </w:r>
      <w:r>
        <w:rPr>
          <w:rFonts w:hint="eastAsia" w:ascii="宋体" w:hAnsi="宋体" w:cs="宋体"/>
          <w:b/>
          <w:color w:val="auto"/>
          <w:sz w:val="24"/>
          <w:szCs w:val="24"/>
          <w:highlight w:val="none"/>
        </w:rPr>
        <w:t>基本情况表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82"/>
        <w:gridCol w:w="1265"/>
        <w:gridCol w:w="1265"/>
        <w:gridCol w:w="1265"/>
        <w:gridCol w:w="1265"/>
        <w:gridCol w:w="1968"/>
      </w:tblGrid>
      <w:tr w14:paraId="19C4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31C0AC17">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投标人名称</w:t>
            </w:r>
          </w:p>
        </w:tc>
        <w:tc>
          <w:tcPr>
            <w:tcW w:w="8010" w:type="dxa"/>
            <w:gridSpan w:val="6"/>
            <w:noWrap w:val="0"/>
            <w:vAlign w:val="center"/>
          </w:tcPr>
          <w:p w14:paraId="40C5B169">
            <w:pPr>
              <w:pStyle w:val="105"/>
              <w:kinsoku/>
              <w:overflowPunct/>
              <w:bidi w:val="0"/>
              <w:spacing w:line="360" w:lineRule="auto"/>
              <w:jc w:val="center"/>
              <w:rPr>
                <w:rFonts w:hint="eastAsia" w:hAnsi="宋体"/>
                <w:color w:val="auto"/>
                <w:sz w:val="21"/>
                <w:szCs w:val="21"/>
                <w:highlight w:val="none"/>
              </w:rPr>
            </w:pPr>
          </w:p>
        </w:tc>
      </w:tr>
      <w:tr w14:paraId="4617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449ACFF9">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注册地址</w:t>
            </w:r>
          </w:p>
        </w:tc>
        <w:tc>
          <w:tcPr>
            <w:tcW w:w="3512" w:type="dxa"/>
            <w:gridSpan w:val="3"/>
            <w:noWrap w:val="0"/>
            <w:vAlign w:val="center"/>
          </w:tcPr>
          <w:p w14:paraId="626B14AC">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11ED467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邮政编码</w:t>
            </w:r>
          </w:p>
        </w:tc>
        <w:tc>
          <w:tcPr>
            <w:tcW w:w="3233" w:type="dxa"/>
            <w:gridSpan w:val="2"/>
            <w:noWrap w:val="0"/>
            <w:vAlign w:val="center"/>
          </w:tcPr>
          <w:p w14:paraId="3E4713A9">
            <w:pPr>
              <w:pStyle w:val="105"/>
              <w:kinsoku/>
              <w:overflowPunct/>
              <w:bidi w:val="0"/>
              <w:spacing w:line="360" w:lineRule="auto"/>
              <w:jc w:val="center"/>
              <w:rPr>
                <w:rFonts w:hint="eastAsia" w:hAnsi="宋体"/>
                <w:color w:val="auto"/>
                <w:sz w:val="21"/>
                <w:szCs w:val="21"/>
                <w:highlight w:val="none"/>
              </w:rPr>
            </w:pPr>
          </w:p>
        </w:tc>
      </w:tr>
      <w:tr w14:paraId="3B7E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restart"/>
            <w:noWrap w:val="0"/>
            <w:vAlign w:val="center"/>
          </w:tcPr>
          <w:p w14:paraId="68352CC0">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联系方式</w:t>
            </w:r>
          </w:p>
        </w:tc>
        <w:tc>
          <w:tcPr>
            <w:tcW w:w="982" w:type="dxa"/>
            <w:noWrap w:val="0"/>
            <w:vAlign w:val="center"/>
          </w:tcPr>
          <w:p w14:paraId="2B476189">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联系人</w:t>
            </w:r>
          </w:p>
        </w:tc>
        <w:tc>
          <w:tcPr>
            <w:tcW w:w="2530" w:type="dxa"/>
            <w:gridSpan w:val="2"/>
            <w:noWrap w:val="0"/>
            <w:vAlign w:val="center"/>
          </w:tcPr>
          <w:p w14:paraId="2120E393">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5AFA49C7">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3233" w:type="dxa"/>
            <w:gridSpan w:val="2"/>
            <w:noWrap w:val="0"/>
            <w:vAlign w:val="center"/>
          </w:tcPr>
          <w:p w14:paraId="7050088F">
            <w:pPr>
              <w:pStyle w:val="105"/>
              <w:kinsoku/>
              <w:overflowPunct/>
              <w:bidi w:val="0"/>
              <w:spacing w:line="360" w:lineRule="auto"/>
              <w:jc w:val="center"/>
              <w:rPr>
                <w:rFonts w:hint="eastAsia" w:hAnsi="宋体"/>
                <w:color w:val="auto"/>
                <w:sz w:val="21"/>
                <w:szCs w:val="21"/>
                <w:highlight w:val="none"/>
              </w:rPr>
            </w:pPr>
          </w:p>
        </w:tc>
      </w:tr>
      <w:tr w14:paraId="288E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vMerge w:val="continue"/>
            <w:noWrap w:val="0"/>
            <w:vAlign w:val="center"/>
          </w:tcPr>
          <w:p w14:paraId="3CEC226B">
            <w:pPr>
              <w:pStyle w:val="105"/>
              <w:kinsoku/>
              <w:overflowPunct/>
              <w:bidi w:val="0"/>
              <w:spacing w:line="360" w:lineRule="auto"/>
              <w:jc w:val="center"/>
              <w:rPr>
                <w:rFonts w:hint="eastAsia" w:hAnsi="宋体"/>
                <w:color w:val="auto"/>
                <w:sz w:val="21"/>
                <w:szCs w:val="21"/>
                <w:highlight w:val="none"/>
              </w:rPr>
            </w:pPr>
          </w:p>
        </w:tc>
        <w:tc>
          <w:tcPr>
            <w:tcW w:w="982" w:type="dxa"/>
            <w:noWrap w:val="0"/>
            <w:vAlign w:val="center"/>
          </w:tcPr>
          <w:p w14:paraId="49536CC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传真</w:t>
            </w:r>
          </w:p>
        </w:tc>
        <w:tc>
          <w:tcPr>
            <w:tcW w:w="2530" w:type="dxa"/>
            <w:gridSpan w:val="2"/>
            <w:noWrap w:val="0"/>
            <w:vAlign w:val="center"/>
          </w:tcPr>
          <w:p w14:paraId="7CB66010">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09BE741E">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网址</w:t>
            </w:r>
          </w:p>
        </w:tc>
        <w:tc>
          <w:tcPr>
            <w:tcW w:w="3233" w:type="dxa"/>
            <w:gridSpan w:val="2"/>
            <w:noWrap w:val="0"/>
            <w:vAlign w:val="center"/>
          </w:tcPr>
          <w:p w14:paraId="60314EAD">
            <w:pPr>
              <w:pStyle w:val="105"/>
              <w:kinsoku/>
              <w:overflowPunct/>
              <w:bidi w:val="0"/>
              <w:spacing w:line="360" w:lineRule="auto"/>
              <w:jc w:val="center"/>
              <w:rPr>
                <w:rFonts w:hint="eastAsia" w:hAnsi="宋体"/>
                <w:color w:val="auto"/>
                <w:sz w:val="21"/>
                <w:szCs w:val="21"/>
                <w:highlight w:val="none"/>
              </w:rPr>
            </w:pPr>
          </w:p>
        </w:tc>
      </w:tr>
      <w:tr w14:paraId="1260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10BE25A">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组织结构</w:t>
            </w:r>
          </w:p>
        </w:tc>
        <w:tc>
          <w:tcPr>
            <w:tcW w:w="8010" w:type="dxa"/>
            <w:gridSpan w:val="6"/>
            <w:noWrap w:val="0"/>
            <w:vAlign w:val="center"/>
          </w:tcPr>
          <w:p w14:paraId="1676CAA4">
            <w:pPr>
              <w:pStyle w:val="105"/>
              <w:kinsoku/>
              <w:overflowPunct/>
              <w:bidi w:val="0"/>
              <w:spacing w:line="360" w:lineRule="auto"/>
              <w:jc w:val="center"/>
              <w:rPr>
                <w:rFonts w:hint="eastAsia" w:hAnsi="宋体"/>
                <w:color w:val="auto"/>
                <w:sz w:val="21"/>
                <w:szCs w:val="21"/>
                <w:highlight w:val="none"/>
              </w:rPr>
            </w:pPr>
          </w:p>
        </w:tc>
      </w:tr>
      <w:tr w14:paraId="06CD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C40DC3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法定代表人</w:t>
            </w:r>
          </w:p>
        </w:tc>
        <w:tc>
          <w:tcPr>
            <w:tcW w:w="982" w:type="dxa"/>
            <w:noWrap w:val="0"/>
            <w:vAlign w:val="center"/>
          </w:tcPr>
          <w:p w14:paraId="2B2AA1FD">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姓名</w:t>
            </w:r>
          </w:p>
        </w:tc>
        <w:tc>
          <w:tcPr>
            <w:tcW w:w="1265" w:type="dxa"/>
            <w:noWrap w:val="0"/>
            <w:vAlign w:val="center"/>
          </w:tcPr>
          <w:p w14:paraId="784F13BF">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2C08B5AB">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技术职称</w:t>
            </w:r>
          </w:p>
        </w:tc>
        <w:tc>
          <w:tcPr>
            <w:tcW w:w="1265" w:type="dxa"/>
            <w:noWrap w:val="0"/>
            <w:vAlign w:val="center"/>
          </w:tcPr>
          <w:p w14:paraId="0D01543B">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563BC81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1968" w:type="dxa"/>
            <w:noWrap w:val="0"/>
            <w:vAlign w:val="center"/>
          </w:tcPr>
          <w:p w14:paraId="7BEEB1E7">
            <w:pPr>
              <w:pStyle w:val="105"/>
              <w:kinsoku/>
              <w:overflowPunct/>
              <w:bidi w:val="0"/>
              <w:spacing w:line="360" w:lineRule="auto"/>
              <w:jc w:val="center"/>
              <w:rPr>
                <w:rFonts w:hint="eastAsia" w:hAnsi="宋体"/>
                <w:color w:val="auto"/>
                <w:sz w:val="21"/>
                <w:szCs w:val="21"/>
                <w:highlight w:val="none"/>
              </w:rPr>
            </w:pPr>
          </w:p>
        </w:tc>
      </w:tr>
      <w:tr w14:paraId="0D03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48EFA29B">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技术负责人</w:t>
            </w:r>
          </w:p>
        </w:tc>
        <w:tc>
          <w:tcPr>
            <w:tcW w:w="982" w:type="dxa"/>
            <w:noWrap w:val="0"/>
            <w:vAlign w:val="center"/>
          </w:tcPr>
          <w:p w14:paraId="24B8510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姓名</w:t>
            </w:r>
          </w:p>
        </w:tc>
        <w:tc>
          <w:tcPr>
            <w:tcW w:w="1265" w:type="dxa"/>
            <w:noWrap w:val="0"/>
            <w:vAlign w:val="center"/>
          </w:tcPr>
          <w:p w14:paraId="2B695206">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15DB10F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技术职称</w:t>
            </w:r>
          </w:p>
        </w:tc>
        <w:tc>
          <w:tcPr>
            <w:tcW w:w="1265" w:type="dxa"/>
            <w:noWrap w:val="0"/>
            <w:vAlign w:val="center"/>
          </w:tcPr>
          <w:p w14:paraId="6240CAA8">
            <w:pPr>
              <w:pStyle w:val="105"/>
              <w:kinsoku/>
              <w:overflowPunct/>
              <w:bidi w:val="0"/>
              <w:spacing w:line="360" w:lineRule="auto"/>
              <w:jc w:val="center"/>
              <w:rPr>
                <w:rFonts w:hint="eastAsia" w:hAnsi="宋体"/>
                <w:color w:val="auto"/>
                <w:sz w:val="21"/>
                <w:szCs w:val="21"/>
                <w:highlight w:val="none"/>
              </w:rPr>
            </w:pPr>
          </w:p>
        </w:tc>
        <w:tc>
          <w:tcPr>
            <w:tcW w:w="1265" w:type="dxa"/>
            <w:noWrap w:val="0"/>
            <w:vAlign w:val="center"/>
          </w:tcPr>
          <w:p w14:paraId="28DB5C7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电话</w:t>
            </w:r>
          </w:p>
        </w:tc>
        <w:tc>
          <w:tcPr>
            <w:tcW w:w="1968" w:type="dxa"/>
            <w:noWrap w:val="0"/>
            <w:vAlign w:val="center"/>
          </w:tcPr>
          <w:p w14:paraId="499F8DC0">
            <w:pPr>
              <w:pStyle w:val="105"/>
              <w:kinsoku/>
              <w:overflowPunct/>
              <w:bidi w:val="0"/>
              <w:spacing w:line="360" w:lineRule="auto"/>
              <w:jc w:val="center"/>
              <w:rPr>
                <w:rFonts w:hint="eastAsia" w:hAnsi="宋体"/>
                <w:color w:val="auto"/>
                <w:sz w:val="21"/>
                <w:szCs w:val="21"/>
                <w:highlight w:val="none"/>
              </w:rPr>
            </w:pPr>
          </w:p>
        </w:tc>
      </w:tr>
      <w:tr w14:paraId="2793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207893C">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成立时间</w:t>
            </w:r>
          </w:p>
        </w:tc>
        <w:tc>
          <w:tcPr>
            <w:tcW w:w="2247" w:type="dxa"/>
            <w:gridSpan w:val="2"/>
            <w:noWrap w:val="0"/>
            <w:vAlign w:val="center"/>
          </w:tcPr>
          <w:p w14:paraId="0DA6B306">
            <w:pPr>
              <w:pStyle w:val="105"/>
              <w:kinsoku/>
              <w:overflowPunct/>
              <w:bidi w:val="0"/>
              <w:spacing w:line="360" w:lineRule="auto"/>
              <w:jc w:val="center"/>
              <w:rPr>
                <w:rFonts w:hint="eastAsia" w:hAnsi="宋体"/>
                <w:color w:val="auto"/>
                <w:sz w:val="21"/>
                <w:szCs w:val="21"/>
                <w:highlight w:val="none"/>
              </w:rPr>
            </w:pPr>
          </w:p>
        </w:tc>
        <w:tc>
          <w:tcPr>
            <w:tcW w:w="5763" w:type="dxa"/>
            <w:gridSpan w:val="4"/>
            <w:noWrap w:val="0"/>
            <w:vAlign w:val="center"/>
          </w:tcPr>
          <w:p w14:paraId="21FBA634">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员工总人数：</w:t>
            </w:r>
          </w:p>
        </w:tc>
      </w:tr>
      <w:tr w14:paraId="77EB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347A4E14">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企业资质等级</w:t>
            </w:r>
          </w:p>
        </w:tc>
        <w:tc>
          <w:tcPr>
            <w:tcW w:w="2247" w:type="dxa"/>
            <w:gridSpan w:val="2"/>
            <w:noWrap w:val="0"/>
            <w:vAlign w:val="center"/>
          </w:tcPr>
          <w:p w14:paraId="4D90B7CA">
            <w:pPr>
              <w:pStyle w:val="105"/>
              <w:kinsoku/>
              <w:overflowPunct/>
              <w:bidi w:val="0"/>
              <w:spacing w:line="360" w:lineRule="auto"/>
              <w:jc w:val="center"/>
              <w:rPr>
                <w:rFonts w:hint="eastAsia" w:hAnsi="宋体"/>
                <w:color w:val="auto"/>
                <w:sz w:val="21"/>
                <w:szCs w:val="21"/>
                <w:highlight w:val="none"/>
              </w:rPr>
            </w:pPr>
          </w:p>
        </w:tc>
        <w:tc>
          <w:tcPr>
            <w:tcW w:w="1265" w:type="dxa"/>
            <w:vMerge w:val="restart"/>
            <w:noWrap w:val="0"/>
            <w:vAlign w:val="center"/>
          </w:tcPr>
          <w:p w14:paraId="66BD690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其中</w:t>
            </w:r>
          </w:p>
        </w:tc>
        <w:tc>
          <w:tcPr>
            <w:tcW w:w="2530" w:type="dxa"/>
            <w:gridSpan w:val="2"/>
            <w:noWrap w:val="0"/>
            <w:vAlign w:val="center"/>
          </w:tcPr>
          <w:p w14:paraId="1B4F6E12">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高级职称人员</w:t>
            </w:r>
          </w:p>
        </w:tc>
        <w:tc>
          <w:tcPr>
            <w:tcW w:w="1968" w:type="dxa"/>
            <w:noWrap w:val="0"/>
            <w:vAlign w:val="center"/>
          </w:tcPr>
          <w:p w14:paraId="239ECA16">
            <w:pPr>
              <w:pStyle w:val="105"/>
              <w:kinsoku/>
              <w:overflowPunct/>
              <w:bidi w:val="0"/>
              <w:spacing w:line="360" w:lineRule="auto"/>
              <w:jc w:val="center"/>
              <w:rPr>
                <w:rFonts w:hint="eastAsia" w:hAnsi="宋体"/>
                <w:color w:val="auto"/>
                <w:sz w:val="21"/>
                <w:szCs w:val="21"/>
                <w:highlight w:val="none"/>
              </w:rPr>
            </w:pPr>
          </w:p>
        </w:tc>
      </w:tr>
      <w:tr w14:paraId="011D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062CD1B5">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营业执照号</w:t>
            </w:r>
          </w:p>
        </w:tc>
        <w:tc>
          <w:tcPr>
            <w:tcW w:w="2247" w:type="dxa"/>
            <w:gridSpan w:val="2"/>
            <w:noWrap w:val="0"/>
            <w:vAlign w:val="center"/>
          </w:tcPr>
          <w:p w14:paraId="480F56A1">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2B83C207">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767C4273">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中级职称人员</w:t>
            </w:r>
          </w:p>
        </w:tc>
        <w:tc>
          <w:tcPr>
            <w:tcW w:w="1968" w:type="dxa"/>
            <w:noWrap w:val="0"/>
            <w:vAlign w:val="center"/>
          </w:tcPr>
          <w:p w14:paraId="56104973">
            <w:pPr>
              <w:pStyle w:val="105"/>
              <w:kinsoku/>
              <w:overflowPunct/>
              <w:bidi w:val="0"/>
              <w:spacing w:line="360" w:lineRule="auto"/>
              <w:jc w:val="center"/>
              <w:rPr>
                <w:rFonts w:hint="eastAsia" w:hAnsi="宋体"/>
                <w:color w:val="auto"/>
                <w:sz w:val="21"/>
                <w:szCs w:val="21"/>
                <w:highlight w:val="none"/>
              </w:rPr>
            </w:pPr>
          </w:p>
        </w:tc>
      </w:tr>
      <w:tr w14:paraId="05F9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50C952DA">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注册资金</w:t>
            </w:r>
          </w:p>
        </w:tc>
        <w:tc>
          <w:tcPr>
            <w:tcW w:w="2247" w:type="dxa"/>
            <w:gridSpan w:val="2"/>
            <w:noWrap w:val="0"/>
            <w:vAlign w:val="center"/>
          </w:tcPr>
          <w:p w14:paraId="0142DE7B">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591E29F0">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6F5305F0">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初级职称人员</w:t>
            </w:r>
          </w:p>
        </w:tc>
        <w:tc>
          <w:tcPr>
            <w:tcW w:w="1968" w:type="dxa"/>
            <w:noWrap w:val="0"/>
            <w:vAlign w:val="center"/>
          </w:tcPr>
          <w:p w14:paraId="7E5DD863">
            <w:pPr>
              <w:pStyle w:val="105"/>
              <w:kinsoku/>
              <w:overflowPunct/>
              <w:bidi w:val="0"/>
              <w:spacing w:line="360" w:lineRule="auto"/>
              <w:jc w:val="center"/>
              <w:rPr>
                <w:rFonts w:hint="eastAsia" w:hAnsi="宋体"/>
                <w:color w:val="auto"/>
                <w:sz w:val="21"/>
                <w:szCs w:val="21"/>
                <w:highlight w:val="none"/>
              </w:rPr>
            </w:pPr>
          </w:p>
        </w:tc>
      </w:tr>
      <w:tr w14:paraId="4DA0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30FBBAA1">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开户银行</w:t>
            </w:r>
          </w:p>
        </w:tc>
        <w:tc>
          <w:tcPr>
            <w:tcW w:w="2247" w:type="dxa"/>
            <w:gridSpan w:val="2"/>
            <w:noWrap w:val="0"/>
            <w:vAlign w:val="center"/>
          </w:tcPr>
          <w:p w14:paraId="7B9B387E">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32103BDC">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06D8672D">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技工</w:t>
            </w:r>
          </w:p>
        </w:tc>
        <w:tc>
          <w:tcPr>
            <w:tcW w:w="1968" w:type="dxa"/>
            <w:noWrap w:val="0"/>
            <w:vAlign w:val="center"/>
          </w:tcPr>
          <w:p w14:paraId="300C873F">
            <w:pPr>
              <w:pStyle w:val="105"/>
              <w:kinsoku/>
              <w:overflowPunct/>
              <w:bidi w:val="0"/>
              <w:spacing w:line="360" w:lineRule="auto"/>
              <w:jc w:val="center"/>
              <w:rPr>
                <w:rFonts w:hint="eastAsia" w:hAnsi="宋体"/>
                <w:color w:val="auto"/>
                <w:sz w:val="21"/>
                <w:szCs w:val="21"/>
                <w:highlight w:val="none"/>
              </w:rPr>
            </w:pPr>
          </w:p>
        </w:tc>
      </w:tr>
      <w:tr w14:paraId="5E93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7BC31F6F">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账号</w:t>
            </w:r>
          </w:p>
        </w:tc>
        <w:tc>
          <w:tcPr>
            <w:tcW w:w="2247" w:type="dxa"/>
            <w:gridSpan w:val="2"/>
            <w:noWrap w:val="0"/>
            <w:vAlign w:val="center"/>
          </w:tcPr>
          <w:p w14:paraId="76B93A2C">
            <w:pPr>
              <w:pStyle w:val="105"/>
              <w:kinsoku/>
              <w:overflowPunct/>
              <w:bidi w:val="0"/>
              <w:spacing w:line="360" w:lineRule="auto"/>
              <w:jc w:val="center"/>
              <w:rPr>
                <w:rFonts w:hint="eastAsia" w:hAnsi="宋体"/>
                <w:color w:val="auto"/>
                <w:sz w:val="21"/>
                <w:szCs w:val="21"/>
                <w:highlight w:val="none"/>
              </w:rPr>
            </w:pPr>
          </w:p>
        </w:tc>
        <w:tc>
          <w:tcPr>
            <w:tcW w:w="1265" w:type="dxa"/>
            <w:vMerge w:val="continue"/>
            <w:noWrap w:val="0"/>
            <w:vAlign w:val="center"/>
          </w:tcPr>
          <w:p w14:paraId="6B2DF145">
            <w:pPr>
              <w:pStyle w:val="105"/>
              <w:kinsoku/>
              <w:overflowPunct/>
              <w:bidi w:val="0"/>
              <w:spacing w:line="360" w:lineRule="auto"/>
              <w:jc w:val="center"/>
              <w:rPr>
                <w:rFonts w:hint="eastAsia" w:hAnsi="宋体"/>
                <w:color w:val="auto"/>
                <w:sz w:val="21"/>
                <w:szCs w:val="21"/>
                <w:highlight w:val="none"/>
              </w:rPr>
            </w:pPr>
          </w:p>
        </w:tc>
        <w:tc>
          <w:tcPr>
            <w:tcW w:w="2530" w:type="dxa"/>
            <w:gridSpan w:val="2"/>
            <w:noWrap w:val="0"/>
            <w:vAlign w:val="center"/>
          </w:tcPr>
          <w:p w14:paraId="336301A8">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其他</w:t>
            </w:r>
          </w:p>
        </w:tc>
        <w:tc>
          <w:tcPr>
            <w:tcW w:w="1968" w:type="dxa"/>
            <w:noWrap w:val="0"/>
            <w:vAlign w:val="center"/>
          </w:tcPr>
          <w:p w14:paraId="2ED4C5D1">
            <w:pPr>
              <w:pStyle w:val="105"/>
              <w:kinsoku/>
              <w:overflowPunct/>
              <w:bidi w:val="0"/>
              <w:spacing w:line="360" w:lineRule="auto"/>
              <w:jc w:val="center"/>
              <w:rPr>
                <w:rFonts w:hint="eastAsia" w:hAnsi="宋体"/>
                <w:color w:val="auto"/>
                <w:sz w:val="21"/>
                <w:szCs w:val="21"/>
                <w:highlight w:val="none"/>
              </w:rPr>
            </w:pPr>
          </w:p>
        </w:tc>
      </w:tr>
      <w:tr w14:paraId="77EA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29BF33EE">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经营范围</w:t>
            </w:r>
          </w:p>
        </w:tc>
        <w:tc>
          <w:tcPr>
            <w:tcW w:w="8010" w:type="dxa"/>
            <w:gridSpan w:val="6"/>
            <w:noWrap w:val="0"/>
            <w:vAlign w:val="center"/>
          </w:tcPr>
          <w:p w14:paraId="01B73747">
            <w:pPr>
              <w:pStyle w:val="105"/>
              <w:kinsoku/>
              <w:overflowPunct/>
              <w:bidi w:val="0"/>
              <w:spacing w:line="360" w:lineRule="auto"/>
              <w:jc w:val="center"/>
              <w:rPr>
                <w:rFonts w:hint="eastAsia" w:hAnsi="宋体"/>
                <w:color w:val="auto"/>
                <w:sz w:val="21"/>
                <w:szCs w:val="21"/>
                <w:highlight w:val="none"/>
              </w:rPr>
            </w:pPr>
          </w:p>
        </w:tc>
      </w:tr>
      <w:tr w14:paraId="68E1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8" w:type="dxa"/>
            <w:noWrap w:val="0"/>
            <w:vAlign w:val="center"/>
          </w:tcPr>
          <w:p w14:paraId="63DB6C7F">
            <w:pPr>
              <w:pStyle w:val="105"/>
              <w:kinsoku/>
              <w:overflowPunct/>
              <w:bidi w:val="0"/>
              <w:spacing w:line="360" w:lineRule="auto"/>
              <w:jc w:val="center"/>
              <w:rPr>
                <w:rFonts w:hint="eastAsia" w:hAnsi="宋体"/>
                <w:color w:val="auto"/>
                <w:sz w:val="21"/>
                <w:szCs w:val="21"/>
                <w:highlight w:val="none"/>
              </w:rPr>
            </w:pPr>
            <w:r>
              <w:rPr>
                <w:rFonts w:hint="eastAsia" w:hAnsi="宋体"/>
                <w:color w:val="auto"/>
                <w:sz w:val="21"/>
                <w:szCs w:val="21"/>
                <w:highlight w:val="none"/>
              </w:rPr>
              <w:t>备注</w:t>
            </w:r>
          </w:p>
        </w:tc>
        <w:tc>
          <w:tcPr>
            <w:tcW w:w="8010" w:type="dxa"/>
            <w:gridSpan w:val="6"/>
            <w:noWrap w:val="0"/>
            <w:vAlign w:val="center"/>
          </w:tcPr>
          <w:p w14:paraId="40E40E4B">
            <w:pPr>
              <w:pStyle w:val="105"/>
              <w:kinsoku/>
              <w:overflowPunct/>
              <w:bidi w:val="0"/>
              <w:spacing w:line="360" w:lineRule="auto"/>
              <w:jc w:val="center"/>
              <w:rPr>
                <w:rFonts w:hint="eastAsia" w:hAnsi="宋体"/>
                <w:color w:val="auto"/>
                <w:sz w:val="21"/>
                <w:szCs w:val="21"/>
                <w:highlight w:val="none"/>
              </w:rPr>
            </w:pPr>
          </w:p>
        </w:tc>
      </w:tr>
    </w:tbl>
    <w:p w14:paraId="10C924AD">
      <w:pPr>
        <w:rPr>
          <w:rFonts w:hint="eastAsia"/>
          <w:color w:val="auto"/>
          <w:highlight w:val="none"/>
          <w:lang w:val="en-US" w:eastAsia="zh-CN"/>
        </w:rPr>
      </w:pPr>
    </w:p>
    <w:p w14:paraId="61C4E33E">
      <w:pPr>
        <w:rPr>
          <w:rFonts w:hint="eastAsia"/>
          <w:color w:val="auto"/>
          <w:highlight w:val="none"/>
          <w:lang w:val="en-US" w:eastAsia="zh-CN"/>
        </w:rPr>
      </w:pPr>
      <w:r>
        <w:rPr>
          <w:rFonts w:hint="eastAsia"/>
          <w:color w:val="auto"/>
          <w:highlight w:val="none"/>
          <w:lang w:val="en-US" w:eastAsia="zh-CN"/>
        </w:rPr>
        <w:br w:type="page"/>
      </w:r>
    </w:p>
    <w:p w14:paraId="6B57A4B9">
      <w:pPr>
        <w:pStyle w:val="5"/>
        <w:numPr>
          <w:ilvl w:val="0"/>
          <w:numId w:val="0"/>
        </w:numPr>
        <w:kinsoku/>
        <w:overflowPunct/>
        <w:bidi w:val="0"/>
        <w:spacing w:before="0" w:after="0" w:line="240" w:lineRule="auto"/>
        <w:ind w:left="0" w:leftChars="0" w:firstLine="0" w:firstLineChars="0"/>
        <w:jc w:val="center"/>
        <w:textAlignment w:val="auto"/>
        <w:rPr>
          <w:rFonts w:hint="eastAsia"/>
          <w:color w:val="auto"/>
          <w:highlight w:val="none"/>
          <w:lang w:val="en-US" w:eastAsia="zh-CN"/>
        </w:rPr>
      </w:pPr>
      <w:bookmarkStart w:id="2495" w:name="_Toc8977"/>
      <w:bookmarkStart w:id="2496" w:name="_Toc9519"/>
      <w:bookmarkStart w:id="2497" w:name="_Toc31952"/>
      <w:r>
        <w:rPr>
          <w:rFonts w:hint="eastAsia"/>
          <w:color w:val="auto"/>
          <w:highlight w:val="none"/>
          <w:lang w:val="en-US" w:eastAsia="zh-CN"/>
        </w:rPr>
        <w:t>九、</w:t>
      </w:r>
      <w:bookmarkEnd w:id="2495"/>
      <w:bookmarkEnd w:id="2496"/>
      <w:bookmarkEnd w:id="2497"/>
      <w:bookmarkStart w:id="2498" w:name="_Toc5577"/>
      <w:r>
        <w:rPr>
          <w:rFonts w:hint="eastAsia"/>
          <w:color w:val="auto"/>
          <w:highlight w:val="none"/>
          <w:lang w:val="en-US" w:eastAsia="zh-CN"/>
        </w:rPr>
        <w:t>资格审查证明材料</w:t>
      </w:r>
    </w:p>
    <w:p w14:paraId="27B999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sz w:val="24"/>
          <w:szCs w:val="24"/>
          <w:highlight w:val="none"/>
          <w:lang w:val="en-US" w:eastAsia="zh-CN"/>
        </w:rPr>
        <w:t>登记设立的证明文件</w:t>
      </w:r>
      <w:bookmarkEnd w:id="2498"/>
    </w:p>
    <w:p w14:paraId="1D635CCB">
      <w:pPr>
        <w:keepNext w:val="0"/>
        <w:keepLines w:val="0"/>
        <w:pageBreakBefore w:val="0"/>
        <w:widowControl w:val="0"/>
        <w:tabs>
          <w:tab w:val="left" w:pos="2127"/>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val="0"/>
          <w:color w:val="auto"/>
          <w:sz w:val="21"/>
          <w:szCs w:val="21"/>
          <w:highlight w:val="none"/>
          <w:u w:val="none"/>
          <w:vertAlign w:val="baseline"/>
          <w:lang w:eastAsia="zh-CN"/>
        </w:rPr>
      </w:pPr>
      <w:r>
        <w:rPr>
          <w:rFonts w:hint="eastAsia" w:ascii="宋体" w:hAnsi="宋体" w:eastAsia="宋体" w:cs="宋体"/>
          <w:b w:val="0"/>
          <w:bCs w:val="0"/>
          <w:i w:val="0"/>
          <w:iCs w:val="0"/>
          <w:color w:val="auto"/>
          <w:sz w:val="21"/>
          <w:szCs w:val="21"/>
          <w:highlight w:val="none"/>
          <w:u w:val="none"/>
          <w:vertAlign w:val="baseline"/>
          <w:lang w:eastAsia="zh-CN"/>
        </w:rPr>
        <w:t>投标人具有独立法人资格，持有合法有效的法人营业执照。</w:t>
      </w:r>
    </w:p>
    <w:p w14:paraId="77D4F431">
      <w:pPr>
        <w:keepNext w:val="0"/>
        <w:keepLines w:val="0"/>
        <w:pageBreakBefore w:val="0"/>
        <w:widowControl w:val="0"/>
        <w:tabs>
          <w:tab w:val="left" w:pos="2127"/>
        </w:tabs>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rPr>
        <w:t>注：需提供相关证明文件复印件</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需加盖电子印章</w:t>
      </w:r>
      <w:r>
        <w:rPr>
          <w:rFonts w:hint="eastAsia" w:ascii="宋体" w:hAnsi="宋体" w:eastAsia="宋体" w:cs="宋体"/>
          <w:b/>
          <w:bCs/>
          <w:color w:val="auto"/>
          <w:sz w:val="21"/>
          <w:szCs w:val="21"/>
          <w:highlight w:val="none"/>
          <w:lang w:val="zh-CN"/>
        </w:rPr>
        <w:t>。</w:t>
      </w:r>
      <w:bookmarkStart w:id="2499" w:name="_Toc8652"/>
    </w:p>
    <w:p w14:paraId="6AB11C94">
      <w:pPr>
        <w:keepNext w:val="0"/>
        <w:keepLines w:val="0"/>
        <w:pageBreakBefore w:val="0"/>
        <w:widowControl w:val="0"/>
        <w:tabs>
          <w:tab w:val="left" w:pos="2127"/>
        </w:tabs>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bCs/>
          <w:color w:val="auto"/>
          <w:sz w:val="21"/>
          <w:szCs w:val="21"/>
          <w:highlight w:val="none"/>
          <w:lang w:val="zh-CN"/>
        </w:rPr>
      </w:pPr>
    </w:p>
    <w:p w14:paraId="6E00396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sz w:val="24"/>
          <w:szCs w:val="24"/>
          <w:highlight w:val="none"/>
          <w:lang w:val="en-US" w:eastAsia="zh-CN"/>
        </w:rPr>
      </w:pPr>
      <w:bookmarkStart w:id="2500" w:name="_Toc12904"/>
      <w:bookmarkStart w:id="2501" w:name="_Toc12392"/>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sz w:val="24"/>
          <w:szCs w:val="24"/>
          <w:highlight w:val="none"/>
          <w:lang w:val="en-US" w:eastAsia="zh-CN"/>
        </w:rPr>
        <w:t>声明函</w:t>
      </w:r>
      <w:bookmarkEnd w:id="2499"/>
      <w:bookmarkEnd w:id="2500"/>
      <w:bookmarkEnd w:id="2501"/>
    </w:p>
    <w:p w14:paraId="53FC90C7">
      <w:pPr>
        <w:pStyle w:val="17"/>
        <w:keepNext w:val="0"/>
        <w:keepLines w:val="0"/>
        <w:pageBreakBefore w:val="0"/>
        <w:widowControl w:val="0"/>
        <w:kinsoku/>
        <w:wordWrap/>
        <w:overflowPunct/>
        <w:topLinePunct w:val="0"/>
        <w:autoSpaceDE/>
        <w:autoSpaceDN/>
        <w:bidi w:val="0"/>
        <w:adjustRightInd/>
        <w:snapToGrid/>
        <w:spacing w:before="0" w:after="0" w:afterLines="0" w:line="360" w:lineRule="auto"/>
        <w:jc w:val="left"/>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2502" w:name="_Toc16474"/>
      <w:r>
        <w:rPr>
          <w:rFonts w:hint="eastAsia" w:ascii="宋体" w:hAnsi="宋体" w:eastAsia="宋体" w:cs="宋体"/>
          <w:b w:val="0"/>
          <w:bCs w:val="0"/>
          <w:color w:val="auto"/>
          <w:kern w:val="2"/>
          <w:sz w:val="21"/>
          <w:szCs w:val="21"/>
          <w:highlight w:val="none"/>
          <w:lang w:val="en-US" w:eastAsia="zh-CN" w:bidi="ar-SA"/>
        </w:rPr>
        <w:t>提供声明函，声明函应包含以下内容：</w:t>
      </w:r>
      <w:bookmarkEnd w:id="2502"/>
    </w:p>
    <w:p w14:paraId="02B3537C">
      <w:pPr>
        <w:pStyle w:val="17"/>
        <w:keepNext w:val="0"/>
        <w:keepLines w:val="0"/>
        <w:pageBreakBefore w:val="0"/>
        <w:widowControl w:val="0"/>
        <w:numPr>
          <w:ilvl w:val="0"/>
          <w:numId w:val="7"/>
        </w:numPr>
        <w:kinsoku/>
        <w:wordWrap/>
        <w:overflowPunct/>
        <w:topLinePunct w:val="0"/>
        <w:autoSpaceDE/>
        <w:autoSpaceDN/>
        <w:bidi w:val="0"/>
        <w:adjustRightInd/>
        <w:snapToGrid/>
        <w:spacing w:before="0" w:after="0" w:afterLines="0" w:line="360" w:lineRule="auto"/>
        <w:ind w:left="0" w:leftChars="0" w:firstLine="420" w:firstLineChars="200"/>
        <w:jc w:val="left"/>
        <w:textAlignment w:val="auto"/>
        <w:outlineLvl w:val="9"/>
        <w:rPr>
          <w:rFonts w:hint="eastAsia" w:ascii="宋体" w:hAnsi="宋体" w:eastAsia="宋体" w:cs="宋体"/>
          <w:b w:val="0"/>
          <w:bCs w:val="0"/>
          <w:color w:val="auto"/>
          <w:sz w:val="21"/>
          <w:szCs w:val="21"/>
          <w:highlight w:val="none"/>
          <w:u w:val="none"/>
          <w:vertAlign w:val="baseline"/>
          <w:lang w:val="en-US" w:eastAsia="zh-CN"/>
        </w:rPr>
      </w:pPr>
      <w:r>
        <w:rPr>
          <w:rFonts w:hint="eastAsia" w:ascii="宋体" w:hAnsi="宋体" w:cs="宋体"/>
          <w:b w:val="0"/>
          <w:bCs w:val="0"/>
          <w:color w:val="auto"/>
          <w:sz w:val="21"/>
          <w:szCs w:val="21"/>
          <w:highlight w:val="none"/>
          <w:u w:val="none"/>
          <w:vertAlign w:val="baseline"/>
          <w:lang w:val="en-US" w:eastAsia="zh-CN"/>
        </w:rPr>
        <w:t>投标人没有在广州市城市建设投资集团有限公司、中国南方电网有限责任公司、广州南方投资集团有限公司及项目所在地政府暂停投标资格、取消投标资格、不接受投标、市场禁入，且未解除的。</w:t>
      </w:r>
    </w:p>
    <w:p w14:paraId="040146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eastAsia="宋体"/>
          <w:b/>
          <w:bCs/>
          <w:color w:val="auto"/>
          <w:highlight w:val="none"/>
          <w:lang w:val="en-US" w:eastAsia="zh-CN"/>
        </w:rPr>
      </w:pPr>
      <w:r>
        <w:rPr>
          <w:rFonts w:hint="eastAsia"/>
          <w:b/>
          <w:bCs/>
          <w:color w:val="auto"/>
          <w:highlight w:val="none"/>
          <w:lang w:val="en-US" w:eastAsia="zh-CN"/>
        </w:rPr>
        <w:t>参考格式如下：</w:t>
      </w:r>
    </w:p>
    <w:p w14:paraId="03632AD9">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宋体" w:hAnsi="宋体" w:eastAsia="宋体" w:cs="宋体"/>
          <w:color w:val="auto"/>
          <w:sz w:val="30"/>
          <w:szCs w:val="30"/>
          <w:highlight w:val="none"/>
          <w:lang w:eastAsia="zh-CN"/>
        </w:rPr>
      </w:pPr>
      <w:bookmarkStart w:id="2503" w:name="_Toc12195"/>
      <w:r>
        <w:rPr>
          <w:rFonts w:hint="eastAsia" w:ascii="宋体" w:hAnsi="宋体" w:eastAsia="宋体" w:cs="宋体"/>
          <w:b/>
          <w:color w:val="auto"/>
          <w:sz w:val="30"/>
          <w:szCs w:val="30"/>
          <w:highlight w:val="none"/>
          <w:lang w:eastAsia="zh-CN"/>
        </w:rPr>
        <w:t>声明函</w:t>
      </w:r>
      <w:bookmarkEnd w:id="2503"/>
    </w:p>
    <w:p w14:paraId="22B01053">
      <w:pPr>
        <w:keepNext w:val="0"/>
        <w:keepLines w:val="0"/>
        <w:pageBreakBefore w:val="0"/>
        <w:widowControl w:val="0"/>
        <w:tabs>
          <w:tab w:val="left" w:pos="2127"/>
        </w:tabs>
        <w:kinsoku/>
        <w:wordWrap/>
        <w:overflowPunct/>
        <w:topLinePunct w:val="0"/>
        <w:autoSpaceDE/>
        <w:autoSpaceDN/>
        <w:bidi w:val="0"/>
        <w:adjustRightInd/>
        <w:snapToGrid/>
        <w:spacing w:beforeAutospacing="0" w:afterAutospacing="0" w:line="360" w:lineRule="auto"/>
        <w:ind w:left="0" w:leftChars="0" w:right="0"/>
        <w:textAlignment w:val="auto"/>
        <w:rPr>
          <w:rFonts w:hint="eastAsia" w:ascii="宋体" w:hAnsi="宋体" w:eastAsia="宋体" w:cs="宋体"/>
          <w:color w:val="auto"/>
          <w:highlight w:val="none"/>
          <w:lang w:eastAsia="zh-CN"/>
        </w:rPr>
      </w:pPr>
      <w:r>
        <w:rPr>
          <w:rFonts w:hint="eastAsia" w:hAnsi="宋体"/>
          <w:color w:val="auto"/>
          <w:highlight w:val="none"/>
          <w:u w:val="single"/>
          <w:lang w:val="en-US" w:eastAsia="zh-CN"/>
        </w:rPr>
        <w:t>广州市番南能源有限公司：</w:t>
      </w:r>
    </w:p>
    <w:p w14:paraId="77B282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我单位参与</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500千伏番南输变电工程（变电站建筑）监理服务</w:t>
      </w:r>
      <w:r>
        <w:rPr>
          <w:rFonts w:hint="eastAsia" w:ascii="宋体" w:hAnsi="宋体" w:cs="宋体"/>
          <w:color w:val="auto"/>
          <w:kern w:val="0"/>
          <w:sz w:val="21"/>
          <w:szCs w:val="21"/>
          <w:highlight w:val="none"/>
          <w:u w:val="single"/>
          <w:shd w:val="clear" w:color="auto" w:fill="FFFFFF"/>
          <w:lang w:val="en-US" w:eastAsia="zh-CN" w:bidi="ar"/>
        </w:rPr>
        <w:t>，标段名称：500千伏番南输变电工程（变电站建筑）监理服务</w:t>
      </w:r>
      <w:r>
        <w:rPr>
          <w:rFonts w:hint="eastAsia" w:hAnsi="宋体"/>
          <w:color w:val="auto"/>
          <w:highlight w:val="none"/>
          <w:u w:val="single"/>
          <w:lang w:val="en-US" w:eastAsia="zh-CN"/>
        </w:rPr>
        <w:t xml:space="preserve"> </w:t>
      </w:r>
      <w:r>
        <w:rPr>
          <w:rFonts w:hint="eastAsia" w:ascii="宋体" w:hAnsi="宋体" w:eastAsia="宋体" w:cs="宋体"/>
          <w:color w:val="auto"/>
          <w:szCs w:val="21"/>
          <w:highlight w:val="none"/>
        </w:rPr>
        <w:t>的</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，同时在此郑重</w:t>
      </w:r>
      <w:r>
        <w:rPr>
          <w:rFonts w:hint="eastAsia" w:ascii="宋体" w:hAnsi="宋体" w:eastAsia="宋体" w:cs="宋体"/>
          <w:color w:val="auto"/>
          <w:szCs w:val="21"/>
          <w:highlight w:val="none"/>
          <w:lang w:eastAsia="zh-CN"/>
        </w:rPr>
        <w:t>声明</w:t>
      </w:r>
      <w:r>
        <w:rPr>
          <w:rFonts w:hint="eastAsia" w:ascii="宋体" w:hAnsi="宋体" w:eastAsia="宋体" w:cs="宋体"/>
          <w:color w:val="auto"/>
          <w:szCs w:val="21"/>
          <w:highlight w:val="none"/>
        </w:rPr>
        <w:t>：</w:t>
      </w:r>
    </w:p>
    <w:p w14:paraId="46E22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lang w:val="en-US" w:eastAsia="zh-CN"/>
        </w:rPr>
        <w:t>我单位</w:t>
      </w:r>
      <w:r>
        <w:rPr>
          <w:rFonts w:hint="eastAsia" w:ascii="宋体" w:hAnsi="宋体" w:eastAsia="宋体" w:cs="宋体"/>
          <w:color w:val="auto"/>
          <w:highlight w:val="none"/>
          <w:lang w:eastAsia="zh-CN"/>
        </w:rPr>
        <w:t>没有在广州市城市建设投资集团有限公司、中国南方电网有限责任公司、广州南方投资集团有限公司及项目所在地政府暂停投标资格、取消投标资格、不接受投标、市场禁入，且未解除的。</w:t>
      </w:r>
    </w:p>
    <w:p w14:paraId="68A1C4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lang w:val="en-US" w:eastAsia="zh-CN"/>
        </w:rPr>
        <w:t>************</w:t>
      </w:r>
      <w:r>
        <w:rPr>
          <w:rFonts w:hint="eastAsia" w:ascii="宋体" w:hAnsi="宋体" w:cs="宋体"/>
          <w:b w:val="0"/>
          <w:bCs w:val="0"/>
          <w:color w:val="auto"/>
          <w:highlight w:val="none"/>
          <w:lang w:val="en-US" w:eastAsia="zh-CN"/>
        </w:rPr>
        <w:t>。</w:t>
      </w:r>
    </w:p>
    <w:p w14:paraId="4B3DD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lang w:val="en-US" w:eastAsia="zh-CN"/>
        </w:rPr>
        <w:t>************。</w:t>
      </w:r>
    </w:p>
    <w:p w14:paraId="0A910B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147" w:firstLineChars="1975"/>
        <w:textAlignment w:val="auto"/>
        <w:rPr>
          <w:rFonts w:hint="eastAsia" w:ascii="宋体" w:hAnsi="宋体" w:eastAsia="宋体" w:cs="宋体"/>
          <w:color w:val="auto"/>
          <w:szCs w:val="21"/>
          <w:highlight w:val="none"/>
          <w:lang w:val="en-US" w:eastAsia="zh-CN"/>
        </w:rPr>
      </w:pPr>
    </w:p>
    <w:p w14:paraId="3BA8B777">
      <w:pPr>
        <w:ind w:firstLine="3885" w:firstLineChars="1850"/>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w:t>
      </w:r>
      <w:r>
        <w:rPr>
          <w:rFonts w:hint="eastAsia" w:ascii="宋体" w:hAnsi="宋体" w:cs="宋体"/>
          <w:color w:val="auto"/>
          <w:highlight w:val="none"/>
          <w:u w:val="none"/>
          <w:lang w:val="en-US" w:eastAsia="zh-CN"/>
        </w:rPr>
        <w:t>盖电子印章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257F8FAA">
      <w:pPr>
        <w:spacing w:before="100" w:after="100" w:line="360" w:lineRule="auto"/>
        <w:jc w:val="right"/>
        <w:outlineLvl w:val="9"/>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FD97AA">
      <w:pPr>
        <w:rPr>
          <w:b/>
          <w:color w:val="auto"/>
          <w:szCs w:val="21"/>
          <w:highlight w:val="none"/>
          <w:shd w:val="clear" w:color="auto" w:fill="FFFFFF"/>
        </w:rPr>
      </w:pPr>
    </w:p>
    <w:p w14:paraId="5A718387">
      <w:pPr>
        <w:rPr>
          <w:rFonts w:hint="eastAsia"/>
          <w:color w:val="auto"/>
          <w:highlight w:val="none"/>
        </w:rPr>
      </w:pPr>
      <w:r>
        <w:rPr>
          <w:rFonts w:hint="eastAsia"/>
          <w:color w:val="auto"/>
          <w:highlight w:val="none"/>
        </w:rPr>
        <w:br w:type="page"/>
      </w:r>
    </w:p>
    <w:p w14:paraId="63941C3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sz w:val="24"/>
          <w:szCs w:val="24"/>
          <w:highlight w:val="none"/>
          <w:lang w:val="en-US" w:eastAsia="zh-CN"/>
        </w:rPr>
      </w:pPr>
      <w:bookmarkStart w:id="2504" w:name="_Toc26743"/>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lang w:val="en-US" w:eastAsia="zh-CN"/>
        </w:rPr>
        <w:t>投标行为承诺函</w:t>
      </w:r>
      <w:bookmarkEnd w:id="2504"/>
    </w:p>
    <w:p w14:paraId="51F6813D">
      <w:pPr>
        <w:kinsoku/>
        <w:overflowPunct/>
        <w:bidi w:val="0"/>
        <w:spacing w:line="360" w:lineRule="auto"/>
        <w:jc w:val="center"/>
        <w:textAlignment w:val="auto"/>
        <w:outlineLvl w:val="9"/>
        <w:rPr>
          <w:rFonts w:hint="eastAsia" w:ascii="宋体" w:hAnsi="宋体" w:eastAsia="宋体" w:cs="宋体"/>
          <w:color w:val="auto"/>
          <w:sz w:val="30"/>
          <w:szCs w:val="30"/>
          <w:highlight w:val="none"/>
          <w:lang w:eastAsia="zh-CN"/>
        </w:rPr>
      </w:pPr>
      <w:bookmarkStart w:id="2505" w:name="_Toc27866"/>
      <w:r>
        <w:rPr>
          <w:rFonts w:hint="eastAsia" w:ascii="宋体" w:hAnsi="宋体" w:eastAsia="宋体" w:cs="宋体"/>
          <w:b/>
          <w:color w:val="auto"/>
          <w:sz w:val="30"/>
          <w:szCs w:val="30"/>
          <w:highlight w:val="none"/>
          <w:lang w:eastAsia="zh-CN"/>
        </w:rPr>
        <w:t>投标行为</w:t>
      </w:r>
      <w:r>
        <w:rPr>
          <w:rFonts w:hint="eastAsia" w:ascii="宋体" w:hAnsi="宋体" w:eastAsia="宋体" w:cs="宋体"/>
          <w:b/>
          <w:color w:val="auto"/>
          <w:sz w:val="30"/>
          <w:szCs w:val="30"/>
          <w:highlight w:val="none"/>
        </w:rPr>
        <w:t>承诺</w:t>
      </w:r>
      <w:r>
        <w:rPr>
          <w:rFonts w:hint="eastAsia" w:ascii="宋体" w:hAnsi="宋体" w:eastAsia="宋体" w:cs="宋体"/>
          <w:b/>
          <w:color w:val="auto"/>
          <w:sz w:val="30"/>
          <w:szCs w:val="30"/>
          <w:highlight w:val="none"/>
          <w:lang w:eastAsia="zh-CN"/>
        </w:rPr>
        <w:t>函</w:t>
      </w:r>
      <w:bookmarkEnd w:id="2505"/>
    </w:p>
    <w:p w14:paraId="25E57BF3">
      <w:pPr>
        <w:pStyle w:val="23"/>
        <w:keepNext w:val="0"/>
        <w:keepLines w:val="0"/>
        <w:pageBreakBefore w:val="0"/>
        <w:widowControl w:val="0"/>
        <w:tabs>
          <w:tab w:val="left" w:pos="2127"/>
        </w:tabs>
        <w:kinsoku/>
        <w:wordWrap/>
        <w:overflowPunct/>
        <w:topLinePunct w:val="0"/>
        <w:autoSpaceDE/>
        <w:autoSpaceDN/>
        <w:bidi w:val="0"/>
        <w:spacing w:beforeAutospacing="0" w:afterAutospacing="0" w:line="360" w:lineRule="auto"/>
        <w:ind w:left="0" w:leftChars="0" w:right="0"/>
        <w:textAlignment w:val="auto"/>
        <w:rPr>
          <w:rFonts w:hint="eastAsia" w:ascii="宋体" w:hAnsi="宋体" w:eastAsia="宋体" w:cs="宋体"/>
          <w:color w:val="auto"/>
          <w:highlight w:val="none"/>
          <w:lang w:eastAsia="zh-CN"/>
        </w:rPr>
      </w:pPr>
      <w:r>
        <w:rPr>
          <w:rFonts w:hint="eastAsia" w:hAnsi="宋体"/>
          <w:color w:val="auto"/>
          <w:highlight w:val="none"/>
          <w:u w:val="single"/>
          <w:lang w:val="en-US" w:eastAsia="zh-CN"/>
        </w:rPr>
        <w:t>广州市番南能源有限公司</w:t>
      </w:r>
      <w:r>
        <w:rPr>
          <w:rFonts w:hint="eastAsia" w:ascii="宋体" w:hAnsi="宋体" w:eastAsia="宋体" w:cs="宋体"/>
          <w:color w:val="auto"/>
          <w:highlight w:val="none"/>
          <w:u w:val="single"/>
          <w:lang w:eastAsia="zh-CN"/>
        </w:rPr>
        <w:t>：</w:t>
      </w:r>
    </w:p>
    <w:p w14:paraId="546776E3">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我单位参与</w:t>
      </w:r>
      <w:r>
        <w:rPr>
          <w:rFonts w:hint="eastAsia" w:ascii="宋体" w:hAnsi="宋体" w:cs="宋体"/>
          <w:color w:val="auto"/>
          <w:kern w:val="0"/>
          <w:sz w:val="21"/>
          <w:szCs w:val="21"/>
          <w:highlight w:val="none"/>
          <w:u w:val="single"/>
          <w:shd w:val="clear" w:color="auto" w:fill="FFFFFF"/>
          <w:lang w:bidi="ar"/>
        </w:rPr>
        <w:t>项目名称：</w:t>
      </w:r>
      <w:r>
        <w:rPr>
          <w:rFonts w:hint="eastAsia" w:ascii="宋体" w:hAnsi="宋体" w:cs="宋体"/>
          <w:color w:val="auto"/>
          <w:kern w:val="0"/>
          <w:sz w:val="21"/>
          <w:szCs w:val="21"/>
          <w:highlight w:val="none"/>
          <w:u w:val="single"/>
          <w:shd w:val="clear" w:color="auto" w:fill="FFFFFF"/>
          <w:lang w:eastAsia="zh-CN" w:bidi="ar"/>
        </w:rPr>
        <w:t>500千伏番南输变电工程（变电站建筑）监理服务</w:t>
      </w:r>
      <w:r>
        <w:rPr>
          <w:rFonts w:hint="eastAsia" w:ascii="宋体" w:hAnsi="宋体" w:cs="宋体"/>
          <w:color w:val="auto"/>
          <w:kern w:val="0"/>
          <w:sz w:val="21"/>
          <w:szCs w:val="21"/>
          <w:highlight w:val="none"/>
          <w:u w:val="single"/>
          <w:shd w:val="clear" w:color="auto" w:fill="FFFFFF"/>
          <w:lang w:val="en-US" w:eastAsia="zh-CN" w:bidi="ar"/>
        </w:rPr>
        <w:t>，标段名称：500千伏番南输变电工程（变电站建筑）监理服务</w:t>
      </w:r>
      <w:r>
        <w:rPr>
          <w:rFonts w:hint="eastAsia" w:ascii="宋体" w:hAnsi="宋体" w:eastAsia="宋体" w:cs="宋体"/>
          <w:color w:val="auto"/>
          <w:szCs w:val="21"/>
          <w:highlight w:val="none"/>
        </w:rPr>
        <w:t>的</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，同时在此郑重承诺：</w:t>
      </w:r>
    </w:p>
    <w:p w14:paraId="16816632">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单位按要求递交的有关材料【包括但不限于营业执照、资质资格证书、企业业绩、项目负责人（项目经理）业绩和证件（如有）、项目团队人员证件等】为本单位真实拥有，经确认无误，不存在伪造、变造、涂改等弄虚作假、违法违规行为。</w:t>
      </w:r>
    </w:p>
    <w:p w14:paraId="4CD5A61C">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、我单位按要求递交的有关</w:t>
      </w:r>
      <w:r>
        <w:rPr>
          <w:rFonts w:hint="eastAsia" w:ascii="宋体" w:hAnsi="宋体" w:eastAsia="宋体" w:cs="宋体"/>
          <w:color w:val="auto"/>
          <w:szCs w:val="21"/>
          <w:highlight w:val="none"/>
          <w:lang w:eastAsia="zh-CN"/>
        </w:rPr>
        <w:t>材料【包括但不限于</w:t>
      </w:r>
      <w:r>
        <w:rPr>
          <w:rFonts w:hint="eastAsia" w:ascii="宋体" w:hAnsi="宋体" w:eastAsia="宋体" w:cs="宋体"/>
          <w:color w:val="auto"/>
          <w:szCs w:val="21"/>
          <w:highlight w:val="none"/>
        </w:rPr>
        <w:t>营业执照、资质资格证书、企业业绩</w:t>
      </w:r>
      <w:r>
        <w:rPr>
          <w:rFonts w:hint="eastAsia" w:ascii="宋体" w:hAnsi="宋体" w:eastAsia="宋体" w:cs="宋体"/>
          <w:color w:val="auto"/>
          <w:szCs w:val="21"/>
          <w:highlight w:val="none"/>
          <w:lang w:eastAsia="zh-CN"/>
        </w:rPr>
        <w:t>、</w:t>
      </w:r>
      <w:r>
        <w:rPr>
          <w:rFonts w:hint="eastAsia" w:ascii="宋体" w:hAnsi="宋体" w:eastAsia="宋体" w:cs="宋体"/>
          <w:bCs/>
          <w:color w:val="auto"/>
          <w:sz w:val="21"/>
          <w:szCs w:val="21"/>
          <w:highlight w:val="none"/>
          <w:lang w:val="en-US" w:eastAsia="zh-CN"/>
        </w:rPr>
        <w:t>项目负责人（项目经理）</w:t>
      </w:r>
      <w:r>
        <w:rPr>
          <w:rFonts w:hint="eastAsia" w:ascii="宋体" w:hAnsi="宋体" w:eastAsia="宋体" w:cs="宋体"/>
          <w:color w:val="auto"/>
          <w:kern w:val="0"/>
          <w:sz w:val="21"/>
          <w:szCs w:val="21"/>
          <w:highlight w:val="none"/>
          <w:u w:val="none"/>
        </w:rPr>
        <w:t>业绩</w:t>
      </w:r>
      <w:r>
        <w:rPr>
          <w:rFonts w:hint="eastAsia" w:ascii="宋体" w:hAnsi="宋体" w:eastAsia="宋体" w:cs="宋体"/>
          <w:color w:val="auto"/>
          <w:kern w:val="0"/>
          <w:sz w:val="21"/>
          <w:szCs w:val="21"/>
          <w:highlight w:val="none"/>
          <w:u w:val="none"/>
          <w:lang w:eastAsia="zh-CN"/>
        </w:rPr>
        <w:t>和证件</w:t>
      </w:r>
      <w:r>
        <w:rPr>
          <w:rFonts w:hint="eastAsia" w:ascii="宋体" w:hAnsi="宋体" w:eastAsia="宋体" w:cs="宋体"/>
          <w:b w:val="0"/>
          <w:bCs w:val="0"/>
          <w:color w:val="auto"/>
          <w:sz w:val="21"/>
          <w:szCs w:val="21"/>
          <w:highlight w:val="none"/>
          <w:u w:val="none"/>
          <w:lang w:val="en-US" w:eastAsia="zh-CN"/>
        </w:rPr>
        <w:t>（如有）</w:t>
      </w:r>
      <w:r>
        <w:rPr>
          <w:rFonts w:hint="eastAsia" w:ascii="宋体" w:hAnsi="宋体" w:eastAsia="宋体" w:cs="宋体"/>
          <w:color w:val="auto"/>
          <w:kern w:val="0"/>
          <w:sz w:val="21"/>
          <w:szCs w:val="21"/>
          <w:highlight w:val="none"/>
          <w:u w:val="none"/>
          <w:lang w:eastAsia="zh-CN"/>
        </w:rPr>
        <w:t>、项目团队人员证件等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如有虚假，一经查实，我单位自愿退出该项目</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，并接受贵单位如下处罚及相关管理规定处罚，承担相关责任。</w:t>
      </w:r>
    </w:p>
    <w:tbl>
      <w:tblPr>
        <w:tblStyle w:val="46"/>
        <w:tblW w:w="97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3417"/>
        <w:gridCol w:w="5587"/>
      </w:tblGrid>
      <w:tr w14:paraId="5AB9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6584D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2903E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及项目实施各阶段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4AE0F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发现伪造、变造、涂改</w:t>
            </w:r>
            <w:r>
              <w:rPr>
                <w:rFonts w:hint="eastAsia" w:ascii="宋体" w:hAnsi="宋体" w:eastAsia="宋体" w:cs="宋体"/>
                <w:color w:val="auto"/>
                <w:szCs w:val="21"/>
                <w:highlight w:val="none"/>
                <w:lang w:eastAsia="zh-CN"/>
              </w:rPr>
              <w:t>采购应答</w:t>
            </w:r>
            <w:r>
              <w:rPr>
                <w:rFonts w:hint="eastAsia" w:ascii="宋体" w:hAnsi="宋体" w:eastAsia="宋体" w:cs="宋体"/>
                <w:color w:val="auto"/>
                <w:szCs w:val="21"/>
                <w:highlight w:val="none"/>
              </w:rPr>
              <w:t>资料弄虚造假，骗取</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的处罚措施</w:t>
            </w:r>
          </w:p>
        </w:tc>
      </w:tr>
      <w:tr w14:paraId="3BBA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43FAA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4C506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015D9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4FDF2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）保留其他处罚权力。</w:t>
            </w:r>
          </w:p>
        </w:tc>
      </w:tr>
      <w:tr w14:paraId="7CC6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0303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64BBB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中标</w:t>
            </w:r>
            <w:r>
              <w:rPr>
                <w:rFonts w:hint="eastAsia" w:ascii="宋体" w:hAnsi="宋体" w:eastAsia="宋体" w:cs="宋体"/>
                <w:color w:val="auto"/>
                <w:szCs w:val="21"/>
                <w:highlight w:val="none"/>
              </w:rPr>
              <w:t>候选人公示至定标阶段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27271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43C66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）保留其他处罚权力。</w:t>
            </w:r>
          </w:p>
        </w:tc>
      </w:tr>
      <w:tr w14:paraId="331F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4265A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52E10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发出</w:t>
            </w:r>
            <w:r>
              <w:rPr>
                <w:rFonts w:hint="eastAsia" w:ascii="宋体" w:hAnsi="宋体" w:cs="宋体"/>
                <w:color w:val="auto"/>
                <w:szCs w:val="21"/>
                <w:highlight w:val="none"/>
                <w:lang w:val="en-US" w:eastAsia="zh-CN"/>
              </w:rPr>
              <w:t>中标</w:t>
            </w:r>
            <w:r>
              <w:rPr>
                <w:rFonts w:hint="eastAsia" w:ascii="宋体" w:hAnsi="宋体" w:eastAsia="宋体" w:cs="宋体"/>
                <w:color w:val="auto"/>
                <w:szCs w:val="21"/>
                <w:highlight w:val="none"/>
                <w:lang w:eastAsia="zh-CN"/>
              </w:rPr>
              <w:t>通知书</w:t>
            </w:r>
            <w:r>
              <w:rPr>
                <w:rFonts w:hint="eastAsia" w:ascii="宋体" w:hAnsi="宋体" w:eastAsia="宋体" w:cs="宋体"/>
                <w:color w:val="auto"/>
                <w:szCs w:val="21"/>
                <w:highlight w:val="none"/>
              </w:rPr>
              <w:t>但未签订合同阶段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44DA7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否决该单位</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w:t>
            </w:r>
          </w:p>
          <w:p w14:paraId="2CCABD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r w14:paraId="1E34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1F8E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14F65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已签订合同，但项目未正式</w:t>
            </w:r>
            <w:r>
              <w:rPr>
                <w:rFonts w:hint="eastAsia" w:ascii="宋体" w:hAnsi="宋体" w:eastAsia="宋体" w:cs="宋体"/>
                <w:color w:val="auto"/>
                <w:szCs w:val="21"/>
                <w:highlight w:val="none"/>
                <w:lang w:eastAsia="zh-CN"/>
              </w:rPr>
              <w:t>实施</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0EBF1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（1）终止与该单位签订的合同； </w:t>
            </w:r>
          </w:p>
          <w:p w14:paraId="333F9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r w14:paraId="0609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501E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417" w:type="dxa"/>
            <w:tcBorders>
              <w:top w:val="single" w:color="auto" w:sz="4" w:space="0"/>
              <w:left w:val="single" w:color="auto" w:sz="4" w:space="0"/>
              <w:bottom w:val="single" w:color="auto" w:sz="4" w:space="0"/>
              <w:right w:val="single" w:color="auto" w:sz="4" w:space="0"/>
            </w:tcBorders>
            <w:noWrap w:val="0"/>
            <w:vAlign w:val="center"/>
          </w:tcPr>
          <w:p w14:paraId="680DB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项目正在</w:t>
            </w:r>
            <w:r>
              <w:rPr>
                <w:rFonts w:hint="eastAsia" w:ascii="宋体" w:hAnsi="宋体" w:eastAsia="宋体" w:cs="宋体"/>
                <w:color w:val="auto"/>
                <w:szCs w:val="21"/>
                <w:highlight w:val="none"/>
                <w:lang w:eastAsia="zh-CN"/>
              </w:rPr>
              <w:t>实施</w:t>
            </w:r>
            <w:r>
              <w:rPr>
                <w:rFonts w:hint="eastAsia" w:ascii="宋体" w:hAnsi="宋体" w:eastAsia="宋体" w:cs="宋体"/>
                <w:color w:val="auto"/>
                <w:szCs w:val="21"/>
                <w:highlight w:val="none"/>
              </w:rPr>
              <w:t>阶段</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59387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（1）项目立即</w:t>
            </w:r>
            <w:r>
              <w:rPr>
                <w:rFonts w:hint="eastAsia" w:ascii="宋体" w:hAnsi="宋体" w:eastAsia="宋体" w:cs="宋体"/>
                <w:color w:val="auto"/>
                <w:szCs w:val="21"/>
                <w:highlight w:val="none"/>
                <w:lang w:eastAsia="zh-CN"/>
              </w:rPr>
              <w:t>暂停</w:t>
            </w:r>
            <w:r>
              <w:rPr>
                <w:rFonts w:hint="eastAsia" w:ascii="宋体" w:hAnsi="宋体" w:eastAsia="宋体" w:cs="宋体"/>
                <w:color w:val="auto"/>
                <w:szCs w:val="21"/>
                <w:highlight w:val="none"/>
              </w:rPr>
              <w:t>，终止相关合同，并根据相关法律法规进行处罚；</w:t>
            </w:r>
          </w:p>
          <w:p w14:paraId="68459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（2）保留其他处罚权力。</w:t>
            </w:r>
          </w:p>
        </w:tc>
      </w:tr>
    </w:tbl>
    <w:p w14:paraId="74089DC9">
      <w:pPr>
        <w:keepNext w:val="0"/>
        <w:keepLines w:val="0"/>
        <w:pageBreakBefore w:val="0"/>
        <w:widowControl w:val="0"/>
        <w:kinsoku/>
        <w:wordWrap/>
        <w:overflowPunct/>
        <w:topLinePunct w:val="0"/>
        <w:autoSpaceDE/>
        <w:autoSpaceDN/>
        <w:bidi w:val="0"/>
        <w:spacing w:beforeAutospacing="0" w:afterAutospacing="0" w:line="360" w:lineRule="auto"/>
        <w:ind w:left="0" w:leftChars="0" w:right="0" w:firstLine="4147" w:firstLineChars="1975"/>
        <w:textAlignment w:val="auto"/>
        <w:rPr>
          <w:rFonts w:hint="eastAsia" w:ascii="宋体" w:hAnsi="宋体" w:cs="宋体"/>
          <w:color w:val="auto"/>
          <w:szCs w:val="21"/>
          <w:highlight w:val="none"/>
          <w:lang w:val="en-US" w:eastAsia="zh-CN"/>
        </w:rPr>
      </w:pPr>
    </w:p>
    <w:p w14:paraId="7F220676">
      <w:pPr>
        <w:keepNext w:val="0"/>
        <w:keepLines w:val="0"/>
        <w:pageBreakBefore w:val="0"/>
        <w:widowControl w:val="0"/>
        <w:kinsoku/>
        <w:wordWrap/>
        <w:overflowPunct/>
        <w:topLinePunct w:val="0"/>
        <w:autoSpaceDE/>
        <w:autoSpaceDN/>
        <w:bidi w:val="0"/>
        <w:adjustRightInd/>
        <w:snapToGrid/>
        <w:spacing w:line="360" w:lineRule="auto"/>
        <w:ind w:firstLine="3885" w:firstLineChars="1850"/>
        <w:textAlignment w:val="auto"/>
        <w:rPr>
          <w:rFonts w:ascii="宋体" w:hAnsi="宋体" w:cs="宋体"/>
          <w:color w:val="auto"/>
          <w:szCs w:val="21"/>
          <w:highlight w:val="none"/>
          <w:u w:val="single"/>
        </w:rPr>
      </w:pPr>
      <w:r>
        <w:rPr>
          <w:rFonts w:hint="eastAsia" w:ascii="宋体" w:hAnsi="宋体" w:cs="宋体"/>
          <w:color w:val="auto"/>
          <w:szCs w:val="21"/>
          <w:highlight w:val="none"/>
          <w:lang w:val="en-US" w:eastAsia="zh-CN"/>
        </w:rPr>
        <w:t>投标人</w:t>
      </w:r>
      <w:r>
        <w:rPr>
          <w:rFonts w:hint="eastAsia" w:ascii="宋体" w:hAnsi="宋体" w:cs="宋体"/>
          <w:color w:val="auto"/>
          <w:szCs w:val="21"/>
          <w:highlight w:val="none"/>
        </w:rPr>
        <w:t>名称（</w:t>
      </w:r>
      <w:r>
        <w:rPr>
          <w:rFonts w:hint="eastAsia" w:ascii="宋体" w:hAnsi="宋体" w:cs="宋体"/>
          <w:color w:val="auto"/>
          <w:highlight w:val="none"/>
          <w:u w:val="none"/>
          <w:lang w:val="en-US" w:eastAsia="zh-CN"/>
        </w:rPr>
        <w:t>盖电子印章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p>
    <w:p w14:paraId="600E8C0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宋体" w:hAnsi="宋体" w:eastAsia="宋体" w:cs="宋体"/>
          <w:b/>
          <w:bCs/>
          <w:color w:val="auto"/>
          <w:highlight w:val="none"/>
          <w:lang w:val="zh-CN"/>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E267F31">
      <w:pPr>
        <w:rPr>
          <w:b/>
          <w:color w:val="auto"/>
          <w:szCs w:val="21"/>
          <w:highlight w:val="none"/>
          <w:shd w:val="clear" w:color="auto" w:fill="FFFFFF"/>
        </w:rPr>
      </w:pPr>
    </w:p>
    <w:p w14:paraId="6DB002C8">
      <w:pPr>
        <w:rPr>
          <w:rFonts w:hint="eastAsia"/>
          <w:color w:val="auto"/>
          <w:highlight w:val="none"/>
        </w:rPr>
      </w:pPr>
      <w:r>
        <w:rPr>
          <w:rFonts w:hint="eastAsia"/>
          <w:color w:val="auto"/>
          <w:highlight w:val="none"/>
        </w:rPr>
        <w:br w:type="page"/>
      </w:r>
    </w:p>
    <w:p w14:paraId="5CED9EA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i w:val="0"/>
          <w:iCs w:val="0"/>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（四）失信情况查询结果</w:t>
      </w:r>
    </w:p>
    <w:p w14:paraId="49BED9D8">
      <w:pPr>
        <w:pStyle w:val="23"/>
        <w:numPr>
          <w:ilvl w:val="0"/>
          <w:numId w:val="0"/>
        </w:numPr>
        <w:spacing w:line="360" w:lineRule="auto"/>
        <w:ind w:left="0" w:leftChars="0" w:firstLine="422" w:firstLineChars="200"/>
        <w:rPr>
          <w:rFonts w:hint="eastAsia" w:ascii="宋体" w:hAnsi="宋体" w:eastAsia="宋体" w:cs="宋体"/>
          <w:b w:val="0"/>
          <w:bCs w:val="0"/>
          <w:color w:val="auto"/>
          <w:kern w:val="2"/>
          <w:sz w:val="21"/>
          <w:szCs w:val="21"/>
          <w:highlight w:val="none"/>
          <w:u w:val="none"/>
          <w:shd w:val="clear" w:color="auto" w:fill="auto"/>
          <w:vertAlign w:val="baseline"/>
          <w:lang w:val="en-US" w:eastAsia="zh-CN" w:bidi="ar-SA"/>
        </w:rPr>
      </w:pPr>
      <w:r>
        <w:rPr>
          <w:rFonts w:hint="eastAsia" w:ascii="宋体" w:hAnsi="宋体" w:eastAsia="宋体" w:cs="宋体"/>
          <w:b/>
          <w:bCs/>
          <w:color w:val="auto"/>
          <w:highlight w:val="none"/>
          <w:shd w:val="clear" w:color="auto" w:fill="auto"/>
          <w:lang w:val="en-US" w:eastAsia="zh-CN"/>
        </w:rPr>
        <w:t>包括国家企业信用信息公示系统和信用中国的查询情况，仅需将最终查询结果截图上传</w:t>
      </w:r>
    </w:p>
    <w:p w14:paraId="26ADD4EA">
      <w:pPr>
        <w:numPr>
          <w:ilvl w:val="0"/>
          <w:numId w:val="0"/>
        </w:numPr>
        <w:spacing w:line="360" w:lineRule="auto"/>
        <w:rPr>
          <w:rFonts w:hint="eastAsia" w:ascii="宋体" w:hAnsi="宋体" w:eastAsia="宋体" w:cs="宋体"/>
          <w:b w:val="0"/>
          <w:bCs w:val="0"/>
          <w:color w:val="auto"/>
          <w:sz w:val="21"/>
          <w:szCs w:val="21"/>
          <w:highlight w:val="none"/>
          <w:shd w:val="clear" w:color="auto" w:fill="auto"/>
          <w:lang w:val="en-US" w:eastAsia="zh-CN"/>
        </w:rPr>
      </w:pPr>
      <w:r>
        <w:rPr>
          <w:rFonts w:hint="eastAsia" w:ascii="宋体" w:hAnsi="宋体" w:cs="宋体"/>
          <w:b w:val="0"/>
          <w:bCs w:val="0"/>
          <w:color w:val="auto"/>
          <w:sz w:val="21"/>
          <w:szCs w:val="21"/>
          <w:highlight w:val="none"/>
          <w:shd w:val="clear" w:color="auto" w:fill="auto"/>
          <w:lang w:val="en-US" w:eastAsia="zh-CN"/>
        </w:rPr>
        <w:t>1.</w:t>
      </w:r>
      <w:r>
        <w:rPr>
          <w:rFonts w:hint="eastAsia" w:ascii="宋体" w:hAnsi="宋体" w:eastAsia="宋体" w:cs="宋体"/>
          <w:b w:val="0"/>
          <w:bCs w:val="0"/>
          <w:color w:val="auto"/>
          <w:sz w:val="21"/>
          <w:szCs w:val="21"/>
          <w:highlight w:val="none"/>
          <w:shd w:val="clear" w:color="auto" w:fill="auto"/>
          <w:lang w:val="en-US" w:eastAsia="zh-CN"/>
        </w:rPr>
        <w:t>请提供“投标人是否在国家企业信用信息公示系统被列入严重违法失信企业名单情况”的查询情况。注：</w:t>
      </w:r>
      <w:r>
        <w:rPr>
          <w:rFonts w:hint="eastAsia" w:ascii="宋体" w:hAnsi="宋体" w:eastAsia="宋体" w:cs="宋体"/>
          <w:color w:val="auto"/>
          <w:sz w:val="21"/>
          <w:szCs w:val="21"/>
          <w:highlight w:val="none"/>
          <w:lang w:val="en-US" w:eastAsia="zh-CN"/>
        </w:rPr>
        <w:t>若</w:t>
      </w:r>
      <w:r>
        <w:rPr>
          <w:rFonts w:hint="eastAsia" w:ascii="宋体" w:hAnsi="宋体" w:eastAsia="宋体" w:cs="宋体"/>
          <w:b w:val="0"/>
          <w:bCs w:val="0"/>
          <w:color w:val="auto"/>
          <w:sz w:val="21"/>
          <w:szCs w:val="21"/>
          <w:highlight w:val="none"/>
          <w:shd w:val="clear" w:color="auto" w:fill="auto"/>
          <w:lang w:val="en-US" w:eastAsia="zh-CN"/>
        </w:rPr>
        <w:t>投标人</w:t>
      </w:r>
      <w:r>
        <w:rPr>
          <w:rFonts w:hint="eastAsia" w:cs="宋体"/>
          <w:color w:val="auto"/>
          <w:sz w:val="21"/>
          <w:szCs w:val="21"/>
          <w:highlight w:val="none"/>
          <w:lang w:val="en-US" w:eastAsia="zh-CN"/>
        </w:rPr>
        <w:t>提供的截图证明材料模糊不清、</w:t>
      </w:r>
      <w:r>
        <w:rPr>
          <w:rFonts w:hint="eastAsia" w:ascii="宋体" w:hAnsi="宋体" w:eastAsia="宋体" w:cs="宋体"/>
          <w:color w:val="auto"/>
          <w:sz w:val="21"/>
          <w:szCs w:val="21"/>
          <w:highlight w:val="none"/>
          <w:lang w:val="en-US" w:eastAsia="zh-CN"/>
        </w:rPr>
        <w:t>存在</w:t>
      </w:r>
      <w:r>
        <w:rPr>
          <w:rFonts w:hint="eastAsia" w:cs="宋体"/>
          <w:color w:val="auto"/>
          <w:sz w:val="21"/>
          <w:szCs w:val="21"/>
          <w:highlight w:val="none"/>
          <w:lang w:val="en-US" w:eastAsia="zh-CN"/>
        </w:rPr>
        <w:t>信息填写不完整或错误等情况，</w:t>
      </w:r>
      <w:r>
        <w:rPr>
          <w:rFonts w:hint="eastAsia" w:ascii="宋体" w:hAnsi="宋体" w:eastAsia="宋体" w:cs="宋体"/>
          <w:b w:val="0"/>
          <w:bCs w:val="0"/>
          <w:color w:val="auto"/>
          <w:sz w:val="21"/>
          <w:szCs w:val="21"/>
          <w:highlight w:val="none"/>
          <w:shd w:val="clear" w:color="auto" w:fill="auto"/>
          <w:lang w:val="en-US" w:eastAsia="zh-CN"/>
        </w:rPr>
        <w:t>由评审工作组或</w:t>
      </w:r>
      <w:r>
        <w:rPr>
          <w:rFonts w:hint="eastAsia" w:ascii="宋体" w:hAnsi="宋体" w:cs="宋体"/>
          <w:b w:val="0"/>
          <w:bCs w:val="0"/>
          <w:color w:val="auto"/>
          <w:sz w:val="21"/>
          <w:szCs w:val="21"/>
          <w:highlight w:val="none"/>
          <w:shd w:val="clear" w:color="auto" w:fill="auto"/>
          <w:lang w:val="en-US" w:eastAsia="zh-CN"/>
        </w:rPr>
        <w:t>招标</w:t>
      </w:r>
      <w:r>
        <w:rPr>
          <w:rFonts w:hint="eastAsia" w:ascii="宋体" w:hAnsi="宋体" w:eastAsia="宋体" w:cs="宋体"/>
          <w:b w:val="0"/>
          <w:bCs w:val="0"/>
          <w:color w:val="auto"/>
          <w:sz w:val="21"/>
          <w:szCs w:val="21"/>
          <w:highlight w:val="none"/>
          <w:shd w:val="clear" w:color="auto" w:fill="auto"/>
          <w:lang w:val="en-US" w:eastAsia="zh-CN"/>
        </w:rPr>
        <w:t>代理机构（或招标人）查询相关主体是否在国家企业信用信息公示系统被列入严重违法失信企业名单。</w:t>
      </w:r>
    </w:p>
    <w:p w14:paraId="630CDB96">
      <w:pPr>
        <w:spacing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shd w:val="clear" w:color="auto" w:fill="auto"/>
          <w:lang w:val="en-US" w:eastAsia="zh-CN"/>
        </w:rPr>
        <w:t>国家企业信用信息公示系统网站：http://www.gsxt.gov.cn/，查询路径和参考示例如下</w:t>
      </w:r>
      <w:r>
        <w:rPr>
          <w:rFonts w:ascii="宋体" w:hAnsi="宋体" w:eastAsia="宋体" w:cs="宋体"/>
          <w:b w:val="0"/>
          <w:bCs w:val="0"/>
          <w:color w:val="auto"/>
          <w:sz w:val="21"/>
          <w:szCs w:val="21"/>
          <w:highlight w:val="none"/>
        </w:rPr>
        <w:t>：</w:t>
      </w:r>
    </w:p>
    <w:p w14:paraId="14EF5C65">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）进入</w:t>
      </w:r>
      <w:r>
        <w:rPr>
          <w:rFonts w:ascii="宋体" w:hAnsi="宋体" w:eastAsia="宋体" w:cs="宋体"/>
          <w:color w:val="auto"/>
          <w:sz w:val="21"/>
          <w:szCs w:val="21"/>
          <w:highlight w:val="none"/>
        </w:rPr>
        <w:t>国家企业信用信息公示系统网站</w:t>
      </w:r>
      <w:r>
        <w:rPr>
          <w:rFonts w:hint="eastAsia" w:ascii="宋体" w:hAnsi="宋体" w:eastAsia="宋体" w:cs="宋体"/>
          <w:color w:val="auto"/>
          <w:sz w:val="21"/>
          <w:szCs w:val="21"/>
          <w:highlight w:val="none"/>
          <w:lang w:val="en-US" w:eastAsia="zh-CN"/>
        </w:rPr>
        <w:t>首页，在搜索框中输入企业名称并点击【查询】；</w:t>
      </w:r>
    </w:p>
    <w:p w14:paraId="2F5CFE03">
      <w:pPr>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291330" cy="2491105"/>
            <wp:effectExtent l="0" t="0" r="13970" b="444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3"/>
                    <a:stretch>
                      <a:fillRect/>
                    </a:stretch>
                  </pic:blipFill>
                  <pic:spPr>
                    <a:xfrm>
                      <a:off x="0" y="0"/>
                      <a:ext cx="4291330" cy="2491105"/>
                    </a:xfrm>
                    <a:prstGeom prst="rect">
                      <a:avLst/>
                    </a:prstGeom>
                    <a:noFill/>
                    <a:ln>
                      <a:noFill/>
                    </a:ln>
                  </pic:spPr>
                </pic:pic>
              </a:graphicData>
            </a:graphic>
          </wp:inline>
        </w:drawing>
      </w:r>
    </w:p>
    <w:p w14:paraId="4BDBEC2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）页面跳转并显示出该企业相关信息，点击此处信息；</w:t>
      </w:r>
    </w:p>
    <w:p w14:paraId="262CDCD8">
      <w:pPr>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072890" cy="3072765"/>
            <wp:effectExtent l="0" t="0" r="381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4"/>
                    <a:stretch>
                      <a:fillRect/>
                    </a:stretch>
                  </pic:blipFill>
                  <pic:spPr>
                    <a:xfrm>
                      <a:off x="0" y="0"/>
                      <a:ext cx="4072890" cy="3072765"/>
                    </a:xfrm>
                    <a:prstGeom prst="rect">
                      <a:avLst/>
                    </a:prstGeom>
                    <a:noFill/>
                    <a:ln>
                      <a:noFill/>
                    </a:ln>
                  </pic:spPr>
                </pic:pic>
              </a:graphicData>
            </a:graphic>
          </wp:inline>
        </w:drawing>
      </w:r>
    </w:p>
    <w:p w14:paraId="6D339C09">
      <w:pPr>
        <w:spacing w:line="360" w:lineRule="auto"/>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）点击【列入严重违法失信名单（黑名单）信息】，并完整展示出查询结果。</w:t>
      </w:r>
    </w:p>
    <w:p w14:paraId="51FF6A0C">
      <w:pPr>
        <w:spacing w:line="360" w:lineRule="auto"/>
        <w:jc w:val="center"/>
        <w:rPr>
          <w:rFonts w:hint="eastAsia"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drawing>
          <wp:inline distT="0" distB="0" distL="114300" distR="114300">
            <wp:extent cx="4472940" cy="2731770"/>
            <wp:effectExtent l="0" t="0" r="3810" b="1143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5"/>
                    <a:stretch>
                      <a:fillRect/>
                    </a:stretch>
                  </pic:blipFill>
                  <pic:spPr>
                    <a:xfrm>
                      <a:off x="0" y="0"/>
                      <a:ext cx="4472940" cy="2731770"/>
                    </a:xfrm>
                    <a:prstGeom prst="rect">
                      <a:avLst/>
                    </a:prstGeom>
                    <a:noFill/>
                    <a:ln>
                      <a:noFill/>
                    </a:ln>
                  </pic:spPr>
                </pic:pic>
              </a:graphicData>
            </a:graphic>
          </wp:inline>
        </w:drawing>
      </w:r>
    </w:p>
    <w:p w14:paraId="472F4075">
      <w:pPr>
        <w:rPr>
          <w:rFonts w:hint="eastAsia" w:ascii="宋体" w:hAnsi="宋体" w:eastAsia="宋体" w:cs="宋体"/>
          <w:color w:val="auto"/>
          <w:sz w:val="21"/>
          <w:szCs w:val="21"/>
          <w:highlight w:val="none"/>
          <w:lang w:val="en-US" w:eastAsia="zh-CN"/>
        </w:rPr>
      </w:pPr>
    </w:p>
    <w:p w14:paraId="7E6D9298">
      <w:pPr>
        <w:numPr>
          <w:ilvl w:val="0"/>
          <w:numId w:val="0"/>
        </w:numPr>
        <w:spacing w:line="360" w:lineRule="auto"/>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请提供“投标人是否在‘信用中国</w:t>
      </w:r>
      <w:r>
        <w:rPr>
          <w:rFonts w:hint="default"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网站被列入失信被执行人名单”的查询情况。</w:t>
      </w:r>
    </w:p>
    <w:p w14:paraId="2DD5BE75">
      <w:pPr>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注：若投标人提供的截图证明材料模糊不清、存在信息填写不完整或错误等情况，由评标委员会或招标代理机构（或招标人）查询相关主体是否在‘信用中国’网站被列入失信被执行人名单。</w:t>
      </w:r>
    </w:p>
    <w:p w14:paraId="3BF4046E">
      <w:pPr>
        <w:spacing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“信用中国”网站</w:t>
      </w:r>
      <w:r>
        <w:rPr>
          <w:rFonts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www.creditchina.gov.cn</w:t>
      </w:r>
      <w:r>
        <w:rPr>
          <w:rFonts w:ascii="宋体" w:hAnsi="宋体" w:eastAsia="宋体" w:cs="宋体"/>
          <w:b w:val="0"/>
          <w:bCs w:val="0"/>
          <w:color w:val="auto"/>
          <w:sz w:val="21"/>
          <w:szCs w:val="21"/>
          <w:highlight w:val="none"/>
        </w:rPr>
        <w:t>，查询</w:t>
      </w:r>
      <w:r>
        <w:rPr>
          <w:rFonts w:hint="eastAsia" w:ascii="宋体" w:hAnsi="宋体" w:eastAsia="宋体" w:cs="宋体"/>
          <w:b w:val="0"/>
          <w:bCs w:val="0"/>
          <w:color w:val="auto"/>
          <w:sz w:val="21"/>
          <w:szCs w:val="21"/>
          <w:highlight w:val="none"/>
          <w:lang w:val="en-US" w:eastAsia="zh-CN"/>
        </w:rPr>
        <w:t>路径和</w:t>
      </w:r>
      <w:r>
        <w:rPr>
          <w:rFonts w:ascii="宋体" w:hAnsi="宋体" w:eastAsia="宋体" w:cs="宋体"/>
          <w:b w:val="0"/>
          <w:bCs w:val="0"/>
          <w:color w:val="auto"/>
          <w:sz w:val="21"/>
          <w:szCs w:val="21"/>
          <w:highlight w:val="none"/>
        </w:rPr>
        <w:t>参考示例如下：</w:t>
      </w:r>
    </w:p>
    <w:p w14:paraId="274D248C">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）进入“信用中国”网站首页，点击【</w:t>
      </w:r>
      <w:r>
        <w:rPr>
          <w:rFonts w:hint="eastAsia" w:ascii="宋体" w:hAnsi="宋体" w:cs="宋体"/>
          <w:b/>
          <w:bCs/>
          <w:color w:val="auto"/>
          <w:sz w:val="21"/>
          <w:szCs w:val="21"/>
          <w:highlight w:val="none"/>
          <w:lang w:val="en-US" w:eastAsia="zh-CN"/>
        </w:rPr>
        <w:t>信息</w:t>
      </w:r>
      <w:r>
        <w:rPr>
          <w:rFonts w:hint="eastAsia" w:ascii="宋体" w:hAnsi="宋体" w:cs="宋体"/>
          <w:color w:val="auto"/>
          <w:sz w:val="21"/>
          <w:szCs w:val="21"/>
          <w:highlight w:val="none"/>
          <w:lang w:val="en-US" w:eastAsia="zh-CN"/>
        </w:rPr>
        <w:t>公示</w:t>
      </w:r>
      <w:r>
        <w:rPr>
          <w:rFonts w:hint="eastAsia" w:ascii="宋体" w:hAnsi="宋体" w:eastAsia="宋体" w:cs="宋体"/>
          <w:color w:val="auto"/>
          <w:sz w:val="21"/>
          <w:szCs w:val="21"/>
          <w:highlight w:val="none"/>
          <w:lang w:val="en-US" w:eastAsia="zh-CN"/>
        </w:rPr>
        <w:t>】；</w:t>
      </w:r>
    </w:p>
    <w:p w14:paraId="042B8718">
      <w:pPr>
        <w:widowControl w:val="0"/>
        <w:numPr>
          <w:ilvl w:val="0"/>
          <w:numId w:val="0"/>
        </w:numPr>
        <w:jc w:val="center"/>
        <w:rPr>
          <w:rFonts w:ascii="宋体" w:hAnsi="宋体" w:eastAsia="宋体" w:cs="宋体"/>
          <w:color w:val="auto"/>
          <w:sz w:val="21"/>
          <w:szCs w:val="21"/>
          <w:highlight w:val="none"/>
        </w:rPr>
      </w:pPr>
      <w:r>
        <w:rPr>
          <w:color w:val="auto"/>
          <w:highlight w:val="none"/>
        </w:rPr>
        <w:drawing>
          <wp:inline distT="0" distB="0" distL="114300" distR="114300">
            <wp:extent cx="5262245" cy="1345565"/>
            <wp:effectExtent l="0" t="0" r="1460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62245" cy="1345565"/>
                    </a:xfrm>
                    <a:prstGeom prst="rect">
                      <a:avLst/>
                    </a:prstGeom>
                    <a:noFill/>
                    <a:ln>
                      <a:noFill/>
                    </a:ln>
                  </pic:spPr>
                </pic:pic>
              </a:graphicData>
            </a:graphic>
          </wp:inline>
        </w:drawing>
      </w:r>
    </w:p>
    <w:p w14:paraId="02F74EEA">
      <w:pPr>
        <w:widowControl w:val="0"/>
        <w:numPr>
          <w:ilvl w:val="0"/>
          <w:numId w:val="0"/>
        </w:numPr>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）点击【失信被执行人</w:t>
      </w:r>
      <w:r>
        <w:rPr>
          <w:rFonts w:hint="eastAsia" w:ascii="宋体" w:hAnsi="宋体" w:cs="宋体"/>
          <w:color w:val="auto"/>
          <w:sz w:val="21"/>
          <w:szCs w:val="21"/>
          <w:highlight w:val="none"/>
          <w:lang w:val="en-US" w:eastAsia="zh-CN"/>
        </w:rPr>
        <w:t>查询</w:t>
      </w:r>
      <w:r>
        <w:rPr>
          <w:rFonts w:hint="eastAsia" w:ascii="宋体" w:hAnsi="宋体" w:eastAsia="宋体" w:cs="宋体"/>
          <w:color w:val="auto"/>
          <w:sz w:val="21"/>
          <w:szCs w:val="21"/>
          <w:highlight w:val="none"/>
          <w:lang w:val="en-US" w:eastAsia="zh-CN"/>
        </w:rPr>
        <w:t>】；</w:t>
      </w:r>
    </w:p>
    <w:p w14:paraId="56C1E3F3">
      <w:pPr>
        <w:widowControl w:val="0"/>
        <w:numPr>
          <w:ilvl w:val="0"/>
          <w:numId w:val="0"/>
        </w:numPr>
        <w:jc w:val="center"/>
        <w:rPr>
          <w:rFonts w:ascii="宋体" w:hAnsi="宋体" w:eastAsia="宋体" w:cs="宋体"/>
          <w:color w:val="auto"/>
          <w:sz w:val="21"/>
          <w:szCs w:val="21"/>
          <w:highlight w:val="none"/>
        </w:rPr>
      </w:pPr>
      <w:r>
        <w:rPr>
          <w:rFonts w:hint="eastAsia" w:eastAsia="宋体"/>
          <w:color w:val="auto"/>
          <w:highlight w:val="none"/>
          <w:lang w:eastAsia="zh-CN"/>
        </w:rPr>
        <w:drawing>
          <wp:inline distT="0" distB="0" distL="114300" distR="114300">
            <wp:extent cx="4653280" cy="2736215"/>
            <wp:effectExtent l="0" t="0" r="13970" b="6985"/>
            <wp:docPr id="11" name="图片 5" descr="WXWorkLocal_174894144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WXWorkLocal_17489414491843"/>
                    <pic:cNvPicPr>
                      <a:picLocks noChangeAspect="1"/>
                    </pic:cNvPicPr>
                  </pic:nvPicPr>
                  <pic:blipFill>
                    <a:blip r:embed="rId17"/>
                    <a:stretch>
                      <a:fillRect/>
                    </a:stretch>
                  </pic:blipFill>
                  <pic:spPr>
                    <a:xfrm>
                      <a:off x="0" y="0"/>
                      <a:ext cx="4653280" cy="2736215"/>
                    </a:xfrm>
                    <a:prstGeom prst="rect">
                      <a:avLst/>
                    </a:prstGeom>
                    <a:noFill/>
                    <a:ln>
                      <a:noFill/>
                    </a:ln>
                  </pic:spPr>
                </pic:pic>
              </a:graphicData>
            </a:graphic>
          </wp:inline>
        </w:drawing>
      </w:r>
    </w:p>
    <w:p w14:paraId="35CAB8B6">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）弹出温馨提示页面，点击【确定】；</w:t>
      </w:r>
    </w:p>
    <w:p w14:paraId="04A6A121">
      <w:pPr>
        <w:widowControl w:val="0"/>
        <w:numPr>
          <w:ilvl w:val="0"/>
          <w:numId w:val="0"/>
        </w:numPr>
        <w:jc w:val="center"/>
        <w:rPr>
          <w:rFonts w:ascii="宋体" w:hAnsi="宋体" w:eastAsia="宋体" w:cs="宋体"/>
          <w:color w:val="auto"/>
          <w:sz w:val="21"/>
          <w:szCs w:val="21"/>
          <w:highlight w:val="none"/>
        </w:rPr>
      </w:pPr>
      <w:r>
        <w:rPr>
          <w:rFonts w:hint="eastAsia" w:eastAsia="宋体"/>
          <w:color w:val="auto"/>
          <w:highlight w:val="none"/>
          <w:lang w:eastAsia="zh-CN"/>
        </w:rPr>
        <w:drawing>
          <wp:inline distT="0" distB="0" distL="114300" distR="114300">
            <wp:extent cx="4791075" cy="2479040"/>
            <wp:effectExtent l="0" t="0" r="9525" b="16510"/>
            <wp:docPr id="10" name="图片 6" descr="WXWorkLocal_174894160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WXWorkLocal_1748941605107"/>
                    <pic:cNvPicPr>
                      <a:picLocks noChangeAspect="1"/>
                    </pic:cNvPicPr>
                  </pic:nvPicPr>
                  <pic:blipFill>
                    <a:blip r:embed="rId18"/>
                    <a:stretch>
                      <a:fillRect/>
                    </a:stretch>
                  </pic:blipFill>
                  <pic:spPr>
                    <a:xfrm>
                      <a:off x="0" y="0"/>
                      <a:ext cx="4791075" cy="2479040"/>
                    </a:xfrm>
                    <a:prstGeom prst="rect">
                      <a:avLst/>
                    </a:prstGeom>
                    <a:noFill/>
                    <a:ln>
                      <a:noFill/>
                    </a:ln>
                  </pic:spPr>
                </pic:pic>
              </a:graphicData>
            </a:graphic>
          </wp:inline>
        </w:drawing>
      </w:r>
    </w:p>
    <w:p w14:paraId="77FF5CC1">
      <w:pPr>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）页面跳转至中国执行信息公开网，在【查询条件】中，输入企业名称、组织机构和验证码，点击【查询】；</w:t>
      </w:r>
    </w:p>
    <w:p w14:paraId="2770F084">
      <w:pPr>
        <w:widowControl w:val="0"/>
        <w:numPr>
          <w:ilvl w:val="0"/>
          <w:numId w:val="0"/>
        </w:numPr>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305935" cy="3080385"/>
            <wp:effectExtent l="0" t="0" r="18415" b="5715"/>
            <wp:docPr id="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6"/>
                    <pic:cNvPicPr>
                      <a:picLocks noChangeAspect="1"/>
                    </pic:cNvPicPr>
                  </pic:nvPicPr>
                  <pic:blipFill>
                    <a:blip r:embed="rId19"/>
                    <a:stretch>
                      <a:fillRect/>
                    </a:stretch>
                  </pic:blipFill>
                  <pic:spPr>
                    <a:xfrm>
                      <a:off x="0" y="0"/>
                      <a:ext cx="4305935" cy="3080385"/>
                    </a:xfrm>
                    <a:prstGeom prst="rect">
                      <a:avLst/>
                    </a:prstGeom>
                    <a:noFill/>
                    <a:ln>
                      <a:noFill/>
                    </a:ln>
                  </pic:spPr>
                </pic:pic>
              </a:graphicData>
            </a:graphic>
          </wp:inline>
        </w:drawing>
      </w:r>
    </w:p>
    <w:p w14:paraId="7888F576">
      <w:pPr>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）完整展示出查询结果：</w:t>
      </w:r>
    </w:p>
    <w:p w14:paraId="2802128F">
      <w:pPr>
        <w:numPr>
          <w:ilvl w:val="0"/>
          <w:numId w:val="0"/>
        </w:num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例</w:t>
      </w:r>
      <w:r>
        <w:rPr>
          <w:rFonts w:hint="eastAsia" w:ascii="宋体" w:hAnsi="宋体" w:cs="宋体"/>
          <w:color w:val="auto"/>
          <w:sz w:val="21"/>
          <w:szCs w:val="21"/>
          <w:highlight w:val="none"/>
          <w:lang w:val="en-US" w:eastAsia="zh-CN"/>
        </w:rPr>
        <w:t>①：</w:t>
      </w:r>
    </w:p>
    <w:p w14:paraId="7AFD8664">
      <w:pPr>
        <w:widowControl w:val="0"/>
        <w:numPr>
          <w:ilvl w:val="0"/>
          <w:numId w:val="0"/>
        </w:numPr>
        <w:jc w:val="center"/>
        <w:rPr>
          <w:rFonts w:hint="eastAsia"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drawing>
          <wp:inline distT="0" distB="0" distL="114300" distR="114300">
            <wp:extent cx="4224655" cy="1746250"/>
            <wp:effectExtent l="0" t="0" r="4445" b="6350"/>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20"/>
                    <a:stretch>
                      <a:fillRect/>
                    </a:stretch>
                  </pic:blipFill>
                  <pic:spPr>
                    <a:xfrm>
                      <a:off x="0" y="0"/>
                      <a:ext cx="4224655" cy="1746250"/>
                    </a:xfrm>
                    <a:prstGeom prst="rect">
                      <a:avLst/>
                    </a:prstGeom>
                    <a:noFill/>
                    <a:ln>
                      <a:noFill/>
                    </a:ln>
                  </pic:spPr>
                </pic:pic>
              </a:graphicData>
            </a:graphic>
          </wp:inline>
        </w:drawing>
      </w:r>
    </w:p>
    <w:p w14:paraId="238406A4">
      <w:pPr>
        <w:widowControl w:val="0"/>
        <w:numPr>
          <w:ilvl w:val="0"/>
          <w:numId w:val="0"/>
        </w:numPr>
        <w:ind w:firstLine="420" w:firstLineChars="2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例</w:t>
      </w:r>
      <w:r>
        <w:rPr>
          <w:rFonts w:hint="eastAsia" w:ascii="宋体" w:hAnsi="宋体" w:cs="宋体"/>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：如有被列入失信被执行人，请继续点击【查看】，并展示查看结果。</w:t>
      </w:r>
    </w:p>
    <w:p w14:paraId="49FF755A">
      <w:pPr>
        <w:widowControl w:val="0"/>
        <w:numPr>
          <w:ilvl w:val="0"/>
          <w:numId w:val="0"/>
        </w:numPr>
        <w:ind w:firstLine="420" w:firstLineChars="200"/>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drawing>
          <wp:inline distT="0" distB="0" distL="114300" distR="114300">
            <wp:extent cx="4231640" cy="1868805"/>
            <wp:effectExtent l="0" t="0" r="16510" b="17145"/>
            <wp:docPr id="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56"/>
                    <pic:cNvPicPr>
                      <a:picLocks noChangeAspect="1"/>
                    </pic:cNvPicPr>
                  </pic:nvPicPr>
                  <pic:blipFill>
                    <a:blip r:embed="rId21"/>
                    <a:stretch>
                      <a:fillRect/>
                    </a:stretch>
                  </pic:blipFill>
                  <pic:spPr>
                    <a:xfrm>
                      <a:off x="0" y="0"/>
                      <a:ext cx="4231640" cy="1868805"/>
                    </a:xfrm>
                    <a:prstGeom prst="rect">
                      <a:avLst/>
                    </a:prstGeom>
                    <a:noFill/>
                    <a:ln>
                      <a:noFill/>
                    </a:ln>
                  </pic:spPr>
                </pic:pic>
              </a:graphicData>
            </a:graphic>
          </wp:inline>
        </w:drawing>
      </w:r>
    </w:p>
    <w:p w14:paraId="4988DBE3">
      <w:pPr>
        <w:bidi w:val="0"/>
        <w:jc w:val="center"/>
        <w:rPr>
          <w:color w:val="auto"/>
          <w:highlight w:val="none"/>
        </w:rPr>
      </w:pPr>
      <w:r>
        <w:rPr>
          <w:color w:val="auto"/>
          <w:highlight w:val="none"/>
        </w:rPr>
        <w:drawing>
          <wp:inline distT="0" distB="0" distL="114300" distR="114300">
            <wp:extent cx="3744595" cy="2282825"/>
            <wp:effectExtent l="0" t="0" r="8255" b="3175"/>
            <wp:docPr id="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56"/>
                    <pic:cNvPicPr>
                      <a:picLocks noChangeAspect="1"/>
                    </pic:cNvPicPr>
                  </pic:nvPicPr>
                  <pic:blipFill>
                    <a:blip r:embed="rId22"/>
                    <a:stretch>
                      <a:fillRect/>
                    </a:stretch>
                  </pic:blipFill>
                  <pic:spPr>
                    <a:xfrm>
                      <a:off x="0" y="0"/>
                      <a:ext cx="3744595" cy="2282825"/>
                    </a:xfrm>
                    <a:prstGeom prst="rect">
                      <a:avLst/>
                    </a:prstGeom>
                    <a:noFill/>
                    <a:ln>
                      <a:noFill/>
                    </a:ln>
                  </pic:spPr>
                </pic:pic>
              </a:graphicData>
            </a:graphic>
          </wp:inline>
        </w:drawing>
      </w:r>
    </w:p>
    <w:p w14:paraId="7E2DD80F">
      <w:pPr>
        <w:jc w:val="center"/>
        <w:rPr>
          <w:rFonts w:hint="eastAsia" w:ascii="宋体" w:hAnsi="宋体" w:eastAsia="宋体" w:cs="宋体"/>
          <w:b/>
          <w:bCs/>
          <w:color w:val="auto"/>
          <w:kern w:val="2"/>
          <w:sz w:val="24"/>
          <w:szCs w:val="24"/>
          <w:highlight w:val="none"/>
          <w:lang w:val="en-US" w:eastAsia="zh-CN" w:bidi="ar-SA"/>
        </w:rPr>
      </w:pPr>
      <w:r>
        <w:rPr>
          <w:rFonts w:ascii="宋体" w:hAnsi="宋体" w:eastAsia="宋体" w:cs="宋体"/>
          <w:color w:val="auto"/>
          <w:sz w:val="21"/>
          <w:szCs w:val="21"/>
          <w:highlight w:val="none"/>
        </w:rPr>
        <w:drawing>
          <wp:inline distT="0" distB="0" distL="114300" distR="114300">
            <wp:extent cx="3404235" cy="2066925"/>
            <wp:effectExtent l="0" t="0" r="5715" b="952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23"/>
                    <a:stretch>
                      <a:fillRect/>
                    </a:stretch>
                  </pic:blipFill>
                  <pic:spPr>
                    <a:xfrm>
                      <a:off x="0" y="0"/>
                      <a:ext cx="3404235" cy="2066925"/>
                    </a:xfrm>
                    <a:prstGeom prst="rect">
                      <a:avLst/>
                    </a:prstGeom>
                    <a:noFill/>
                    <a:ln>
                      <a:noFill/>
                    </a:ln>
                  </pic:spPr>
                </pic:pic>
              </a:graphicData>
            </a:graphic>
          </wp:inline>
        </w:drawing>
      </w:r>
    </w:p>
    <w:p w14:paraId="63FE35DD">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14:paraId="1E5038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对于未在“国家企业信用信息公示系统”进行相关信息公示的事业单位或涉密性质单位（例如：事业单位、机关单位、民办非企业单位、执业律师事务所等非市场主体，若有最新规定的，从其规定），暂无法提供相关信息内容查询结果的，投标时无需提供查询资料，但在本项目投标文件中需就该情况进行特别说明，并提供相关证明材料。</w:t>
      </w:r>
    </w:p>
    <w:p w14:paraId="5E201CDA">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14:paraId="4988B3F7">
      <w:pPr>
        <w:pStyle w:val="2"/>
        <w:rPr>
          <w:rFonts w:hint="eastAsia"/>
          <w:color w:val="auto"/>
          <w:highlight w:val="none"/>
          <w:lang w:val="en-US" w:eastAsia="zh-CN"/>
        </w:rPr>
      </w:pPr>
    </w:p>
    <w:p w14:paraId="20257A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textAlignment w:val="auto"/>
        <w:outlineLvl w:val="3"/>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i w:val="0"/>
          <w:iCs w:val="0"/>
          <w:color w:val="auto"/>
          <w:kern w:val="2"/>
          <w:sz w:val="24"/>
          <w:szCs w:val="24"/>
          <w:highlight w:val="none"/>
          <w:lang w:val="zh-CN" w:eastAsia="zh-CN" w:bidi="ar-SA"/>
        </w:rPr>
        <w:t>专用资格</w:t>
      </w:r>
      <w:r>
        <w:rPr>
          <w:rFonts w:hint="eastAsia" w:ascii="宋体" w:hAnsi="宋体" w:cs="宋体"/>
          <w:b/>
          <w:bCs/>
          <w:i w:val="0"/>
          <w:iCs w:val="0"/>
          <w:color w:val="auto"/>
          <w:kern w:val="2"/>
          <w:sz w:val="24"/>
          <w:szCs w:val="24"/>
          <w:highlight w:val="none"/>
          <w:lang w:val="en-US" w:eastAsia="zh-CN" w:bidi="ar-SA"/>
        </w:rPr>
        <w:t>证明材料</w:t>
      </w:r>
    </w:p>
    <w:p w14:paraId="7D3E1D87">
      <w:pPr>
        <w:spacing w:line="480" w:lineRule="auto"/>
        <w:rPr>
          <w:rFonts w:hint="eastAsia" w:ascii="Times New Roman" w:hAnsi="Times New Roman" w:eastAsia="宋体" w:cs="Times New Roman"/>
          <w:b/>
          <w:bCs/>
          <w:color w:val="auto"/>
          <w:highlight w:val="none"/>
          <w:u w:val="none"/>
        </w:rPr>
      </w:pPr>
      <w:r>
        <w:rPr>
          <w:rFonts w:hint="eastAsia" w:cs="Times New Roman"/>
          <w:b/>
          <w:bCs/>
          <w:color w:val="auto"/>
          <w:highlight w:val="none"/>
          <w:u w:val="none"/>
          <w:lang w:val="en-US" w:eastAsia="zh-CN"/>
        </w:rPr>
        <w:t>1、</w:t>
      </w:r>
      <w:r>
        <w:rPr>
          <w:rFonts w:hint="eastAsia" w:ascii="Times New Roman" w:hAnsi="Times New Roman" w:eastAsia="宋体" w:cs="Times New Roman"/>
          <w:b/>
          <w:bCs/>
          <w:color w:val="auto"/>
          <w:highlight w:val="none"/>
          <w:u w:val="none"/>
        </w:rPr>
        <w:t>具备有效的工程监理综合资质，或电力工程监理甲级资质。香港企业参加投标的，须在广东省住房和城乡建设主管部门备案且备案的业务范围满足本项目招标文件要求。</w:t>
      </w:r>
    </w:p>
    <w:p w14:paraId="0D2A3990">
      <w:pPr>
        <w:spacing w:line="360" w:lineRule="auto"/>
        <w:rPr>
          <w:rFonts w:hint="eastAsia"/>
          <w:b/>
          <w:bCs/>
          <w:color w:val="auto"/>
          <w:highlight w:val="none"/>
        </w:rPr>
      </w:pPr>
      <w:r>
        <w:rPr>
          <w:rFonts w:hint="eastAsia"/>
          <w:b/>
          <w:bCs/>
          <w:color w:val="auto"/>
          <w:highlight w:val="none"/>
        </w:rPr>
        <w:t>注：提供</w:t>
      </w:r>
      <w:r>
        <w:rPr>
          <w:rFonts w:hint="eastAsia"/>
          <w:b/>
          <w:bCs/>
          <w:color w:val="auto"/>
          <w:highlight w:val="none"/>
          <w:lang w:val="en-US" w:eastAsia="zh-CN"/>
        </w:rPr>
        <w:t>上述资质</w:t>
      </w:r>
      <w:r>
        <w:rPr>
          <w:rFonts w:hint="eastAsia"/>
          <w:b/>
          <w:bCs/>
          <w:color w:val="auto"/>
          <w:highlight w:val="none"/>
        </w:rPr>
        <w:t>相关证明材料，需加盖电子印章。</w:t>
      </w:r>
    </w:p>
    <w:p w14:paraId="64AFB81C">
      <w:pPr>
        <w:spacing w:line="48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2、总监理工程师要求：</w:t>
      </w:r>
    </w:p>
    <w:p w14:paraId="72F7FCD2">
      <w:pPr>
        <w:spacing w:line="48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拟派项目总监理工程师须具有建设部2006年4月1日后颁发的中华人民共和国注册监理工程师注册执业证书，且其注册专业为电力工程，注册执业单位为本公司（注册企业以注册监理工程师注册执业证书上的注册单位为准, 拟派总监理工程师注册执业专业以注册执业证书上的注册专业为准），并具备本科或以上学历。或在广东省住房和城乡建设主管部门备案且备案的资格满足本项目总监理工程师的资格要求的香港专业人士。</w:t>
      </w:r>
    </w:p>
    <w:p w14:paraId="4711EB07">
      <w:pPr>
        <w:spacing w:line="48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注：提供</w:t>
      </w:r>
      <w:r>
        <w:rPr>
          <w:rFonts w:hint="eastAsia" w:ascii="宋体" w:hAnsi="宋体" w:cs="宋体"/>
          <w:b/>
          <w:bCs/>
          <w:color w:val="auto"/>
          <w:highlight w:val="none"/>
          <w:lang w:val="en-US" w:eastAsia="zh-CN"/>
        </w:rPr>
        <w:t>注册监理工程师注册执业证书及学历证明材料，或在广东省住房和城乡建设主管部门备案且备案的资格满足本项目总监理工程师的资格要求的香港专业人士的证明材料，</w:t>
      </w:r>
      <w:r>
        <w:rPr>
          <w:rFonts w:hint="eastAsia" w:ascii="宋体" w:hAnsi="宋体" w:eastAsia="宋体" w:cs="宋体"/>
          <w:b/>
          <w:bCs/>
          <w:color w:val="auto"/>
          <w:highlight w:val="none"/>
          <w:lang w:val="en-US" w:eastAsia="zh-CN"/>
        </w:rPr>
        <w:t>需加盖电子印章。</w:t>
      </w:r>
    </w:p>
    <w:p w14:paraId="613F735A">
      <w:pPr>
        <w:spacing w:line="480" w:lineRule="auto"/>
        <w:rPr>
          <w:rFonts w:hint="default" w:eastAsia="宋体"/>
          <w:b/>
          <w:bCs/>
          <w:color w:val="auto"/>
          <w:highlight w:val="none"/>
          <w:lang w:val="en-US" w:eastAsia="zh-CN"/>
        </w:rPr>
      </w:pPr>
      <w:r>
        <w:rPr>
          <w:rFonts w:hint="eastAsia"/>
          <w:b/>
          <w:bCs/>
          <w:color w:val="auto"/>
          <w:highlight w:val="none"/>
          <w:lang w:val="en-US" w:eastAsia="zh-CN"/>
        </w:rPr>
        <w:t>3、已在广州公共资源交易中心办理企业信息登记（提供已在广州公共资源交易中心办理企业信息登记的网页截图），且拟担任本工程项目总监理工程师须是本企业在广州公共资源交易中心的企业信息登记在册人员（提供拟担任本工程项目总监理工程师须是本企业在广州公共资源交易中心的企业信息登记在册人员的网页截图）。</w:t>
      </w:r>
    </w:p>
    <w:p w14:paraId="4931FEC3">
      <w:pPr>
        <w:spacing w:line="360" w:lineRule="auto"/>
        <w:rPr>
          <w:rFonts w:hint="default" w:ascii="宋体" w:hAnsi="宋体" w:eastAsia="宋体" w:cs="宋体"/>
          <w:b/>
          <w:bCs/>
          <w:color w:val="auto"/>
          <w:highlight w:val="none"/>
          <w:lang w:val="en-US" w:eastAsia="zh-CN"/>
        </w:rPr>
      </w:pPr>
      <w:r>
        <w:rPr>
          <w:rFonts w:hint="eastAsia"/>
          <w:b/>
          <w:bCs/>
          <w:color w:val="auto"/>
          <w:highlight w:val="none"/>
        </w:rPr>
        <w:t>注：</w:t>
      </w:r>
      <w:r>
        <w:rPr>
          <w:rFonts w:hint="eastAsia" w:ascii="宋体" w:hAnsi="宋体" w:eastAsia="宋体" w:cs="宋体"/>
          <w:b/>
          <w:bCs/>
          <w:color w:val="auto"/>
          <w:sz w:val="21"/>
          <w:szCs w:val="21"/>
          <w:highlight w:val="none"/>
          <w:lang w:val="en-US" w:eastAsia="zh-CN"/>
        </w:rPr>
        <w:t>提供</w:t>
      </w:r>
      <w:r>
        <w:rPr>
          <w:rFonts w:hint="eastAsia" w:ascii="宋体" w:hAnsi="宋体" w:cs="宋体"/>
          <w:b/>
          <w:bCs/>
          <w:color w:val="auto"/>
          <w:sz w:val="21"/>
          <w:szCs w:val="21"/>
          <w:highlight w:val="none"/>
          <w:lang w:val="en-US" w:eastAsia="zh-CN"/>
        </w:rPr>
        <w:t>上述内容</w:t>
      </w:r>
      <w:r>
        <w:rPr>
          <w:rFonts w:hint="eastAsia" w:ascii="宋体" w:hAnsi="宋体" w:eastAsia="宋体" w:cs="宋体"/>
          <w:b/>
          <w:bCs/>
          <w:color w:val="auto"/>
          <w:sz w:val="21"/>
          <w:szCs w:val="21"/>
          <w:highlight w:val="none"/>
          <w:lang w:val="en-US" w:eastAsia="zh-CN"/>
        </w:rPr>
        <w:t>相关</w:t>
      </w:r>
      <w:r>
        <w:rPr>
          <w:rFonts w:hint="eastAsia" w:ascii="宋体" w:hAnsi="宋体" w:cs="宋体"/>
          <w:b/>
          <w:bCs/>
          <w:color w:val="auto"/>
          <w:sz w:val="21"/>
          <w:szCs w:val="21"/>
          <w:highlight w:val="none"/>
          <w:lang w:val="en-US" w:eastAsia="zh-CN"/>
        </w:rPr>
        <w:t>截图，需加盖电子印章。</w:t>
      </w:r>
    </w:p>
    <w:p w14:paraId="741086BE">
      <w:pPr>
        <w:bidi w:val="0"/>
        <w:rPr>
          <w:rFonts w:hint="eastAsia"/>
          <w:color w:val="auto"/>
          <w:highlight w:val="none"/>
        </w:rPr>
      </w:pPr>
    </w:p>
    <w:p w14:paraId="70FA26A5">
      <w:pPr>
        <w:spacing w:line="360" w:lineRule="auto"/>
        <w:rPr>
          <w:rFonts w:hint="eastAsia" w:ascii="宋体" w:hAnsi="宋体" w:eastAsia="宋体" w:cs="宋体"/>
          <w:b/>
          <w:bCs/>
          <w:color w:val="auto"/>
          <w:highlight w:val="none"/>
          <w:lang w:val="zh-CN"/>
        </w:rPr>
      </w:pPr>
    </w:p>
    <w:p w14:paraId="05F9DF8D">
      <w:pPr>
        <w:bidi w:val="0"/>
        <w:rPr>
          <w:rFonts w:hint="eastAsia"/>
          <w:color w:val="auto"/>
          <w:highlight w:val="none"/>
        </w:rPr>
      </w:pPr>
    </w:p>
    <w:p w14:paraId="78DD7F65">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14:paraId="60B8FD8F">
      <w:pPr>
        <w:keepNext w:val="0"/>
        <w:keepLines w:val="0"/>
        <w:pageBreakBefore w:val="0"/>
        <w:widowControl w:val="0"/>
        <w:kinsoku/>
        <w:wordWrap/>
        <w:overflowPunct/>
        <w:topLinePunct w:val="0"/>
        <w:autoSpaceDE/>
        <w:autoSpaceDN/>
        <w:bidi w:val="0"/>
        <w:adjustRightInd/>
        <w:snapToGrid/>
        <w:spacing w:before="10" w:after="10" w:line="360" w:lineRule="auto"/>
        <w:jc w:val="center"/>
        <w:textAlignment w:val="auto"/>
        <w:outlineLvl w:val="2"/>
        <w:rPr>
          <w:rStyle w:val="63"/>
          <w:rFonts w:hint="eastAsia" w:ascii="Times New Roman" w:hAnsi="Times New Roman" w:eastAsia="宋体" w:cs="Times New Roman"/>
          <w:color w:val="auto"/>
          <w:highlight w:val="none"/>
          <w:lang w:val="zh-CN" w:eastAsia="zh-CN" w:bidi="ar-SA"/>
        </w:rPr>
      </w:pPr>
      <w:bookmarkStart w:id="2506" w:name="_Toc4568"/>
      <w:bookmarkStart w:id="2507" w:name="_Toc27635"/>
      <w:bookmarkStart w:id="2508" w:name="_Toc26235"/>
      <w:bookmarkStart w:id="2509" w:name="_Toc17525"/>
      <w:bookmarkStart w:id="2510" w:name="_Toc20071"/>
      <w:bookmarkStart w:id="2511" w:name="_Toc3371"/>
      <w:r>
        <w:rPr>
          <w:rStyle w:val="63"/>
          <w:rFonts w:hint="eastAsia" w:ascii="Times New Roman" w:hAnsi="Times New Roman" w:eastAsia="宋体" w:cs="Times New Roman"/>
          <w:color w:val="auto"/>
          <w:highlight w:val="none"/>
          <w:lang w:val="zh-CN" w:eastAsia="zh-CN" w:bidi="ar-SA"/>
        </w:rPr>
        <w:t>十、</w:t>
      </w:r>
      <w:r>
        <w:rPr>
          <w:rStyle w:val="63"/>
          <w:rFonts w:hint="eastAsia" w:cs="Times New Roman"/>
          <w:color w:val="auto"/>
          <w:highlight w:val="none"/>
          <w:lang w:val="zh-CN" w:eastAsia="zh-CN" w:bidi="ar-SA"/>
        </w:rPr>
        <w:t>企业资信相关资料</w:t>
      </w:r>
    </w:p>
    <w:p w14:paraId="5EA0CC20">
      <w:pPr>
        <w:rPr>
          <w:rFonts w:hint="eastAsia" w:ascii="宋体" w:hAnsi="宋体" w:eastAsia="宋体" w:cs="宋体"/>
          <w:b/>
          <w:bCs/>
          <w:color w:val="auto"/>
          <w:kern w:val="2"/>
          <w:sz w:val="24"/>
          <w:szCs w:val="24"/>
          <w:highlight w:val="none"/>
          <w:lang w:val="en-US" w:eastAsia="zh-CN" w:bidi="ar-SA"/>
        </w:rPr>
      </w:pPr>
    </w:p>
    <w:p w14:paraId="35F0FB00">
      <w:pPr>
        <w:keepNext w:val="0"/>
        <w:keepLines w:val="0"/>
        <w:pageBreakBefore w:val="0"/>
        <w:widowControl w:val="0"/>
        <w:kinsoku/>
        <w:wordWrap/>
        <w:overflowPunct/>
        <w:topLinePunct w:val="0"/>
        <w:autoSpaceDE/>
        <w:autoSpaceDN/>
        <w:bidi w:val="0"/>
        <w:adjustRightInd/>
        <w:snapToGrid/>
        <w:textAlignment w:val="auto"/>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（一）管理体系认证情况</w:t>
      </w:r>
    </w:p>
    <w:p w14:paraId="5245E13B">
      <w:pPr>
        <w:rPr>
          <w:rFonts w:hint="eastAsia" w:ascii="宋体" w:hAnsi="宋体" w:eastAsia="宋体" w:cs="宋体"/>
          <w:b/>
          <w:bCs/>
          <w:color w:val="auto"/>
          <w:kern w:val="2"/>
          <w:sz w:val="24"/>
          <w:szCs w:val="24"/>
          <w:highlight w:val="none"/>
          <w:lang w:val="en-US" w:eastAsia="zh-CN" w:bidi="ar-SA"/>
        </w:rPr>
      </w:pPr>
      <w:r>
        <w:rPr>
          <w:rFonts w:hint="default" w:ascii="宋体" w:hAnsi="宋体" w:cs="宋体"/>
          <w:color w:val="auto"/>
          <w:kern w:val="2"/>
          <w:highlight w:val="none"/>
          <w:lang w:bidi="ar"/>
          <w:woUserID w:val="1"/>
        </w:rPr>
        <w:t>注：</w:t>
      </w:r>
      <w:r>
        <w:rPr>
          <w:rFonts w:hint="default" w:ascii="宋体" w:hAnsi="宋体" w:eastAsia="宋体" w:cs="宋体"/>
          <w:color w:val="auto"/>
          <w:kern w:val="2"/>
          <w:highlight w:val="none"/>
          <w:lang w:val="en-US" w:eastAsia="zh-CN" w:bidi="ar"/>
          <w:woUserID w:val="1"/>
        </w:rPr>
        <w:t>按</w:t>
      </w:r>
      <w:r>
        <w:rPr>
          <w:rFonts w:hint="default" w:ascii="宋体" w:hAnsi="宋体" w:eastAsia="宋体" w:cs="宋体"/>
          <w:color w:val="auto"/>
          <w:kern w:val="2"/>
          <w:highlight w:val="none"/>
          <w:lang w:eastAsia="zh-CN" w:bidi="ar"/>
          <w:woUserID w:val="1"/>
        </w:rPr>
        <w:t>定标因素</w:t>
      </w:r>
      <w:r>
        <w:rPr>
          <w:rFonts w:hint="eastAsia" w:ascii="宋体" w:hAnsi="宋体" w:eastAsia="宋体" w:cs="宋体"/>
          <w:color w:val="auto"/>
          <w:kern w:val="2"/>
          <w:highlight w:val="none"/>
          <w:lang w:val="en-US" w:eastAsia="zh-CN" w:bidi="ar"/>
          <w:woUserID w:val="1"/>
        </w:rPr>
        <w:t>“</w:t>
      </w:r>
      <w:r>
        <w:rPr>
          <w:rFonts w:hint="default" w:ascii="宋体" w:hAnsi="宋体" w:cs="宋体"/>
          <w:color w:val="auto"/>
          <w:kern w:val="2"/>
          <w:highlight w:val="none"/>
          <w:lang w:eastAsia="zh-CN" w:bidi="ar"/>
          <w:woUserID w:val="1"/>
        </w:rPr>
        <w:t>管理体系认证情况</w:t>
      </w:r>
      <w:r>
        <w:rPr>
          <w:rFonts w:hint="eastAsia" w:ascii="宋体" w:hAnsi="宋体" w:eastAsia="宋体" w:cs="宋体"/>
          <w:color w:val="auto"/>
          <w:kern w:val="2"/>
          <w:highlight w:val="none"/>
          <w:lang w:val="en-US" w:eastAsia="zh-CN" w:bidi="ar"/>
          <w:woUserID w:val="1"/>
        </w:rPr>
        <w:t>”中的要求，提供</w:t>
      </w:r>
      <w:r>
        <w:rPr>
          <w:rFonts w:hint="default" w:ascii="宋体" w:hAnsi="宋体" w:cs="宋体"/>
          <w:color w:val="auto"/>
          <w:kern w:val="2"/>
          <w:highlight w:val="none"/>
          <w:lang w:eastAsia="zh-CN" w:bidi="ar"/>
          <w:woUserID w:val="1"/>
        </w:rPr>
        <w:t>相关</w:t>
      </w:r>
      <w:r>
        <w:rPr>
          <w:rFonts w:hint="eastAsia" w:ascii="宋体" w:hAnsi="宋体" w:eastAsia="宋体" w:cs="宋体"/>
          <w:color w:val="auto"/>
          <w:kern w:val="2"/>
          <w:highlight w:val="none"/>
          <w:lang w:val="en-US" w:eastAsia="zh-CN" w:bidi="ar"/>
          <w:woUserID w:val="1"/>
        </w:rPr>
        <w:t>证明资料</w:t>
      </w:r>
      <w:r>
        <w:rPr>
          <w:rFonts w:hint="default" w:ascii="宋体" w:hAnsi="宋体" w:cs="宋体"/>
          <w:color w:val="auto"/>
          <w:kern w:val="2"/>
          <w:highlight w:val="none"/>
          <w:lang w:eastAsia="zh-CN" w:bidi="ar"/>
          <w:woUserID w:val="1"/>
        </w:rPr>
        <w:t>，需加盖电子印章。</w:t>
      </w:r>
    </w:p>
    <w:p w14:paraId="460D7E83">
      <w:pPr>
        <w:rPr>
          <w:rFonts w:hint="eastAsia" w:ascii="宋体" w:hAnsi="宋体" w:eastAsia="宋体" w:cs="宋体"/>
          <w:b/>
          <w:bCs/>
          <w:color w:val="auto"/>
          <w:kern w:val="2"/>
          <w:sz w:val="24"/>
          <w:szCs w:val="24"/>
          <w:highlight w:val="none"/>
          <w:lang w:val="en-US" w:eastAsia="zh-CN" w:bidi="ar-SA"/>
        </w:rPr>
      </w:pPr>
    </w:p>
    <w:p w14:paraId="662DCD22">
      <w:pPr>
        <w:keepNext w:val="0"/>
        <w:keepLines w:val="0"/>
        <w:pageBreakBefore w:val="0"/>
        <w:widowControl w:val="0"/>
        <w:kinsoku/>
        <w:wordWrap/>
        <w:overflowPunct/>
        <w:topLinePunct w:val="0"/>
        <w:autoSpaceDE/>
        <w:autoSpaceDN/>
        <w:bidi w:val="0"/>
        <w:adjustRightInd/>
        <w:snapToGrid/>
        <w:textAlignment w:val="auto"/>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（二）纳税情况</w:t>
      </w:r>
    </w:p>
    <w:p w14:paraId="46DFA89D">
      <w:pPr>
        <w:rPr>
          <w:rFonts w:hint="eastAsia" w:ascii="宋体" w:hAnsi="宋体" w:eastAsia="宋体" w:cs="宋体"/>
          <w:b/>
          <w:bCs/>
          <w:color w:val="auto"/>
          <w:kern w:val="2"/>
          <w:sz w:val="24"/>
          <w:szCs w:val="24"/>
          <w:highlight w:val="none"/>
          <w:lang w:val="en-US" w:eastAsia="zh-CN" w:bidi="ar-SA"/>
        </w:rPr>
      </w:pPr>
      <w:r>
        <w:rPr>
          <w:rFonts w:hint="default" w:ascii="宋体" w:hAnsi="宋体" w:cs="宋体"/>
          <w:color w:val="auto"/>
          <w:kern w:val="2"/>
          <w:highlight w:val="none"/>
          <w:lang w:bidi="ar"/>
          <w:woUserID w:val="1"/>
        </w:rPr>
        <w:t>注：</w:t>
      </w:r>
      <w:r>
        <w:rPr>
          <w:rFonts w:hint="default" w:ascii="宋体" w:hAnsi="宋体" w:eastAsia="宋体" w:cs="宋体"/>
          <w:color w:val="auto"/>
          <w:kern w:val="2"/>
          <w:highlight w:val="none"/>
          <w:lang w:val="en-US" w:eastAsia="zh-CN" w:bidi="ar"/>
          <w:woUserID w:val="1"/>
        </w:rPr>
        <w:t>按</w:t>
      </w:r>
      <w:r>
        <w:rPr>
          <w:rFonts w:hint="default" w:ascii="宋体" w:hAnsi="宋体" w:eastAsia="宋体" w:cs="宋体"/>
          <w:color w:val="auto"/>
          <w:kern w:val="2"/>
          <w:highlight w:val="none"/>
          <w:lang w:eastAsia="zh-CN" w:bidi="ar"/>
          <w:woUserID w:val="1"/>
        </w:rPr>
        <w:t>定标因素</w:t>
      </w:r>
      <w:r>
        <w:rPr>
          <w:rFonts w:hint="eastAsia" w:ascii="宋体" w:hAnsi="宋体" w:eastAsia="宋体" w:cs="宋体"/>
          <w:color w:val="auto"/>
          <w:kern w:val="2"/>
          <w:highlight w:val="none"/>
          <w:lang w:val="en-US" w:eastAsia="zh-CN" w:bidi="ar"/>
          <w:woUserID w:val="1"/>
        </w:rPr>
        <w:t>“</w:t>
      </w:r>
      <w:r>
        <w:rPr>
          <w:rFonts w:hint="default" w:ascii="宋体" w:hAnsi="宋体" w:cs="宋体"/>
          <w:color w:val="auto"/>
          <w:kern w:val="2"/>
          <w:highlight w:val="none"/>
          <w:lang w:eastAsia="zh-CN" w:bidi="ar"/>
          <w:woUserID w:val="1"/>
        </w:rPr>
        <w:t>纳税情况</w:t>
      </w:r>
      <w:r>
        <w:rPr>
          <w:rFonts w:hint="eastAsia" w:ascii="宋体" w:hAnsi="宋体" w:eastAsia="宋体" w:cs="宋体"/>
          <w:color w:val="auto"/>
          <w:kern w:val="2"/>
          <w:highlight w:val="none"/>
          <w:lang w:val="en-US" w:eastAsia="zh-CN" w:bidi="ar"/>
          <w:woUserID w:val="1"/>
        </w:rPr>
        <w:t>”中的要求，提供</w:t>
      </w:r>
      <w:r>
        <w:rPr>
          <w:rFonts w:hint="default" w:ascii="宋体" w:hAnsi="宋体" w:cs="宋体"/>
          <w:color w:val="auto"/>
          <w:kern w:val="2"/>
          <w:highlight w:val="none"/>
          <w:lang w:eastAsia="zh-CN" w:bidi="ar"/>
          <w:woUserID w:val="1"/>
        </w:rPr>
        <w:t>相关</w:t>
      </w:r>
      <w:r>
        <w:rPr>
          <w:rFonts w:hint="eastAsia" w:ascii="宋体" w:hAnsi="宋体" w:eastAsia="宋体" w:cs="宋体"/>
          <w:color w:val="auto"/>
          <w:kern w:val="2"/>
          <w:highlight w:val="none"/>
          <w:lang w:val="en-US" w:eastAsia="zh-CN" w:bidi="ar"/>
          <w:woUserID w:val="1"/>
        </w:rPr>
        <w:t>证明资料</w:t>
      </w:r>
      <w:r>
        <w:rPr>
          <w:rFonts w:hint="default" w:ascii="宋体" w:hAnsi="宋体" w:cs="宋体"/>
          <w:color w:val="auto"/>
          <w:kern w:val="2"/>
          <w:highlight w:val="none"/>
          <w:lang w:eastAsia="zh-CN" w:bidi="ar"/>
          <w:woUserID w:val="1"/>
        </w:rPr>
        <w:t>，需加盖电子印章。</w:t>
      </w:r>
    </w:p>
    <w:p w14:paraId="22D08C25">
      <w:pPr>
        <w:rPr>
          <w:rFonts w:hint="eastAsia" w:ascii="宋体" w:hAnsi="宋体" w:eastAsia="宋体" w:cs="宋体"/>
          <w:b/>
          <w:bCs/>
          <w:color w:val="auto"/>
          <w:kern w:val="2"/>
          <w:sz w:val="24"/>
          <w:szCs w:val="24"/>
          <w:highlight w:val="none"/>
          <w:lang w:val="en-US" w:eastAsia="zh-CN" w:bidi="ar-SA"/>
        </w:rPr>
      </w:pPr>
    </w:p>
    <w:p w14:paraId="0D45A71B">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14:paraId="679F6A42">
      <w:pPr>
        <w:keepNext w:val="0"/>
        <w:keepLines w:val="0"/>
        <w:pageBreakBefore w:val="0"/>
        <w:widowControl w:val="0"/>
        <w:kinsoku/>
        <w:wordWrap/>
        <w:overflowPunct/>
        <w:topLinePunct w:val="0"/>
        <w:autoSpaceDE/>
        <w:autoSpaceDN/>
        <w:bidi w:val="0"/>
        <w:adjustRightInd/>
        <w:snapToGrid/>
        <w:textAlignment w:val="auto"/>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（三）监理业绩情况</w:t>
      </w:r>
    </w:p>
    <w:p w14:paraId="0D878C00">
      <w:pPr>
        <w:pStyle w:val="23"/>
        <w:spacing w:before="10" w:after="10" w:line="360" w:lineRule="auto"/>
        <w:rPr>
          <w:rFonts w:hint="eastAsia" w:hAnsi="宋体" w:cs="宋体"/>
          <w:color w:val="auto"/>
          <w:kern w:val="0"/>
          <w:szCs w:val="21"/>
          <w:highlight w:val="none"/>
          <w:shd w:val="clear" w:color="auto" w:fill="auto"/>
        </w:rPr>
      </w:pPr>
    </w:p>
    <w:p w14:paraId="586B2DB2">
      <w:pPr>
        <w:spacing w:before="10" w:after="10" w:line="360" w:lineRule="auto"/>
        <w:jc w:val="center"/>
        <w:rPr>
          <w:rFonts w:hint="eastAsia" w:ascii="宋体" w:hAnsi="宋体" w:cs="宋体"/>
          <w:color w:val="auto"/>
          <w:szCs w:val="21"/>
          <w:highlight w:val="none"/>
          <w:shd w:val="clear" w:color="auto" w:fill="auto"/>
        </w:rPr>
      </w:pPr>
    </w:p>
    <w:p w14:paraId="1EB8EF6D">
      <w:pPr>
        <w:keepNext w:val="0"/>
        <w:keepLines w:val="0"/>
        <w:pageBreakBefore w:val="0"/>
        <w:widowControl w:val="0"/>
        <w:kinsoku/>
        <w:wordWrap/>
        <w:overflowPunct/>
        <w:topLinePunct w:val="0"/>
        <w:autoSpaceDE/>
        <w:autoSpaceDN/>
        <w:bidi w:val="0"/>
        <w:adjustRightInd/>
        <w:snapToGrid/>
        <w:spacing w:before="10" w:after="10" w:line="360" w:lineRule="auto"/>
        <w:jc w:val="center"/>
        <w:textAlignment w:val="auto"/>
        <w:outlineLvl w:val="9"/>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自2022年1月1日至今完成类似监理业绩情况汇总表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165"/>
        <w:gridCol w:w="1447"/>
        <w:gridCol w:w="1761"/>
        <w:gridCol w:w="1618"/>
        <w:gridCol w:w="1324"/>
      </w:tblGrid>
      <w:tr w14:paraId="619E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3D48E64C">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序号</w:t>
            </w:r>
          </w:p>
        </w:tc>
        <w:tc>
          <w:tcPr>
            <w:tcW w:w="2165" w:type="dxa"/>
            <w:tcBorders>
              <w:top w:val="single" w:color="auto" w:sz="4" w:space="0"/>
              <w:left w:val="single" w:color="auto" w:sz="4" w:space="0"/>
              <w:bottom w:val="single" w:color="auto" w:sz="4" w:space="0"/>
              <w:right w:val="single" w:color="auto" w:sz="4" w:space="0"/>
            </w:tcBorders>
            <w:noWrap w:val="0"/>
            <w:vAlign w:val="center"/>
          </w:tcPr>
          <w:p w14:paraId="3EC14052">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项目名称</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5830D06">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招标人</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6228461">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合同金额（元）</w:t>
            </w:r>
          </w:p>
        </w:tc>
        <w:tc>
          <w:tcPr>
            <w:tcW w:w="1618" w:type="dxa"/>
            <w:tcBorders>
              <w:top w:val="single" w:color="auto" w:sz="4" w:space="0"/>
              <w:left w:val="single" w:color="auto" w:sz="4" w:space="0"/>
              <w:bottom w:val="single" w:color="auto" w:sz="4" w:space="0"/>
              <w:right w:val="single" w:color="auto" w:sz="4" w:space="0"/>
            </w:tcBorders>
            <w:noWrap w:val="0"/>
            <w:vAlign w:val="center"/>
          </w:tcPr>
          <w:p w14:paraId="51DD09F1">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eastAsia="zh-CN"/>
              </w:rPr>
              <w:t>完成</w:t>
            </w:r>
            <w:r>
              <w:rPr>
                <w:rFonts w:hint="eastAsia" w:ascii="宋体" w:hAnsi="宋体" w:cs="宋体"/>
                <w:color w:val="auto"/>
                <w:szCs w:val="21"/>
                <w:highlight w:val="none"/>
                <w:shd w:val="clear" w:color="auto" w:fill="auto"/>
              </w:rPr>
              <w:t>时间</w:t>
            </w: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A88D50F">
            <w:pPr>
              <w:spacing w:before="10" w:after="10" w:line="360" w:lineRule="auto"/>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备注</w:t>
            </w:r>
          </w:p>
        </w:tc>
      </w:tr>
      <w:tr w14:paraId="04B0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78BBE2EF">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328A7CE9">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4C93D1E6">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B6DC5B8">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3D0890FB">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6EB7B2AB">
            <w:pPr>
              <w:spacing w:before="10" w:after="10" w:line="360" w:lineRule="auto"/>
              <w:ind w:left="420" w:leftChars="200"/>
              <w:jc w:val="center"/>
              <w:rPr>
                <w:rFonts w:hint="eastAsia" w:ascii="宋体" w:hAnsi="宋体" w:cs="宋体"/>
                <w:color w:val="auto"/>
                <w:szCs w:val="21"/>
                <w:highlight w:val="none"/>
                <w:shd w:val="clear" w:color="auto" w:fill="auto"/>
              </w:rPr>
            </w:pPr>
          </w:p>
        </w:tc>
      </w:tr>
      <w:tr w14:paraId="0E81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6D99BCD7">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F178540">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22ACEEE6">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0E69C5FF">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40D5C97C">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3947C482">
            <w:pPr>
              <w:spacing w:before="10" w:after="10" w:line="360" w:lineRule="auto"/>
              <w:ind w:left="420" w:leftChars="200"/>
              <w:jc w:val="center"/>
              <w:rPr>
                <w:rFonts w:hint="eastAsia" w:ascii="宋体" w:hAnsi="宋体" w:cs="宋体"/>
                <w:color w:val="auto"/>
                <w:szCs w:val="21"/>
                <w:highlight w:val="none"/>
                <w:shd w:val="clear" w:color="auto" w:fill="auto"/>
              </w:rPr>
            </w:pPr>
          </w:p>
        </w:tc>
      </w:tr>
      <w:tr w14:paraId="4684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1" w:type="dxa"/>
            <w:tcBorders>
              <w:top w:val="single" w:color="auto" w:sz="4" w:space="0"/>
              <w:left w:val="single" w:color="auto" w:sz="4" w:space="0"/>
              <w:bottom w:val="single" w:color="auto" w:sz="4" w:space="0"/>
              <w:right w:val="single" w:color="auto" w:sz="4" w:space="0"/>
            </w:tcBorders>
            <w:noWrap w:val="0"/>
            <w:vAlign w:val="center"/>
          </w:tcPr>
          <w:p w14:paraId="0FF81891">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2165" w:type="dxa"/>
            <w:tcBorders>
              <w:top w:val="single" w:color="auto" w:sz="4" w:space="0"/>
              <w:left w:val="single" w:color="auto" w:sz="4" w:space="0"/>
              <w:bottom w:val="single" w:color="auto" w:sz="4" w:space="0"/>
              <w:right w:val="single" w:color="auto" w:sz="4" w:space="0"/>
            </w:tcBorders>
            <w:noWrap w:val="0"/>
            <w:vAlign w:val="center"/>
          </w:tcPr>
          <w:p w14:paraId="5D1C6527">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46331ED7">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761" w:type="dxa"/>
            <w:tcBorders>
              <w:top w:val="single" w:color="auto" w:sz="4" w:space="0"/>
              <w:left w:val="single" w:color="auto" w:sz="4" w:space="0"/>
              <w:bottom w:val="single" w:color="auto" w:sz="4" w:space="0"/>
              <w:right w:val="single" w:color="auto" w:sz="4" w:space="0"/>
            </w:tcBorders>
            <w:noWrap w:val="0"/>
            <w:vAlign w:val="center"/>
          </w:tcPr>
          <w:p w14:paraId="2347B087">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11693D98">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4990A56E">
            <w:pPr>
              <w:spacing w:before="10" w:after="10" w:line="360" w:lineRule="auto"/>
              <w:ind w:left="420" w:leftChars="200"/>
              <w:jc w:val="center"/>
              <w:rPr>
                <w:rFonts w:hint="eastAsia" w:ascii="宋体" w:hAnsi="宋体" w:cs="宋体"/>
                <w:color w:val="auto"/>
                <w:szCs w:val="21"/>
                <w:highlight w:val="none"/>
                <w:shd w:val="clear" w:color="auto" w:fill="auto"/>
              </w:rPr>
            </w:pPr>
          </w:p>
        </w:tc>
      </w:tr>
      <w:tr w14:paraId="374C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83" w:type="dxa"/>
            <w:gridSpan w:val="3"/>
            <w:tcBorders>
              <w:top w:val="single" w:color="auto" w:sz="4" w:space="0"/>
              <w:left w:val="single" w:color="auto" w:sz="4" w:space="0"/>
              <w:bottom w:val="single" w:color="auto" w:sz="4" w:space="0"/>
              <w:right w:val="single" w:color="auto" w:sz="4" w:space="0"/>
            </w:tcBorders>
            <w:noWrap w:val="0"/>
            <w:vAlign w:val="center"/>
          </w:tcPr>
          <w:p w14:paraId="32964173">
            <w:pPr>
              <w:spacing w:before="10" w:after="10" w:line="360" w:lineRule="auto"/>
              <w:ind w:left="420" w:leftChars="200"/>
              <w:jc w:val="center"/>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总金额合计（元）</w:t>
            </w:r>
          </w:p>
        </w:tc>
        <w:tc>
          <w:tcPr>
            <w:tcW w:w="1761" w:type="dxa"/>
            <w:tcBorders>
              <w:top w:val="single" w:color="auto" w:sz="4" w:space="0"/>
              <w:left w:val="single" w:color="auto" w:sz="4" w:space="0"/>
              <w:bottom w:val="single" w:color="auto" w:sz="4" w:space="0"/>
              <w:right w:val="single" w:color="auto" w:sz="4" w:space="0"/>
            </w:tcBorders>
            <w:noWrap w:val="0"/>
            <w:vAlign w:val="center"/>
          </w:tcPr>
          <w:p w14:paraId="12186C88">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618" w:type="dxa"/>
            <w:tcBorders>
              <w:top w:val="single" w:color="auto" w:sz="4" w:space="0"/>
              <w:left w:val="single" w:color="auto" w:sz="4" w:space="0"/>
              <w:bottom w:val="single" w:color="auto" w:sz="4" w:space="0"/>
              <w:right w:val="single" w:color="auto" w:sz="4" w:space="0"/>
            </w:tcBorders>
            <w:noWrap w:val="0"/>
            <w:vAlign w:val="center"/>
          </w:tcPr>
          <w:p w14:paraId="724A9157">
            <w:pPr>
              <w:spacing w:before="10" w:after="10" w:line="360" w:lineRule="auto"/>
              <w:ind w:left="420" w:leftChars="200"/>
              <w:jc w:val="center"/>
              <w:rPr>
                <w:rFonts w:hint="eastAsia" w:ascii="宋体" w:hAnsi="宋体" w:cs="宋体"/>
                <w:color w:val="auto"/>
                <w:szCs w:val="21"/>
                <w:highlight w:val="none"/>
                <w:shd w:val="clear" w:color="auto" w:fill="auto"/>
              </w:rPr>
            </w:pPr>
          </w:p>
        </w:tc>
        <w:tc>
          <w:tcPr>
            <w:tcW w:w="1324" w:type="dxa"/>
            <w:tcBorders>
              <w:top w:val="single" w:color="auto" w:sz="4" w:space="0"/>
              <w:left w:val="single" w:color="auto" w:sz="4" w:space="0"/>
              <w:bottom w:val="single" w:color="auto" w:sz="4" w:space="0"/>
              <w:right w:val="single" w:color="auto" w:sz="4" w:space="0"/>
            </w:tcBorders>
            <w:noWrap w:val="0"/>
            <w:vAlign w:val="center"/>
          </w:tcPr>
          <w:p w14:paraId="586FA265">
            <w:pPr>
              <w:spacing w:before="10" w:after="10" w:line="360" w:lineRule="auto"/>
              <w:ind w:left="420" w:leftChars="200"/>
              <w:jc w:val="center"/>
              <w:rPr>
                <w:rFonts w:hint="eastAsia" w:ascii="宋体" w:hAnsi="宋体" w:cs="宋体"/>
                <w:color w:val="auto"/>
                <w:szCs w:val="21"/>
                <w:highlight w:val="none"/>
                <w:shd w:val="clear" w:color="auto" w:fill="auto"/>
              </w:rPr>
            </w:pPr>
          </w:p>
        </w:tc>
      </w:tr>
    </w:tbl>
    <w:p w14:paraId="63321670">
      <w:pPr>
        <w:spacing w:before="10" w:after="10" w:line="360" w:lineRule="auto"/>
        <w:jc w:val="center"/>
        <w:rPr>
          <w:rFonts w:hint="eastAsia" w:ascii="宋体" w:hAnsi="宋体" w:cs="宋体"/>
          <w:color w:val="auto"/>
          <w:szCs w:val="21"/>
          <w:highlight w:val="none"/>
          <w:shd w:val="clear" w:color="auto" w:fill="auto"/>
        </w:rPr>
      </w:pPr>
    </w:p>
    <w:p w14:paraId="3A38DF45">
      <w:pPr>
        <w:keepNext w:val="0"/>
        <w:keepLines w:val="0"/>
        <w:pageBreakBefore w:val="0"/>
        <w:widowControl w:val="0"/>
        <w:kinsoku/>
        <w:wordWrap/>
        <w:overflowPunct/>
        <w:topLinePunct w:val="0"/>
        <w:autoSpaceDE/>
        <w:autoSpaceDN/>
        <w:bidi w:val="0"/>
        <w:adjustRightInd/>
        <w:snapToGrid/>
        <w:spacing w:before="10" w:after="10" w:line="360" w:lineRule="auto"/>
        <w:jc w:val="center"/>
        <w:textAlignment w:val="auto"/>
        <w:outlineLvl w:val="9"/>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项目情况表</w:t>
      </w:r>
    </w:p>
    <w:p w14:paraId="758A4A7D">
      <w:pPr>
        <w:pStyle w:val="105"/>
        <w:spacing w:before="10" w:after="10" w:line="360" w:lineRule="auto"/>
        <w:jc w:val="both"/>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项目序号：</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6898"/>
      </w:tblGrid>
      <w:tr w14:paraId="6999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011517CD">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 xml:space="preserve">项目名称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1910BF51">
            <w:pPr>
              <w:pStyle w:val="105"/>
              <w:spacing w:before="10" w:after="10" w:line="360" w:lineRule="auto"/>
              <w:rPr>
                <w:rFonts w:hint="eastAsia" w:hAnsi="宋体"/>
                <w:color w:val="auto"/>
                <w:sz w:val="21"/>
                <w:szCs w:val="21"/>
                <w:highlight w:val="none"/>
                <w:shd w:val="clear" w:color="auto" w:fill="auto"/>
              </w:rPr>
            </w:pPr>
          </w:p>
        </w:tc>
      </w:tr>
      <w:tr w14:paraId="374E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390C8EB1">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 xml:space="preserve">项目地点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2F4543F8">
            <w:pPr>
              <w:pStyle w:val="105"/>
              <w:spacing w:before="10" w:after="10" w:line="360" w:lineRule="auto"/>
              <w:rPr>
                <w:rFonts w:hint="eastAsia" w:hAnsi="宋体"/>
                <w:color w:val="auto"/>
                <w:sz w:val="21"/>
                <w:szCs w:val="21"/>
                <w:highlight w:val="none"/>
                <w:shd w:val="clear" w:color="auto" w:fill="auto"/>
              </w:rPr>
            </w:pPr>
          </w:p>
        </w:tc>
      </w:tr>
      <w:tr w14:paraId="70D7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4831CA7E">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 xml:space="preserve">招标人名称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5C5A3354">
            <w:pPr>
              <w:pStyle w:val="105"/>
              <w:spacing w:before="10" w:after="10" w:line="360" w:lineRule="auto"/>
              <w:rPr>
                <w:rFonts w:hint="eastAsia" w:hAnsi="宋体"/>
                <w:color w:val="auto"/>
                <w:sz w:val="21"/>
                <w:szCs w:val="21"/>
                <w:highlight w:val="none"/>
                <w:shd w:val="clear" w:color="auto" w:fill="auto"/>
              </w:rPr>
            </w:pPr>
          </w:p>
        </w:tc>
      </w:tr>
      <w:tr w14:paraId="6611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635C4952">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 xml:space="preserve">招标人地址 </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7B096605">
            <w:pPr>
              <w:pStyle w:val="105"/>
              <w:spacing w:before="10" w:after="10" w:line="360" w:lineRule="auto"/>
              <w:rPr>
                <w:rFonts w:hint="eastAsia" w:hAnsi="宋体"/>
                <w:color w:val="auto"/>
                <w:sz w:val="21"/>
                <w:szCs w:val="21"/>
                <w:highlight w:val="none"/>
                <w:shd w:val="clear" w:color="auto" w:fill="auto"/>
              </w:rPr>
            </w:pPr>
          </w:p>
        </w:tc>
      </w:tr>
      <w:tr w14:paraId="2BAA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5C2E36DB">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合同价格</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4A40E457">
            <w:pPr>
              <w:pStyle w:val="105"/>
              <w:spacing w:before="10" w:after="10" w:line="360" w:lineRule="auto"/>
              <w:rPr>
                <w:rFonts w:hint="eastAsia" w:hAnsi="宋体"/>
                <w:color w:val="auto"/>
                <w:sz w:val="21"/>
                <w:szCs w:val="21"/>
                <w:highlight w:val="none"/>
                <w:shd w:val="clear" w:color="auto" w:fill="auto"/>
              </w:rPr>
            </w:pPr>
          </w:p>
        </w:tc>
      </w:tr>
      <w:tr w14:paraId="7BC7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7" w:type="dxa"/>
            <w:tcBorders>
              <w:top w:val="single" w:color="auto" w:sz="4" w:space="0"/>
              <w:left w:val="single" w:color="auto" w:sz="4" w:space="0"/>
              <w:bottom w:val="single" w:color="auto" w:sz="4" w:space="0"/>
              <w:right w:val="single" w:color="auto" w:sz="4" w:space="0"/>
            </w:tcBorders>
            <w:noWrap w:val="0"/>
            <w:vAlign w:val="center"/>
          </w:tcPr>
          <w:p w14:paraId="0E45FF82">
            <w:pPr>
              <w:pStyle w:val="105"/>
              <w:spacing w:before="10" w:after="10" w:line="360" w:lineRule="auto"/>
              <w:rPr>
                <w:rFonts w:hint="eastAsia" w:hAnsi="宋体"/>
                <w:color w:val="auto"/>
                <w:sz w:val="21"/>
                <w:szCs w:val="21"/>
                <w:highlight w:val="none"/>
                <w:shd w:val="clear" w:color="auto" w:fill="auto"/>
              </w:rPr>
            </w:pPr>
            <w:r>
              <w:rPr>
                <w:rFonts w:hint="eastAsia" w:hAnsi="宋体"/>
                <w:color w:val="auto"/>
                <w:sz w:val="21"/>
                <w:szCs w:val="21"/>
                <w:highlight w:val="none"/>
                <w:shd w:val="clear" w:color="auto" w:fill="auto"/>
              </w:rPr>
              <w:t>签订日期</w:t>
            </w:r>
          </w:p>
        </w:tc>
        <w:tc>
          <w:tcPr>
            <w:tcW w:w="6898" w:type="dxa"/>
            <w:tcBorders>
              <w:top w:val="single" w:color="auto" w:sz="4" w:space="0"/>
              <w:left w:val="single" w:color="auto" w:sz="4" w:space="0"/>
              <w:bottom w:val="single" w:color="auto" w:sz="4" w:space="0"/>
              <w:right w:val="single" w:color="auto" w:sz="4" w:space="0"/>
            </w:tcBorders>
            <w:noWrap w:val="0"/>
            <w:vAlign w:val="center"/>
          </w:tcPr>
          <w:p w14:paraId="740D4A4F">
            <w:pPr>
              <w:pStyle w:val="105"/>
              <w:spacing w:before="10" w:after="10" w:line="360" w:lineRule="auto"/>
              <w:rPr>
                <w:rFonts w:hint="eastAsia" w:hAnsi="宋体"/>
                <w:color w:val="auto"/>
                <w:sz w:val="21"/>
                <w:szCs w:val="21"/>
                <w:highlight w:val="none"/>
                <w:shd w:val="clear" w:color="auto" w:fill="auto"/>
              </w:rPr>
            </w:pPr>
          </w:p>
        </w:tc>
      </w:tr>
    </w:tbl>
    <w:p w14:paraId="69E72405">
      <w:pPr>
        <w:rPr>
          <w:rStyle w:val="63"/>
          <w:rFonts w:hint="eastAsia" w:ascii="Times New Roman" w:hAnsi="Times New Roman" w:eastAsia="宋体" w:cs="Times New Roman"/>
          <w:color w:val="auto"/>
          <w:highlight w:val="none"/>
          <w:lang w:val="zh-CN" w:eastAsia="zh-CN" w:bidi="ar-SA"/>
        </w:rPr>
      </w:pPr>
      <w:bookmarkStart w:id="2512" w:name="_Toc29279"/>
      <w:bookmarkStart w:id="2513" w:name="_Toc19334"/>
      <w:bookmarkStart w:id="2514" w:name="_Toc8271"/>
      <w:r>
        <w:rPr>
          <w:rFonts w:hint="eastAsia" w:hAnsi="宋体" w:cs="宋体"/>
          <w:color w:val="auto"/>
          <w:szCs w:val="21"/>
          <w:highlight w:val="none"/>
          <w:shd w:val="clear" w:color="auto" w:fill="auto"/>
        </w:rPr>
        <w:t>注：</w:t>
      </w:r>
      <w:bookmarkEnd w:id="2512"/>
      <w:bookmarkEnd w:id="2513"/>
      <w:bookmarkEnd w:id="2514"/>
      <w:r>
        <w:rPr>
          <w:rFonts w:hint="eastAsia" w:hAnsi="宋体" w:cs="宋体"/>
          <w:color w:val="auto"/>
          <w:szCs w:val="21"/>
          <w:highlight w:val="none"/>
          <w:shd w:val="clear" w:color="auto" w:fill="auto"/>
        </w:rPr>
        <w:t>按定标因素“监理业绩情况”中的要求，提供相关证明资料</w:t>
      </w:r>
      <w:r>
        <w:rPr>
          <w:rFonts w:hint="default" w:ascii="宋体" w:hAnsi="宋体" w:cs="宋体"/>
          <w:color w:val="auto"/>
          <w:kern w:val="2"/>
          <w:highlight w:val="none"/>
          <w:lang w:eastAsia="zh-CN" w:bidi="ar"/>
          <w:woUserID w:val="1"/>
        </w:rPr>
        <w:t>，需加盖电子印章。</w:t>
      </w:r>
    </w:p>
    <w:p w14:paraId="65862657">
      <w:pPr>
        <w:rPr>
          <w:rStyle w:val="63"/>
          <w:rFonts w:hint="eastAsia" w:ascii="Times New Roman" w:hAnsi="Times New Roman" w:eastAsia="宋体" w:cs="Times New Roman"/>
          <w:color w:val="auto"/>
          <w:highlight w:val="none"/>
          <w:lang w:val="zh-CN" w:eastAsia="zh-CN" w:bidi="ar-SA"/>
        </w:rPr>
      </w:pPr>
      <w:r>
        <w:rPr>
          <w:rStyle w:val="63"/>
          <w:rFonts w:hint="eastAsia" w:ascii="Times New Roman" w:hAnsi="Times New Roman" w:eastAsia="宋体" w:cs="Times New Roman"/>
          <w:color w:val="auto"/>
          <w:highlight w:val="none"/>
          <w:lang w:val="zh-CN" w:eastAsia="zh-CN" w:bidi="ar-SA"/>
        </w:rPr>
        <w:br w:type="page"/>
      </w:r>
    </w:p>
    <w:p w14:paraId="3B9CD370">
      <w:pPr>
        <w:keepNext w:val="0"/>
        <w:keepLines w:val="0"/>
        <w:pageBreakBefore w:val="0"/>
        <w:widowControl w:val="0"/>
        <w:kinsoku/>
        <w:wordWrap/>
        <w:overflowPunct/>
        <w:topLinePunct w:val="0"/>
        <w:autoSpaceDE/>
        <w:autoSpaceDN/>
        <w:bidi w:val="0"/>
        <w:adjustRightInd/>
        <w:snapToGrid/>
        <w:spacing w:before="10" w:after="10" w:line="360" w:lineRule="auto"/>
        <w:jc w:val="center"/>
        <w:textAlignment w:val="auto"/>
        <w:outlineLvl w:val="2"/>
        <w:rPr>
          <w:rFonts w:hint="eastAsia" w:ascii="宋体" w:hAnsi="宋体" w:eastAsia="宋体" w:cs="宋体"/>
          <w:b/>
          <w:color w:val="auto"/>
          <w:sz w:val="24"/>
          <w:szCs w:val="24"/>
          <w:highlight w:val="none"/>
          <w:lang w:val="en-US" w:eastAsia="zh-CN"/>
        </w:rPr>
      </w:pPr>
      <w:r>
        <w:rPr>
          <w:rStyle w:val="63"/>
          <w:rFonts w:hint="eastAsia" w:ascii="Times New Roman" w:hAnsi="Times New Roman" w:eastAsia="宋体" w:cs="Times New Roman"/>
          <w:color w:val="auto"/>
          <w:highlight w:val="none"/>
          <w:lang w:val="zh-CN" w:eastAsia="zh-CN" w:bidi="ar-SA"/>
        </w:rPr>
        <w:t>十</w:t>
      </w:r>
      <w:r>
        <w:rPr>
          <w:rStyle w:val="63"/>
          <w:rFonts w:hint="eastAsia" w:cs="Times New Roman"/>
          <w:color w:val="auto"/>
          <w:highlight w:val="none"/>
          <w:lang w:val="zh-CN" w:eastAsia="zh-CN" w:bidi="ar-SA"/>
        </w:rPr>
        <w:t>一</w:t>
      </w:r>
      <w:r>
        <w:rPr>
          <w:rStyle w:val="63"/>
          <w:rFonts w:hint="eastAsia" w:ascii="Times New Roman" w:hAnsi="Times New Roman" w:eastAsia="宋体" w:cs="Times New Roman"/>
          <w:color w:val="auto"/>
          <w:highlight w:val="none"/>
          <w:lang w:val="zh-CN" w:eastAsia="zh-CN" w:bidi="ar-SA"/>
        </w:rPr>
        <w:t>、</w:t>
      </w:r>
      <w:bookmarkEnd w:id="2506"/>
      <w:bookmarkEnd w:id="2507"/>
      <w:r>
        <w:rPr>
          <w:rStyle w:val="63"/>
          <w:rFonts w:hint="eastAsia" w:cs="Times New Roman"/>
          <w:color w:val="auto"/>
          <w:highlight w:val="none"/>
          <w:lang w:val="en-US" w:eastAsia="zh-CN" w:bidi="ar-SA"/>
        </w:rPr>
        <w:t>方案</w:t>
      </w:r>
    </w:p>
    <w:p w14:paraId="179613B3">
      <w:pPr>
        <w:bidi w:val="0"/>
        <w:rPr>
          <w:rFonts w:hint="eastAsia"/>
          <w:color w:val="auto"/>
          <w:highlight w:val="none"/>
          <w:lang w:val="zh-CN"/>
        </w:rPr>
      </w:pPr>
    </w:p>
    <w:bookmarkEnd w:id="2475"/>
    <w:bookmarkEnd w:id="2476"/>
    <w:bookmarkEnd w:id="2477"/>
    <w:bookmarkEnd w:id="2478"/>
    <w:bookmarkEnd w:id="2508"/>
    <w:bookmarkEnd w:id="2509"/>
    <w:bookmarkEnd w:id="2510"/>
    <w:bookmarkEnd w:id="2511"/>
    <w:p w14:paraId="1C07FC20">
      <w:pPr>
        <w:bidi w:val="0"/>
        <w:rPr>
          <w:color w:val="auto"/>
          <w:highlight w:val="none"/>
        </w:rPr>
      </w:pPr>
      <w:bookmarkStart w:id="2515" w:name="_Toc22727"/>
    </w:p>
    <w:p w14:paraId="291A30BD">
      <w:pPr>
        <w:keepNext w:val="0"/>
        <w:keepLines w:val="0"/>
        <w:pageBreakBefore w:val="0"/>
        <w:widowControl w:val="0"/>
        <w:kinsoku/>
        <w:wordWrap/>
        <w:overflowPunct/>
        <w:topLinePunct w:val="0"/>
        <w:autoSpaceDE/>
        <w:autoSpaceDN/>
        <w:bidi w:val="0"/>
        <w:adjustRightInd/>
        <w:snapToGrid/>
        <w:spacing w:before="10" w:after="10" w:line="360" w:lineRule="auto"/>
        <w:jc w:val="center"/>
        <w:textAlignment w:val="auto"/>
        <w:outlineLvl w:val="3"/>
        <w:rPr>
          <w:rFonts w:hint="eastAsia" w:ascii="宋体" w:hAnsi="宋体"/>
          <w:color w:val="auto"/>
          <w:sz w:val="24"/>
          <w:szCs w:val="24"/>
          <w:highlight w:val="none"/>
        </w:rPr>
      </w:pPr>
      <w:r>
        <w:rPr>
          <w:rFonts w:hint="eastAsia" w:ascii="宋体" w:hAnsi="宋体"/>
          <w:b/>
          <w:color w:val="auto"/>
          <w:sz w:val="28"/>
          <w:szCs w:val="32"/>
          <w:highlight w:val="none"/>
        </w:rPr>
        <w:t>方案</w:t>
      </w:r>
    </w:p>
    <w:p w14:paraId="41DC517E">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rPr>
      </w:pPr>
      <w:r>
        <w:rPr>
          <w:rFonts w:hint="eastAsia" w:ascii="宋体" w:hAnsi="宋体"/>
          <w:color w:val="auto"/>
          <w:sz w:val="24"/>
          <w:szCs w:val="24"/>
          <w:highlight w:val="none"/>
          <w:lang w:val="en-US" w:eastAsia="zh-CN"/>
        </w:rPr>
        <w:t>方案</w:t>
      </w:r>
      <w:r>
        <w:rPr>
          <w:rFonts w:hint="eastAsia" w:ascii="宋体" w:hAnsi="宋体"/>
          <w:color w:val="auto"/>
          <w:sz w:val="24"/>
          <w:szCs w:val="24"/>
          <w:highlight w:val="none"/>
        </w:rPr>
        <w:t>应包括（但不限于）下列内容：</w:t>
      </w:r>
    </w:p>
    <w:p w14:paraId="75251C4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一、</w:t>
      </w:r>
      <w:r>
        <w:rPr>
          <w:rFonts w:hint="eastAsia"/>
          <w:color w:val="auto"/>
          <w:highlight w:val="none"/>
        </w:rPr>
        <w:t>质量控制措施</w:t>
      </w:r>
      <w:r>
        <w:rPr>
          <w:rFonts w:hint="eastAsia"/>
          <w:color w:val="auto"/>
          <w:highlight w:val="none"/>
          <w:lang w:eastAsia="zh-CN"/>
        </w:rPr>
        <w:t>；</w:t>
      </w:r>
    </w:p>
    <w:p w14:paraId="69492956">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二、</w:t>
      </w:r>
      <w:r>
        <w:rPr>
          <w:rFonts w:hint="eastAsia"/>
          <w:color w:val="auto"/>
          <w:highlight w:val="none"/>
        </w:rPr>
        <w:t>进度控制措施</w:t>
      </w:r>
      <w:r>
        <w:rPr>
          <w:rFonts w:hint="eastAsia"/>
          <w:color w:val="auto"/>
          <w:highlight w:val="none"/>
          <w:lang w:eastAsia="zh-CN"/>
        </w:rPr>
        <w:t>；</w:t>
      </w:r>
    </w:p>
    <w:p w14:paraId="6E836331">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三、</w:t>
      </w:r>
      <w:r>
        <w:rPr>
          <w:rFonts w:hint="eastAsia"/>
          <w:color w:val="auto"/>
          <w:highlight w:val="none"/>
        </w:rPr>
        <w:t>造价控制措施</w:t>
      </w:r>
      <w:r>
        <w:rPr>
          <w:rFonts w:hint="eastAsia"/>
          <w:color w:val="auto"/>
          <w:highlight w:val="none"/>
          <w:lang w:eastAsia="zh-CN"/>
        </w:rPr>
        <w:t>；</w:t>
      </w:r>
    </w:p>
    <w:p w14:paraId="6A22B2BB">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四、</w:t>
      </w:r>
      <w:r>
        <w:rPr>
          <w:rFonts w:hint="eastAsia"/>
          <w:color w:val="auto"/>
          <w:highlight w:val="none"/>
        </w:rPr>
        <w:t>安全、环保控制措施</w:t>
      </w:r>
      <w:r>
        <w:rPr>
          <w:rFonts w:hint="eastAsia"/>
          <w:color w:val="auto"/>
          <w:highlight w:val="none"/>
          <w:lang w:eastAsia="zh-CN"/>
        </w:rPr>
        <w:t>；</w:t>
      </w:r>
    </w:p>
    <w:p w14:paraId="4D28365D">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五、</w:t>
      </w:r>
      <w:r>
        <w:rPr>
          <w:rFonts w:hint="eastAsia"/>
          <w:color w:val="auto"/>
          <w:highlight w:val="none"/>
        </w:rPr>
        <w:t>监理机构设置和岗位职责</w:t>
      </w:r>
      <w:r>
        <w:rPr>
          <w:rFonts w:hint="eastAsia"/>
          <w:color w:val="auto"/>
          <w:highlight w:val="none"/>
          <w:lang w:eastAsia="zh-CN"/>
        </w:rPr>
        <w:t>；</w:t>
      </w:r>
    </w:p>
    <w:p w14:paraId="388C9461">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六、</w:t>
      </w:r>
      <w:r>
        <w:rPr>
          <w:rFonts w:hint="eastAsia"/>
          <w:color w:val="auto"/>
          <w:highlight w:val="none"/>
        </w:rPr>
        <w:t>监理工作程序、方法和制度</w:t>
      </w:r>
      <w:r>
        <w:rPr>
          <w:rFonts w:hint="eastAsia"/>
          <w:color w:val="auto"/>
          <w:highlight w:val="none"/>
          <w:lang w:eastAsia="zh-CN"/>
        </w:rPr>
        <w:t>；</w:t>
      </w:r>
    </w:p>
    <w:p w14:paraId="2527C909">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七、</w:t>
      </w:r>
      <w:r>
        <w:rPr>
          <w:rFonts w:hint="eastAsia"/>
          <w:color w:val="auto"/>
          <w:highlight w:val="none"/>
        </w:rPr>
        <w:t>合同、信息管理方案</w:t>
      </w:r>
      <w:r>
        <w:rPr>
          <w:rFonts w:hint="eastAsia"/>
          <w:color w:val="auto"/>
          <w:highlight w:val="none"/>
          <w:lang w:eastAsia="zh-CN"/>
        </w:rPr>
        <w:t>；</w:t>
      </w:r>
    </w:p>
    <w:p w14:paraId="4D29818D">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八、</w:t>
      </w:r>
      <w:r>
        <w:rPr>
          <w:rFonts w:hint="eastAsia"/>
          <w:color w:val="auto"/>
          <w:highlight w:val="none"/>
        </w:rPr>
        <w:t>监理组织协调内容及措施</w:t>
      </w:r>
      <w:r>
        <w:rPr>
          <w:rFonts w:hint="eastAsia"/>
          <w:color w:val="auto"/>
          <w:highlight w:val="none"/>
          <w:lang w:eastAsia="zh-CN"/>
        </w:rPr>
        <w:t>；</w:t>
      </w:r>
    </w:p>
    <w:p w14:paraId="0618C270">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九、</w:t>
      </w:r>
      <w:r>
        <w:rPr>
          <w:rFonts w:hint="eastAsia"/>
          <w:color w:val="auto"/>
          <w:highlight w:val="none"/>
        </w:rPr>
        <w:t>监理工作重点、难点分析</w:t>
      </w:r>
      <w:r>
        <w:rPr>
          <w:rFonts w:hint="eastAsia"/>
          <w:color w:val="auto"/>
          <w:highlight w:val="none"/>
          <w:lang w:eastAsia="zh-CN"/>
        </w:rPr>
        <w:t>；</w:t>
      </w:r>
    </w:p>
    <w:p w14:paraId="7FF22C74">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eastAsia="宋体"/>
          <w:color w:val="auto"/>
          <w:highlight w:val="none"/>
          <w:lang w:eastAsia="zh-CN"/>
        </w:rPr>
      </w:pPr>
      <w:r>
        <w:rPr>
          <w:rFonts w:hint="eastAsia"/>
          <w:color w:val="auto"/>
          <w:highlight w:val="none"/>
          <w:lang w:eastAsia="zh-CN"/>
        </w:rPr>
        <w:t>十、</w:t>
      </w:r>
      <w:r>
        <w:rPr>
          <w:rFonts w:hint="eastAsia"/>
          <w:color w:val="auto"/>
          <w:highlight w:val="none"/>
        </w:rPr>
        <w:t>合理化建议</w:t>
      </w:r>
      <w:r>
        <w:rPr>
          <w:rFonts w:hint="eastAsia"/>
          <w:color w:val="auto"/>
          <w:highlight w:val="none"/>
          <w:lang w:eastAsia="zh-CN"/>
        </w:rPr>
        <w:t>。</w:t>
      </w:r>
    </w:p>
    <w:p w14:paraId="798CCE4A">
      <w:pPr>
        <w:bidi w:val="0"/>
        <w:rPr>
          <w:rStyle w:val="63"/>
          <w:rFonts w:hint="eastAsia" w:eastAsia="宋体" w:cs="Times New Roman"/>
          <w:color w:val="auto"/>
          <w:highlight w:val="none"/>
          <w:lang w:val="en-US" w:eastAsia="zh-CN" w:bidi="ar-SA"/>
        </w:rPr>
      </w:pPr>
      <w:r>
        <w:rPr>
          <w:rFonts w:hint="eastAsia"/>
          <w:b/>
          <w:bCs/>
          <w:color w:val="auto"/>
          <w:highlight w:val="none"/>
          <w:lang w:val="en-US" w:eastAsia="zh-CN"/>
        </w:rPr>
        <w:t>注：格式自定义，需加盖电子印章。</w:t>
      </w:r>
      <w:r>
        <w:rPr>
          <w:rStyle w:val="63"/>
          <w:rFonts w:hint="eastAsia" w:eastAsia="宋体" w:cs="Times New Roman"/>
          <w:color w:val="auto"/>
          <w:highlight w:val="none"/>
          <w:lang w:val="en-US" w:eastAsia="zh-CN" w:bidi="ar-SA"/>
        </w:rPr>
        <w:br w:type="page"/>
      </w:r>
    </w:p>
    <w:p w14:paraId="359A421A">
      <w:pPr>
        <w:jc w:val="center"/>
        <w:outlineLvl w:val="2"/>
        <w:rPr>
          <w:rStyle w:val="63"/>
          <w:rFonts w:hint="eastAsia" w:ascii="Times New Roman" w:hAnsi="Times New Roman" w:eastAsia="宋体" w:cs="Times New Roman"/>
          <w:color w:val="auto"/>
          <w:highlight w:val="none"/>
          <w:lang w:val="zh-CN" w:eastAsia="zh-CN" w:bidi="ar-SA"/>
        </w:rPr>
      </w:pPr>
      <w:bookmarkStart w:id="2516" w:name="_Toc16040"/>
      <w:bookmarkStart w:id="2517" w:name="_Toc21514"/>
      <w:r>
        <w:rPr>
          <w:rStyle w:val="63"/>
          <w:rFonts w:hint="eastAsia" w:cs="Times New Roman"/>
          <w:color w:val="auto"/>
          <w:highlight w:val="none"/>
          <w:lang w:val="en-US" w:eastAsia="zh-CN" w:bidi="ar-SA"/>
        </w:rPr>
        <w:t>十二</w:t>
      </w:r>
      <w:r>
        <w:rPr>
          <w:rStyle w:val="63"/>
          <w:rFonts w:hint="eastAsia" w:ascii="Times New Roman" w:hAnsi="Times New Roman" w:eastAsia="宋体" w:cs="Times New Roman"/>
          <w:color w:val="auto"/>
          <w:highlight w:val="none"/>
          <w:lang w:val="zh-CN" w:eastAsia="zh-CN" w:bidi="ar-SA"/>
        </w:rPr>
        <w:t>、递交投标保证金（证明）</w:t>
      </w:r>
    </w:p>
    <w:p w14:paraId="1745AF66">
      <w:pPr>
        <w:jc w:val="center"/>
        <w:outlineLvl w:val="2"/>
        <w:rPr>
          <w:rStyle w:val="63"/>
          <w:rFonts w:hint="eastAsia" w:ascii="Times New Roman" w:hAnsi="Times New Roman" w:eastAsia="宋体" w:cs="Times New Roman"/>
          <w:color w:val="auto"/>
          <w:highlight w:val="none"/>
          <w:lang w:val="zh-CN" w:eastAsia="zh-CN" w:bidi="ar-SA"/>
        </w:rPr>
      </w:pPr>
    </w:p>
    <w:p w14:paraId="239E501C">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r>
        <w:rPr>
          <w:rFonts w:hint="eastAsia"/>
          <w:color w:val="auto"/>
          <w:highlight w:val="none"/>
          <w:lang w:val="zh-CN" w:eastAsia="zh-CN"/>
        </w:rPr>
        <w:t>（1）如采用现金或者转账或者支票形式提交的，投标保证金从投标人基本账户递交，由广州交易集团有限公司代收。请各投标人在投标文件（含定标文件）递交截止时间前按上述金额递交至广州交易集团有限公司，缴纳情况以开标时广州交易集团有限公司网站查询为准。具体操作流程详见广州交易集团有限公司最新的投标保证金缴纳操作指引或自行咨询交易中心(咨询电话：020-28866000)。</w:t>
      </w:r>
    </w:p>
    <w:p w14:paraId="07D93F12">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p>
    <w:p w14:paraId="6944B0E7">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b/>
          <w:bCs/>
          <w:color w:val="auto"/>
          <w:highlight w:val="none"/>
          <w:lang w:val="zh-CN" w:eastAsia="zh-CN"/>
        </w:rPr>
      </w:pPr>
      <w:r>
        <w:rPr>
          <w:rFonts w:hint="eastAsia"/>
          <w:b/>
          <w:bCs/>
          <w:color w:val="auto"/>
          <w:highlight w:val="none"/>
          <w:lang w:val="zh-CN" w:eastAsia="zh-CN"/>
        </w:rPr>
        <w:t>注：如采用现金或者转账或者支票形式的，此处附相关凭证扫描件，需加盖电子印章。</w:t>
      </w:r>
    </w:p>
    <w:p w14:paraId="500EBF4D">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p>
    <w:p w14:paraId="64BFA441">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r>
        <w:rPr>
          <w:rFonts w:hint="eastAsia"/>
          <w:color w:val="auto"/>
          <w:highlight w:val="none"/>
          <w:lang w:val="zh-CN" w:eastAsia="zh-CN"/>
        </w:rPr>
        <w:t>（2）采用银行保函（或保证保险、或专业担保公司担保）提交投标保证金的，在开标前不强制要求投标人提交纸质原件，由中标候选人在中标候选人公示前提交并在网上公示，投标人应在投标文件（含定标文件）中提交投标保函或投标保证保险或专业担保公司担保扫描件。银行保函（或保证保险、或专业担保公司担保）有效期应长于或等于投标有效期，若投标有效期延长的，银行保函（或保证保险、或专业担保公司担保）有效期应相应延长，且延长后的有效期应满足前述要求。投标人提供的银行投标保函应为银行出具的无条件、见索即付、不可撤销的保函。</w:t>
      </w:r>
    </w:p>
    <w:p w14:paraId="59A3F8CE">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p>
    <w:p w14:paraId="1059CE6B">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r>
        <w:rPr>
          <w:rFonts w:hint="eastAsia"/>
          <w:b/>
          <w:bCs/>
          <w:color w:val="auto"/>
          <w:highlight w:val="none"/>
          <w:lang w:val="zh-CN" w:eastAsia="zh-CN"/>
        </w:rPr>
        <w:t>注：如采用银行保函（或保证保险、或专业担保公司担保）提交投标保证金的，此处附投标保函或投标保证保险或专业担保公司担保扫描件，需加盖电子印章。</w:t>
      </w:r>
    </w:p>
    <w:p w14:paraId="5F7C6C3E">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p>
    <w:p w14:paraId="636523AF">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r>
        <w:rPr>
          <w:rFonts w:hint="eastAsia"/>
          <w:color w:val="auto"/>
          <w:highlight w:val="none"/>
          <w:lang w:val="zh-CN" w:eastAsia="zh-CN"/>
        </w:rPr>
        <w:t>（3）如采用电子保函形式递交投标保证金，按广州交易集团有限公司（广州公共资源交易中心）发布的《广州公共资源交易中心关于开通电子保函服务功能的通知》操作。详见：http://www.gzggzy.cn/zxgg/822128.jhtml。到账情况以开标时广州交易集团有限公司（广州公共资源交易中心）数据库查询信息为准。</w:t>
      </w:r>
    </w:p>
    <w:p w14:paraId="4C32FA97">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p>
    <w:p w14:paraId="50271AC4">
      <w:pPr>
        <w:keepNext w:val="0"/>
        <w:keepLines w:val="0"/>
        <w:pageBreakBefore w:val="0"/>
        <w:widowControl w:val="0"/>
        <w:kinsoku/>
        <w:wordWrap/>
        <w:overflowPunct/>
        <w:topLinePunct w:val="0"/>
        <w:autoSpaceDE/>
        <w:autoSpaceDN/>
        <w:bidi w:val="0"/>
        <w:adjustRightInd/>
        <w:snapToGrid/>
        <w:spacing w:before="10" w:after="10" w:line="360" w:lineRule="auto"/>
        <w:jc w:val="both"/>
        <w:textAlignment w:val="auto"/>
        <w:outlineLvl w:val="3"/>
        <w:rPr>
          <w:rFonts w:hint="eastAsia"/>
          <w:color w:val="auto"/>
          <w:highlight w:val="none"/>
          <w:lang w:val="zh-CN" w:eastAsia="zh-CN"/>
        </w:rPr>
      </w:pPr>
      <w:r>
        <w:rPr>
          <w:rFonts w:hint="eastAsia"/>
          <w:b/>
          <w:bCs/>
          <w:color w:val="auto"/>
          <w:highlight w:val="none"/>
          <w:lang w:val="zh-CN" w:eastAsia="zh-CN"/>
        </w:rPr>
        <w:t>注：如采用电子保函形式递交投标保证金，此处附电子保函扫描件，需加盖电子印章。</w:t>
      </w:r>
    </w:p>
    <w:p w14:paraId="3C2FE6E2">
      <w:pPr>
        <w:jc w:val="center"/>
        <w:outlineLvl w:val="2"/>
        <w:rPr>
          <w:rStyle w:val="63"/>
          <w:rFonts w:hint="eastAsia" w:ascii="Times New Roman" w:hAnsi="Times New Roman" w:eastAsia="宋体" w:cs="Times New Roman"/>
          <w:color w:val="auto"/>
          <w:highlight w:val="none"/>
          <w:lang w:val="zh-CN" w:eastAsia="zh-CN" w:bidi="ar-SA"/>
        </w:rPr>
      </w:pPr>
    </w:p>
    <w:p w14:paraId="436DEA70">
      <w:pPr>
        <w:rPr>
          <w:rStyle w:val="63"/>
          <w:rFonts w:hint="eastAsia" w:ascii="Times New Roman" w:hAnsi="Times New Roman" w:eastAsia="宋体" w:cs="Times New Roman"/>
          <w:color w:val="auto"/>
          <w:highlight w:val="none"/>
          <w:lang w:val="zh-CN" w:eastAsia="zh-CN" w:bidi="ar-SA"/>
        </w:rPr>
      </w:pPr>
      <w:r>
        <w:rPr>
          <w:rStyle w:val="63"/>
          <w:rFonts w:hint="eastAsia" w:ascii="Times New Roman" w:hAnsi="Times New Roman" w:eastAsia="宋体" w:cs="Times New Roman"/>
          <w:color w:val="auto"/>
          <w:highlight w:val="none"/>
          <w:lang w:val="zh-CN" w:eastAsia="zh-CN" w:bidi="ar-SA"/>
        </w:rPr>
        <w:br w:type="page"/>
      </w:r>
    </w:p>
    <w:p w14:paraId="38DFAD9D">
      <w:pPr>
        <w:pStyle w:val="2"/>
        <w:rPr>
          <w:rFonts w:hint="eastAsia"/>
          <w:lang w:val="zh-CN" w:eastAsia="zh-CN"/>
        </w:rPr>
      </w:pPr>
    </w:p>
    <w:p w14:paraId="0328419B">
      <w:pPr>
        <w:jc w:val="center"/>
        <w:outlineLvl w:val="2"/>
        <w:rPr>
          <w:color w:val="auto"/>
          <w:highlight w:val="none"/>
        </w:rPr>
      </w:pPr>
      <w:r>
        <w:rPr>
          <w:rStyle w:val="63"/>
          <w:rFonts w:hint="eastAsia" w:cs="Times New Roman"/>
          <w:color w:val="auto"/>
          <w:highlight w:val="none"/>
          <w:lang w:val="en-US" w:eastAsia="zh-CN" w:bidi="ar-SA"/>
        </w:rPr>
        <w:t>十三、</w:t>
      </w:r>
      <w:r>
        <w:rPr>
          <w:rStyle w:val="63"/>
          <w:rFonts w:hint="eastAsia" w:ascii="Times New Roman" w:hAnsi="Times New Roman" w:eastAsia="宋体" w:cs="Times New Roman"/>
          <w:color w:val="auto"/>
          <w:highlight w:val="none"/>
          <w:lang w:val="zh-CN" w:eastAsia="zh-CN" w:bidi="ar-SA"/>
        </w:rPr>
        <w:t>招标文件要求及投标人认为有必要提供的其他证明材料</w:t>
      </w:r>
      <w:bookmarkEnd w:id="2515"/>
      <w:bookmarkEnd w:id="2516"/>
      <w:bookmarkEnd w:id="2517"/>
    </w:p>
    <w:p w14:paraId="766C06BF">
      <w:pPr>
        <w:rPr>
          <w:rFonts w:hint="eastAsia"/>
          <w:color w:val="auto"/>
          <w:highlight w:val="none"/>
          <w:lang w:val="en-US" w:eastAsia="zh-CN"/>
        </w:rPr>
      </w:pPr>
    </w:p>
    <w:p w14:paraId="303C2013">
      <w:pPr>
        <w:rPr>
          <w:rFonts w:hint="eastAsia" w:eastAsia="宋体"/>
          <w:color w:val="auto"/>
          <w:highlight w:val="none"/>
          <w:lang w:val="en-US" w:eastAsia="zh-CN"/>
        </w:rPr>
      </w:pPr>
      <w:r>
        <w:rPr>
          <w:rFonts w:hint="eastAsia"/>
          <w:color w:val="auto"/>
          <w:highlight w:val="none"/>
          <w:lang w:val="en-US" w:eastAsia="zh-CN"/>
        </w:rPr>
        <w:t>注：如有，需加盖电子印章。</w:t>
      </w:r>
    </w:p>
    <w:p w14:paraId="450D8707">
      <w:pPr>
        <w:rPr>
          <w:rFonts w:hint="default"/>
          <w:color w:val="auto"/>
          <w:highlight w:val="none"/>
          <w:lang w:val="en-US" w:eastAsia="zh-CN"/>
        </w:rPr>
      </w:pPr>
    </w:p>
    <w:sectPr>
      <w:headerReference r:id="rId10" w:type="default"/>
      <w:footerReference r:id="rId11" w:type="default"/>
      <w:pgSz w:w="11906" w:h="16838"/>
      <w:pgMar w:top="1440" w:right="1080" w:bottom="1440" w:left="1080" w:header="964"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643F">
    <w:pPr>
      <w:pStyle w:val="162"/>
      <w:ind w:right="42"/>
      <w:jc w:val="both"/>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E45D1">
    <w:pPr>
      <w:pStyle w:val="2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993E3">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8993E3">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070D8">
    <w:pPr>
      <w:pStyle w:val="162"/>
      <w:ind w:left="42" w:right="42"/>
      <w:rPr>
        <w:u w:val="single"/>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19775">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8719775">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16E5">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E214B">
                          <w:pPr>
                            <w:pStyle w:val="2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8E214B">
                    <w:pPr>
                      <w:pStyle w:val="2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61541">
    <w:pPr>
      <w:pStyle w:val="28"/>
      <w:jc w:val="center"/>
      <w:rPr>
        <w:b/>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E559E">
                          <w:pPr>
                            <w:pStyle w:val="2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5DE559E">
                    <w:pPr>
                      <w:pStyle w:val="28"/>
                    </w:pPr>
                    <w:r>
                      <w:fldChar w:fldCharType="begin"/>
                    </w:r>
                    <w:r>
                      <w:instrText xml:space="preserve"> PAGE  \* MERGEFORMAT </w:instrText>
                    </w:r>
                    <w:r>
                      <w:fldChar w:fldCharType="separate"/>
                    </w:r>
                    <w:r>
                      <w:t>36</w:t>
                    </w:r>
                    <w:r>
                      <w:fldChar w:fldCharType="end"/>
                    </w:r>
                  </w:p>
                </w:txbxContent>
              </v:textbox>
            </v:shape>
          </w:pict>
        </mc:Fallback>
      </mc:AlternateContent>
    </w:r>
  </w:p>
  <w:p w14:paraId="5034006E">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1CA">
    <w:pPr>
      <w:pStyle w:val="28"/>
      <w:jc w:val="both"/>
      <w:rPr>
        <w:rFonts w:ascii="宋体" w:hAns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DEF1E">
                          <w:pPr>
                            <w:pStyle w:val="2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03DEF1E">
                    <w:pPr>
                      <w:pStyle w:val="2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9D480">
    <w:pPr>
      <w:pStyle w:val="3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941A">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073CE">
    <w:pPr>
      <w:pStyle w:val="30"/>
      <w:pBdr>
        <w:bottom w:val="none" w:color="auto" w:sz="0" w:space="1"/>
      </w:pBdr>
      <w:jc w:val="center"/>
      <w:rPr>
        <w:rFonts w:hint="eastAsia" w:eastAsia="宋体"/>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89EB9"/>
    <w:multiLevelType w:val="singleLevel"/>
    <w:tmpl w:val="A2389EB9"/>
    <w:lvl w:ilvl="0" w:tentative="0">
      <w:start w:val="1"/>
      <w:numFmt w:val="chineseCounting"/>
      <w:suff w:val="space"/>
      <w:lvlText w:val="第%1章"/>
      <w:lvlJc w:val="left"/>
      <w:rPr>
        <w:rFonts w:hint="eastAsia"/>
      </w:rPr>
    </w:lvl>
  </w:abstractNum>
  <w:abstractNum w:abstractNumId="1">
    <w:nsid w:val="DC827AF0"/>
    <w:multiLevelType w:val="singleLevel"/>
    <w:tmpl w:val="DC827AF0"/>
    <w:lvl w:ilvl="0" w:tentative="0">
      <w:start w:val="1"/>
      <w:numFmt w:val="decimal"/>
      <w:suff w:val="nothing"/>
      <w:lvlText w:val="%1、"/>
      <w:lvlJc w:val="left"/>
    </w:lvl>
  </w:abstractNum>
  <w:abstractNum w:abstractNumId="2">
    <w:nsid w:val="DCBCD5CF"/>
    <w:multiLevelType w:val="singleLevel"/>
    <w:tmpl w:val="DCBCD5CF"/>
    <w:lvl w:ilvl="0" w:tentative="0">
      <w:start w:val="1"/>
      <w:numFmt w:val="chineseCounting"/>
      <w:suff w:val="space"/>
      <w:lvlText w:val="第%1章"/>
      <w:lvlJc w:val="left"/>
      <w:rPr>
        <w:rFonts w:hint="eastAsia"/>
      </w:rPr>
    </w:lvl>
  </w:abstractNum>
  <w:abstractNum w:abstractNumId="3">
    <w:nsid w:val="1D131A86"/>
    <w:multiLevelType w:val="singleLevel"/>
    <w:tmpl w:val="1D131A86"/>
    <w:lvl w:ilvl="0" w:tentative="0">
      <w:start w:val="2"/>
      <w:numFmt w:val="chineseCounting"/>
      <w:suff w:val="space"/>
      <w:lvlText w:val="第%1章"/>
      <w:lvlJc w:val="left"/>
      <w:rPr>
        <w:rFonts w:hint="eastAsia"/>
      </w:rPr>
    </w:lvl>
  </w:abstractNum>
  <w:abstractNum w:abstractNumId="4">
    <w:nsid w:val="61D44AAE"/>
    <w:multiLevelType w:val="multilevel"/>
    <w:tmpl w:val="61D44AAE"/>
    <w:lvl w:ilvl="0" w:tentative="0">
      <w:start w:val="1"/>
      <w:numFmt w:val="decimal"/>
      <w:lvlText w:val="%1."/>
      <w:lvlJc w:val="left"/>
      <w:pPr>
        <w:tabs>
          <w:tab w:val="left" w:pos="425"/>
        </w:tabs>
        <w:ind w:left="425" w:hanging="425"/>
      </w:pPr>
      <w:rPr>
        <w:rFonts w:hint="eastAsia"/>
      </w:rPr>
    </w:lvl>
    <w:lvl w:ilvl="1" w:tentative="0">
      <w:start w:val="1"/>
      <w:numFmt w:val="decimal"/>
      <w:pStyle w:val="139"/>
      <w:lvlText w:val="%1.%2 "/>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75AC1A74"/>
    <w:multiLevelType w:val="multilevel"/>
    <w:tmpl w:val="75AC1A74"/>
    <w:lvl w:ilvl="0" w:tentative="0">
      <w:start w:val="1"/>
      <w:numFmt w:val="decimal"/>
      <w:pStyle w:val="13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6">
    <w:nsid w:val="7F38CE54"/>
    <w:multiLevelType w:val="singleLevel"/>
    <w:tmpl w:val="7F38CE54"/>
    <w:lvl w:ilvl="0" w:tentative="0">
      <w:start w:val="2"/>
      <w:numFmt w:val="decimal"/>
      <w:suff w:val="nothing"/>
      <w:lvlText w:val="（%1）"/>
      <w:lvlJc w:val="left"/>
    </w:lvl>
  </w:abstractNum>
  <w:num w:numId="1">
    <w:abstractNumId w:val="5"/>
  </w:num>
  <w:num w:numId="2">
    <w:abstractNumId w:val="4"/>
  </w:num>
  <w:num w:numId="3">
    <w:abstractNumId w:val="2"/>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0"/>
  <w:bordersDoNotSurroundFooter w:val="0"/>
  <w:hideSpellingErrors/>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NGJjZmNkNjk2ZDUxOWJkMzZjZjM1ZGUyZWI1YjIifQ=="/>
  </w:docVars>
  <w:rsids>
    <w:rsidRoot w:val="00172A27"/>
    <w:rsid w:val="000002C6"/>
    <w:rsid w:val="00000373"/>
    <w:rsid w:val="000017F5"/>
    <w:rsid w:val="00001822"/>
    <w:rsid w:val="00004B33"/>
    <w:rsid w:val="00004C82"/>
    <w:rsid w:val="0000620C"/>
    <w:rsid w:val="00006509"/>
    <w:rsid w:val="00007884"/>
    <w:rsid w:val="00012489"/>
    <w:rsid w:val="00013360"/>
    <w:rsid w:val="000144F5"/>
    <w:rsid w:val="00017EAE"/>
    <w:rsid w:val="00020AE6"/>
    <w:rsid w:val="00020DDD"/>
    <w:rsid w:val="00022D97"/>
    <w:rsid w:val="00023B99"/>
    <w:rsid w:val="000249E3"/>
    <w:rsid w:val="00025C81"/>
    <w:rsid w:val="00026D7A"/>
    <w:rsid w:val="00027448"/>
    <w:rsid w:val="00044675"/>
    <w:rsid w:val="00051350"/>
    <w:rsid w:val="00051DA6"/>
    <w:rsid w:val="000538E7"/>
    <w:rsid w:val="000549CD"/>
    <w:rsid w:val="00056256"/>
    <w:rsid w:val="00060426"/>
    <w:rsid w:val="00070E4B"/>
    <w:rsid w:val="00073997"/>
    <w:rsid w:val="000755E6"/>
    <w:rsid w:val="00080340"/>
    <w:rsid w:val="00080654"/>
    <w:rsid w:val="00081BF7"/>
    <w:rsid w:val="00081D4D"/>
    <w:rsid w:val="0008217C"/>
    <w:rsid w:val="00082F97"/>
    <w:rsid w:val="00094DBF"/>
    <w:rsid w:val="00096255"/>
    <w:rsid w:val="000970F1"/>
    <w:rsid w:val="00097B62"/>
    <w:rsid w:val="00097CF8"/>
    <w:rsid w:val="000A335E"/>
    <w:rsid w:val="000A5BE3"/>
    <w:rsid w:val="000A66AB"/>
    <w:rsid w:val="000A7893"/>
    <w:rsid w:val="000B5B59"/>
    <w:rsid w:val="000B6494"/>
    <w:rsid w:val="000B665F"/>
    <w:rsid w:val="000B6B4C"/>
    <w:rsid w:val="000C0BC3"/>
    <w:rsid w:val="000C3AC5"/>
    <w:rsid w:val="000D0313"/>
    <w:rsid w:val="000D0CA3"/>
    <w:rsid w:val="000D648D"/>
    <w:rsid w:val="000D6656"/>
    <w:rsid w:val="000D7C54"/>
    <w:rsid w:val="000E2AC8"/>
    <w:rsid w:val="000E38CC"/>
    <w:rsid w:val="000E3B4C"/>
    <w:rsid w:val="000E6D5E"/>
    <w:rsid w:val="000E6ED0"/>
    <w:rsid w:val="000E74E5"/>
    <w:rsid w:val="000F0626"/>
    <w:rsid w:val="000F21FD"/>
    <w:rsid w:val="000F3957"/>
    <w:rsid w:val="000F45DF"/>
    <w:rsid w:val="000F7B08"/>
    <w:rsid w:val="00102D58"/>
    <w:rsid w:val="001050C2"/>
    <w:rsid w:val="0011135E"/>
    <w:rsid w:val="00111913"/>
    <w:rsid w:val="0011569F"/>
    <w:rsid w:val="001228AB"/>
    <w:rsid w:val="0012421A"/>
    <w:rsid w:val="00124533"/>
    <w:rsid w:val="00125820"/>
    <w:rsid w:val="00141633"/>
    <w:rsid w:val="00141DC9"/>
    <w:rsid w:val="001421C4"/>
    <w:rsid w:val="0014696C"/>
    <w:rsid w:val="00147F83"/>
    <w:rsid w:val="00151FD1"/>
    <w:rsid w:val="00160172"/>
    <w:rsid w:val="001713F8"/>
    <w:rsid w:val="00172A27"/>
    <w:rsid w:val="001741D3"/>
    <w:rsid w:val="00174462"/>
    <w:rsid w:val="001800BE"/>
    <w:rsid w:val="0018076A"/>
    <w:rsid w:val="00181431"/>
    <w:rsid w:val="00181E1A"/>
    <w:rsid w:val="00182BFF"/>
    <w:rsid w:val="00190972"/>
    <w:rsid w:val="00190994"/>
    <w:rsid w:val="00196F54"/>
    <w:rsid w:val="001A2738"/>
    <w:rsid w:val="001A2B6A"/>
    <w:rsid w:val="001A3B54"/>
    <w:rsid w:val="001A44F3"/>
    <w:rsid w:val="001A63DF"/>
    <w:rsid w:val="001B04FC"/>
    <w:rsid w:val="001C7F75"/>
    <w:rsid w:val="001D205C"/>
    <w:rsid w:val="001D5888"/>
    <w:rsid w:val="001D6369"/>
    <w:rsid w:val="001E24F6"/>
    <w:rsid w:val="001E2666"/>
    <w:rsid w:val="001E2D5B"/>
    <w:rsid w:val="001E2D7E"/>
    <w:rsid w:val="001E3A0D"/>
    <w:rsid w:val="001E6807"/>
    <w:rsid w:val="001E6FB1"/>
    <w:rsid w:val="001F009F"/>
    <w:rsid w:val="001F529F"/>
    <w:rsid w:val="00200120"/>
    <w:rsid w:val="002021DB"/>
    <w:rsid w:val="0020413A"/>
    <w:rsid w:val="00210E29"/>
    <w:rsid w:val="00216D04"/>
    <w:rsid w:val="002238FD"/>
    <w:rsid w:val="00224971"/>
    <w:rsid w:val="002250DB"/>
    <w:rsid w:val="00227C95"/>
    <w:rsid w:val="0023327C"/>
    <w:rsid w:val="00235297"/>
    <w:rsid w:val="00237725"/>
    <w:rsid w:val="00240CE8"/>
    <w:rsid w:val="0024650A"/>
    <w:rsid w:val="00247915"/>
    <w:rsid w:val="00252166"/>
    <w:rsid w:val="0025387F"/>
    <w:rsid w:val="00253E5B"/>
    <w:rsid w:val="002543BD"/>
    <w:rsid w:val="00256C1A"/>
    <w:rsid w:val="00257BDA"/>
    <w:rsid w:val="002601CD"/>
    <w:rsid w:val="002612A6"/>
    <w:rsid w:val="00261ABA"/>
    <w:rsid w:val="002621E6"/>
    <w:rsid w:val="002639D0"/>
    <w:rsid w:val="00265A92"/>
    <w:rsid w:val="002754E9"/>
    <w:rsid w:val="0027719D"/>
    <w:rsid w:val="00292759"/>
    <w:rsid w:val="00292985"/>
    <w:rsid w:val="002930E4"/>
    <w:rsid w:val="00293655"/>
    <w:rsid w:val="002A24B3"/>
    <w:rsid w:val="002A50D7"/>
    <w:rsid w:val="002A5E07"/>
    <w:rsid w:val="002A78C3"/>
    <w:rsid w:val="002B124F"/>
    <w:rsid w:val="002B1341"/>
    <w:rsid w:val="002B36B6"/>
    <w:rsid w:val="002B49D6"/>
    <w:rsid w:val="002B51EC"/>
    <w:rsid w:val="002C1C3B"/>
    <w:rsid w:val="002C1DB7"/>
    <w:rsid w:val="002C3E1F"/>
    <w:rsid w:val="002D19AA"/>
    <w:rsid w:val="002D6A9A"/>
    <w:rsid w:val="002E10F5"/>
    <w:rsid w:val="002E2AAF"/>
    <w:rsid w:val="002E3C6B"/>
    <w:rsid w:val="002E4DA3"/>
    <w:rsid w:val="00300D37"/>
    <w:rsid w:val="00301F2C"/>
    <w:rsid w:val="00302E02"/>
    <w:rsid w:val="00304DEE"/>
    <w:rsid w:val="00304EE8"/>
    <w:rsid w:val="003102BA"/>
    <w:rsid w:val="003116D5"/>
    <w:rsid w:val="003156C5"/>
    <w:rsid w:val="00316441"/>
    <w:rsid w:val="003212FD"/>
    <w:rsid w:val="003253B7"/>
    <w:rsid w:val="003262CE"/>
    <w:rsid w:val="00327B88"/>
    <w:rsid w:val="00327CE1"/>
    <w:rsid w:val="003305E0"/>
    <w:rsid w:val="003325E3"/>
    <w:rsid w:val="00333FD3"/>
    <w:rsid w:val="00335F89"/>
    <w:rsid w:val="0033754C"/>
    <w:rsid w:val="00337FD2"/>
    <w:rsid w:val="00343D89"/>
    <w:rsid w:val="003441EA"/>
    <w:rsid w:val="003563F0"/>
    <w:rsid w:val="00360CB5"/>
    <w:rsid w:val="00361FA2"/>
    <w:rsid w:val="003641F3"/>
    <w:rsid w:val="00364B9E"/>
    <w:rsid w:val="003667C1"/>
    <w:rsid w:val="00367508"/>
    <w:rsid w:val="003706F7"/>
    <w:rsid w:val="00372915"/>
    <w:rsid w:val="00374D44"/>
    <w:rsid w:val="00375901"/>
    <w:rsid w:val="00376CEC"/>
    <w:rsid w:val="00381AA7"/>
    <w:rsid w:val="00385A5D"/>
    <w:rsid w:val="0038601D"/>
    <w:rsid w:val="00395E01"/>
    <w:rsid w:val="00397031"/>
    <w:rsid w:val="003979B7"/>
    <w:rsid w:val="003A16E2"/>
    <w:rsid w:val="003A4116"/>
    <w:rsid w:val="003A564E"/>
    <w:rsid w:val="003B037C"/>
    <w:rsid w:val="003B3A98"/>
    <w:rsid w:val="003B3CA8"/>
    <w:rsid w:val="003B4B65"/>
    <w:rsid w:val="003B7453"/>
    <w:rsid w:val="003B7567"/>
    <w:rsid w:val="003C184D"/>
    <w:rsid w:val="003C5F6B"/>
    <w:rsid w:val="003D25AE"/>
    <w:rsid w:val="003D7039"/>
    <w:rsid w:val="003D7502"/>
    <w:rsid w:val="003E2F9C"/>
    <w:rsid w:val="003E40EA"/>
    <w:rsid w:val="003F2343"/>
    <w:rsid w:val="00400EF7"/>
    <w:rsid w:val="0040379A"/>
    <w:rsid w:val="0040583F"/>
    <w:rsid w:val="004121EA"/>
    <w:rsid w:val="00412720"/>
    <w:rsid w:val="004151F2"/>
    <w:rsid w:val="00416856"/>
    <w:rsid w:val="00421514"/>
    <w:rsid w:val="004215F0"/>
    <w:rsid w:val="00421E21"/>
    <w:rsid w:val="004228C2"/>
    <w:rsid w:val="004243AC"/>
    <w:rsid w:val="0043102F"/>
    <w:rsid w:val="004339C1"/>
    <w:rsid w:val="004431A1"/>
    <w:rsid w:val="004467EF"/>
    <w:rsid w:val="004503B5"/>
    <w:rsid w:val="0045075E"/>
    <w:rsid w:val="004524A2"/>
    <w:rsid w:val="00460FDE"/>
    <w:rsid w:val="00465951"/>
    <w:rsid w:val="00467CAA"/>
    <w:rsid w:val="004707D3"/>
    <w:rsid w:val="00472902"/>
    <w:rsid w:val="00472C7F"/>
    <w:rsid w:val="00473F85"/>
    <w:rsid w:val="00476676"/>
    <w:rsid w:val="00481C45"/>
    <w:rsid w:val="00494B82"/>
    <w:rsid w:val="004970E3"/>
    <w:rsid w:val="004A13AB"/>
    <w:rsid w:val="004A2B85"/>
    <w:rsid w:val="004A39CD"/>
    <w:rsid w:val="004A5D14"/>
    <w:rsid w:val="004B52F1"/>
    <w:rsid w:val="004B59EB"/>
    <w:rsid w:val="004B78F9"/>
    <w:rsid w:val="004D039B"/>
    <w:rsid w:val="004D14C0"/>
    <w:rsid w:val="004D3BAF"/>
    <w:rsid w:val="004D43B9"/>
    <w:rsid w:val="004E1CD6"/>
    <w:rsid w:val="004E2CDE"/>
    <w:rsid w:val="004E738A"/>
    <w:rsid w:val="004E7533"/>
    <w:rsid w:val="004F0A51"/>
    <w:rsid w:val="004F23B8"/>
    <w:rsid w:val="004F31F6"/>
    <w:rsid w:val="004F3D8F"/>
    <w:rsid w:val="004F4C36"/>
    <w:rsid w:val="004F5006"/>
    <w:rsid w:val="00503259"/>
    <w:rsid w:val="005042BD"/>
    <w:rsid w:val="00506562"/>
    <w:rsid w:val="005067DB"/>
    <w:rsid w:val="00507324"/>
    <w:rsid w:val="0050733F"/>
    <w:rsid w:val="00507B95"/>
    <w:rsid w:val="00510518"/>
    <w:rsid w:val="00511D16"/>
    <w:rsid w:val="005127D2"/>
    <w:rsid w:val="00520C88"/>
    <w:rsid w:val="00526A52"/>
    <w:rsid w:val="005279B1"/>
    <w:rsid w:val="00530B3B"/>
    <w:rsid w:val="00537757"/>
    <w:rsid w:val="00540E51"/>
    <w:rsid w:val="00550F01"/>
    <w:rsid w:val="00555596"/>
    <w:rsid w:val="00562DB0"/>
    <w:rsid w:val="0057213A"/>
    <w:rsid w:val="0057347B"/>
    <w:rsid w:val="00573FE3"/>
    <w:rsid w:val="00575C48"/>
    <w:rsid w:val="005762D9"/>
    <w:rsid w:val="00576948"/>
    <w:rsid w:val="00581AAE"/>
    <w:rsid w:val="00581C27"/>
    <w:rsid w:val="0058231E"/>
    <w:rsid w:val="00582AD2"/>
    <w:rsid w:val="00585A53"/>
    <w:rsid w:val="005867A1"/>
    <w:rsid w:val="005871F9"/>
    <w:rsid w:val="0059630F"/>
    <w:rsid w:val="0059644F"/>
    <w:rsid w:val="00597659"/>
    <w:rsid w:val="00597EEA"/>
    <w:rsid w:val="005A136F"/>
    <w:rsid w:val="005A1AC6"/>
    <w:rsid w:val="005A4B84"/>
    <w:rsid w:val="005A633B"/>
    <w:rsid w:val="005B1EF4"/>
    <w:rsid w:val="005B3F92"/>
    <w:rsid w:val="005B536B"/>
    <w:rsid w:val="005B6138"/>
    <w:rsid w:val="005B61D5"/>
    <w:rsid w:val="005B6972"/>
    <w:rsid w:val="005B7F86"/>
    <w:rsid w:val="005C562F"/>
    <w:rsid w:val="005D0FBF"/>
    <w:rsid w:val="005D3E43"/>
    <w:rsid w:val="005D48DA"/>
    <w:rsid w:val="005D720C"/>
    <w:rsid w:val="005E17A8"/>
    <w:rsid w:val="005F090F"/>
    <w:rsid w:val="005F46E9"/>
    <w:rsid w:val="00600351"/>
    <w:rsid w:val="006056DB"/>
    <w:rsid w:val="00610167"/>
    <w:rsid w:val="00615C3A"/>
    <w:rsid w:val="00616026"/>
    <w:rsid w:val="00617BDD"/>
    <w:rsid w:val="00625255"/>
    <w:rsid w:val="00626A54"/>
    <w:rsid w:val="00642243"/>
    <w:rsid w:val="00644FB0"/>
    <w:rsid w:val="00651268"/>
    <w:rsid w:val="00656C99"/>
    <w:rsid w:val="00660850"/>
    <w:rsid w:val="00662413"/>
    <w:rsid w:val="00662DE4"/>
    <w:rsid w:val="006656A0"/>
    <w:rsid w:val="00670DF1"/>
    <w:rsid w:val="00674002"/>
    <w:rsid w:val="006742E7"/>
    <w:rsid w:val="00681259"/>
    <w:rsid w:val="00681AF2"/>
    <w:rsid w:val="00683510"/>
    <w:rsid w:val="006845A7"/>
    <w:rsid w:val="0068650F"/>
    <w:rsid w:val="00692E72"/>
    <w:rsid w:val="00694C05"/>
    <w:rsid w:val="006A107A"/>
    <w:rsid w:val="006A194E"/>
    <w:rsid w:val="006A22B0"/>
    <w:rsid w:val="006A3920"/>
    <w:rsid w:val="006A4F12"/>
    <w:rsid w:val="006A5023"/>
    <w:rsid w:val="006A5D25"/>
    <w:rsid w:val="006A6896"/>
    <w:rsid w:val="006B0B06"/>
    <w:rsid w:val="006B554A"/>
    <w:rsid w:val="006C16B5"/>
    <w:rsid w:val="006C2905"/>
    <w:rsid w:val="006D308A"/>
    <w:rsid w:val="006D49BF"/>
    <w:rsid w:val="006D5F0D"/>
    <w:rsid w:val="006D75AE"/>
    <w:rsid w:val="006E1615"/>
    <w:rsid w:val="006E45EA"/>
    <w:rsid w:val="006E4EC8"/>
    <w:rsid w:val="006F023C"/>
    <w:rsid w:val="006F08D7"/>
    <w:rsid w:val="006F1488"/>
    <w:rsid w:val="006F405A"/>
    <w:rsid w:val="00701326"/>
    <w:rsid w:val="0070693F"/>
    <w:rsid w:val="007132F4"/>
    <w:rsid w:val="00714497"/>
    <w:rsid w:val="007157A8"/>
    <w:rsid w:val="007164BB"/>
    <w:rsid w:val="007212FF"/>
    <w:rsid w:val="00723678"/>
    <w:rsid w:val="00724A87"/>
    <w:rsid w:val="00727C06"/>
    <w:rsid w:val="00733859"/>
    <w:rsid w:val="00734E32"/>
    <w:rsid w:val="007427C5"/>
    <w:rsid w:val="00751184"/>
    <w:rsid w:val="00763A5E"/>
    <w:rsid w:val="00767ADF"/>
    <w:rsid w:val="0077461B"/>
    <w:rsid w:val="00775B44"/>
    <w:rsid w:val="0078179D"/>
    <w:rsid w:val="007821C2"/>
    <w:rsid w:val="00786353"/>
    <w:rsid w:val="0079315E"/>
    <w:rsid w:val="00793CFF"/>
    <w:rsid w:val="00795103"/>
    <w:rsid w:val="007A3550"/>
    <w:rsid w:val="007A463D"/>
    <w:rsid w:val="007A5D21"/>
    <w:rsid w:val="007A6B93"/>
    <w:rsid w:val="007B457F"/>
    <w:rsid w:val="007B6E96"/>
    <w:rsid w:val="007B7962"/>
    <w:rsid w:val="007C04F1"/>
    <w:rsid w:val="007C2D2B"/>
    <w:rsid w:val="007C2E06"/>
    <w:rsid w:val="007C3E3B"/>
    <w:rsid w:val="007C4CF6"/>
    <w:rsid w:val="007C5614"/>
    <w:rsid w:val="007C738A"/>
    <w:rsid w:val="007D1D2C"/>
    <w:rsid w:val="007D1E9E"/>
    <w:rsid w:val="007D2E64"/>
    <w:rsid w:val="007D30AB"/>
    <w:rsid w:val="007D36F3"/>
    <w:rsid w:val="007D5161"/>
    <w:rsid w:val="007D5441"/>
    <w:rsid w:val="007E04C3"/>
    <w:rsid w:val="007E0C98"/>
    <w:rsid w:val="007E317F"/>
    <w:rsid w:val="007F11E4"/>
    <w:rsid w:val="007F2CB0"/>
    <w:rsid w:val="007F4768"/>
    <w:rsid w:val="00802512"/>
    <w:rsid w:val="00812761"/>
    <w:rsid w:val="008128B7"/>
    <w:rsid w:val="00814B39"/>
    <w:rsid w:val="008157A5"/>
    <w:rsid w:val="00821DB5"/>
    <w:rsid w:val="0082280D"/>
    <w:rsid w:val="00824077"/>
    <w:rsid w:val="0082792A"/>
    <w:rsid w:val="00831872"/>
    <w:rsid w:val="00832385"/>
    <w:rsid w:val="00833499"/>
    <w:rsid w:val="0083535F"/>
    <w:rsid w:val="008371AE"/>
    <w:rsid w:val="008374C1"/>
    <w:rsid w:val="00842AC7"/>
    <w:rsid w:val="00847308"/>
    <w:rsid w:val="008474EE"/>
    <w:rsid w:val="00854D34"/>
    <w:rsid w:val="008550CD"/>
    <w:rsid w:val="0086237E"/>
    <w:rsid w:val="008711CB"/>
    <w:rsid w:val="00874465"/>
    <w:rsid w:val="00876034"/>
    <w:rsid w:val="0087674A"/>
    <w:rsid w:val="00883373"/>
    <w:rsid w:val="0088519E"/>
    <w:rsid w:val="00890648"/>
    <w:rsid w:val="00890991"/>
    <w:rsid w:val="00891844"/>
    <w:rsid w:val="00894266"/>
    <w:rsid w:val="008972A1"/>
    <w:rsid w:val="008A051D"/>
    <w:rsid w:val="008A1B35"/>
    <w:rsid w:val="008A38CD"/>
    <w:rsid w:val="008A7024"/>
    <w:rsid w:val="008B2051"/>
    <w:rsid w:val="008C3577"/>
    <w:rsid w:val="008D1128"/>
    <w:rsid w:val="008D124C"/>
    <w:rsid w:val="008D7A8C"/>
    <w:rsid w:val="008E0455"/>
    <w:rsid w:val="008E09BD"/>
    <w:rsid w:val="008E3593"/>
    <w:rsid w:val="008E5970"/>
    <w:rsid w:val="008F109C"/>
    <w:rsid w:val="008F3FB2"/>
    <w:rsid w:val="0090214D"/>
    <w:rsid w:val="009045E4"/>
    <w:rsid w:val="009048C3"/>
    <w:rsid w:val="00915DED"/>
    <w:rsid w:val="00926962"/>
    <w:rsid w:val="009279F0"/>
    <w:rsid w:val="00927FD8"/>
    <w:rsid w:val="00932230"/>
    <w:rsid w:val="00932321"/>
    <w:rsid w:val="00940353"/>
    <w:rsid w:val="009453DF"/>
    <w:rsid w:val="009503FB"/>
    <w:rsid w:val="00957296"/>
    <w:rsid w:val="009609D7"/>
    <w:rsid w:val="00963E3D"/>
    <w:rsid w:val="009640B6"/>
    <w:rsid w:val="00965564"/>
    <w:rsid w:val="00966064"/>
    <w:rsid w:val="00966AE0"/>
    <w:rsid w:val="009710A7"/>
    <w:rsid w:val="00972F64"/>
    <w:rsid w:val="00974C2D"/>
    <w:rsid w:val="009847AF"/>
    <w:rsid w:val="0099001F"/>
    <w:rsid w:val="00992F2C"/>
    <w:rsid w:val="00993CE6"/>
    <w:rsid w:val="00995EA7"/>
    <w:rsid w:val="00996DF4"/>
    <w:rsid w:val="009970E2"/>
    <w:rsid w:val="009A2C70"/>
    <w:rsid w:val="009A2CFD"/>
    <w:rsid w:val="009A48D8"/>
    <w:rsid w:val="009B06AF"/>
    <w:rsid w:val="009B12F6"/>
    <w:rsid w:val="009B7D11"/>
    <w:rsid w:val="009C1D58"/>
    <w:rsid w:val="009C2662"/>
    <w:rsid w:val="009C59D6"/>
    <w:rsid w:val="009D0B3A"/>
    <w:rsid w:val="009D6045"/>
    <w:rsid w:val="009E491F"/>
    <w:rsid w:val="009E4BE5"/>
    <w:rsid w:val="009E5C84"/>
    <w:rsid w:val="009E6E17"/>
    <w:rsid w:val="009E774E"/>
    <w:rsid w:val="009F0924"/>
    <w:rsid w:val="009F26D9"/>
    <w:rsid w:val="009F2EA7"/>
    <w:rsid w:val="009F4AE6"/>
    <w:rsid w:val="009F6749"/>
    <w:rsid w:val="00A03E4E"/>
    <w:rsid w:val="00A0400E"/>
    <w:rsid w:val="00A050E2"/>
    <w:rsid w:val="00A05A49"/>
    <w:rsid w:val="00A06776"/>
    <w:rsid w:val="00A11963"/>
    <w:rsid w:val="00A17D53"/>
    <w:rsid w:val="00A2357C"/>
    <w:rsid w:val="00A23B78"/>
    <w:rsid w:val="00A2478F"/>
    <w:rsid w:val="00A25500"/>
    <w:rsid w:val="00A256F9"/>
    <w:rsid w:val="00A2612F"/>
    <w:rsid w:val="00A263D4"/>
    <w:rsid w:val="00A2742F"/>
    <w:rsid w:val="00A278A7"/>
    <w:rsid w:val="00A31ECD"/>
    <w:rsid w:val="00A32A04"/>
    <w:rsid w:val="00A32B54"/>
    <w:rsid w:val="00A35684"/>
    <w:rsid w:val="00A3622C"/>
    <w:rsid w:val="00A4614E"/>
    <w:rsid w:val="00A47C45"/>
    <w:rsid w:val="00A57868"/>
    <w:rsid w:val="00A62AAC"/>
    <w:rsid w:val="00A643B8"/>
    <w:rsid w:val="00A73BB7"/>
    <w:rsid w:val="00A73EE7"/>
    <w:rsid w:val="00A768D4"/>
    <w:rsid w:val="00A80912"/>
    <w:rsid w:val="00A83117"/>
    <w:rsid w:val="00A86A52"/>
    <w:rsid w:val="00A9777D"/>
    <w:rsid w:val="00AA04C6"/>
    <w:rsid w:val="00AA0EB9"/>
    <w:rsid w:val="00AA1BA2"/>
    <w:rsid w:val="00AA531F"/>
    <w:rsid w:val="00AB1A29"/>
    <w:rsid w:val="00AB3276"/>
    <w:rsid w:val="00AB463F"/>
    <w:rsid w:val="00AB608B"/>
    <w:rsid w:val="00AC3174"/>
    <w:rsid w:val="00AC31D1"/>
    <w:rsid w:val="00AC3DDD"/>
    <w:rsid w:val="00AC6CA0"/>
    <w:rsid w:val="00AD1B32"/>
    <w:rsid w:val="00AD3E0D"/>
    <w:rsid w:val="00AD7280"/>
    <w:rsid w:val="00AE252F"/>
    <w:rsid w:val="00AE2FE9"/>
    <w:rsid w:val="00AE4BF6"/>
    <w:rsid w:val="00AE5F62"/>
    <w:rsid w:val="00AE6840"/>
    <w:rsid w:val="00AE6AC8"/>
    <w:rsid w:val="00AF0C3A"/>
    <w:rsid w:val="00AF1010"/>
    <w:rsid w:val="00AF2546"/>
    <w:rsid w:val="00AF30D9"/>
    <w:rsid w:val="00AF54C9"/>
    <w:rsid w:val="00AF71A4"/>
    <w:rsid w:val="00B04786"/>
    <w:rsid w:val="00B061C6"/>
    <w:rsid w:val="00B13F3E"/>
    <w:rsid w:val="00B1481C"/>
    <w:rsid w:val="00B16399"/>
    <w:rsid w:val="00B2496A"/>
    <w:rsid w:val="00B25748"/>
    <w:rsid w:val="00B305A3"/>
    <w:rsid w:val="00B31145"/>
    <w:rsid w:val="00B37B21"/>
    <w:rsid w:val="00B453D8"/>
    <w:rsid w:val="00B459A4"/>
    <w:rsid w:val="00B53BBA"/>
    <w:rsid w:val="00B61523"/>
    <w:rsid w:val="00B70BDD"/>
    <w:rsid w:val="00B72BE8"/>
    <w:rsid w:val="00B73AE1"/>
    <w:rsid w:val="00B73EC4"/>
    <w:rsid w:val="00B73F5F"/>
    <w:rsid w:val="00B77659"/>
    <w:rsid w:val="00B83A21"/>
    <w:rsid w:val="00B84814"/>
    <w:rsid w:val="00B86095"/>
    <w:rsid w:val="00B95105"/>
    <w:rsid w:val="00BA07BB"/>
    <w:rsid w:val="00BA205C"/>
    <w:rsid w:val="00BA301B"/>
    <w:rsid w:val="00BA5874"/>
    <w:rsid w:val="00BA74DF"/>
    <w:rsid w:val="00BB0FDA"/>
    <w:rsid w:val="00BB1344"/>
    <w:rsid w:val="00BB21C1"/>
    <w:rsid w:val="00BB422D"/>
    <w:rsid w:val="00BB5672"/>
    <w:rsid w:val="00BC0D64"/>
    <w:rsid w:val="00BC1C05"/>
    <w:rsid w:val="00BC3E4F"/>
    <w:rsid w:val="00BC71B4"/>
    <w:rsid w:val="00BD00EF"/>
    <w:rsid w:val="00BD3538"/>
    <w:rsid w:val="00BE2D78"/>
    <w:rsid w:val="00BF23EE"/>
    <w:rsid w:val="00BF4D58"/>
    <w:rsid w:val="00C00D19"/>
    <w:rsid w:val="00C015D1"/>
    <w:rsid w:val="00C027F4"/>
    <w:rsid w:val="00C0434A"/>
    <w:rsid w:val="00C04A10"/>
    <w:rsid w:val="00C06073"/>
    <w:rsid w:val="00C07828"/>
    <w:rsid w:val="00C12C26"/>
    <w:rsid w:val="00C17C0C"/>
    <w:rsid w:val="00C22B14"/>
    <w:rsid w:val="00C25945"/>
    <w:rsid w:val="00C30A61"/>
    <w:rsid w:val="00C36823"/>
    <w:rsid w:val="00C36C94"/>
    <w:rsid w:val="00C40448"/>
    <w:rsid w:val="00C430E3"/>
    <w:rsid w:val="00C43AEB"/>
    <w:rsid w:val="00C503F3"/>
    <w:rsid w:val="00C51E9C"/>
    <w:rsid w:val="00C52F32"/>
    <w:rsid w:val="00C5306A"/>
    <w:rsid w:val="00C54765"/>
    <w:rsid w:val="00C554F2"/>
    <w:rsid w:val="00C610DC"/>
    <w:rsid w:val="00C70137"/>
    <w:rsid w:val="00C7626A"/>
    <w:rsid w:val="00C77C9D"/>
    <w:rsid w:val="00C809E9"/>
    <w:rsid w:val="00C91CAD"/>
    <w:rsid w:val="00C9406D"/>
    <w:rsid w:val="00C94D6A"/>
    <w:rsid w:val="00C966ED"/>
    <w:rsid w:val="00C96B87"/>
    <w:rsid w:val="00C97335"/>
    <w:rsid w:val="00CB180A"/>
    <w:rsid w:val="00CB21F8"/>
    <w:rsid w:val="00CB5088"/>
    <w:rsid w:val="00CB5662"/>
    <w:rsid w:val="00CB6FB1"/>
    <w:rsid w:val="00CC37D1"/>
    <w:rsid w:val="00CD0923"/>
    <w:rsid w:val="00CD1B6F"/>
    <w:rsid w:val="00CD2A69"/>
    <w:rsid w:val="00CD39A8"/>
    <w:rsid w:val="00CD5925"/>
    <w:rsid w:val="00CE0699"/>
    <w:rsid w:val="00CE7B73"/>
    <w:rsid w:val="00CF165A"/>
    <w:rsid w:val="00CF2542"/>
    <w:rsid w:val="00CF26B7"/>
    <w:rsid w:val="00CF7157"/>
    <w:rsid w:val="00D00584"/>
    <w:rsid w:val="00D10BB8"/>
    <w:rsid w:val="00D22652"/>
    <w:rsid w:val="00D27C5E"/>
    <w:rsid w:val="00D31356"/>
    <w:rsid w:val="00D35F7F"/>
    <w:rsid w:val="00D502DC"/>
    <w:rsid w:val="00D50EDD"/>
    <w:rsid w:val="00D5111D"/>
    <w:rsid w:val="00D52D20"/>
    <w:rsid w:val="00D55A1D"/>
    <w:rsid w:val="00D61442"/>
    <w:rsid w:val="00D64C76"/>
    <w:rsid w:val="00D6506A"/>
    <w:rsid w:val="00D72B98"/>
    <w:rsid w:val="00D76C36"/>
    <w:rsid w:val="00D77D60"/>
    <w:rsid w:val="00D80757"/>
    <w:rsid w:val="00D84945"/>
    <w:rsid w:val="00D84CF8"/>
    <w:rsid w:val="00D85C7F"/>
    <w:rsid w:val="00D87546"/>
    <w:rsid w:val="00D879C6"/>
    <w:rsid w:val="00D9220A"/>
    <w:rsid w:val="00D94968"/>
    <w:rsid w:val="00D95771"/>
    <w:rsid w:val="00D9669B"/>
    <w:rsid w:val="00D96842"/>
    <w:rsid w:val="00DA0681"/>
    <w:rsid w:val="00DA3E93"/>
    <w:rsid w:val="00DA3F6B"/>
    <w:rsid w:val="00DA4220"/>
    <w:rsid w:val="00DB5F1D"/>
    <w:rsid w:val="00DB7FA3"/>
    <w:rsid w:val="00DC01B6"/>
    <w:rsid w:val="00DC262D"/>
    <w:rsid w:val="00DC2688"/>
    <w:rsid w:val="00DC40C7"/>
    <w:rsid w:val="00DC785B"/>
    <w:rsid w:val="00DD7863"/>
    <w:rsid w:val="00DE30C8"/>
    <w:rsid w:val="00DE3C54"/>
    <w:rsid w:val="00DE4B8B"/>
    <w:rsid w:val="00DE7B53"/>
    <w:rsid w:val="00DE7E3D"/>
    <w:rsid w:val="00DF1354"/>
    <w:rsid w:val="00DF2011"/>
    <w:rsid w:val="00DF24C0"/>
    <w:rsid w:val="00DF6D77"/>
    <w:rsid w:val="00DF70B9"/>
    <w:rsid w:val="00E025EC"/>
    <w:rsid w:val="00E07ECF"/>
    <w:rsid w:val="00E11567"/>
    <w:rsid w:val="00E1222A"/>
    <w:rsid w:val="00E12259"/>
    <w:rsid w:val="00E1289E"/>
    <w:rsid w:val="00E12959"/>
    <w:rsid w:val="00E13205"/>
    <w:rsid w:val="00E17668"/>
    <w:rsid w:val="00E204E7"/>
    <w:rsid w:val="00E20624"/>
    <w:rsid w:val="00E207CA"/>
    <w:rsid w:val="00E2102E"/>
    <w:rsid w:val="00E2348F"/>
    <w:rsid w:val="00E23CFC"/>
    <w:rsid w:val="00E243A6"/>
    <w:rsid w:val="00E27C0E"/>
    <w:rsid w:val="00E34904"/>
    <w:rsid w:val="00E36C7A"/>
    <w:rsid w:val="00E3719D"/>
    <w:rsid w:val="00E37F8A"/>
    <w:rsid w:val="00E41262"/>
    <w:rsid w:val="00E45F72"/>
    <w:rsid w:val="00E47DD3"/>
    <w:rsid w:val="00E50619"/>
    <w:rsid w:val="00E52A89"/>
    <w:rsid w:val="00E5564D"/>
    <w:rsid w:val="00E56295"/>
    <w:rsid w:val="00E57CF2"/>
    <w:rsid w:val="00E60466"/>
    <w:rsid w:val="00E61193"/>
    <w:rsid w:val="00E62C30"/>
    <w:rsid w:val="00E637FA"/>
    <w:rsid w:val="00E64DE4"/>
    <w:rsid w:val="00E661FB"/>
    <w:rsid w:val="00E7085F"/>
    <w:rsid w:val="00E71667"/>
    <w:rsid w:val="00E73C68"/>
    <w:rsid w:val="00E74324"/>
    <w:rsid w:val="00E75AB2"/>
    <w:rsid w:val="00E75D58"/>
    <w:rsid w:val="00E8056B"/>
    <w:rsid w:val="00E80726"/>
    <w:rsid w:val="00E8331C"/>
    <w:rsid w:val="00E874E3"/>
    <w:rsid w:val="00E87950"/>
    <w:rsid w:val="00E91CB5"/>
    <w:rsid w:val="00E92150"/>
    <w:rsid w:val="00E92F1B"/>
    <w:rsid w:val="00E93156"/>
    <w:rsid w:val="00E93ED4"/>
    <w:rsid w:val="00E94F7E"/>
    <w:rsid w:val="00E96F1A"/>
    <w:rsid w:val="00E973EC"/>
    <w:rsid w:val="00EA0632"/>
    <w:rsid w:val="00EA38AC"/>
    <w:rsid w:val="00EA3FF0"/>
    <w:rsid w:val="00EB17EB"/>
    <w:rsid w:val="00EB3355"/>
    <w:rsid w:val="00EB339A"/>
    <w:rsid w:val="00EB78B4"/>
    <w:rsid w:val="00EC0BE3"/>
    <w:rsid w:val="00EC15B3"/>
    <w:rsid w:val="00EC3AEE"/>
    <w:rsid w:val="00EC7CFC"/>
    <w:rsid w:val="00EC7E78"/>
    <w:rsid w:val="00ED05C9"/>
    <w:rsid w:val="00ED121D"/>
    <w:rsid w:val="00ED1231"/>
    <w:rsid w:val="00ED37F0"/>
    <w:rsid w:val="00ED3ED0"/>
    <w:rsid w:val="00ED46E1"/>
    <w:rsid w:val="00ED4D44"/>
    <w:rsid w:val="00ED5B5A"/>
    <w:rsid w:val="00ED6EC6"/>
    <w:rsid w:val="00ED7348"/>
    <w:rsid w:val="00EE53AF"/>
    <w:rsid w:val="00EE6D0A"/>
    <w:rsid w:val="00EF079B"/>
    <w:rsid w:val="00EF1953"/>
    <w:rsid w:val="00EF455B"/>
    <w:rsid w:val="00EF4CA9"/>
    <w:rsid w:val="00EF4DE9"/>
    <w:rsid w:val="00EF7A96"/>
    <w:rsid w:val="00F027AD"/>
    <w:rsid w:val="00F121FF"/>
    <w:rsid w:val="00F20F67"/>
    <w:rsid w:val="00F23FFE"/>
    <w:rsid w:val="00F27604"/>
    <w:rsid w:val="00F30C12"/>
    <w:rsid w:val="00F311BB"/>
    <w:rsid w:val="00F3260F"/>
    <w:rsid w:val="00F338AF"/>
    <w:rsid w:val="00F35324"/>
    <w:rsid w:val="00F41154"/>
    <w:rsid w:val="00F41CC7"/>
    <w:rsid w:val="00F449D5"/>
    <w:rsid w:val="00F552AE"/>
    <w:rsid w:val="00F55344"/>
    <w:rsid w:val="00F55603"/>
    <w:rsid w:val="00F62AE6"/>
    <w:rsid w:val="00F64567"/>
    <w:rsid w:val="00F769C4"/>
    <w:rsid w:val="00F80003"/>
    <w:rsid w:val="00F85B69"/>
    <w:rsid w:val="00F8778A"/>
    <w:rsid w:val="00F90369"/>
    <w:rsid w:val="00F9227D"/>
    <w:rsid w:val="00F95709"/>
    <w:rsid w:val="00F9575F"/>
    <w:rsid w:val="00FA0208"/>
    <w:rsid w:val="00FA4F2B"/>
    <w:rsid w:val="00FA51B2"/>
    <w:rsid w:val="00FA60E4"/>
    <w:rsid w:val="00FA74C8"/>
    <w:rsid w:val="00FB0FDF"/>
    <w:rsid w:val="00FB753E"/>
    <w:rsid w:val="00FB7916"/>
    <w:rsid w:val="00FC3515"/>
    <w:rsid w:val="00FC3750"/>
    <w:rsid w:val="00FC4AC4"/>
    <w:rsid w:val="00FD3315"/>
    <w:rsid w:val="00FD57C8"/>
    <w:rsid w:val="00FE0E95"/>
    <w:rsid w:val="00FE19F2"/>
    <w:rsid w:val="00FE2D50"/>
    <w:rsid w:val="00FE4D43"/>
    <w:rsid w:val="00FF2B07"/>
    <w:rsid w:val="00FF7241"/>
    <w:rsid w:val="010109AE"/>
    <w:rsid w:val="010158D6"/>
    <w:rsid w:val="010576FD"/>
    <w:rsid w:val="011D6260"/>
    <w:rsid w:val="012A5EB6"/>
    <w:rsid w:val="013D7B76"/>
    <w:rsid w:val="01561897"/>
    <w:rsid w:val="0160084E"/>
    <w:rsid w:val="016F0A91"/>
    <w:rsid w:val="01736518"/>
    <w:rsid w:val="01782436"/>
    <w:rsid w:val="017C0E95"/>
    <w:rsid w:val="017C0EF4"/>
    <w:rsid w:val="01813F06"/>
    <w:rsid w:val="018462DE"/>
    <w:rsid w:val="018933D7"/>
    <w:rsid w:val="01911514"/>
    <w:rsid w:val="019D5939"/>
    <w:rsid w:val="01A97AEC"/>
    <w:rsid w:val="01D113CA"/>
    <w:rsid w:val="01D1397B"/>
    <w:rsid w:val="01EC48BE"/>
    <w:rsid w:val="02044508"/>
    <w:rsid w:val="02056D00"/>
    <w:rsid w:val="02241A8D"/>
    <w:rsid w:val="022664B5"/>
    <w:rsid w:val="022E32CA"/>
    <w:rsid w:val="02386205"/>
    <w:rsid w:val="02492244"/>
    <w:rsid w:val="024D6083"/>
    <w:rsid w:val="02592104"/>
    <w:rsid w:val="02634AFC"/>
    <w:rsid w:val="02687751"/>
    <w:rsid w:val="026B40EC"/>
    <w:rsid w:val="027A34B2"/>
    <w:rsid w:val="027F17F7"/>
    <w:rsid w:val="02811E15"/>
    <w:rsid w:val="028170B9"/>
    <w:rsid w:val="02887410"/>
    <w:rsid w:val="02911CF3"/>
    <w:rsid w:val="0292413C"/>
    <w:rsid w:val="029416F1"/>
    <w:rsid w:val="029A56AC"/>
    <w:rsid w:val="02A3686D"/>
    <w:rsid w:val="02A9135F"/>
    <w:rsid w:val="02BC4A08"/>
    <w:rsid w:val="02BE14D1"/>
    <w:rsid w:val="02CB787A"/>
    <w:rsid w:val="02DB104F"/>
    <w:rsid w:val="02E6194F"/>
    <w:rsid w:val="02EE38D7"/>
    <w:rsid w:val="02F53716"/>
    <w:rsid w:val="02FC5A50"/>
    <w:rsid w:val="03011852"/>
    <w:rsid w:val="03031C99"/>
    <w:rsid w:val="030671D3"/>
    <w:rsid w:val="03091BEE"/>
    <w:rsid w:val="030A497D"/>
    <w:rsid w:val="030B6266"/>
    <w:rsid w:val="031574BE"/>
    <w:rsid w:val="032843F8"/>
    <w:rsid w:val="032E1F77"/>
    <w:rsid w:val="03382666"/>
    <w:rsid w:val="034C0838"/>
    <w:rsid w:val="03542853"/>
    <w:rsid w:val="036453AD"/>
    <w:rsid w:val="03684064"/>
    <w:rsid w:val="036A1510"/>
    <w:rsid w:val="03934A6B"/>
    <w:rsid w:val="03986CB9"/>
    <w:rsid w:val="039C07E5"/>
    <w:rsid w:val="03A63068"/>
    <w:rsid w:val="03CC5ECA"/>
    <w:rsid w:val="03D829F0"/>
    <w:rsid w:val="03E86F77"/>
    <w:rsid w:val="03E91BF7"/>
    <w:rsid w:val="03EC6F38"/>
    <w:rsid w:val="03EF3B00"/>
    <w:rsid w:val="03F23A84"/>
    <w:rsid w:val="03FD65E4"/>
    <w:rsid w:val="04056C5C"/>
    <w:rsid w:val="0419203F"/>
    <w:rsid w:val="041F5954"/>
    <w:rsid w:val="042E63C1"/>
    <w:rsid w:val="044B59E2"/>
    <w:rsid w:val="045525AB"/>
    <w:rsid w:val="045E00D8"/>
    <w:rsid w:val="04621BD8"/>
    <w:rsid w:val="04682DC0"/>
    <w:rsid w:val="04803583"/>
    <w:rsid w:val="0482022F"/>
    <w:rsid w:val="04837BF7"/>
    <w:rsid w:val="049B424A"/>
    <w:rsid w:val="04C218DA"/>
    <w:rsid w:val="04C85C84"/>
    <w:rsid w:val="04C93246"/>
    <w:rsid w:val="04DD6074"/>
    <w:rsid w:val="04E151B7"/>
    <w:rsid w:val="04E34E40"/>
    <w:rsid w:val="04E60A4D"/>
    <w:rsid w:val="05030FD3"/>
    <w:rsid w:val="050F1DA7"/>
    <w:rsid w:val="0515262D"/>
    <w:rsid w:val="051A4ADF"/>
    <w:rsid w:val="05230637"/>
    <w:rsid w:val="053569B0"/>
    <w:rsid w:val="053C4B45"/>
    <w:rsid w:val="054A5B17"/>
    <w:rsid w:val="05582738"/>
    <w:rsid w:val="055E6569"/>
    <w:rsid w:val="056068E2"/>
    <w:rsid w:val="056501EA"/>
    <w:rsid w:val="05650C1B"/>
    <w:rsid w:val="056A0376"/>
    <w:rsid w:val="056D6095"/>
    <w:rsid w:val="056E4CE6"/>
    <w:rsid w:val="057629C5"/>
    <w:rsid w:val="0580326D"/>
    <w:rsid w:val="059C1D3E"/>
    <w:rsid w:val="05A96440"/>
    <w:rsid w:val="05B272CE"/>
    <w:rsid w:val="05BB5D2E"/>
    <w:rsid w:val="05BE0876"/>
    <w:rsid w:val="05BF1068"/>
    <w:rsid w:val="05CB1CC4"/>
    <w:rsid w:val="05D7691B"/>
    <w:rsid w:val="05D907F4"/>
    <w:rsid w:val="05E857EE"/>
    <w:rsid w:val="060F2843"/>
    <w:rsid w:val="061E1B94"/>
    <w:rsid w:val="063D7FE0"/>
    <w:rsid w:val="06494783"/>
    <w:rsid w:val="064F49ED"/>
    <w:rsid w:val="065728FF"/>
    <w:rsid w:val="065B5489"/>
    <w:rsid w:val="06753178"/>
    <w:rsid w:val="067E500B"/>
    <w:rsid w:val="068B49D6"/>
    <w:rsid w:val="06957C7F"/>
    <w:rsid w:val="069B15C8"/>
    <w:rsid w:val="06A420D7"/>
    <w:rsid w:val="06AE03A6"/>
    <w:rsid w:val="06DA7E12"/>
    <w:rsid w:val="06DF0467"/>
    <w:rsid w:val="070149ED"/>
    <w:rsid w:val="0705207B"/>
    <w:rsid w:val="07152BA6"/>
    <w:rsid w:val="071747CF"/>
    <w:rsid w:val="07200C9D"/>
    <w:rsid w:val="07250970"/>
    <w:rsid w:val="07351166"/>
    <w:rsid w:val="07370BC3"/>
    <w:rsid w:val="073C7041"/>
    <w:rsid w:val="07430FE0"/>
    <w:rsid w:val="074C4FE4"/>
    <w:rsid w:val="07583E9D"/>
    <w:rsid w:val="075B47F0"/>
    <w:rsid w:val="076D5D46"/>
    <w:rsid w:val="077F5AC8"/>
    <w:rsid w:val="079D7FE9"/>
    <w:rsid w:val="07BF3D32"/>
    <w:rsid w:val="07C33EBD"/>
    <w:rsid w:val="07EF7453"/>
    <w:rsid w:val="07F14180"/>
    <w:rsid w:val="07F65ECA"/>
    <w:rsid w:val="08111F0D"/>
    <w:rsid w:val="0819779A"/>
    <w:rsid w:val="081E4EB5"/>
    <w:rsid w:val="0821406E"/>
    <w:rsid w:val="082A44B1"/>
    <w:rsid w:val="082C3BB0"/>
    <w:rsid w:val="082C6762"/>
    <w:rsid w:val="08520198"/>
    <w:rsid w:val="085432E6"/>
    <w:rsid w:val="086524E4"/>
    <w:rsid w:val="086C5BC7"/>
    <w:rsid w:val="086D46FA"/>
    <w:rsid w:val="0875716C"/>
    <w:rsid w:val="087B4623"/>
    <w:rsid w:val="087C75BF"/>
    <w:rsid w:val="08851957"/>
    <w:rsid w:val="088C1CC8"/>
    <w:rsid w:val="08961D22"/>
    <w:rsid w:val="089B03BE"/>
    <w:rsid w:val="08A50767"/>
    <w:rsid w:val="08A92ADB"/>
    <w:rsid w:val="08B246E3"/>
    <w:rsid w:val="08B721F0"/>
    <w:rsid w:val="08BA79E4"/>
    <w:rsid w:val="08BE66FB"/>
    <w:rsid w:val="08CF7100"/>
    <w:rsid w:val="08E105C1"/>
    <w:rsid w:val="08E963D2"/>
    <w:rsid w:val="08EF7240"/>
    <w:rsid w:val="08FE6230"/>
    <w:rsid w:val="0900210A"/>
    <w:rsid w:val="090B0982"/>
    <w:rsid w:val="090E5586"/>
    <w:rsid w:val="09215631"/>
    <w:rsid w:val="09243E27"/>
    <w:rsid w:val="09290427"/>
    <w:rsid w:val="09381729"/>
    <w:rsid w:val="095A396E"/>
    <w:rsid w:val="09693643"/>
    <w:rsid w:val="098034A2"/>
    <w:rsid w:val="09817D3B"/>
    <w:rsid w:val="09902FE9"/>
    <w:rsid w:val="09913F68"/>
    <w:rsid w:val="09922036"/>
    <w:rsid w:val="099636CD"/>
    <w:rsid w:val="09A5404E"/>
    <w:rsid w:val="09BC287C"/>
    <w:rsid w:val="09C92F06"/>
    <w:rsid w:val="09CD1CAA"/>
    <w:rsid w:val="09D36FD8"/>
    <w:rsid w:val="09E116F8"/>
    <w:rsid w:val="09E35745"/>
    <w:rsid w:val="09E55FF7"/>
    <w:rsid w:val="09ED541A"/>
    <w:rsid w:val="09EF4FDA"/>
    <w:rsid w:val="09F506BC"/>
    <w:rsid w:val="09F539C2"/>
    <w:rsid w:val="09F71624"/>
    <w:rsid w:val="0A032908"/>
    <w:rsid w:val="0A0734BA"/>
    <w:rsid w:val="0A0D1961"/>
    <w:rsid w:val="0A104A1C"/>
    <w:rsid w:val="0A1A1B4A"/>
    <w:rsid w:val="0A1B3165"/>
    <w:rsid w:val="0A233F07"/>
    <w:rsid w:val="0A2624F7"/>
    <w:rsid w:val="0A2966DA"/>
    <w:rsid w:val="0A4576DB"/>
    <w:rsid w:val="0A49354F"/>
    <w:rsid w:val="0A623460"/>
    <w:rsid w:val="0A753833"/>
    <w:rsid w:val="0A774CB6"/>
    <w:rsid w:val="0A7E70D2"/>
    <w:rsid w:val="0A8A2DF3"/>
    <w:rsid w:val="0A9F06CA"/>
    <w:rsid w:val="0AA94607"/>
    <w:rsid w:val="0AAA5CF5"/>
    <w:rsid w:val="0AB32846"/>
    <w:rsid w:val="0AC24887"/>
    <w:rsid w:val="0ACC3705"/>
    <w:rsid w:val="0ACF538E"/>
    <w:rsid w:val="0AD42F88"/>
    <w:rsid w:val="0AD6132A"/>
    <w:rsid w:val="0AD86040"/>
    <w:rsid w:val="0AE62493"/>
    <w:rsid w:val="0B08424C"/>
    <w:rsid w:val="0B084565"/>
    <w:rsid w:val="0B140D0F"/>
    <w:rsid w:val="0B1818D1"/>
    <w:rsid w:val="0B1947BD"/>
    <w:rsid w:val="0B342484"/>
    <w:rsid w:val="0B3705F5"/>
    <w:rsid w:val="0B473417"/>
    <w:rsid w:val="0B5E6AAF"/>
    <w:rsid w:val="0B6803D7"/>
    <w:rsid w:val="0B72270B"/>
    <w:rsid w:val="0B755EDB"/>
    <w:rsid w:val="0B8C59A8"/>
    <w:rsid w:val="0B963BC7"/>
    <w:rsid w:val="0B9759A3"/>
    <w:rsid w:val="0B9960DD"/>
    <w:rsid w:val="0B9C5A5D"/>
    <w:rsid w:val="0BBB1DD0"/>
    <w:rsid w:val="0BC07054"/>
    <w:rsid w:val="0BCF0C0B"/>
    <w:rsid w:val="0BD00188"/>
    <w:rsid w:val="0BD03BEF"/>
    <w:rsid w:val="0BD47724"/>
    <w:rsid w:val="0BD745B6"/>
    <w:rsid w:val="0BDF36A7"/>
    <w:rsid w:val="0BE07689"/>
    <w:rsid w:val="0BFC5445"/>
    <w:rsid w:val="0C0C04AC"/>
    <w:rsid w:val="0C0E340D"/>
    <w:rsid w:val="0C2A068E"/>
    <w:rsid w:val="0C30055C"/>
    <w:rsid w:val="0C326D79"/>
    <w:rsid w:val="0C375F42"/>
    <w:rsid w:val="0C486A95"/>
    <w:rsid w:val="0C623AA2"/>
    <w:rsid w:val="0C651042"/>
    <w:rsid w:val="0C67329B"/>
    <w:rsid w:val="0C6778F9"/>
    <w:rsid w:val="0C6A3DB9"/>
    <w:rsid w:val="0C7105FE"/>
    <w:rsid w:val="0C7E7D69"/>
    <w:rsid w:val="0C7F6978"/>
    <w:rsid w:val="0C8C1297"/>
    <w:rsid w:val="0C930218"/>
    <w:rsid w:val="0C977B85"/>
    <w:rsid w:val="0CA17E4B"/>
    <w:rsid w:val="0CC04268"/>
    <w:rsid w:val="0CC52C64"/>
    <w:rsid w:val="0CC675F5"/>
    <w:rsid w:val="0CC86FEE"/>
    <w:rsid w:val="0CD11E71"/>
    <w:rsid w:val="0CD47981"/>
    <w:rsid w:val="0CD47E83"/>
    <w:rsid w:val="0CDD3E3C"/>
    <w:rsid w:val="0CE410FC"/>
    <w:rsid w:val="0CE66FC8"/>
    <w:rsid w:val="0CF02C50"/>
    <w:rsid w:val="0D012A16"/>
    <w:rsid w:val="0D105681"/>
    <w:rsid w:val="0D2941EA"/>
    <w:rsid w:val="0D3535AA"/>
    <w:rsid w:val="0D3A3A47"/>
    <w:rsid w:val="0D461A80"/>
    <w:rsid w:val="0D4D0CB1"/>
    <w:rsid w:val="0D591F81"/>
    <w:rsid w:val="0D5F5E5E"/>
    <w:rsid w:val="0D6B41A7"/>
    <w:rsid w:val="0D6E33CB"/>
    <w:rsid w:val="0D6F6FA1"/>
    <w:rsid w:val="0D7776B3"/>
    <w:rsid w:val="0D796EE0"/>
    <w:rsid w:val="0D844FB0"/>
    <w:rsid w:val="0DAE7673"/>
    <w:rsid w:val="0DAF0B0B"/>
    <w:rsid w:val="0DAF68E7"/>
    <w:rsid w:val="0DB170C4"/>
    <w:rsid w:val="0DBB2A66"/>
    <w:rsid w:val="0DBD6642"/>
    <w:rsid w:val="0DC45B67"/>
    <w:rsid w:val="0DD54741"/>
    <w:rsid w:val="0DD92D33"/>
    <w:rsid w:val="0DE2251F"/>
    <w:rsid w:val="0DE35180"/>
    <w:rsid w:val="0DF1591A"/>
    <w:rsid w:val="0DFA7661"/>
    <w:rsid w:val="0DFD0FF8"/>
    <w:rsid w:val="0E016505"/>
    <w:rsid w:val="0E1405D0"/>
    <w:rsid w:val="0E182B48"/>
    <w:rsid w:val="0E196399"/>
    <w:rsid w:val="0E37626C"/>
    <w:rsid w:val="0E3B5B8A"/>
    <w:rsid w:val="0E4C6DB5"/>
    <w:rsid w:val="0E5F66AA"/>
    <w:rsid w:val="0E747886"/>
    <w:rsid w:val="0E7D7A6E"/>
    <w:rsid w:val="0E835B4B"/>
    <w:rsid w:val="0E8A4922"/>
    <w:rsid w:val="0E8B5ECC"/>
    <w:rsid w:val="0E960A10"/>
    <w:rsid w:val="0E9B1A2D"/>
    <w:rsid w:val="0EB240DC"/>
    <w:rsid w:val="0EBD16CF"/>
    <w:rsid w:val="0EC04DCF"/>
    <w:rsid w:val="0ECA6616"/>
    <w:rsid w:val="0ED63951"/>
    <w:rsid w:val="0EDB10C6"/>
    <w:rsid w:val="0EEB34C0"/>
    <w:rsid w:val="0EED338F"/>
    <w:rsid w:val="0EEE5B5E"/>
    <w:rsid w:val="0EFA6253"/>
    <w:rsid w:val="0EFD3F3D"/>
    <w:rsid w:val="0F023519"/>
    <w:rsid w:val="0F023C71"/>
    <w:rsid w:val="0F0F0FF4"/>
    <w:rsid w:val="0F1722D4"/>
    <w:rsid w:val="0F223AFB"/>
    <w:rsid w:val="0F2A6A8B"/>
    <w:rsid w:val="0F2B7270"/>
    <w:rsid w:val="0F3650C3"/>
    <w:rsid w:val="0F40356E"/>
    <w:rsid w:val="0F4E27F3"/>
    <w:rsid w:val="0F4E4871"/>
    <w:rsid w:val="0F5074B0"/>
    <w:rsid w:val="0F5357EE"/>
    <w:rsid w:val="0F67675F"/>
    <w:rsid w:val="0F68174D"/>
    <w:rsid w:val="0F6F4433"/>
    <w:rsid w:val="0F857FCE"/>
    <w:rsid w:val="0F9931F5"/>
    <w:rsid w:val="0F993632"/>
    <w:rsid w:val="0FB41753"/>
    <w:rsid w:val="0FB86F8E"/>
    <w:rsid w:val="0FBB7BCD"/>
    <w:rsid w:val="0FCC2BBB"/>
    <w:rsid w:val="0FD16FD1"/>
    <w:rsid w:val="0FE76B2D"/>
    <w:rsid w:val="0FEA00E8"/>
    <w:rsid w:val="0FEF695B"/>
    <w:rsid w:val="0FF53BC7"/>
    <w:rsid w:val="100831B9"/>
    <w:rsid w:val="100839FD"/>
    <w:rsid w:val="101024C2"/>
    <w:rsid w:val="10155403"/>
    <w:rsid w:val="10164E7D"/>
    <w:rsid w:val="101C6C0F"/>
    <w:rsid w:val="103E15EE"/>
    <w:rsid w:val="10480E2B"/>
    <w:rsid w:val="104E106D"/>
    <w:rsid w:val="104E18F2"/>
    <w:rsid w:val="10640272"/>
    <w:rsid w:val="10656F92"/>
    <w:rsid w:val="10703CDD"/>
    <w:rsid w:val="10875BC0"/>
    <w:rsid w:val="1089436C"/>
    <w:rsid w:val="109610A6"/>
    <w:rsid w:val="109B6A4C"/>
    <w:rsid w:val="109D22F7"/>
    <w:rsid w:val="10A94C8B"/>
    <w:rsid w:val="10AE0D35"/>
    <w:rsid w:val="10BB6203"/>
    <w:rsid w:val="10BE300B"/>
    <w:rsid w:val="10BF0091"/>
    <w:rsid w:val="10C0526C"/>
    <w:rsid w:val="10C706E7"/>
    <w:rsid w:val="10CC7A8E"/>
    <w:rsid w:val="10CE68AC"/>
    <w:rsid w:val="10D74432"/>
    <w:rsid w:val="10D80DD3"/>
    <w:rsid w:val="10DC78E5"/>
    <w:rsid w:val="10DE5E7C"/>
    <w:rsid w:val="10E91FF6"/>
    <w:rsid w:val="10F35E62"/>
    <w:rsid w:val="10F53644"/>
    <w:rsid w:val="10FE03D8"/>
    <w:rsid w:val="110A5F0B"/>
    <w:rsid w:val="110C0505"/>
    <w:rsid w:val="110C6336"/>
    <w:rsid w:val="11196AE2"/>
    <w:rsid w:val="11240D44"/>
    <w:rsid w:val="112A5542"/>
    <w:rsid w:val="112F69DE"/>
    <w:rsid w:val="11350576"/>
    <w:rsid w:val="114143A2"/>
    <w:rsid w:val="114C2324"/>
    <w:rsid w:val="11530FAA"/>
    <w:rsid w:val="11681F6A"/>
    <w:rsid w:val="116C300E"/>
    <w:rsid w:val="117C6E96"/>
    <w:rsid w:val="1180073E"/>
    <w:rsid w:val="118251BF"/>
    <w:rsid w:val="118E015A"/>
    <w:rsid w:val="118E4E2A"/>
    <w:rsid w:val="11910342"/>
    <w:rsid w:val="11986CDB"/>
    <w:rsid w:val="119D6066"/>
    <w:rsid w:val="11B321F6"/>
    <w:rsid w:val="11B47DB7"/>
    <w:rsid w:val="11CF33C8"/>
    <w:rsid w:val="11D023D0"/>
    <w:rsid w:val="11D16B44"/>
    <w:rsid w:val="11D26701"/>
    <w:rsid w:val="12033750"/>
    <w:rsid w:val="12056FC0"/>
    <w:rsid w:val="120E39AF"/>
    <w:rsid w:val="12136527"/>
    <w:rsid w:val="1216558B"/>
    <w:rsid w:val="121844B3"/>
    <w:rsid w:val="12252D44"/>
    <w:rsid w:val="123221C0"/>
    <w:rsid w:val="123A29EE"/>
    <w:rsid w:val="123D0A13"/>
    <w:rsid w:val="123E5E22"/>
    <w:rsid w:val="12491DC5"/>
    <w:rsid w:val="124A151E"/>
    <w:rsid w:val="124A4C38"/>
    <w:rsid w:val="12710C33"/>
    <w:rsid w:val="12907578"/>
    <w:rsid w:val="129E5B86"/>
    <w:rsid w:val="12A61726"/>
    <w:rsid w:val="12AE4C53"/>
    <w:rsid w:val="12B75467"/>
    <w:rsid w:val="12BB3E36"/>
    <w:rsid w:val="12E07B66"/>
    <w:rsid w:val="12E80E59"/>
    <w:rsid w:val="12FB5170"/>
    <w:rsid w:val="12FE0B37"/>
    <w:rsid w:val="130A62F8"/>
    <w:rsid w:val="1328023A"/>
    <w:rsid w:val="13286CF2"/>
    <w:rsid w:val="13336088"/>
    <w:rsid w:val="133C33F5"/>
    <w:rsid w:val="135A4219"/>
    <w:rsid w:val="135B25EE"/>
    <w:rsid w:val="13624948"/>
    <w:rsid w:val="136D14EF"/>
    <w:rsid w:val="137110F4"/>
    <w:rsid w:val="138B2789"/>
    <w:rsid w:val="138B2A3E"/>
    <w:rsid w:val="13961700"/>
    <w:rsid w:val="139F773F"/>
    <w:rsid w:val="13AC4EFD"/>
    <w:rsid w:val="13C7675A"/>
    <w:rsid w:val="13C9418D"/>
    <w:rsid w:val="13CD63CB"/>
    <w:rsid w:val="13D51DED"/>
    <w:rsid w:val="13DE7E36"/>
    <w:rsid w:val="13EB0CC8"/>
    <w:rsid w:val="13F549D0"/>
    <w:rsid w:val="13FD00B0"/>
    <w:rsid w:val="13FD7160"/>
    <w:rsid w:val="14032730"/>
    <w:rsid w:val="14080104"/>
    <w:rsid w:val="140C1EC0"/>
    <w:rsid w:val="14166EAE"/>
    <w:rsid w:val="1420262A"/>
    <w:rsid w:val="14225FD0"/>
    <w:rsid w:val="14251CB3"/>
    <w:rsid w:val="14267540"/>
    <w:rsid w:val="14314133"/>
    <w:rsid w:val="14322531"/>
    <w:rsid w:val="143368E6"/>
    <w:rsid w:val="14340C17"/>
    <w:rsid w:val="14374991"/>
    <w:rsid w:val="143F754A"/>
    <w:rsid w:val="144472C1"/>
    <w:rsid w:val="144A44EA"/>
    <w:rsid w:val="144B3DC2"/>
    <w:rsid w:val="14503CE0"/>
    <w:rsid w:val="14532588"/>
    <w:rsid w:val="1457788F"/>
    <w:rsid w:val="14756A79"/>
    <w:rsid w:val="147F1FFF"/>
    <w:rsid w:val="14801A26"/>
    <w:rsid w:val="1486781F"/>
    <w:rsid w:val="148804BE"/>
    <w:rsid w:val="1488418F"/>
    <w:rsid w:val="149C4727"/>
    <w:rsid w:val="14A12CBC"/>
    <w:rsid w:val="14B076FD"/>
    <w:rsid w:val="14B63D39"/>
    <w:rsid w:val="14DF1C80"/>
    <w:rsid w:val="14E07109"/>
    <w:rsid w:val="14F16A82"/>
    <w:rsid w:val="14FE398D"/>
    <w:rsid w:val="14FE5E73"/>
    <w:rsid w:val="15090370"/>
    <w:rsid w:val="150C7CA1"/>
    <w:rsid w:val="15100551"/>
    <w:rsid w:val="15115468"/>
    <w:rsid w:val="151526FE"/>
    <w:rsid w:val="151805FF"/>
    <w:rsid w:val="151922B1"/>
    <w:rsid w:val="151B4B8B"/>
    <w:rsid w:val="15285B65"/>
    <w:rsid w:val="152959E5"/>
    <w:rsid w:val="15304FDE"/>
    <w:rsid w:val="153201BE"/>
    <w:rsid w:val="153579FC"/>
    <w:rsid w:val="1536439B"/>
    <w:rsid w:val="1543499D"/>
    <w:rsid w:val="15483619"/>
    <w:rsid w:val="154865E6"/>
    <w:rsid w:val="1552315F"/>
    <w:rsid w:val="155F0CF8"/>
    <w:rsid w:val="1564708B"/>
    <w:rsid w:val="15683EDD"/>
    <w:rsid w:val="15690030"/>
    <w:rsid w:val="15757273"/>
    <w:rsid w:val="15757F0D"/>
    <w:rsid w:val="15816FF2"/>
    <w:rsid w:val="15875ABA"/>
    <w:rsid w:val="15891E65"/>
    <w:rsid w:val="15943CAE"/>
    <w:rsid w:val="15981002"/>
    <w:rsid w:val="159B67BE"/>
    <w:rsid w:val="15AA40AA"/>
    <w:rsid w:val="15B526AD"/>
    <w:rsid w:val="15B71EC8"/>
    <w:rsid w:val="15C471A6"/>
    <w:rsid w:val="15CA7173"/>
    <w:rsid w:val="15D43588"/>
    <w:rsid w:val="15DB5F65"/>
    <w:rsid w:val="15F570BD"/>
    <w:rsid w:val="15FC1A7D"/>
    <w:rsid w:val="16002065"/>
    <w:rsid w:val="160117E2"/>
    <w:rsid w:val="16117394"/>
    <w:rsid w:val="161269BB"/>
    <w:rsid w:val="1632187C"/>
    <w:rsid w:val="163976AD"/>
    <w:rsid w:val="1643219C"/>
    <w:rsid w:val="16437993"/>
    <w:rsid w:val="164408A0"/>
    <w:rsid w:val="164862B3"/>
    <w:rsid w:val="165517E6"/>
    <w:rsid w:val="16590390"/>
    <w:rsid w:val="1671475A"/>
    <w:rsid w:val="16757268"/>
    <w:rsid w:val="1679637E"/>
    <w:rsid w:val="167A5BFE"/>
    <w:rsid w:val="168017CA"/>
    <w:rsid w:val="16950DFD"/>
    <w:rsid w:val="16A029FF"/>
    <w:rsid w:val="16B529F1"/>
    <w:rsid w:val="16CF1F22"/>
    <w:rsid w:val="16D34B04"/>
    <w:rsid w:val="16D70102"/>
    <w:rsid w:val="16E8794F"/>
    <w:rsid w:val="16EF3DAF"/>
    <w:rsid w:val="16F774A3"/>
    <w:rsid w:val="16FB3CF3"/>
    <w:rsid w:val="170116A6"/>
    <w:rsid w:val="17047501"/>
    <w:rsid w:val="172B0451"/>
    <w:rsid w:val="17301DEF"/>
    <w:rsid w:val="17377504"/>
    <w:rsid w:val="173F10E6"/>
    <w:rsid w:val="17463BC0"/>
    <w:rsid w:val="174D07F9"/>
    <w:rsid w:val="175309C4"/>
    <w:rsid w:val="175C6E6A"/>
    <w:rsid w:val="17666E8F"/>
    <w:rsid w:val="176F0264"/>
    <w:rsid w:val="178C2512"/>
    <w:rsid w:val="17993591"/>
    <w:rsid w:val="179A754F"/>
    <w:rsid w:val="17B1680F"/>
    <w:rsid w:val="17BD6364"/>
    <w:rsid w:val="17C45856"/>
    <w:rsid w:val="17C61402"/>
    <w:rsid w:val="17C661B9"/>
    <w:rsid w:val="17CD01B0"/>
    <w:rsid w:val="17D06A48"/>
    <w:rsid w:val="17D15EA0"/>
    <w:rsid w:val="17D73602"/>
    <w:rsid w:val="17DB1E48"/>
    <w:rsid w:val="17DC7A77"/>
    <w:rsid w:val="17E03135"/>
    <w:rsid w:val="17E75584"/>
    <w:rsid w:val="17EE50C1"/>
    <w:rsid w:val="180C06FF"/>
    <w:rsid w:val="18102E51"/>
    <w:rsid w:val="18176B5F"/>
    <w:rsid w:val="181B7756"/>
    <w:rsid w:val="183D0D8D"/>
    <w:rsid w:val="185201CB"/>
    <w:rsid w:val="185B2672"/>
    <w:rsid w:val="186B26F9"/>
    <w:rsid w:val="1872588E"/>
    <w:rsid w:val="18764836"/>
    <w:rsid w:val="1877488D"/>
    <w:rsid w:val="189A735D"/>
    <w:rsid w:val="189B7410"/>
    <w:rsid w:val="18C6242E"/>
    <w:rsid w:val="18C910B8"/>
    <w:rsid w:val="18D530D5"/>
    <w:rsid w:val="18DD3AD1"/>
    <w:rsid w:val="18EC0C7D"/>
    <w:rsid w:val="18F37798"/>
    <w:rsid w:val="18F50DD4"/>
    <w:rsid w:val="18F53C7E"/>
    <w:rsid w:val="18F87436"/>
    <w:rsid w:val="19025373"/>
    <w:rsid w:val="19061961"/>
    <w:rsid w:val="190927A6"/>
    <w:rsid w:val="19165B03"/>
    <w:rsid w:val="191A11BB"/>
    <w:rsid w:val="191B6AD4"/>
    <w:rsid w:val="191E2734"/>
    <w:rsid w:val="1923131F"/>
    <w:rsid w:val="192A6A43"/>
    <w:rsid w:val="192C6462"/>
    <w:rsid w:val="1940737B"/>
    <w:rsid w:val="194F425A"/>
    <w:rsid w:val="195A3C6C"/>
    <w:rsid w:val="196F2538"/>
    <w:rsid w:val="19864CBE"/>
    <w:rsid w:val="198A7CD2"/>
    <w:rsid w:val="198D0068"/>
    <w:rsid w:val="19940109"/>
    <w:rsid w:val="19A723AF"/>
    <w:rsid w:val="19AE0CD6"/>
    <w:rsid w:val="19B0270B"/>
    <w:rsid w:val="19B95844"/>
    <w:rsid w:val="19BB1581"/>
    <w:rsid w:val="19BD2247"/>
    <w:rsid w:val="19C473E6"/>
    <w:rsid w:val="19CA70F6"/>
    <w:rsid w:val="19CE07A9"/>
    <w:rsid w:val="19E77864"/>
    <w:rsid w:val="19F0567F"/>
    <w:rsid w:val="19F7143A"/>
    <w:rsid w:val="19FB4644"/>
    <w:rsid w:val="19FE425B"/>
    <w:rsid w:val="1A041EBA"/>
    <w:rsid w:val="1A046ED6"/>
    <w:rsid w:val="1A0A53A3"/>
    <w:rsid w:val="1A0D104E"/>
    <w:rsid w:val="1A116732"/>
    <w:rsid w:val="1A124C94"/>
    <w:rsid w:val="1A2541AB"/>
    <w:rsid w:val="1A395F6D"/>
    <w:rsid w:val="1A3B61E8"/>
    <w:rsid w:val="1A46462D"/>
    <w:rsid w:val="1A501DDF"/>
    <w:rsid w:val="1A6A0AC8"/>
    <w:rsid w:val="1A7917DF"/>
    <w:rsid w:val="1A8A0B48"/>
    <w:rsid w:val="1A8F689F"/>
    <w:rsid w:val="1A921D39"/>
    <w:rsid w:val="1AAD3B2C"/>
    <w:rsid w:val="1AAE0171"/>
    <w:rsid w:val="1AB210D9"/>
    <w:rsid w:val="1AB31AE8"/>
    <w:rsid w:val="1AB53632"/>
    <w:rsid w:val="1ABB07F6"/>
    <w:rsid w:val="1AC65D9C"/>
    <w:rsid w:val="1ACB25A9"/>
    <w:rsid w:val="1AD41399"/>
    <w:rsid w:val="1AE7709D"/>
    <w:rsid w:val="1AEC3207"/>
    <w:rsid w:val="1AEF04BF"/>
    <w:rsid w:val="1AF446CC"/>
    <w:rsid w:val="1AF85D60"/>
    <w:rsid w:val="1AFD700F"/>
    <w:rsid w:val="1B050638"/>
    <w:rsid w:val="1B0F0EC3"/>
    <w:rsid w:val="1B23169D"/>
    <w:rsid w:val="1B270FF4"/>
    <w:rsid w:val="1B283CC7"/>
    <w:rsid w:val="1B3B6AA9"/>
    <w:rsid w:val="1B406A32"/>
    <w:rsid w:val="1B426468"/>
    <w:rsid w:val="1B4374DF"/>
    <w:rsid w:val="1B453A7C"/>
    <w:rsid w:val="1B581F69"/>
    <w:rsid w:val="1B5E1F84"/>
    <w:rsid w:val="1B604CAA"/>
    <w:rsid w:val="1B634073"/>
    <w:rsid w:val="1B682180"/>
    <w:rsid w:val="1B6F72DB"/>
    <w:rsid w:val="1B7A275B"/>
    <w:rsid w:val="1B910BFE"/>
    <w:rsid w:val="1BA4516D"/>
    <w:rsid w:val="1BA96848"/>
    <w:rsid w:val="1BB97BE3"/>
    <w:rsid w:val="1BDC3BA4"/>
    <w:rsid w:val="1BFE65F1"/>
    <w:rsid w:val="1BFF6A4B"/>
    <w:rsid w:val="1C0C391D"/>
    <w:rsid w:val="1C0D1A1F"/>
    <w:rsid w:val="1C2E4BB2"/>
    <w:rsid w:val="1C4353EA"/>
    <w:rsid w:val="1C44449B"/>
    <w:rsid w:val="1C4B4C53"/>
    <w:rsid w:val="1C4F639C"/>
    <w:rsid w:val="1C593DCA"/>
    <w:rsid w:val="1C5D283F"/>
    <w:rsid w:val="1C630D3B"/>
    <w:rsid w:val="1C6310EA"/>
    <w:rsid w:val="1C7C0D30"/>
    <w:rsid w:val="1C824ABE"/>
    <w:rsid w:val="1C895DA7"/>
    <w:rsid w:val="1C89709B"/>
    <w:rsid w:val="1C8B3E61"/>
    <w:rsid w:val="1C8C5D58"/>
    <w:rsid w:val="1C9A34C1"/>
    <w:rsid w:val="1CA51C0B"/>
    <w:rsid w:val="1CB4152A"/>
    <w:rsid w:val="1CBF3FAC"/>
    <w:rsid w:val="1CC133FA"/>
    <w:rsid w:val="1CC2475F"/>
    <w:rsid w:val="1CCC261D"/>
    <w:rsid w:val="1CDA15DF"/>
    <w:rsid w:val="1CE72AD6"/>
    <w:rsid w:val="1CE80B7B"/>
    <w:rsid w:val="1CF0536D"/>
    <w:rsid w:val="1D000247"/>
    <w:rsid w:val="1D0754D1"/>
    <w:rsid w:val="1D110F15"/>
    <w:rsid w:val="1D2C3EF7"/>
    <w:rsid w:val="1D380162"/>
    <w:rsid w:val="1D3E5527"/>
    <w:rsid w:val="1D540E0F"/>
    <w:rsid w:val="1D55227B"/>
    <w:rsid w:val="1D695032"/>
    <w:rsid w:val="1D706CFB"/>
    <w:rsid w:val="1D7270BD"/>
    <w:rsid w:val="1D857D18"/>
    <w:rsid w:val="1DB4564C"/>
    <w:rsid w:val="1DC54DDD"/>
    <w:rsid w:val="1DCF13B9"/>
    <w:rsid w:val="1DDC4C29"/>
    <w:rsid w:val="1DDE09A3"/>
    <w:rsid w:val="1DEF3A2A"/>
    <w:rsid w:val="1DF35E3F"/>
    <w:rsid w:val="1DF839A4"/>
    <w:rsid w:val="1E0C3AD2"/>
    <w:rsid w:val="1E121AFF"/>
    <w:rsid w:val="1E1F615E"/>
    <w:rsid w:val="1E1F7DE8"/>
    <w:rsid w:val="1E2F447D"/>
    <w:rsid w:val="1E301F4B"/>
    <w:rsid w:val="1E334369"/>
    <w:rsid w:val="1E370502"/>
    <w:rsid w:val="1E490D3D"/>
    <w:rsid w:val="1E502C6A"/>
    <w:rsid w:val="1E522210"/>
    <w:rsid w:val="1E5B28A6"/>
    <w:rsid w:val="1E7C11F0"/>
    <w:rsid w:val="1E98484E"/>
    <w:rsid w:val="1E9A4645"/>
    <w:rsid w:val="1E9B2A6E"/>
    <w:rsid w:val="1EA62E6D"/>
    <w:rsid w:val="1EBD5517"/>
    <w:rsid w:val="1ED15B62"/>
    <w:rsid w:val="1ED50EC7"/>
    <w:rsid w:val="1ED647FD"/>
    <w:rsid w:val="1ED74974"/>
    <w:rsid w:val="1EDD3086"/>
    <w:rsid w:val="1EDD5C81"/>
    <w:rsid w:val="1EE37E04"/>
    <w:rsid w:val="1EE70FAF"/>
    <w:rsid w:val="1EEA29C8"/>
    <w:rsid w:val="1EF24CCE"/>
    <w:rsid w:val="1EF37C05"/>
    <w:rsid w:val="1EF44AC8"/>
    <w:rsid w:val="1EFD6441"/>
    <w:rsid w:val="1F046AB5"/>
    <w:rsid w:val="1F046FBF"/>
    <w:rsid w:val="1F0B480B"/>
    <w:rsid w:val="1F0F6D4B"/>
    <w:rsid w:val="1F101167"/>
    <w:rsid w:val="1F112A4B"/>
    <w:rsid w:val="1F135208"/>
    <w:rsid w:val="1F1819EC"/>
    <w:rsid w:val="1F2023A5"/>
    <w:rsid w:val="1F3315E1"/>
    <w:rsid w:val="1F4722EC"/>
    <w:rsid w:val="1F4C0D81"/>
    <w:rsid w:val="1F5164B0"/>
    <w:rsid w:val="1F5652AC"/>
    <w:rsid w:val="1F5F714E"/>
    <w:rsid w:val="1F615A55"/>
    <w:rsid w:val="1F6707F1"/>
    <w:rsid w:val="1F6764C9"/>
    <w:rsid w:val="1F6F66A7"/>
    <w:rsid w:val="1F9D7935"/>
    <w:rsid w:val="1FAA5DDC"/>
    <w:rsid w:val="1FAE1689"/>
    <w:rsid w:val="1FB807BB"/>
    <w:rsid w:val="1FC7052F"/>
    <w:rsid w:val="1FCA6F35"/>
    <w:rsid w:val="1FE17D2A"/>
    <w:rsid w:val="1FF7038E"/>
    <w:rsid w:val="20155066"/>
    <w:rsid w:val="2023302E"/>
    <w:rsid w:val="202C0E83"/>
    <w:rsid w:val="20335707"/>
    <w:rsid w:val="2039358F"/>
    <w:rsid w:val="204460BE"/>
    <w:rsid w:val="2064422D"/>
    <w:rsid w:val="20702DB8"/>
    <w:rsid w:val="207266AF"/>
    <w:rsid w:val="207451CF"/>
    <w:rsid w:val="20774220"/>
    <w:rsid w:val="207B35B3"/>
    <w:rsid w:val="20830D1E"/>
    <w:rsid w:val="20936044"/>
    <w:rsid w:val="20B42344"/>
    <w:rsid w:val="20CB0AFA"/>
    <w:rsid w:val="20E13082"/>
    <w:rsid w:val="20E214B2"/>
    <w:rsid w:val="20E50DD4"/>
    <w:rsid w:val="20E93B5F"/>
    <w:rsid w:val="20ED086A"/>
    <w:rsid w:val="20F57588"/>
    <w:rsid w:val="210159DC"/>
    <w:rsid w:val="2114335C"/>
    <w:rsid w:val="21182AFF"/>
    <w:rsid w:val="21331DB1"/>
    <w:rsid w:val="213C7FB0"/>
    <w:rsid w:val="213D0923"/>
    <w:rsid w:val="21414E4E"/>
    <w:rsid w:val="214D719D"/>
    <w:rsid w:val="216144E1"/>
    <w:rsid w:val="21615B3B"/>
    <w:rsid w:val="21661585"/>
    <w:rsid w:val="216B73DA"/>
    <w:rsid w:val="21731794"/>
    <w:rsid w:val="217A05A8"/>
    <w:rsid w:val="217A168B"/>
    <w:rsid w:val="218E1C8B"/>
    <w:rsid w:val="21A40895"/>
    <w:rsid w:val="21A50AFD"/>
    <w:rsid w:val="21A97314"/>
    <w:rsid w:val="21AE7BFC"/>
    <w:rsid w:val="21B2294E"/>
    <w:rsid w:val="21B7325D"/>
    <w:rsid w:val="21BB05DA"/>
    <w:rsid w:val="21C546BF"/>
    <w:rsid w:val="21C67DE4"/>
    <w:rsid w:val="21DA0E1E"/>
    <w:rsid w:val="21E01370"/>
    <w:rsid w:val="21F046BC"/>
    <w:rsid w:val="21FD273B"/>
    <w:rsid w:val="22052DC5"/>
    <w:rsid w:val="220910D5"/>
    <w:rsid w:val="22172573"/>
    <w:rsid w:val="22354961"/>
    <w:rsid w:val="22564E6B"/>
    <w:rsid w:val="226608B9"/>
    <w:rsid w:val="226A01EE"/>
    <w:rsid w:val="2270761C"/>
    <w:rsid w:val="22776D10"/>
    <w:rsid w:val="22863CA8"/>
    <w:rsid w:val="228E5F12"/>
    <w:rsid w:val="229D0C0C"/>
    <w:rsid w:val="229E3B36"/>
    <w:rsid w:val="22A20206"/>
    <w:rsid w:val="22B61584"/>
    <w:rsid w:val="22B64ECB"/>
    <w:rsid w:val="22B811CB"/>
    <w:rsid w:val="22CB0DD0"/>
    <w:rsid w:val="22CF286A"/>
    <w:rsid w:val="22D46F19"/>
    <w:rsid w:val="22E37192"/>
    <w:rsid w:val="22E67171"/>
    <w:rsid w:val="22EB1B91"/>
    <w:rsid w:val="22EC5307"/>
    <w:rsid w:val="22F26667"/>
    <w:rsid w:val="230B610D"/>
    <w:rsid w:val="23132C57"/>
    <w:rsid w:val="23190E9C"/>
    <w:rsid w:val="23226C92"/>
    <w:rsid w:val="23233EA2"/>
    <w:rsid w:val="232E1936"/>
    <w:rsid w:val="23482A23"/>
    <w:rsid w:val="23490686"/>
    <w:rsid w:val="23596BF5"/>
    <w:rsid w:val="2366493C"/>
    <w:rsid w:val="236B0374"/>
    <w:rsid w:val="23737B15"/>
    <w:rsid w:val="237E4ACD"/>
    <w:rsid w:val="23971595"/>
    <w:rsid w:val="23A46C27"/>
    <w:rsid w:val="23AD4F01"/>
    <w:rsid w:val="23B420DB"/>
    <w:rsid w:val="23B5538A"/>
    <w:rsid w:val="23BE2751"/>
    <w:rsid w:val="23BF668B"/>
    <w:rsid w:val="23D16286"/>
    <w:rsid w:val="23DA620F"/>
    <w:rsid w:val="23DA639B"/>
    <w:rsid w:val="23E12BEE"/>
    <w:rsid w:val="23E744C6"/>
    <w:rsid w:val="23EC329F"/>
    <w:rsid w:val="23FB7A9A"/>
    <w:rsid w:val="23FE282D"/>
    <w:rsid w:val="24020C24"/>
    <w:rsid w:val="24101808"/>
    <w:rsid w:val="244947D0"/>
    <w:rsid w:val="24546D6F"/>
    <w:rsid w:val="2459792B"/>
    <w:rsid w:val="246F5418"/>
    <w:rsid w:val="24734ACE"/>
    <w:rsid w:val="24773EC3"/>
    <w:rsid w:val="247E7520"/>
    <w:rsid w:val="248A2D70"/>
    <w:rsid w:val="249B0F8A"/>
    <w:rsid w:val="24A02C19"/>
    <w:rsid w:val="24A73F1B"/>
    <w:rsid w:val="24A948B4"/>
    <w:rsid w:val="24AF208D"/>
    <w:rsid w:val="24C056BD"/>
    <w:rsid w:val="24C94CDB"/>
    <w:rsid w:val="24D71F01"/>
    <w:rsid w:val="24DA2AF9"/>
    <w:rsid w:val="24DB5644"/>
    <w:rsid w:val="24DF1699"/>
    <w:rsid w:val="24E94952"/>
    <w:rsid w:val="24ED12D7"/>
    <w:rsid w:val="24ED41C9"/>
    <w:rsid w:val="24F02145"/>
    <w:rsid w:val="24FD644B"/>
    <w:rsid w:val="25025DD7"/>
    <w:rsid w:val="250C13F0"/>
    <w:rsid w:val="25121AC5"/>
    <w:rsid w:val="25135EFF"/>
    <w:rsid w:val="251604DE"/>
    <w:rsid w:val="25205075"/>
    <w:rsid w:val="253C3897"/>
    <w:rsid w:val="25410606"/>
    <w:rsid w:val="25433A5C"/>
    <w:rsid w:val="2545526A"/>
    <w:rsid w:val="2546015B"/>
    <w:rsid w:val="2547698A"/>
    <w:rsid w:val="254A64D9"/>
    <w:rsid w:val="25593A27"/>
    <w:rsid w:val="25614B87"/>
    <w:rsid w:val="25687BD7"/>
    <w:rsid w:val="256B0FAF"/>
    <w:rsid w:val="256B534E"/>
    <w:rsid w:val="256B615B"/>
    <w:rsid w:val="256C171F"/>
    <w:rsid w:val="25973F8F"/>
    <w:rsid w:val="25AB38D0"/>
    <w:rsid w:val="25AB758B"/>
    <w:rsid w:val="25B516E0"/>
    <w:rsid w:val="25C57053"/>
    <w:rsid w:val="25C63637"/>
    <w:rsid w:val="25CF5E49"/>
    <w:rsid w:val="25DF4AD1"/>
    <w:rsid w:val="25E07E46"/>
    <w:rsid w:val="25E5119C"/>
    <w:rsid w:val="25E97009"/>
    <w:rsid w:val="25F05EB1"/>
    <w:rsid w:val="25FD46A8"/>
    <w:rsid w:val="2602641F"/>
    <w:rsid w:val="2605381D"/>
    <w:rsid w:val="26197026"/>
    <w:rsid w:val="26206B9B"/>
    <w:rsid w:val="26281BCA"/>
    <w:rsid w:val="265F0CE8"/>
    <w:rsid w:val="26606DD5"/>
    <w:rsid w:val="2664739D"/>
    <w:rsid w:val="267322EA"/>
    <w:rsid w:val="267C0B72"/>
    <w:rsid w:val="26804680"/>
    <w:rsid w:val="268532D8"/>
    <w:rsid w:val="26872150"/>
    <w:rsid w:val="269E5908"/>
    <w:rsid w:val="26A5092E"/>
    <w:rsid w:val="26AB5672"/>
    <w:rsid w:val="26AC1A34"/>
    <w:rsid w:val="26B07B9C"/>
    <w:rsid w:val="26B321E9"/>
    <w:rsid w:val="26B52136"/>
    <w:rsid w:val="26C746F8"/>
    <w:rsid w:val="26CC79EB"/>
    <w:rsid w:val="26D46F92"/>
    <w:rsid w:val="26E05F2F"/>
    <w:rsid w:val="26E46A56"/>
    <w:rsid w:val="26E53552"/>
    <w:rsid w:val="26E90667"/>
    <w:rsid w:val="26EC70D9"/>
    <w:rsid w:val="26EF794F"/>
    <w:rsid w:val="26F83C3A"/>
    <w:rsid w:val="26FA3495"/>
    <w:rsid w:val="27001050"/>
    <w:rsid w:val="27021C55"/>
    <w:rsid w:val="27134BA0"/>
    <w:rsid w:val="27157764"/>
    <w:rsid w:val="271A1C10"/>
    <w:rsid w:val="272B7A27"/>
    <w:rsid w:val="272C1E1E"/>
    <w:rsid w:val="272C2B1D"/>
    <w:rsid w:val="273B4FF0"/>
    <w:rsid w:val="27406EAE"/>
    <w:rsid w:val="27455AC0"/>
    <w:rsid w:val="274C5843"/>
    <w:rsid w:val="274E56B5"/>
    <w:rsid w:val="2750455A"/>
    <w:rsid w:val="27654B07"/>
    <w:rsid w:val="276714B9"/>
    <w:rsid w:val="276C7278"/>
    <w:rsid w:val="276D5238"/>
    <w:rsid w:val="27763600"/>
    <w:rsid w:val="277A0927"/>
    <w:rsid w:val="277D38D4"/>
    <w:rsid w:val="278929B0"/>
    <w:rsid w:val="2793699B"/>
    <w:rsid w:val="27AE594A"/>
    <w:rsid w:val="27B4125E"/>
    <w:rsid w:val="27B9656F"/>
    <w:rsid w:val="27C44AC0"/>
    <w:rsid w:val="27CA6DAD"/>
    <w:rsid w:val="27CF0CF1"/>
    <w:rsid w:val="27D24516"/>
    <w:rsid w:val="27D3549C"/>
    <w:rsid w:val="27EC0A08"/>
    <w:rsid w:val="27FE087F"/>
    <w:rsid w:val="280062BA"/>
    <w:rsid w:val="282E701E"/>
    <w:rsid w:val="2833607F"/>
    <w:rsid w:val="283B0B46"/>
    <w:rsid w:val="28405D2C"/>
    <w:rsid w:val="28413CE8"/>
    <w:rsid w:val="284F698C"/>
    <w:rsid w:val="28501836"/>
    <w:rsid w:val="28526934"/>
    <w:rsid w:val="285506E9"/>
    <w:rsid w:val="285E4148"/>
    <w:rsid w:val="2863289F"/>
    <w:rsid w:val="28640ED2"/>
    <w:rsid w:val="287857D1"/>
    <w:rsid w:val="288A0DC3"/>
    <w:rsid w:val="28972D57"/>
    <w:rsid w:val="28A770D5"/>
    <w:rsid w:val="28A91F56"/>
    <w:rsid w:val="28AA4623"/>
    <w:rsid w:val="28B8343F"/>
    <w:rsid w:val="28BB5D4B"/>
    <w:rsid w:val="28D83E85"/>
    <w:rsid w:val="28F673D4"/>
    <w:rsid w:val="28F71863"/>
    <w:rsid w:val="290E6D95"/>
    <w:rsid w:val="2919132D"/>
    <w:rsid w:val="291D1716"/>
    <w:rsid w:val="292329D0"/>
    <w:rsid w:val="292F43DA"/>
    <w:rsid w:val="29381B1B"/>
    <w:rsid w:val="2941424F"/>
    <w:rsid w:val="29415CCC"/>
    <w:rsid w:val="29491FC5"/>
    <w:rsid w:val="29510512"/>
    <w:rsid w:val="295377DC"/>
    <w:rsid w:val="2956613E"/>
    <w:rsid w:val="29757460"/>
    <w:rsid w:val="297914B7"/>
    <w:rsid w:val="298626C7"/>
    <w:rsid w:val="299A4CC0"/>
    <w:rsid w:val="29A22DDE"/>
    <w:rsid w:val="29D74F84"/>
    <w:rsid w:val="29E21E97"/>
    <w:rsid w:val="29E63DA7"/>
    <w:rsid w:val="29F350EC"/>
    <w:rsid w:val="29F45369"/>
    <w:rsid w:val="29F500DC"/>
    <w:rsid w:val="2A023339"/>
    <w:rsid w:val="2A0A5A97"/>
    <w:rsid w:val="2A123644"/>
    <w:rsid w:val="2A171D73"/>
    <w:rsid w:val="2A285235"/>
    <w:rsid w:val="2A3000C3"/>
    <w:rsid w:val="2A311DD6"/>
    <w:rsid w:val="2A33048C"/>
    <w:rsid w:val="2A3A2390"/>
    <w:rsid w:val="2A3D5441"/>
    <w:rsid w:val="2A3E6907"/>
    <w:rsid w:val="2A462B6E"/>
    <w:rsid w:val="2A4F21E5"/>
    <w:rsid w:val="2A5B6D98"/>
    <w:rsid w:val="2A6E1037"/>
    <w:rsid w:val="2A7B77B1"/>
    <w:rsid w:val="2A813652"/>
    <w:rsid w:val="2A817B2F"/>
    <w:rsid w:val="2A84085A"/>
    <w:rsid w:val="2A894439"/>
    <w:rsid w:val="2A90173C"/>
    <w:rsid w:val="2A962AC6"/>
    <w:rsid w:val="2AA671C5"/>
    <w:rsid w:val="2AD72BA9"/>
    <w:rsid w:val="2ADD1E1A"/>
    <w:rsid w:val="2ADF65DA"/>
    <w:rsid w:val="2AF858C0"/>
    <w:rsid w:val="2AFA767A"/>
    <w:rsid w:val="2AFD0385"/>
    <w:rsid w:val="2AFF2B21"/>
    <w:rsid w:val="2B026E03"/>
    <w:rsid w:val="2B075ACD"/>
    <w:rsid w:val="2B454AE8"/>
    <w:rsid w:val="2B4B1AC7"/>
    <w:rsid w:val="2B4B1FFE"/>
    <w:rsid w:val="2B4B2105"/>
    <w:rsid w:val="2B4E68FF"/>
    <w:rsid w:val="2B531C96"/>
    <w:rsid w:val="2B5C3E79"/>
    <w:rsid w:val="2B66688B"/>
    <w:rsid w:val="2B6916F0"/>
    <w:rsid w:val="2B7328B9"/>
    <w:rsid w:val="2B742EAB"/>
    <w:rsid w:val="2B81797B"/>
    <w:rsid w:val="2B825104"/>
    <w:rsid w:val="2B8D7439"/>
    <w:rsid w:val="2B9605DB"/>
    <w:rsid w:val="2B9B776D"/>
    <w:rsid w:val="2BBC60CA"/>
    <w:rsid w:val="2BC86EE0"/>
    <w:rsid w:val="2BCE7263"/>
    <w:rsid w:val="2BDF21EC"/>
    <w:rsid w:val="2BF11EC9"/>
    <w:rsid w:val="2BF428B1"/>
    <w:rsid w:val="2C004CED"/>
    <w:rsid w:val="2C0404B3"/>
    <w:rsid w:val="2C210873"/>
    <w:rsid w:val="2C331FAA"/>
    <w:rsid w:val="2C340FFB"/>
    <w:rsid w:val="2C390667"/>
    <w:rsid w:val="2C3E068E"/>
    <w:rsid w:val="2C5F110B"/>
    <w:rsid w:val="2C671635"/>
    <w:rsid w:val="2C69046C"/>
    <w:rsid w:val="2C702D4F"/>
    <w:rsid w:val="2C714EF1"/>
    <w:rsid w:val="2C9B6EAF"/>
    <w:rsid w:val="2CA95524"/>
    <w:rsid w:val="2CA9575E"/>
    <w:rsid w:val="2CAA142C"/>
    <w:rsid w:val="2CB272D6"/>
    <w:rsid w:val="2CBA5D31"/>
    <w:rsid w:val="2CBE5537"/>
    <w:rsid w:val="2CBF27B6"/>
    <w:rsid w:val="2CD05FD9"/>
    <w:rsid w:val="2CD85839"/>
    <w:rsid w:val="2CFD0320"/>
    <w:rsid w:val="2D02293C"/>
    <w:rsid w:val="2D042E32"/>
    <w:rsid w:val="2D063373"/>
    <w:rsid w:val="2D5A1EAC"/>
    <w:rsid w:val="2D61760B"/>
    <w:rsid w:val="2D642D60"/>
    <w:rsid w:val="2D6D43F6"/>
    <w:rsid w:val="2D712CE9"/>
    <w:rsid w:val="2D7C3299"/>
    <w:rsid w:val="2D8B7E40"/>
    <w:rsid w:val="2D9120F0"/>
    <w:rsid w:val="2D9E7D36"/>
    <w:rsid w:val="2DA67550"/>
    <w:rsid w:val="2DB54A70"/>
    <w:rsid w:val="2DBE4508"/>
    <w:rsid w:val="2DBF5DAB"/>
    <w:rsid w:val="2DCA18FD"/>
    <w:rsid w:val="2E006AE7"/>
    <w:rsid w:val="2E0716B8"/>
    <w:rsid w:val="2E1F30B0"/>
    <w:rsid w:val="2E220FCB"/>
    <w:rsid w:val="2E22107F"/>
    <w:rsid w:val="2E431003"/>
    <w:rsid w:val="2E431353"/>
    <w:rsid w:val="2E5637C5"/>
    <w:rsid w:val="2E604F63"/>
    <w:rsid w:val="2E615735"/>
    <w:rsid w:val="2E765ACF"/>
    <w:rsid w:val="2E925544"/>
    <w:rsid w:val="2EB2167B"/>
    <w:rsid w:val="2EBD37BD"/>
    <w:rsid w:val="2EC80EED"/>
    <w:rsid w:val="2EC8793D"/>
    <w:rsid w:val="2ED0295A"/>
    <w:rsid w:val="2ED105CE"/>
    <w:rsid w:val="2EDB6164"/>
    <w:rsid w:val="2EDD100F"/>
    <w:rsid w:val="2EE36D66"/>
    <w:rsid w:val="2EFF40A9"/>
    <w:rsid w:val="2F006EA2"/>
    <w:rsid w:val="2F0B37BA"/>
    <w:rsid w:val="2F1E39A7"/>
    <w:rsid w:val="2F226BAA"/>
    <w:rsid w:val="2F25290C"/>
    <w:rsid w:val="2F2B6CD9"/>
    <w:rsid w:val="2F337D84"/>
    <w:rsid w:val="2F4E4C84"/>
    <w:rsid w:val="2F5200BF"/>
    <w:rsid w:val="2F5F7F2A"/>
    <w:rsid w:val="2F623B2A"/>
    <w:rsid w:val="2F683B53"/>
    <w:rsid w:val="2F7A39AF"/>
    <w:rsid w:val="2F7B5DF0"/>
    <w:rsid w:val="2FA653B8"/>
    <w:rsid w:val="2FAA4DE4"/>
    <w:rsid w:val="2FBF03BF"/>
    <w:rsid w:val="2FD22068"/>
    <w:rsid w:val="2FD32EAA"/>
    <w:rsid w:val="301411B9"/>
    <w:rsid w:val="301E0779"/>
    <w:rsid w:val="304009E9"/>
    <w:rsid w:val="304C0AE8"/>
    <w:rsid w:val="304E6CCE"/>
    <w:rsid w:val="3058721A"/>
    <w:rsid w:val="305A501C"/>
    <w:rsid w:val="306D418E"/>
    <w:rsid w:val="30792A97"/>
    <w:rsid w:val="307D2FCF"/>
    <w:rsid w:val="307F7850"/>
    <w:rsid w:val="30917C94"/>
    <w:rsid w:val="30AA2A27"/>
    <w:rsid w:val="30B62B49"/>
    <w:rsid w:val="30C909CC"/>
    <w:rsid w:val="30DD37B0"/>
    <w:rsid w:val="30E156D9"/>
    <w:rsid w:val="30F523E0"/>
    <w:rsid w:val="30F57494"/>
    <w:rsid w:val="30F80708"/>
    <w:rsid w:val="30F853DF"/>
    <w:rsid w:val="31045D83"/>
    <w:rsid w:val="31177CB4"/>
    <w:rsid w:val="311B068C"/>
    <w:rsid w:val="31214994"/>
    <w:rsid w:val="31325F24"/>
    <w:rsid w:val="3167764F"/>
    <w:rsid w:val="3171263F"/>
    <w:rsid w:val="31746EE9"/>
    <w:rsid w:val="31766DA3"/>
    <w:rsid w:val="319C3891"/>
    <w:rsid w:val="31A54044"/>
    <w:rsid w:val="31B23A98"/>
    <w:rsid w:val="31B3151A"/>
    <w:rsid w:val="31BE6501"/>
    <w:rsid w:val="31C3579A"/>
    <w:rsid w:val="31C522DB"/>
    <w:rsid w:val="31CF483D"/>
    <w:rsid w:val="31DA0B8E"/>
    <w:rsid w:val="31DF58A9"/>
    <w:rsid w:val="31E6247F"/>
    <w:rsid w:val="31ED2B17"/>
    <w:rsid w:val="31F66949"/>
    <w:rsid w:val="322521E7"/>
    <w:rsid w:val="3225497E"/>
    <w:rsid w:val="322847F8"/>
    <w:rsid w:val="32386C71"/>
    <w:rsid w:val="32403F22"/>
    <w:rsid w:val="32484DED"/>
    <w:rsid w:val="325447B7"/>
    <w:rsid w:val="32616672"/>
    <w:rsid w:val="32617BB1"/>
    <w:rsid w:val="326207A8"/>
    <w:rsid w:val="32690D38"/>
    <w:rsid w:val="3275447A"/>
    <w:rsid w:val="327627D0"/>
    <w:rsid w:val="327D7BAC"/>
    <w:rsid w:val="32811155"/>
    <w:rsid w:val="328D6C7F"/>
    <w:rsid w:val="329D373B"/>
    <w:rsid w:val="329D7FDA"/>
    <w:rsid w:val="32B32C67"/>
    <w:rsid w:val="32B377E0"/>
    <w:rsid w:val="32BB5A14"/>
    <w:rsid w:val="32BC57B2"/>
    <w:rsid w:val="32C166CE"/>
    <w:rsid w:val="32C67BFD"/>
    <w:rsid w:val="32CC41E5"/>
    <w:rsid w:val="32CD7A68"/>
    <w:rsid w:val="32CE5DB1"/>
    <w:rsid w:val="32D050B8"/>
    <w:rsid w:val="32D415F1"/>
    <w:rsid w:val="32E620B2"/>
    <w:rsid w:val="32E90D5A"/>
    <w:rsid w:val="32EC7D02"/>
    <w:rsid w:val="32F666BB"/>
    <w:rsid w:val="32F81F91"/>
    <w:rsid w:val="33167A2C"/>
    <w:rsid w:val="33184710"/>
    <w:rsid w:val="331D5DFF"/>
    <w:rsid w:val="33316A4F"/>
    <w:rsid w:val="33557C7F"/>
    <w:rsid w:val="33563A1C"/>
    <w:rsid w:val="335B5F60"/>
    <w:rsid w:val="33667330"/>
    <w:rsid w:val="33680FC2"/>
    <w:rsid w:val="33687D64"/>
    <w:rsid w:val="336B6871"/>
    <w:rsid w:val="336F6986"/>
    <w:rsid w:val="33724670"/>
    <w:rsid w:val="337B0641"/>
    <w:rsid w:val="338327B8"/>
    <w:rsid w:val="33955FA2"/>
    <w:rsid w:val="339A69BA"/>
    <w:rsid w:val="339C373D"/>
    <w:rsid w:val="33A67485"/>
    <w:rsid w:val="33CA680E"/>
    <w:rsid w:val="33CD1D2B"/>
    <w:rsid w:val="33D6087E"/>
    <w:rsid w:val="33E056E4"/>
    <w:rsid w:val="33E16B78"/>
    <w:rsid w:val="33ED2E8E"/>
    <w:rsid w:val="33F24339"/>
    <w:rsid w:val="33F30699"/>
    <w:rsid w:val="33F43B4A"/>
    <w:rsid w:val="33FE42DF"/>
    <w:rsid w:val="340232F4"/>
    <w:rsid w:val="34096012"/>
    <w:rsid w:val="3427048B"/>
    <w:rsid w:val="342B0B46"/>
    <w:rsid w:val="342F67E2"/>
    <w:rsid w:val="34594333"/>
    <w:rsid w:val="346654F9"/>
    <w:rsid w:val="34786031"/>
    <w:rsid w:val="348818E1"/>
    <w:rsid w:val="34A21E09"/>
    <w:rsid w:val="34B166F0"/>
    <w:rsid w:val="34B16F79"/>
    <w:rsid w:val="34B24B67"/>
    <w:rsid w:val="34CA0368"/>
    <w:rsid w:val="34CC0008"/>
    <w:rsid w:val="34DC751A"/>
    <w:rsid w:val="34E152BB"/>
    <w:rsid w:val="34EE0933"/>
    <w:rsid w:val="34EF3DA5"/>
    <w:rsid w:val="34F0618E"/>
    <w:rsid w:val="34F14D3E"/>
    <w:rsid w:val="34F4508A"/>
    <w:rsid w:val="3521584D"/>
    <w:rsid w:val="35251398"/>
    <w:rsid w:val="352E1B3E"/>
    <w:rsid w:val="3535179C"/>
    <w:rsid w:val="35380D04"/>
    <w:rsid w:val="35463A58"/>
    <w:rsid w:val="35493093"/>
    <w:rsid w:val="3552355C"/>
    <w:rsid w:val="356E4C24"/>
    <w:rsid w:val="35727C93"/>
    <w:rsid w:val="358759BA"/>
    <w:rsid w:val="358B073C"/>
    <w:rsid w:val="359526E7"/>
    <w:rsid w:val="359A11EC"/>
    <w:rsid w:val="359A58E9"/>
    <w:rsid w:val="359F6294"/>
    <w:rsid w:val="35BA1CC4"/>
    <w:rsid w:val="35C651C7"/>
    <w:rsid w:val="35CA3765"/>
    <w:rsid w:val="35D82C04"/>
    <w:rsid w:val="35E32C50"/>
    <w:rsid w:val="35E377F8"/>
    <w:rsid w:val="35E47B4B"/>
    <w:rsid w:val="35E5203B"/>
    <w:rsid w:val="35E97749"/>
    <w:rsid w:val="35EF5351"/>
    <w:rsid w:val="35F13C17"/>
    <w:rsid w:val="360016DD"/>
    <w:rsid w:val="36141E59"/>
    <w:rsid w:val="36265794"/>
    <w:rsid w:val="3628579D"/>
    <w:rsid w:val="36296C1A"/>
    <w:rsid w:val="36300FF3"/>
    <w:rsid w:val="365107A6"/>
    <w:rsid w:val="3655331B"/>
    <w:rsid w:val="365F1BC7"/>
    <w:rsid w:val="36706B22"/>
    <w:rsid w:val="367A6444"/>
    <w:rsid w:val="36AC6F16"/>
    <w:rsid w:val="36D54268"/>
    <w:rsid w:val="36D9658E"/>
    <w:rsid w:val="36E921AB"/>
    <w:rsid w:val="36ED4B0B"/>
    <w:rsid w:val="36F079B5"/>
    <w:rsid w:val="36F42A35"/>
    <w:rsid w:val="36F65C6F"/>
    <w:rsid w:val="36F77E93"/>
    <w:rsid w:val="37040AB5"/>
    <w:rsid w:val="370577DF"/>
    <w:rsid w:val="371D06C5"/>
    <w:rsid w:val="371D4C8E"/>
    <w:rsid w:val="37287433"/>
    <w:rsid w:val="37327918"/>
    <w:rsid w:val="37402797"/>
    <w:rsid w:val="37431F15"/>
    <w:rsid w:val="3744080C"/>
    <w:rsid w:val="37491BB0"/>
    <w:rsid w:val="374A457D"/>
    <w:rsid w:val="3759647E"/>
    <w:rsid w:val="37596543"/>
    <w:rsid w:val="37673ADE"/>
    <w:rsid w:val="376A4AB9"/>
    <w:rsid w:val="377D3A06"/>
    <w:rsid w:val="378C73DC"/>
    <w:rsid w:val="37903849"/>
    <w:rsid w:val="379F42DA"/>
    <w:rsid w:val="37A415BD"/>
    <w:rsid w:val="37B27AFF"/>
    <w:rsid w:val="37B53F1C"/>
    <w:rsid w:val="37D13825"/>
    <w:rsid w:val="37D5093C"/>
    <w:rsid w:val="37E33F70"/>
    <w:rsid w:val="37E4566D"/>
    <w:rsid w:val="37E66707"/>
    <w:rsid w:val="37E7365B"/>
    <w:rsid w:val="37ED1AD8"/>
    <w:rsid w:val="37EE0866"/>
    <w:rsid w:val="37EE4BF1"/>
    <w:rsid w:val="37F81029"/>
    <w:rsid w:val="37FD51B8"/>
    <w:rsid w:val="37FE1A05"/>
    <w:rsid w:val="380C6E1C"/>
    <w:rsid w:val="38154FE1"/>
    <w:rsid w:val="381E7F09"/>
    <w:rsid w:val="38214E99"/>
    <w:rsid w:val="38220D76"/>
    <w:rsid w:val="38243E74"/>
    <w:rsid w:val="382442A6"/>
    <w:rsid w:val="38371239"/>
    <w:rsid w:val="383933CD"/>
    <w:rsid w:val="383E3D4F"/>
    <w:rsid w:val="38412981"/>
    <w:rsid w:val="385931C6"/>
    <w:rsid w:val="385A2199"/>
    <w:rsid w:val="385D038F"/>
    <w:rsid w:val="385E0B2F"/>
    <w:rsid w:val="386F129C"/>
    <w:rsid w:val="38743D12"/>
    <w:rsid w:val="387E65C1"/>
    <w:rsid w:val="387F68B0"/>
    <w:rsid w:val="38866F61"/>
    <w:rsid w:val="3888043B"/>
    <w:rsid w:val="389117F0"/>
    <w:rsid w:val="389307DD"/>
    <w:rsid w:val="38A35E1B"/>
    <w:rsid w:val="38B574A0"/>
    <w:rsid w:val="38BB25BA"/>
    <w:rsid w:val="38BF0A78"/>
    <w:rsid w:val="38C430B9"/>
    <w:rsid w:val="38D36DCF"/>
    <w:rsid w:val="38D737E0"/>
    <w:rsid w:val="38D83E1C"/>
    <w:rsid w:val="38DA638D"/>
    <w:rsid w:val="38DE7C51"/>
    <w:rsid w:val="38E6065D"/>
    <w:rsid w:val="38EB3452"/>
    <w:rsid w:val="390B753A"/>
    <w:rsid w:val="391541A4"/>
    <w:rsid w:val="39161FEA"/>
    <w:rsid w:val="39162A46"/>
    <w:rsid w:val="39302DDF"/>
    <w:rsid w:val="39330AD4"/>
    <w:rsid w:val="39403992"/>
    <w:rsid w:val="39455C92"/>
    <w:rsid w:val="39472CE8"/>
    <w:rsid w:val="39487399"/>
    <w:rsid w:val="394A4DFF"/>
    <w:rsid w:val="395174D1"/>
    <w:rsid w:val="396A3EFF"/>
    <w:rsid w:val="397E7D6B"/>
    <w:rsid w:val="39984A16"/>
    <w:rsid w:val="39A2212A"/>
    <w:rsid w:val="39B21596"/>
    <w:rsid w:val="39BD0DC4"/>
    <w:rsid w:val="39C04F3D"/>
    <w:rsid w:val="39CB75F7"/>
    <w:rsid w:val="39CC70C5"/>
    <w:rsid w:val="39E528B3"/>
    <w:rsid w:val="3A0F0F3F"/>
    <w:rsid w:val="3A2743DB"/>
    <w:rsid w:val="3A2C0E6D"/>
    <w:rsid w:val="3A324C12"/>
    <w:rsid w:val="3A335A0E"/>
    <w:rsid w:val="3A35641D"/>
    <w:rsid w:val="3A360FC4"/>
    <w:rsid w:val="3A395B59"/>
    <w:rsid w:val="3A3D0030"/>
    <w:rsid w:val="3A414B7F"/>
    <w:rsid w:val="3A47323B"/>
    <w:rsid w:val="3A507028"/>
    <w:rsid w:val="3A5C06B5"/>
    <w:rsid w:val="3A5D2243"/>
    <w:rsid w:val="3A6C1822"/>
    <w:rsid w:val="3A7C3B81"/>
    <w:rsid w:val="3A992884"/>
    <w:rsid w:val="3A9A04B7"/>
    <w:rsid w:val="3AA26EF5"/>
    <w:rsid w:val="3AAE5640"/>
    <w:rsid w:val="3AB17686"/>
    <w:rsid w:val="3AB75291"/>
    <w:rsid w:val="3AC85D79"/>
    <w:rsid w:val="3ACC3F35"/>
    <w:rsid w:val="3AE15A2F"/>
    <w:rsid w:val="3AE279BF"/>
    <w:rsid w:val="3AED5FA8"/>
    <w:rsid w:val="3AF70801"/>
    <w:rsid w:val="3AF85579"/>
    <w:rsid w:val="3AFE097A"/>
    <w:rsid w:val="3B135472"/>
    <w:rsid w:val="3B161A39"/>
    <w:rsid w:val="3B1C1386"/>
    <w:rsid w:val="3B1C38E0"/>
    <w:rsid w:val="3B240A35"/>
    <w:rsid w:val="3B2415F7"/>
    <w:rsid w:val="3B2D22F3"/>
    <w:rsid w:val="3B2F490A"/>
    <w:rsid w:val="3B3C3A5F"/>
    <w:rsid w:val="3B4C6A4C"/>
    <w:rsid w:val="3B625F08"/>
    <w:rsid w:val="3B65327C"/>
    <w:rsid w:val="3B760384"/>
    <w:rsid w:val="3B774193"/>
    <w:rsid w:val="3B796BDF"/>
    <w:rsid w:val="3B7D58F1"/>
    <w:rsid w:val="3B9A4FEB"/>
    <w:rsid w:val="3B9C6DBC"/>
    <w:rsid w:val="3BA1436A"/>
    <w:rsid w:val="3BAA3C2B"/>
    <w:rsid w:val="3BAE68E6"/>
    <w:rsid w:val="3BB4294B"/>
    <w:rsid w:val="3BB667B6"/>
    <w:rsid w:val="3BC949E4"/>
    <w:rsid w:val="3BCB19F5"/>
    <w:rsid w:val="3BCB6036"/>
    <w:rsid w:val="3BCD134B"/>
    <w:rsid w:val="3BCD1769"/>
    <w:rsid w:val="3BEE62A2"/>
    <w:rsid w:val="3BF5376E"/>
    <w:rsid w:val="3BFF467C"/>
    <w:rsid w:val="3C067A42"/>
    <w:rsid w:val="3C0931C2"/>
    <w:rsid w:val="3C141E15"/>
    <w:rsid w:val="3C152A8E"/>
    <w:rsid w:val="3C163548"/>
    <w:rsid w:val="3C196E25"/>
    <w:rsid w:val="3C1C6E07"/>
    <w:rsid w:val="3C227735"/>
    <w:rsid w:val="3C5E39E6"/>
    <w:rsid w:val="3C604D06"/>
    <w:rsid w:val="3C6447F8"/>
    <w:rsid w:val="3C756EFF"/>
    <w:rsid w:val="3C866B9C"/>
    <w:rsid w:val="3C8F4C48"/>
    <w:rsid w:val="3C9B53E8"/>
    <w:rsid w:val="3CAF31CA"/>
    <w:rsid w:val="3CB60009"/>
    <w:rsid w:val="3CBE1C6F"/>
    <w:rsid w:val="3CD95B4D"/>
    <w:rsid w:val="3CE22233"/>
    <w:rsid w:val="3CE81A7C"/>
    <w:rsid w:val="3CEA14BE"/>
    <w:rsid w:val="3CF03696"/>
    <w:rsid w:val="3CF309DA"/>
    <w:rsid w:val="3CF61143"/>
    <w:rsid w:val="3D0B24B6"/>
    <w:rsid w:val="3D112FE9"/>
    <w:rsid w:val="3D1816DB"/>
    <w:rsid w:val="3D200E84"/>
    <w:rsid w:val="3D242473"/>
    <w:rsid w:val="3D322498"/>
    <w:rsid w:val="3D386A2D"/>
    <w:rsid w:val="3D3B39E1"/>
    <w:rsid w:val="3D5246C3"/>
    <w:rsid w:val="3D5A4D9B"/>
    <w:rsid w:val="3D5D109F"/>
    <w:rsid w:val="3D5F0566"/>
    <w:rsid w:val="3D607B26"/>
    <w:rsid w:val="3D6E2ED8"/>
    <w:rsid w:val="3D7E37F1"/>
    <w:rsid w:val="3D80665A"/>
    <w:rsid w:val="3D995592"/>
    <w:rsid w:val="3D9B7D13"/>
    <w:rsid w:val="3DB01B74"/>
    <w:rsid w:val="3DB22121"/>
    <w:rsid w:val="3DB750E0"/>
    <w:rsid w:val="3DC31B09"/>
    <w:rsid w:val="3DCB01B4"/>
    <w:rsid w:val="3DD67EC3"/>
    <w:rsid w:val="3DE044E6"/>
    <w:rsid w:val="3DE26CCB"/>
    <w:rsid w:val="3E032A2B"/>
    <w:rsid w:val="3E0338DD"/>
    <w:rsid w:val="3E0E76A3"/>
    <w:rsid w:val="3E1A36B6"/>
    <w:rsid w:val="3E1D2FCD"/>
    <w:rsid w:val="3E2D0D25"/>
    <w:rsid w:val="3E3C4C34"/>
    <w:rsid w:val="3E425AE5"/>
    <w:rsid w:val="3E4C2099"/>
    <w:rsid w:val="3E666225"/>
    <w:rsid w:val="3E697330"/>
    <w:rsid w:val="3E6B78AD"/>
    <w:rsid w:val="3E71143D"/>
    <w:rsid w:val="3E7576D5"/>
    <w:rsid w:val="3E790E29"/>
    <w:rsid w:val="3E791760"/>
    <w:rsid w:val="3E7A1E86"/>
    <w:rsid w:val="3E886DC0"/>
    <w:rsid w:val="3E8A1D04"/>
    <w:rsid w:val="3E937DE7"/>
    <w:rsid w:val="3EA45424"/>
    <w:rsid w:val="3EB1469D"/>
    <w:rsid w:val="3EB224D1"/>
    <w:rsid w:val="3EB2553E"/>
    <w:rsid w:val="3ED83237"/>
    <w:rsid w:val="3EE5603F"/>
    <w:rsid w:val="3EE956F6"/>
    <w:rsid w:val="3EEA74ED"/>
    <w:rsid w:val="3EEF6B8A"/>
    <w:rsid w:val="3F06406B"/>
    <w:rsid w:val="3F074DE3"/>
    <w:rsid w:val="3F1E10DE"/>
    <w:rsid w:val="3F246766"/>
    <w:rsid w:val="3F250A76"/>
    <w:rsid w:val="3F274041"/>
    <w:rsid w:val="3F430EFB"/>
    <w:rsid w:val="3F473064"/>
    <w:rsid w:val="3F555316"/>
    <w:rsid w:val="3F6A6298"/>
    <w:rsid w:val="3F6B5736"/>
    <w:rsid w:val="3F6F33B2"/>
    <w:rsid w:val="3F7D3354"/>
    <w:rsid w:val="3F803DC6"/>
    <w:rsid w:val="3F824522"/>
    <w:rsid w:val="3F864100"/>
    <w:rsid w:val="3F8C0D3F"/>
    <w:rsid w:val="3F8E25D4"/>
    <w:rsid w:val="3F8F72A3"/>
    <w:rsid w:val="3F9216B2"/>
    <w:rsid w:val="3F924ED8"/>
    <w:rsid w:val="3FA02ED0"/>
    <w:rsid w:val="3FAE3509"/>
    <w:rsid w:val="3FB164F9"/>
    <w:rsid w:val="3FC138BC"/>
    <w:rsid w:val="3FD140EA"/>
    <w:rsid w:val="3FD72465"/>
    <w:rsid w:val="3FDC4DCC"/>
    <w:rsid w:val="3FDF72DD"/>
    <w:rsid w:val="3FE65B91"/>
    <w:rsid w:val="3FEA70C9"/>
    <w:rsid w:val="3FEE1F49"/>
    <w:rsid w:val="3FEF0D33"/>
    <w:rsid w:val="3FF847A1"/>
    <w:rsid w:val="3FFD010D"/>
    <w:rsid w:val="40033B03"/>
    <w:rsid w:val="400B70DF"/>
    <w:rsid w:val="401949D0"/>
    <w:rsid w:val="401A06CA"/>
    <w:rsid w:val="401D5723"/>
    <w:rsid w:val="401F7FA9"/>
    <w:rsid w:val="40201B00"/>
    <w:rsid w:val="40264B87"/>
    <w:rsid w:val="402B6A76"/>
    <w:rsid w:val="403B36D1"/>
    <w:rsid w:val="403B5837"/>
    <w:rsid w:val="403F4787"/>
    <w:rsid w:val="4046131D"/>
    <w:rsid w:val="40472DBE"/>
    <w:rsid w:val="404E0DD7"/>
    <w:rsid w:val="40534AFF"/>
    <w:rsid w:val="40557FBF"/>
    <w:rsid w:val="40577D12"/>
    <w:rsid w:val="406160E7"/>
    <w:rsid w:val="4061780C"/>
    <w:rsid w:val="40646068"/>
    <w:rsid w:val="40660B15"/>
    <w:rsid w:val="40822CD5"/>
    <w:rsid w:val="40836E0E"/>
    <w:rsid w:val="408D41E4"/>
    <w:rsid w:val="408D72F4"/>
    <w:rsid w:val="409A07A9"/>
    <w:rsid w:val="40A24360"/>
    <w:rsid w:val="40AD52E9"/>
    <w:rsid w:val="40AE2A32"/>
    <w:rsid w:val="40B376E6"/>
    <w:rsid w:val="40BE247C"/>
    <w:rsid w:val="40C0464B"/>
    <w:rsid w:val="40D07068"/>
    <w:rsid w:val="40D76248"/>
    <w:rsid w:val="40DE337B"/>
    <w:rsid w:val="40DE730A"/>
    <w:rsid w:val="40E62981"/>
    <w:rsid w:val="40E62F2E"/>
    <w:rsid w:val="40F177F0"/>
    <w:rsid w:val="40F74D54"/>
    <w:rsid w:val="40F75A3B"/>
    <w:rsid w:val="40F80EFD"/>
    <w:rsid w:val="40FA32D9"/>
    <w:rsid w:val="40FD3E21"/>
    <w:rsid w:val="410712CB"/>
    <w:rsid w:val="411179A9"/>
    <w:rsid w:val="41130ED3"/>
    <w:rsid w:val="411462D3"/>
    <w:rsid w:val="411E6EBB"/>
    <w:rsid w:val="412457E9"/>
    <w:rsid w:val="412C0F94"/>
    <w:rsid w:val="412D4DAB"/>
    <w:rsid w:val="4137427C"/>
    <w:rsid w:val="41417BCD"/>
    <w:rsid w:val="416F7783"/>
    <w:rsid w:val="41745EB8"/>
    <w:rsid w:val="418374B9"/>
    <w:rsid w:val="4188024F"/>
    <w:rsid w:val="41933065"/>
    <w:rsid w:val="41933E8B"/>
    <w:rsid w:val="419578F9"/>
    <w:rsid w:val="41AA4248"/>
    <w:rsid w:val="41BE2108"/>
    <w:rsid w:val="41BF0840"/>
    <w:rsid w:val="41C21355"/>
    <w:rsid w:val="41D44E53"/>
    <w:rsid w:val="41F04267"/>
    <w:rsid w:val="41F72A90"/>
    <w:rsid w:val="421F7DBD"/>
    <w:rsid w:val="422C55F7"/>
    <w:rsid w:val="42386C12"/>
    <w:rsid w:val="42581F0F"/>
    <w:rsid w:val="4267581E"/>
    <w:rsid w:val="42680946"/>
    <w:rsid w:val="428F367A"/>
    <w:rsid w:val="42915E0F"/>
    <w:rsid w:val="42941B74"/>
    <w:rsid w:val="42A26893"/>
    <w:rsid w:val="42B87377"/>
    <w:rsid w:val="42BE6108"/>
    <w:rsid w:val="42C5471C"/>
    <w:rsid w:val="42D85B4A"/>
    <w:rsid w:val="42E53DD3"/>
    <w:rsid w:val="42EC1A8F"/>
    <w:rsid w:val="42ED05C5"/>
    <w:rsid w:val="42F440FC"/>
    <w:rsid w:val="43007537"/>
    <w:rsid w:val="43096E00"/>
    <w:rsid w:val="43373A5D"/>
    <w:rsid w:val="434452B2"/>
    <w:rsid w:val="43537822"/>
    <w:rsid w:val="43554E2C"/>
    <w:rsid w:val="437234AF"/>
    <w:rsid w:val="439A1AB1"/>
    <w:rsid w:val="439A3445"/>
    <w:rsid w:val="43A23DD3"/>
    <w:rsid w:val="43A37D22"/>
    <w:rsid w:val="43A92D5F"/>
    <w:rsid w:val="43AC1726"/>
    <w:rsid w:val="43BD16CC"/>
    <w:rsid w:val="43C659A0"/>
    <w:rsid w:val="43D441A9"/>
    <w:rsid w:val="43D65525"/>
    <w:rsid w:val="43D700C1"/>
    <w:rsid w:val="43E0334B"/>
    <w:rsid w:val="43EA65F5"/>
    <w:rsid w:val="43EE4279"/>
    <w:rsid w:val="43F2336C"/>
    <w:rsid w:val="440D08FB"/>
    <w:rsid w:val="44234AB9"/>
    <w:rsid w:val="442E7829"/>
    <w:rsid w:val="44310B49"/>
    <w:rsid w:val="44390CF2"/>
    <w:rsid w:val="443A3C0A"/>
    <w:rsid w:val="443B24C9"/>
    <w:rsid w:val="444314F9"/>
    <w:rsid w:val="44520D67"/>
    <w:rsid w:val="445C6678"/>
    <w:rsid w:val="445D4AB6"/>
    <w:rsid w:val="446F6056"/>
    <w:rsid w:val="4473702F"/>
    <w:rsid w:val="4479214F"/>
    <w:rsid w:val="4480504C"/>
    <w:rsid w:val="449432A7"/>
    <w:rsid w:val="449D0312"/>
    <w:rsid w:val="44A21D28"/>
    <w:rsid w:val="44A4546E"/>
    <w:rsid w:val="44B163F7"/>
    <w:rsid w:val="44B408DE"/>
    <w:rsid w:val="44B46FA2"/>
    <w:rsid w:val="44C04A54"/>
    <w:rsid w:val="44C511E7"/>
    <w:rsid w:val="44CC2506"/>
    <w:rsid w:val="44CC5421"/>
    <w:rsid w:val="44D533DB"/>
    <w:rsid w:val="44DB3730"/>
    <w:rsid w:val="44EC22E1"/>
    <w:rsid w:val="44F715A8"/>
    <w:rsid w:val="44FD7A7E"/>
    <w:rsid w:val="45081814"/>
    <w:rsid w:val="451D7641"/>
    <w:rsid w:val="451F03F8"/>
    <w:rsid w:val="452135B5"/>
    <w:rsid w:val="4522137C"/>
    <w:rsid w:val="4523316F"/>
    <w:rsid w:val="452961BD"/>
    <w:rsid w:val="452A396D"/>
    <w:rsid w:val="452A4D88"/>
    <w:rsid w:val="45495888"/>
    <w:rsid w:val="45544139"/>
    <w:rsid w:val="45575E3C"/>
    <w:rsid w:val="455B2F06"/>
    <w:rsid w:val="45625524"/>
    <w:rsid w:val="456B71F2"/>
    <w:rsid w:val="45750F93"/>
    <w:rsid w:val="457B0D80"/>
    <w:rsid w:val="4588427E"/>
    <w:rsid w:val="458F4A00"/>
    <w:rsid w:val="45955F2E"/>
    <w:rsid w:val="459F0F91"/>
    <w:rsid w:val="45A52418"/>
    <w:rsid w:val="45AC0591"/>
    <w:rsid w:val="45B21560"/>
    <w:rsid w:val="45CF4C59"/>
    <w:rsid w:val="45D066F9"/>
    <w:rsid w:val="45E27B2B"/>
    <w:rsid w:val="45FD3DD3"/>
    <w:rsid w:val="46020B38"/>
    <w:rsid w:val="46023399"/>
    <w:rsid w:val="4604162C"/>
    <w:rsid w:val="460C5D3D"/>
    <w:rsid w:val="46224E44"/>
    <w:rsid w:val="463B55AE"/>
    <w:rsid w:val="46412B3C"/>
    <w:rsid w:val="46475481"/>
    <w:rsid w:val="466351F9"/>
    <w:rsid w:val="466548FC"/>
    <w:rsid w:val="467001B9"/>
    <w:rsid w:val="467A73AF"/>
    <w:rsid w:val="468A6FED"/>
    <w:rsid w:val="46916447"/>
    <w:rsid w:val="46A12324"/>
    <w:rsid w:val="46A876FC"/>
    <w:rsid w:val="46A96971"/>
    <w:rsid w:val="46B26596"/>
    <w:rsid w:val="46BE067E"/>
    <w:rsid w:val="46CC35EB"/>
    <w:rsid w:val="46DC49E4"/>
    <w:rsid w:val="46E27B7E"/>
    <w:rsid w:val="46E56894"/>
    <w:rsid w:val="46EF68B9"/>
    <w:rsid w:val="46F01B3B"/>
    <w:rsid w:val="46FC2E01"/>
    <w:rsid w:val="46FF7A69"/>
    <w:rsid w:val="470411D3"/>
    <w:rsid w:val="47105DA2"/>
    <w:rsid w:val="471331F6"/>
    <w:rsid w:val="472D48E6"/>
    <w:rsid w:val="47405A98"/>
    <w:rsid w:val="47405F63"/>
    <w:rsid w:val="474216FC"/>
    <w:rsid w:val="47432C65"/>
    <w:rsid w:val="474456A1"/>
    <w:rsid w:val="475D43F2"/>
    <w:rsid w:val="47675D28"/>
    <w:rsid w:val="477B4679"/>
    <w:rsid w:val="478F46C5"/>
    <w:rsid w:val="479C47FA"/>
    <w:rsid w:val="47A90F89"/>
    <w:rsid w:val="47AF5FC1"/>
    <w:rsid w:val="47BA2AB0"/>
    <w:rsid w:val="47C75FBD"/>
    <w:rsid w:val="47D11A08"/>
    <w:rsid w:val="47D72A66"/>
    <w:rsid w:val="47E5680D"/>
    <w:rsid w:val="47E57A30"/>
    <w:rsid w:val="47E730E6"/>
    <w:rsid w:val="47E80DC6"/>
    <w:rsid w:val="47F72850"/>
    <w:rsid w:val="47F818B6"/>
    <w:rsid w:val="47FD0BB6"/>
    <w:rsid w:val="48094368"/>
    <w:rsid w:val="480B68B5"/>
    <w:rsid w:val="481E34A2"/>
    <w:rsid w:val="482A0C93"/>
    <w:rsid w:val="483F6388"/>
    <w:rsid w:val="4841359F"/>
    <w:rsid w:val="485E09D1"/>
    <w:rsid w:val="48773573"/>
    <w:rsid w:val="487A3FA0"/>
    <w:rsid w:val="488C0C47"/>
    <w:rsid w:val="48910364"/>
    <w:rsid w:val="4894065C"/>
    <w:rsid w:val="489F42E4"/>
    <w:rsid w:val="48A209DA"/>
    <w:rsid w:val="48A35BE6"/>
    <w:rsid w:val="48B14A50"/>
    <w:rsid w:val="48B76A6B"/>
    <w:rsid w:val="48B86C82"/>
    <w:rsid w:val="48B956E0"/>
    <w:rsid w:val="48C128E7"/>
    <w:rsid w:val="48C84D57"/>
    <w:rsid w:val="48CA0473"/>
    <w:rsid w:val="48E879CD"/>
    <w:rsid w:val="48F63343"/>
    <w:rsid w:val="48FF396D"/>
    <w:rsid w:val="490D5E32"/>
    <w:rsid w:val="490F51DB"/>
    <w:rsid w:val="49302765"/>
    <w:rsid w:val="49326D57"/>
    <w:rsid w:val="4934252A"/>
    <w:rsid w:val="493D0DE9"/>
    <w:rsid w:val="493D4778"/>
    <w:rsid w:val="49490093"/>
    <w:rsid w:val="494F5F79"/>
    <w:rsid w:val="495805A1"/>
    <w:rsid w:val="495A53F8"/>
    <w:rsid w:val="49625B50"/>
    <w:rsid w:val="49730634"/>
    <w:rsid w:val="49767B6D"/>
    <w:rsid w:val="497751FB"/>
    <w:rsid w:val="497B7D8F"/>
    <w:rsid w:val="497D74D6"/>
    <w:rsid w:val="49AB7433"/>
    <w:rsid w:val="49BE5CF9"/>
    <w:rsid w:val="49C25AF1"/>
    <w:rsid w:val="49E14231"/>
    <w:rsid w:val="49EC38E9"/>
    <w:rsid w:val="49FC1958"/>
    <w:rsid w:val="4A0009D8"/>
    <w:rsid w:val="4A182C4E"/>
    <w:rsid w:val="4A192D1E"/>
    <w:rsid w:val="4A3B7FEC"/>
    <w:rsid w:val="4A443847"/>
    <w:rsid w:val="4A502B9D"/>
    <w:rsid w:val="4A58652C"/>
    <w:rsid w:val="4A5A4C32"/>
    <w:rsid w:val="4A5C3D91"/>
    <w:rsid w:val="4A675564"/>
    <w:rsid w:val="4A676728"/>
    <w:rsid w:val="4A6C4817"/>
    <w:rsid w:val="4A7939F6"/>
    <w:rsid w:val="4A7F7904"/>
    <w:rsid w:val="4A91002F"/>
    <w:rsid w:val="4A9531BA"/>
    <w:rsid w:val="4A983441"/>
    <w:rsid w:val="4AA73359"/>
    <w:rsid w:val="4ACB2505"/>
    <w:rsid w:val="4ACD59B3"/>
    <w:rsid w:val="4AD45EDF"/>
    <w:rsid w:val="4AD63088"/>
    <w:rsid w:val="4ADD5829"/>
    <w:rsid w:val="4AF074FE"/>
    <w:rsid w:val="4AF85F7F"/>
    <w:rsid w:val="4B0510C2"/>
    <w:rsid w:val="4B052BAD"/>
    <w:rsid w:val="4B0C0A77"/>
    <w:rsid w:val="4B0C1F17"/>
    <w:rsid w:val="4B1D007D"/>
    <w:rsid w:val="4B33417A"/>
    <w:rsid w:val="4B3C2D5F"/>
    <w:rsid w:val="4B43519F"/>
    <w:rsid w:val="4B4516E3"/>
    <w:rsid w:val="4B473D7C"/>
    <w:rsid w:val="4B490739"/>
    <w:rsid w:val="4B492FAA"/>
    <w:rsid w:val="4B5317A1"/>
    <w:rsid w:val="4B645481"/>
    <w:rsid w:val="4B6D6789"/>
    <w:rsid w:val="4B7A08F6"/>
    <w:rsid w:val="4B84364A"/>
    <w:rsid w:val="4B847423"/>
    <w:rsid w:val="4B8A12FC"/>
    <w:rsid w:val="4BA07416"/>
    <w:rsid w:val="4BA15A1F"/>
    <w:rsid w:val="4BA80FB2"/>
    <w:rsid w:val="4BAB2340"/>
    <w:rsid w:val="4BB3635C"/>
    <w:rsid w:val="4BB624F2"/>
    <w:rsid w:val="4BD33510"/>
    <w:rsid w:val="4BD40227"/>
    <w:rsid w:val="4BE158A6"/>
    <w:rsid w:val="4BE210FE"/>
    <w:rsid w:val="4BE91245"/>
    <w:rsid w:val="4BEE5222"/>
    <w:rsid w:val="4BF11EF5"/>
    <w:rsid w:val="4C01368D"/>
    <w:rsid w:val="4C08789B"/>
    <w:rsid w:val="4C1F7CAD"/>
    <w:rsid w:val="4C2741AC"/>
    <w:rsid w:val="4C393E13"/>
    <w:rsid w:val="4C3D6E3F"/>
    <w:rsid w:val="4C4234BF"/>
    <w:rsid w:val="4C460FAD"/>
    <w:rsid w:val="4C4F5ABB"/>
    <w:rsid w:val="4C544E3B"/>
    <w:rsid w:val="4C602A24"/>
    <w:rsid w:val="4C6F1FA6"/>
    <w:rsid w:val="4C762B19"/>
    <w:rsid w:val="4C832CF4"/>
    <w:rsid w:val="4C91632E"/>
    <w:rsid w:val="4CB15B6D"/>
    <w:rsid w:val="4CB5193B"/>
    <w:rsid w:val="4CBC1B35"/>
    <w:rsid w:val="4CBD4B38"/>
    <w:rsid w:val="4CCE56D7"/>
    <w:rsid w:val="4CE152F4"/>
    <w:rsid w:val="4CE5492D"/>
    <w:rsid w:val="4CE65D8F"/>
    <w:rsid w:val="4CEF13AC"/>
    <w:rsid w:val="4CFB2842"/>
    <w:rsid w:val="4D084917"/>
    <w:rsid w:val="4D105883"/>
    <w:rsid w:val="4D1A5045"/>
    <w:rsid w:val="4D271FB7"/>
    <w:rsid w:val="4D29409A"/>
    <w:rsid w:val="4D2B5A6D"/>
    <w:rsid w:val="4D4376C6"/>
    <w:rsid w:val="4D4963D8"/>
    <w:rsid w:val="4D692A68"/>
    <w:rsid w:val="4D8B6B25"/>
    <w:rsid w:val="4D92310A"/>
    <w:rsid w:val="4D927517"/>
    <w:rsid w:val="4D9A7FB4"/>
    <w:rsid w:val="4DA07CC2"/>
    <w:rsid w:val="4DA218C8"/>
    <w:rsid w:val="4DA71F8E"/>
    <w:rsid w:val="4DB97833"/>
    <w:rsid w:val="4DC411A9"/>
    <w:rsid w:val="4DCE24E5"/>
    <w:rsid w:val="4DD71B7B"/>
    <w:rsid w:val="4DF20FE8"/>
    <w:rsid w:val="4DF50D30"/>
    <w:rsid w:val="4DF7516B"/>
    <w:rsid w:val="4DF80D27"/>
    <w:rsid w:val="4E0C779B"/>
    <w:rsid w:val="4E0F0720"/>
    <w:rsid w:val="4E226209"/>
    <w:rsid w:val="4E242031"/>
    <w:rsid w:val="4E32782D"/>
    <w:rsid w:val="4E366C7F"/>
    <w:rsid w:val="4E486698"/>
    <w:rsid w:val="4E497515"/>
    <w:rsid w:val="4E5F42F3"/>
    <w:rsid w:val="4E62645A"/>
    <w:rsid w:val="4E765B46"/>
    <w:rsid w:val="4E773543"/>
    <w:rsid w:val="4E835D49"/>
    <w:rsid w:val="4E9C54E0"/>
    <w:rsid w:val="4EAD30F5"/>
    <w:rsid w:val="4EAD472D"/>
    <w:rsid w:val="4EB87086"/>
    <w:rsid w:val="4EBA062D"/>
    <w:rsid w:val="4EBA4D95"/>
    <w:rsid w:val="4EBC40BC"/>
    <w:rsid w:val="4EBE7CBA"/>
    <w:rsid w:val="4ED115D3"/>
    <w:rsid w:val="4ED35328"/>
    <w:rsid w:val="4EEC450C"/>
    <w:rsid w:val="4EF21678"/>
    <w:rsid w:val="4F0436D2"/>
    <w:rsid w:val="4F065DAE"/>
    <w:rsid w:val="4F085243"/>
    <w:rsid w:val="4F0F4751"/>
    <w:rsid w:val="4F1756BA"/>
    <w:rsid w:val="4F287318"/>
    <w:rsid w:val="4F2B6DCC"/>
    <w:rsid w:val="4F2D3DC6"/>
    <w:rsid w:val="4F463FFC"/>
    <w:rsid w:val="4F485845"/>
    <w:rsid w:val="4F4C46B0"/>
    <w:rsid w:val="4F5307C3"/>
    <w:rsid w:val="4F5A2274"/>
    <w:rsid w:val="4F6526C5"/>
    <w:rsid w:val="4F672357"/>
    <w:rsid w:val="4F6A0EDD"/>
    <w:rsid w:val="4F6E101C"/>
    <w:rsid w:val="4F784C39"/>
    <w:rsid w:val="4F793A80"/>
    <w:rsid w:val="4F9735BA"/>
    <w:rsid w:val="4F9A34F0"/>
    <w:rsid w:val="4F9B32AD"/>
    <w:rsid w:val="4FA32BB6"/>
    <w:rsid w:val="4FA823E2"/>
    <w:rsid w:val="4FB20A63"/>
    <w:rsid w:val="4FB619F0"/>
    <w:rsid w:val="4FBE5E3B"/>
    <w:rsid w:val="4FC4089E"/>
    <w:rsid w:val="4FD6264A"/>
    <w:rsid w:val="4FED56B0"/>
    <w:rsid w:val="4FEF14C5"/>
    <w:rsid w:val="4FF534DD"/>
    <w:rsid w:val="4FF7651C"/>
    <w:rsid w:val="500422B0"/>
    <w:rsid w:val="501C681C"/>
    <w:rsid w:val="502437DF"/>
    <w:rsid w:val="502668B1"/>
    <w:rsid w:val="50294DC0"/>
    <w:rsid w:val="502C312E"/>
    <w:rsid w:val="504701E6"/>
    <w:rsid w:val="504D2962"/>
    <w:rsid w:val="505345C8"/>
    <w:rsid w:val="5061799D"/>
    <w:rsid w:val="50636358"/>
    <w:rsid w:val="50853698"/>
    <w:rsid w:val="50857654"/>
    <w:rsid w:val="508D33B8"/>
    <w:rsid w:val="50970229"/>
    <w:rsid w:val="509800A3"/>
    <w:rsid w:val="509F03AC"/>
    <w:rsid w:val="50A25074"/>
    <w:rsid w:val="50BA15E6"/>
    <w:rsid w:val="50C60989"/>
    <w:rsid w:val="50CD1A1D"/>
    <w:rsid w:val="50D06891"/>
    <w:rsid w:val="50D574AB"/>
    <w:rsid w:val="50ED04D2"/>
    <w:rsid w:val="5107796B"/>
    <w:rsid w:val="51084A3F"/>
    <w:rsid w:val="510C41C6"/>
    <w:rsid w:val="511B709E"/>
    <w:rsid w:val="51227C3E"/>
    <w:rsid w:val="51227DC1"/>
    <w:rsid w:val="5128155D"/>
    <w:rsid w:val="51301849"/>
    <w:rsid w:val="513C4D85"/>
    <w:rsid w:val="513D6716"/>
    <w:rsid w:val="513F7257"/>
    <w:rsid w:val="51457EE2"/>
    <w:rsid w:val="514B67D4"/>
    <w:rsid w:val="514C786D"/>
    <w:rsid w:val="51505775"/>
    <w:rsid w:val="51640AFB"/>
    <w:rsid w:val="516939C9"/>
    <w:rsid w:val="517E79F1"/>
    <w:rsid w:val="517F19B3"/>
    <w:rsid w:val="51874805"/>
    <w:rsid w:val="51A30759"/>
    <w:rsid w:val="51A44301"/>
    <w:rsid w:val="51A67586"/>
    <w:rsid w:val="51B03F2B"/>
    <w:rsid w:val="51B53A8D"/>
    <w:rsid w:val="51B977AB"/>
    <w:rsid w:val="51BF5929"/>
    <w:rsid w:val="51C2675A"/>
    <w:rsid w:val="51C321C0"/>
    <w:rsid w:val="51C80A05"/>
    <w:rsid w:val="51DB0638"/>
    <w:rsid w:val="51DE026E"/>
    <w:rsid w:val="51DE56F0"/>
    <w:rsid w:val="51FF3525"/>
    <w:rsid w:val="520C4428"/>
    <w:rsid w:val="52152BBB"/>
    <w:rsid w:val="52184C96"/>
    <w:rsid w:val="522940AB"/>
    <w:rsid w:val="522B41AB"/>
    <w:rsid w:val="52410C5B"/>
    <w:rsid w:val="52606734"/>
    <w:rsid w:val="5261015D"/>
    <w:rsid w:val="52621C25"/>
    <w:rsid w:val="52742DDF"/>
    <w:rsid w:val="52752D15"/>
    <w:rsid w:val="527A6AF2"/>
    <w:rsid w:val="528B2C62"/>
    <w:rsid w:val="52932D94"/>
    <w:rsid w:val="52A4202C"/>
    <w:rsid w:val="52AA44C3"/>
    <w:rsid w:val="52B70C28"/>
    <w:rsid w:val="52B75DE2"/>
    <w:rsid w:val="52B87828"/>
    <w:rsid w:val="52BB4154"/>
    <w:rsid w:val="52DE1CCE"/>
    <w:rsid w:val="52E30606"/>
    <w:rsid w:val="52ED0D39"/>
    <w:rsid w:val="53077844"/>
    <w:rsid w:val="53134713"/>
    <w:rsid w:val="53176412"/>
    <w:rsid w:val="531B7E68"/>
    <w:rsid w:val="53257431"/>
    <w:rsid w:val="533363F8"/>
    <w:rsid w:val="533F19F2"/>
    <w:rsid w:val="53401A87"/>
    <w:rsid w:val="53415573"/>
    <w:rsid w:val="53487ED5"/>
    <w:rsid w:val="534965AB"/>
    <w:rsid w:val="5353175A"/>
    <w:rsid w:val="535A0401"/>
    <w:rsid w:val="536078EC"/>
    <w:rsid w:val="536D3BEA"/>
    <w:rsid w:val="537921FC"/>
    <w:rsid w:val="537B65AD"/>
    <w:rsid w:val="539A24BA"/>
    <w:rsid w:val="539B0911"/>
    <w:rsid w:val="53A17D41"/>
    <w:rsid w:val="53A97401"/>
    <w:rsid w:val="53C17881"/>
    <w:rsid w:val="53C73BD7"/>
    <w:rsid w:val="53D11D42"/>
    <w:rsid w:val="53D1600F"/>
    <w:rsid w:val="53EE6ED8"/>
    <w:rsid w:val="53F71F19"/>
    <w:rsid w:val="54214DB2"/>
    <w:rsid w:val="542F3153"/>
    <w:rsid w:val="543A345C"/>
    <w:rsid w:val="544A1F9E"/>
    <w:rsid w:val="545008B9"/>
    <w:rsid w:val="545509EE"/>
    <w:rsid w:val="54560F22"/>
    <w:rsid w:val="545E02DE"/>
    <w:rsid w:val="546053D2"/>
    <w:rsid w:val="54643108"/>
    <w:rsid w:val="546D1D36"/>
    <w:rsid w:val="546F154C"/>
    <w:rsid w:val="546F3C12"/>
    <w:rsid w:val="54704746"/>
    <w:rsid w:val="54740E54"/>
    <w:rsid w:val="5476101E"/>
    <w:rsid w:val="549D5B6F"/>
    <w:rsid w:val="549E4D6D"/>
    <w:rsid w:val="54A60FD2"/>
    <w:rsid w:val="54AF77DB"/>
    <w:rsid w:val="54B01229"/>
    <w:rsid w:val="54B034B9"/>
    <w:rsid w:val="54B82A12"/>
    <w:rsid w:val="54C172C8"/>
    <w:rsid w:val="54C74097"/>
    <w:rsid w:val="54C919FA"/>
    <w:rsid w:val="54CF5ECC"/>
    <w:rsid w:val="54D50A26"/>
    <w:rsid w:val="54E13693"/>
    <w:rsid w:val="54EE1F62"/>
    <w:rsid w:val="550169CD"/>
    <w:rsid w:val="551062F6"/>
    <w:rsid w:val="551F5792"/>
    <w:rsid w:val="552B41A8"/>
    <w:rsid w:val="552B7014"/>
    <w:rsid w:val="552E1F14"/>
    <w:rsid w:val="55317ADF"/>
    <w:rsid w:val="55350158"/>
    <w:rsid w:val="55446DD4"/>
    <w:rsid w:val="554A2436"/>
    <w:rsid w:val="555579F9"/>
    <w:rsid w:val="555E2700"/>
    <w:rsid w:val="5566080C"/>
    <w:rsid w:val="557A56A3"/>
    <w:rsid w:val="55865FA0"/>
    <w:rsid w:val="55937DD2"/>
    <w:rsid w:val="55967EEF"/>
    <w:rsid w:val="559D14F9"/>
    <w:rsid w:val="559E4AB5"/>
    <w:rsid w:val="55BC52DB"/>
    <w:rsid w:val="55C6536F"/>
    <w:rsid w:val="55D46D88"/>
    <w:rsid w:val="55D47278"/>
    <w:rsid w:val="55DD1D3A"/>
    <w:rsid w:val="55E42F09"/>
    <w:rsid w:val="55FA36A0"/>
    <w:rsid w:val="55FC08E0"/>
    <w:rsid w:val="56057E4C"/>
    <w:rsid w:val="560F5CF2"/>
    <w:rsid w:val="56251331"/>
    <w:rsid w:val="56284268"/>
    <w:rsid w:val="563417FB"/>
    <w:rsid w:val="564902D2"/>
    <w:rsid w:val="56617F2B"/>
    <w:rsid w:val="566D5795"/>
    <w:rsid w:val="567F7FE7"/>
    <w:rsid w:val="56836C41"/>
    <w:rsid w:val="568573A3"/>
    <w:rsid w:val="56877891"/>
    <w:rsid w:val="568F11A9"/>
    <w:rsid w:val="56941D42"/>
    <w:rsid w:val="56962A40"/>
    <w:rsid w:val="569755AF"/>
    <w:rsid w:val="569C7855"/>
    <w:rsid w:val="56B20823"/>
    <w:rsid w:val="56C65BD3"/>
    <w:rsid w:val="56E46ECC"/>
    <w:rsid w:val="56E9574A"/>
    <w:rsid w:val="56EA6FDF"/>
    <w:rsid w:val="56EA76B4"/>
    <w:rsid w:val="56F54B9D"/>
    <w:rsid w:val="570B230E"/>
    <w:rsid w:val="570E7A9B"/>
    <w:rsid w:val="57136DA6"/>
    <w:rsid w:val="571B17C8"/>
    <w:rsid w:val="57211EC3"/>
    <w:rsid w:val="572D53EA"/>
    <w:rsid w:val="57437223"/>
    <w:rsid w:val="57497744"/>
    <w:rsid w:val="574B75D2"/>
    <w:rsid w:val="575856B4"/>
    <w:rsid w:val="57592525"/>
    <w:rsid w:val="576C57C6"/>
    <w:rsid w:val="576D3FA0"/>
    <w:rsid w:val="576F73B7"/>
    <w:rsid w:val="57716556"/>
    <w:rsid w:val="578365C5"/>
    <w:rsid w:val="578860DC"/>
    <w:rsid w:val="578A302D"/>
    <w:rsid w:val="579F72CD"/>
    <w:rsid w:val="57A06C3C"/>
    <w:rsid w:val="57C0163E"/>
    <w:rsid w:val="57C11E0B"/>
    <w:rsid w:val="57CA617A"/>
    <w:rsid w:val="57CE0DED"/>
    <w:rsid w:val="57CE5417"/>
    <w:rsid w:val="57CE5F55"/>
    <w:rsid w:val="57CF0F77"/>
    <w:rsid w:val="57D861B8"/>
    <w:rsid w:val="57E00DE2"/>
    <w:rsid w:val="57E21753"/>
    <w:rsid w:val="57E82935"/>
    <w:rsid w:val="57EF0FF6"/>
    <w:rsid w:val="57F01655"/>
    <w:rsid w:val="57F06CB9"/>
    <w:rsid w:val="57F84937"/>
    <w:rsid w:val="580B0E5F"/>
    <w:rsid w:val="580D5D09"/>
    <w:rsid w:val="58231F10"/>
    <w:rsid w:val="58260A4F"/>
    <w:rsid w:val="582B58E0"/>
    <w:rsid w:val="583F6128"/>
    <w:rsid w:val="58643BB2"/>
    <w:rsid w:val="586D4ADE"/>
    <w:rsid w:val="58731218"/>
    <w:rsid w:val="587A405B"/>
    <w:rsid w:val="58855EFA"/>
    <w:rsid w:val="588760AB"/>
    <w:rsid w:val="588C7904"/>
    <w:rsid w:val="58AD791B"/>
    <w:rsid w:val="58AE227D"/>
    <w:rsid w:val="58B024A6"/>
    <w:rsid w:val="58B421F1"/>
    <w:rsid w:val="58B531C8"/>
    <w:rsid w:val="58C755A8"/>
    <w:rsid w:val="58C82F08"/>
    <w:rsid w:val="58DC4756"/>
    <w:rsid w:val="58E01EE2"/>
    <w:rsid w:val="58ED1174"/>
    <w:rsid w:val="58F63137"/>
    <w:rsid w:val="59040609"/>
    <w:rsid w:val="593A0BD0"/>
    <w:rsid w:val="594F07A1"/>
    <w:rsid w:val="595513AF"/>
    <w:rsid w:val="59575208"/>
    <w:rsid w:val="595E178F"/>
    <w:rsid w:val="596326ED"/>
    <w:rsid w:val="597725A2"/>
    <w:rsid w:val="5979451B"/>
    <w:rsid w:val="59796F2C"/>
    <w:rsid w:val="597B6F2E"/>
    <w:rsid w:val="5986066D"/>
    <w:rsid w:val="598C65D1"/>
    <w:rsid w:val="59900046"/>
    <w:rsid w:val="59901943"/>
    <w:rsid w:val="599113D8"/>
    <w:rsid w:val="5999618E"/>
    <w:rsid w:val="599E4A32"/>
    <w:rsid w:val="599E52A4"/>
    <w:rsid w:val="59A501A9"/>
    <w:rsid w:val="59A8214C"/>
    <w:rsid w:val="59A95CFE"/>
    <w:rsid w:val="59B8585F"/>
    <w:rsid w:val="59BB2CB6"/>
    <w:rsid w:val="59BC4885"/>
    <w:rsid w:val="59C061BC"/>
    <w:rsid w:val="59C10BF9"/>
    <w:rsid w:val="59C12EE9"/>
    <w:rsid w:val="59C64207"/>
    <w:rsid w:val="59DD33FF"/>
    <w:rsid w:val="59E762E5"/>
    <w:rsid w:val="59EB69E4"/>
    <w:rsid w:val="59F24B7E"/>
    <w:rsid w:val="59F74F4B"/>
    <w:rsid w:val="59FC1B2D"/>
    <w:rsid w:val="5A000A32"/>
    <w:rsid w:val="5A11553A"/>
    <w:rsid w:val="5A176BFD"/>
    <w:rsid w:val="5A312AB2"/>
    <w:rsid w:val="5A32474F"/>
    <w:rsid w:val="5A4002EB"/>
    <w:rsid w:val="5A4056A2"/>
    <w:rsid w:val="5A5469AC"/>
    <w:rsid w:val="5A60547D"/>
    <w:rsid w:val="5A74149B"/>
    <w:rsid w:val="5A7C0747"/>
    <w:rsid w:val="5A945A6B"/>
    <w:rsid w:val="5AA623FA"/>
    <w:rsid w:val="5AA961F5"/>
    <w:rsid w:val="5AAB14CE"/>
    <w:rsid w:val="5AB67032"/>
    <w:rsid w:val="5AD3273F"/>
    <w:rsid w:val="5ADA1926"/>
    <w:rsid w:val="5AE763C2"/>
    <w:rsid w:val="5AF42BE0"/>
    <w:rsid w:val="5AF45B6F"/>
    <w:rsid w:val="5AFA609D"/>
    <w:rsid w:val="5B054BDF"/>
    <w:rsid w:val="5B0702C7"/>
    <w:rsid w:val="5B071E32"/>
    <w:rsid w:val="5B07490D"/>
    <w:rsid w:val="5B0A7104"/>
    <w:rsid w:val="5B0F0CD5"/>
    <w:rsid w:val="5B1153E2"/>
    <w:rsid w:val="5B124252"/>
    <w:rsid w:val="5B124712"/>
    <w:rsid w:val="5B144C15"/>
    <w:rsid w:val="5B177388"/>
    <w:rsid w:val="5B256FA3"/>
    <w:rsid w:val="5B3B727A"/>
    <w:rsid w:val="5B3F0948"/>
    <w:rsid w:val="5B4554E5"/>
    <w:rsid w:val="5B530A5F"/>
    <w:rsid w:val="5B5539FE"/>
    <w:rsid w:val="5B9425FE"/>
    <w:rsid w:val="5B9656AE"/>
    <w:rsid w:val="5B9B10B1"/>
    <w:rsid w:val="5BA83F49"/>
    <w:rsid w:val="5BB07D0E"/>
    <w:rsid w:val="5BB61073"/>
    <w:rsid w:val="5BBB3018"/>
    <w:rsid w:val="5BBE07A9"/>
    <w:rsid w:val="5BC67DAE"/>
    <w:rsid w:val="5BDC1A98"/>
    <w:rsid w:val="5BF448A5"/>
    <w:rsid w:val="5BF465E5"/>
    <w:rsid w:val="5C071544"/>
    <w:rsid w:val="5C0C5340"/>
    <w:rsid w:val="5C1D2993"/>
    <w:rsid w:val="5C223376"/>
    <w:rsid w:val="5C293C1E"/>
    <w:rsid w:val="5C310400"/>
    <w:rsid w:val="5C3B23A8"/>
    <w:rsid w:val="5C3C0960"/>
    <w:rsid w:val="5C5F0238"/>
    <w:rsid w:val="5C687C18"/>
    <w:rsid w:val="5C6D2F81"/>
    <w:rsid w:val="5C71180B"/>
    <w:rsid w:val="5C82737A"/>
    <w:rsid w:val="5C8450A4"/>
    <w:rsid w:val="5C8E0BBF"/>
    <w:rsid w:val="5C952632"/>
    <w:rsid w:val="5CA442C0"/>
    <w:rsid w:val="5CAF3952"/>
    <w:rsid w:val="5CB2466E"/>
    <w:rsid w:val="5CBC5220"/>
    <w:rsid w:val="5CC863AF"/>
    <w:rsid w:val="5CCB25AA"/>
    <w:rsid w:val="5CD122E2"/>
    <w:rsid w:val="5CE716A2"/>
    <w:rsid w:val="5CF465A7"/>
    <w:rsid w:val="5CF80DA1"/>
    <w:rsid w:val="5D1152AF"/>
    <w:rsid w:val="5D122F42"/>
    <w:rsid w:val="5D13277B"/>
    <w:rsid w:val="5D15161C"/>
    <w:rsid w:val="5D261F01"/>
    <w:rsid w:val="5D3F1487"/>
    <w:rsid w:val="5D417183"/>
    <w:rsid w:val="5D4A05C9"/>
    <w:rsid w:val="5D5757D7"/>
    <w:rsid w:val="5D576EFC"/>
    <w:rsid w:val="5D7122B9"/>
    <w:rsid w:val="5D856508"/>
    <w:rsid w:val="5D8D744A"/>
    <w:rsid w:val="5D8F59BF"/>
    <w:rsid w:val="5D97130E"/>
    <w:rsid w:val="5D99666A"/>
    <w:rsid w:val="5DA22CA8"/>
    <w:rsid w:val="5DA433DE"/>
    <w:rsid w:val="5DBE4B3E"/>
    <w:rsid w:val="5DD544E7"/>
    <w:rsid w:val="5DD76767"/>
    <w:rsid w:val="5DE01D94"/>
    <w:rsid w:val="5DE43A13"/>
    <w:rsid w:val="5DEF2063"/>
    <w:rsid w:val="5E0214A2"/>
    <w:rsid w:val="5E194201"/>
    <w:rsid w:val="5E277411"/>
    <w:rsid w:val="5E4664B3"/>
    <w:rsid w:val="5E4C33E8"/>
    <w:rsid w:val="5E520DDB"/>
    <w:rsid w:val="5E5A48CF"/>
    <w:rsid w:val="5E7A1E9D"/>
    <w:rsid w:val="5E99422F"/>
    <w:rsid w:val="5EA7111E"/>
    <w:rsid w:val="5EA87DAF"/>
    <w:rsid w:val="5EAB20C8"/>
    <w:rsid w:val="5EAF0AAE"/>
    <w:rsid w:val="5EB352DB"/>
    <w:rsid w:val="5EB461F5"/>
    <w:rsid w:val="5EC210C6"/>
    <w:rsid w:val="5ECA752D"/>
    <w:rsid w:val="5ED510A9"/>
    <w:rsid w:val="5ED9588F"/>
    <w:rsid w:val="5EDA24F3"/>
    <w:rsid w:val="5EDB1AE4"/>
    <w:rsid w:val="5EDB2570"/>
    <w:rsid w:val="5EEA4000"/>
    <w:rsid w:val="5EEB7F32"/>
    <w:rsid w:val="5EEE63C3"/>
    <w:rsid w:val="5EF37D51"/>
    <w:rsid w:val="5EF47BD8"/>
    <w:rsid w:val="5EF51D68"/>
    <w:rsid w:val="5EF57063"/>
    <w:rsid w:val="5EF9172B"/>
    <w:rsid w:val="5F02308A"/>
    <w:rsid w:val="5F0D6341"/>
    <w:rsid w:val="5F3C264A"/>
    <w:rsid w:val="5F404B76"/>
    <w:rsid w:val="5F4B43FA"/>
    <w:rsid w:val="5F4B55B6"/>
    <w:rsid w:val="5F526256"/>
    <w:rsid w:val="5F631E0F"/>
    <w:rsid w:val="5F67570E"/>
    <w:rsid w:val="5F6968C7"/>
    <w:rsid w:val="5F71130A"/>
    <w:rsid w:val="5F8222C9"/>
    <w:rsid w:val="5FAF2A65"/>
    <w:rsid w:val="5FB667EF"/>
    <w:rsid w:val="5FBC4558"/>
    <w:rsid w:val="5FC96D45"/>
    <w:rsid w:val="5FD5682B"/>
    <w:rsid w:val="5FD76ECB"/>
    <w:rsid w:val="5FE50461"/>
    <w:rsid w:val="5FF03B7B"/>
    <w:rsid w:val="5FF74951"/>
    <w:rsid w:val="5FFE2805"/>
    <w:rsid w:val="60065AA7"/>
    <w:rsid w:val="60074BE5"/>
    <w:rsid w:val="600C0730"/>
    <w:rsid w:val="600C5758"/>
    <w:rsid w:val="60193936"/>
    <w:rsid w:val="603C1F9A"/>
    <w:rsid w:val="60497B11"/>
    <w:rsid w:val="605C35F0"/>
    <w:rsid w:val="60622F52"/>
    <w:rsid w:val="60631009"/>
    <w:rsid w:val="60636B31"/>
    <w:rsid w:val="60762011"/>
    <w:rsid w:val="60A764D2"/>
    <w:rsid w:val="60AA24C3"/>
    <w:rsid w:val="60BF174F"/>
    <w:rsid w:val="60C465E3"/>
    <w:rsid w:val="60DC7CAC"/>
    <w:rsid w:val="60E47EEB"/>
    <w:rsid w:val="60E51E0F"/>
    <w:rsid w:val="60E64F58"/>
    <w:rsid w:val="60EF3DE6"/>
    <w:rsid w:val="60F051A1"/>
    <w:rsid w:val="60F12F0B"/>
    <w:rsid w:val="60F53872"/>
    <w:rsid w:val="60FC0CA9"/>
    <w:rsid w:val="60FD51AE"/>
    <w:rsid w:val="60FE18C2"/>
    <w:rsid w:val="61094D40"/>
    <w:rsid w:val="610C1348"/>
    <w:rsid w:val="611159D0"/>
    <w:rsid w:val="613B76A5"/>
    <w:rsid w:val="61415463"/>
    <w:rsid w:val="614233A0"/>
    <w:rsid w:val="61480A8F"/>
    <w:rsid w:val="614E2873"/>
    <w:rsid w:val="616960B7"/>
    <w:rsid w:val="616D4530"/>
    <w:rsid w:val="6178763D"/>
    <w:rsid w:val="61881189"/>
    <w:rsid w:val="61935EE5"/>
    <w:rsid w:val="61982223"/>
    <w:rsid w:val="619D2DE9"/>
    <w:rsid w:val="61A94B8A"/>
    <w:rsid w:val="61BD1825"/>
    <w:rsid w:val="61C97F53"/>
    <w:rsid w:val="61CC1E02"/>
    <w:rsid w:val="61D2230E"/>
    <w:rsid w:val="61DF0D1F"/>
    <w:rsid w:val="61E02A4A"/>
    <w:rsid w:val="61E259A8"/>
    <w:rsid w:val="61E64060"/>
    <w:rsid w:val="620E6BF7"/>
    <w:rsid w:val="621C616D"/>
    <w:rsid w:val="6221258E"/>
    <w:rsid w:val="6239057C"/>
    <w:rsid w:val="6239557E"/>
    <w:rsid w:val="624E7039"/>
    <w:rsid w:val="625472E1"/>
    <w:rsid w:val="626D5765"/>
    <w:rsid w:val="6272433A"/>
    <w:rsid w:val="628073DB"/>
    <w:rsid w:val="628677B5"/>
    <w:rsid w:val="628D469A"/>
    <w:rsid w:val="62B43276"/>
    <w:rsid w:val="62BF7695"/>
    <w:rsid w:val="62C44F77"/>
    <w:rsid w:val="62D27BAF"/>
    <w:rsid w:val="62D43AB8"/>
    <w:rsid w:val="62DB131D"/>
    <w:rsid w:val="62E76403"/>
    <w:rsid w:val="62E82A09"/>
    <w:rsid w:val="62FF7577"/>
    <w:rsid w:val="630C7A8C"/>
    <w:rsid w:val="630F7340"/>
    <w:rsid w:val="63101042"/>
    <w:rsid w:val="63147933"/>
    <w:rsid w:val="631B302E"/>
    <w:rsid w:val="631F38EE"/>
    <w:rsid w:val="63475F1B"/>
    <w:rsid w:val="63501F3B"/>
    <w:rsid w:val="6358087C"/>
    <w:rsid w:val="635A64BE"/>
    <w:rsid w:val="637569B2"/>
    <w:rsid w:val="637A5774"/>
    <w:rsid w:val="63A8690E"/>
    <w:rsid w:val="63AB78F6"/>
    <w:rsid w:val="63BC456C"/>
    <w:rsid w:val="63C5530C"/>
    <w:rsid w:val="63D464D8"/>
    <w:rsid w:val="63D95197"/>
    <w:rsid w:val="63FD122E"/>
    <w:rsid w:val="63FD6E15"/>
    <w:rsid w:val="640667D4"/>
    <w:rsid w:val="640D22C2"/>
    <w:rsid w:val="641C5084"/>
    <w:rsid w:val="64202C25"/>
    <w:rsid w:val="64261E4D"/>
    <w:rsid w:val="642F576B"/>
    <w:rsid w:val="643224B1"/>
    <w:rsid w:val="64337966"/>
    <w:rsid w:val="64451C8F"/>
    <w:rsid w:val="644753AB"/>
    <w:rsid w:val="644B5969"/>
    <w:rsid w:val="64511AA1"/>
    <w:rsid w:val="645270CD"/>
    <w:rsid w:val="64544542"/>
    <w:rsid w:val="645D2FEE"/>
    <w:rsid w:val="646060B0"/>
    <w:rsid w:val="64610C94"/>
    <w:rsid w:val="646403B2"/>
    <w:rsid w:val="64654742"/>
    <w:rsid w:val="64680CAD"/>
    <w:rsid w:val="64716BC8"/>
    <w:rsid w:val="64BD5616"/>
    <w:rsid w:val="64D05421"/>
    <w:rsid w:val="64D40F11"/>
    <w:rsid w:val="64D43BB1"/>
    <w:rsid w:val="64D46C3B"/>
    <w:rsid w:val="64D97511"/>
    <w:rsid w:val="64DE6AF0"/>
    <w:rsid w:val="64E231BA"/>
    <w:rsid w:val="64E73ED1"/>
    <w:rsid w:val="64FD0EE5"/>
    <w:rsid w:val="64FE14BE"/>
    <w:rsid w:val="64FF1717"/>
    <w:rsid w:val="65036A6C"/>
    <w:rsid w:val="65052DC0"/>
    <w:rsid w:val="6507607A"/>
    <w:rsid w:val="65222AC6"/>
    <w:rsid w:val="652A3D4D"/>
    <w:rsid w:val="652A709A"/>
    <w:rsid w:val="652C2653"/>
    <w:rsid w:val="6532373D"/>
    <w:rsid w:val="65352068"/>
    <w:rsid w:val="65390642"/>
    <w:rsid w:val="654F5CD6"/>
    <w:rsid w:val="65681C40"/>
    <w:rsid w:val="656B00ED"/>
    <w:rsid w:val="65703E31"/>
    <w:rsid w:val="65861335"/>
    <w:rsid w:val="658725D0"/>
    <w:rsid w:val="65874761"/>
    <w:rsid w:val="65986070"/>
    <w:rsid w:val="659D12FC"/>
    <w:rsid w:val="65A15251"/>
    <w:rsid w:val="65B07755"/>
    <w:rsid w:val="65BE0A85"/>
    <w:rsid w:val="65BE286F"/>
    <w:rsid w:val="65BE6299"/>
    <w:rsid w:val="65C54066"/>
    <w:rsid w:val="65CC77FF"/>
    <w:rsid w:val="65CD170E"/>
    <w:rsid w:val="65D06860"/>
    <w:rsid w:val="65D6792C"/>
    <w:rsid w:val="65D93FD0"/>
    <w:rsid w:val="65EB6188"/>
    <w:rsid w:val="65F35397"/>
    <w:rsid w:val="66005434"/>
    <w:rsid w:val="66014531"/>
    <w:rsid w:val="66071A27"/>
    <w:rsid w:val="660D773F"/>
    <w:rsid w:val="661148BB"/>
    <w:rsid w:val="66142EF3"/>
    <w:rsid w:val="661B1975"/>
    <w:rsid w:val="66250163"/>
    <w:rsid w:val="662954BF"/>
    <w:rsid w:val="66314089"/>
    <w:rsid w:val="664C7E5B"/>
    <w:rsid w:val="66585E6F"/>
    <w:rsid w:val="66601A16"/>
    <w:rsid w:val="666940A1"/>
    <w:rsid w:val="66697903"/>
    <w:rsid w:val="666C48B2"/>
    <w:rsid w:val="6678753E"/>
    <w:rsid w:val="66833198"/>
    <w:rsid w:val="668506C7"/>
    <w:rsid w:val="668F0090"/>
    <w:rsid w:val="66930BCF"/>
    <w:rsid w:val="669E4E46"/>
    <w:rsid w:val="66A91B94"/>
    <w:rsid w:val="66AD38D2"/>
    <w:rsid w:val="66C671F9"/>
    <w:rsid w:val="66CE2012"/>
    <w:rsid w:val="66D36E16"/>
    <w:rsid w:val="66D55130"/>
    <w:rsid w:val="66D659BE"/>
    <w:rsid w:val="66D74DE1"/>
    <w:rsid w:val="66DD2D03"/>
    <w:rsid w:val="66DD5641"/>
    <w:rsid w:val="66DE2AC5"/>
    <w:rsid w:val="66FB79D0"/>
    <w:rsid w:val="66FF30DD"/>
    <w:rsid w:val="670248FD"/>
    <w:rsid w:val="670E6634"/>
    <w:rsid w:val="671D4811"/>
    <w:rsid w:val="672C2727"/>
    <w:rsid w:val="67392F67"/>
    <w:rsid w:val="67535261"/>
    <w:rsid w:val="676B07FC"/>
    <w:rsid w:val="67892A30"/>
    <w:rsid w:val="678A1033"/>
    <w:rsid w:val="67AB22E1"/>
    <w:rsid w:val="67BE276F"/>
    <w:rsid w:val="67C769F8"/>
    <w:rsid w:val="67CE03F3"/>
    <w:rsid w:val="67CE3081"/>
    <w:rsid w:val="67D11DF2"/>
    <w:rsid w:val="67D15A64"/>
    <w:rsid w:val="67E50FB8"/>
    <w:rsid w:val="67F40F61"/>
    <w:rsid w:val="67F939ED"/>
    <w:rsid w:val="6814130C"/>
    <w:rsid w:val="68371A45"/>
    <w:rsid w:val="683C3B34"/>
    <w:rsid w:val="684225FF"/>
    <w:rsid w:val="68466F14"/>
    <w:rsid w:val="684E7F3E"/>
    <w:rsid w:val="6850739E"/>
    <w:rsid w:val="685713E3"/>
    <w:rsid w:val="68580141"/>
    <w:rsid w:val="6859650F"/>
    <w:rsid w:val="68596C41"/>
    <w:rsid w:val="68623BE2"/>
    <w:rsid w:val="686860C7"/>
    <w:rsid w:val="686D266F"/>
    <w:rsid w:val="68762A09"/>
    <w:rsid w:val="6893583B"/>
    <w:rsid w:val="68A22858"/>
    <w:rsid w:val="68A34A1A"/>
    <w:rsid w:val="68AF70CB"/>
    <w:rsid w:val="68B44AAA"/>
    <w:rsid w:val="68B63758"/>
    <w:rsid w:val="68C67195"/>
    <w:rsid w:val="68CB528F"/>
    <w:rsid w:val="68D64936"/>
    <w:rsid w:val="68D835A7"/>
    <w:rsid w:val="68D85C67"/>
    <w:rsid w:val="68E950A2"/>
    <w:rsid w:val="68EE6D45"/>
    <w:rsid w:val="68F262FB"/>
    <w:rsid w:val="69182D95"/>
    <w:rsid w:val="691E5913"/>
    <w:rsid w:val="69254B03"/>
    <w:rsid w:val="692D28D0"/>
    <w:rsid w:val="693C50ED"/>
    <w:rsid w:val="69556721"/>
    <w:rsid w:val="695660E0"/>
    <w:rsid w:val="695B566B"/>
    <w:rsid w:val="695F3B76"/>
    <w:rsid w:val="6977147D"/>
    <w:rsid w:val="697E527C"/>
    <w:rsid w:val="698E687F"/>
    <w:rsid w:val="699740CB"/>
    <w:rsid w:val="69A22A6D"/>
    <w:rsid w:val="69B9612C"/>
    <w:rsid w:val="69C009BB"/>
    <w:rsid w:val="69C03800"/>
    <w:rsid w:val="69CD731B"/>
    <w:rsid w:val="69E406D6"/>
    <w:rsid w:val="69E65148"/>
    <w:rsid w:val="69F30545"/>
    <w:rsid w:val="6A146FED"/>
    <w:rsid w:val="6A191109"/>
    <w:rsid w:val="6A22280F"/>
    <w:rsid w:val="6A2344AA"/>
    <w:rsid w:val="6A2353BE"/>
    <w:rsid w:val="6A2B28CB"/>
    <w:rsid w:val="6A446772"/>
    <w:rsid w:val="6A5C6F5B"/>
    <w:rsid w:val="6A77703B"/>
    <w:rsid w:val="6A7E1DE9"/>
    <w:rsid w:val="6A9932EE"/>
    <w:rsid w:val="6AC647BD"/>
    <w:rsid w:val="6AD266B2"/>
    <w:rsid w:val="6AD36262"/>
    <w:rsid w:val="6ADB464B"/>
    <w:rsid w:val="6AE32C84"/>
    <w:rsid w:val="6AE4014E"/>
    <w:rsid w:val="6AE44C5B"/>
    <w:rsid w:val="6AF9003D"/>
    <w:rsid w:val="6AFC52B1"/>
    <w:rsid w:val="6AFE4B96"/>
    <w:rsid w:val="6AFF793F"/>
    <w:rsid w:val="6B0E2A20"/>
    <w:rsid w:val="6B10223D"/>
    <w:rsid w:val="6B4E56D4"/>
    <w:rsid w:val="6B515E39"/>
    <w:rsid w:val="6B580713"/>
    <w:rsid w:val="6B5B17FF"/>
    <w:rsid w:val="6B6C76BC"/>
    <w:rsid w:val="6B6F153C"/>
    <w:rsid w:val="6B7C279C"/>
    <w:rsid w:val="6B8141FA"/>
    <w:rsid w:val="6B862421"/>
    <w:rsid w:val="6B8C6F93"/>
    <w:rsid w:val="6BA2560E"/>
    <w:rsid w:val="6BAA53AC"/>
    <w:rsid w:val="6BAA605B"/>
    <w:rsid w:val="6BAD203B"/>
    <w:rsid w:val="6BB9469F"/>
    <w:rsid w:val="6BBB54B2"/>
    <w:rsid w:val="6BC02512"/>
    <w:rsid w:val="6BC369DA"/>
    <w:rsid w:val="6BC9041D"/>
    <w:rsid w:val="6BD11758"/>
    <w:rsid w:val="6BD7494C"/>
    <w:rsid w:val="6BEB17C8"/>
    <w:rsid w:val="6BEB2489"/>
    <w:rsid w:val="6BEE5FF0"/>
    <w:rsid w:val="6BEF6318"/>
    <w:rsid w:val="6BEF7CC8"/>
    <w:rsid w:val="6BF0154C"/>
    <w:rsid w:val="6BF16602"/>
    <w:rsid w:val="6BFD6611"/>
    <w:rsid w:val="6C157858"/>
    <w:rsid w:val="6C223336"/>
    <w:rsid w:val="6C3604E3"/>
    <w:rsid w:val="6C3B14ED"/>
    <w:rsid w:val="6C3B30D7"/>
    <w:rsid w:val="6C4657A5"/>
    <w:rsid w:val="6C473936"/>
    <w:rsid w:val="6C5B62C8"/>
    <w:rsid w:val="6C6848A1"/>
    <w:rsid w:val="6C7A44CF"/>
    <w:rsid w:val="6C86270B"/>
    <w:rsid w:val="6C894E08"/>
    <w:rsid w:val="6C8D5450"/>
    <w:rsid w:val="6C983628"/>
    <w:rsid w:val="6CAC2215"/>
    <w:rsid w:val="6CB60BF8"/>
    <w:rsid w:val="6CBF3A5B"/>
    <w:rsid w:val="6CD2031E"/>
    <w:rsid w:val="6CE6212E"/>
    <w:rsid w:val="6CE727F8"/>
    <w:rsid w:val="6CF0234B"/>
    <w:rsid w:val="6CF03552"/>
    <w:rsid w:val="6CF712DF"/>
    <w:rsid w:val="6CFA54D0"/>
    <w:rsid w:val="6D0240E7"/>
    <w:rsid w:val="6D0417E8"/>
    <w:rsid w:val="6D073A75"/>
    <w:rsid w:val="6D087337"/>
    <w:rsid w:val="6D1019AB"/>
    <w:rsid w:val="6D116084"/>
    <w:rsid w:val="6D17542B"/>
    <w:rsid w:val="6D26215A"/>
    <w:rsid w:val="6D270AA3"/>
    <w:rsid w:val="6D32320E"/>
    <w:rsid w:val="6D335EE7"/>
    <w:rsid w:val="6D356BD3"/>
    <w:rsid w:val="6D3C5DFA"/>
    <w:rsid w:val="6D402CB1"/>
    <w:rsid w:val="6D524436"/>
    <w:rsid w:val="6D5270CF"/>
    <w:rsid w:val="6D5A0126"/>
    <w:rsid w:val="6D606638"/>
    <w:rsid w:val="6D6457AB"/>
    <w:rsid w:val="6D6C58AC"/>
    <w:rsid w:val="6D765C85"/>
    <w:rsid w:val="6D7B7653"/>
    <w:rsid w:val="6D832D42"/>
    <w:rsid w:val="6D8831B2"/>
    <w:rsid w:val="6D8E0172"/>
    <w:rsid w:val="6D9C0135"/>
    <w:rsid w:val="6DA5796B"/>
    <w:rsid w:val="6DAA052B"/>
    <w:rsid w:val="6DAB251D"/>
    <w:rsid w:val="6DB06FCA"/>
    <w:rsid w:val="6DB30367"/>
    <w:rsid w:val="6DB34411"/>
    <w:rsid w:val="6DC32809"/>
    <w:rsid w:val="6DC42DE7"/>
    <w:rsid w:val="6DC71A17"/>
    <w:rsid w:val="6DD715C1"/>
    <w:rsid w:val="6DDE620C"/>
    <w:rsid w:val="6DF544AA"/>
    <w:rsid w:val="6E0537AB"/>
    <w:rsid w:val="6E210E8D"/>
    <w:rsid w:val="6E362F25"/>
    <w:rsid w:val="6E4919C0"/>
    <w:rsid w:val="6E55250B"/>
    <w:rsid w:val="6E587749"/>
    <w:rsid w:val="6E5B184D"/>
    <w:rsid w:val="6E5C0265"/>
    <w:rsid w:val="6E680597"/>
    <w:rsid w:val="6E6B57C3"/>
    <w:rsid w:val="6E83431E"/>
    <w:rsid w:val="6E86034A"/>
    <w:rsid w:val="6E8C3BD9"/>
    <w:rsid w:val="6E946119"/>
    <w:rsid w:val="6E977A01"/>
    <w:rsid w:val="6EA5025E"/>
    <w:rsid w:val="6EA94F41"/>
    <w:rsid w:val="6EB14C0A"/>
    <w:rsid w:val="6EB367B4"/>
    <w:rsid w:val="6EC56AA2"/>
    <w:rsid w:val="6ECA3990"/>
    <w:rsid w:val="6EDA5882"/>
    <w:rsid w:val="6EF00D3B"/>
    <w:rsid w:val="6EF41717"/>
    <w:rsid w:val="6F0238BA"/>
    <w:rsid w:val="6F125A01"/>
    <w:rsid w:val="6F1A4757"/>
    <w:rsid w:val="6F2A21E0"/>
    <w:rsid w:val="6F32730A"/>
    <w:rsid w:val="6F386D10"/>
    <w:rsid w:val="6F52459C"/>
    <w:rsid w:val="6F5B4B08"/>
    <w:rsid w:val="6F5D5CA1"/>
    <w:rsid w:val="6F5E6BBD"/>
    <w:rsid w:val="6F607D06"/>
    <w:rsid w:val="6F683873"/>
    <w:rsid w:val="6F6E4719"/>
    <w:rsid w:val="6F6E7838"/>
    <w:rsid w:val="6F747267"/>
    <w:rsid w:val="6F760412"/>
    <w:rsid w:val="6F826DD7"/>
    <w:rsid w:val="6F89280C"/>
    <w:rsid w:val="6F8E1945"/>
    <w:rsid w:val="6F906888"/>
    <w:rsid w:val="6F9F65A3"/>
    <w:rsid w:val="6FA50D0B"/>
    <w:rsid w:val="6FB3608A"/>
    <w:rsid w:val="6FB41079"/>
    <w:rsid w:val="6FB42B0F"/>
    <w:rsid w:val="6FC07487"/>
    <w:rsid w:val="6FC714A1"/>
    <w:rsid w:val="6FCA4496"/>
    <w:rsid w:val="6FD23A7D"/>
    <w:rsid w:val="6FD258C2"/>
    <w:rsid w:val="6FDB080A"/>
    <w:rsid w:val="6FE14E3D"/>
    <w:rsid w:val="6FE60388"/>
    <w:rsid w:val="6FEB6904"/>
    <w:rsid w:val="6FED1473"/>
    <w:rsid w:val="6FF13575"/>
    <w:rsid w:val="70094676"/>
    <w:rsid w:val="700B2E7E"/>
    <w:rsid w:val="701D1C45"/>
    <w:rsid w:val="70201CD9"/>
    <w:rsid w:val="70273E2D"/>
    <w:rsid w:val="702A7789"/>
    <w:rsid w:val="702F3769"/>
    <w:rsid w:val="70386443"/>
    <w:rsid w:val="705E15EC"/>
    <w:rsid w:val="705E2865"/>
    <w:rsid w:val="7062754F"/>
    <w:rsid w:val="706763CB"/>
    <w:rsid w:val="706926A4"/>
    <w:rsid w:val="70706374"/>
    <w:rsid w:val="707A7390"/>
    <w:rsid w:val="707C202A"/>
    <w:rsid w:val="707E6C6A"/>
    <w:rsid w:val="70852536"/>
    <w:rsid w:val="708A3D15"/>
    <w:rsid w:val="7094107D"/>
    <w:rsid w:val="70986044"/>
    <w:rsid w:val="709F233E"/>
    <w:rsid w:val="70B04FD1"/>
    <w:rsid w:val="70D265C2"/>
    <w:rsid w:val="70DE5E77"/>
    <w:rsid w:val="70E36DCE"/>
    <w:rsid w:val="70ED1938"/>
    <w:rsid w:val="70EE0E31"/>
    <w:rsid w:val="710E1103"/>
    <w:rsid w:val="7112672A"/>
    <w:rsid w:val="71155816"/>
    <w:rsid w:val="71235536"/>
    <w:rsid w:val="712453E6"/>
    <w:rsid w:val="712711B6"/>
    <w:rsid w:val="712C1BB8"/>
    <w:rsid w:val="7130483A"/>
    <w:rsid w:val="71306613"/>
    <w:rsid w:val="71314A5B"/>
    <w:rsid w:val="71392302"/>
    <w:rsid w:val="713C5401"/>
    <w:rsid w:val="715B318D"/>
    <w:rsid w:val="715E5756"/>
    <w:rsid w:val="716445BE"/>
    <w:rsid w:val="716A2246"/>
    <w:rsid w:val="716D5EA5"/>
    <w:rsid w:val="71736F50"/>
    <w:rsid w:val="718338FE"/>
    <w:rsid w:val="718957D5"/>
    <w:rsid w:val="718A344D"/>
    <w:rsid w:val="718D2E39"/>
    <w:rsid w:val="718E628B"/>
    <w:rsid w:val="719350A4"/>
    <w:rsid w:val="719512A9"/>
    <w:rsid w:val="719D059F"/>
    <w:rsid w:val="71A2103C"/>
    <w:rsid w:val="71A50F52"/>
    <w:rsid w:val="71BA5068"/>
    <w:rsid w:val="71BF0EB1"/>
    <w:rsid w:val="71C1729E"/>
    <w:rsid w:val="71D2010C"/>
    <w:rsid w:val="71D21D67"/>
    <w:rsid w:val="71D44ABB"/>
    <w:rsid w:val="71EC68D9"/>
    <w:rsid w:val="71EE499D"/>
    <w:rsid w:val="71F8315C"/>
    <w:rsid w:val="71F9128C"/>
    <w:rsid w:val="71FC19F9"/>
    <w:rsid w:val="72260F00"/>
    <w:rsid w:val="722D0D70"/>
    <w:rsid w:val="722F5521"/>
    <w:rsid w:val="723B3631"/>
    <w:rsid w:val="724501DD"/>
    <w:rsid w:val="724739C8"/>
    <w:rsid w:val="724A6915"/>
    <w:rsid w:val="724B7673"/>
    <w:rsid w:val="725561E1"/>
    <w:rsid w:val="725C2791"/>
    <w:rsid w:val="725E21F1"/>
    <w:rsid w:val="72683B2B"/>
    <w:rsid w:val="72792470"/>
    <w:rsid w:val="727A1D39"/>
    <w:rsid w:val="728526C9"/>
    <w:rsid w:val="72886215"/>
    <w:rsid w:val="729C4065"/>
    <w:rsid w:val="72A316C6"/>
    <w:rsid w:val="72BB7201"/>
    <w:rsid w:val="72C95E0F"/>
    <w:rsid w:val="72CF4138"/>
    <w:rsid w:val="72D46CB3"/>
    <w:rsid w:val="72D56249"/>
    <w:rsid w:val="72F32A50"/>
    <w:rsid w:val="72FB5142"/>
    <w:rsid w:val="72FE3844"/>
    <w:rsid w:val="730924AD"/>
    <w:rsid w:val="73154C19"/>
    <w:rsid w:val="731A55D9"/>
    <w:rsid w:val="732530A4"/>
    <w:rsid w:val="732755D9"/>
    <w:rsid w:val="73423499"/>
    <w:rsid w:val="734D29DE"/>
    <w:rsid w:val="735510F8"/>
    <w:rsid w:val="73552361"/>
    <w:rsid w:val="735E4620"/>
    <w:rsid w:val="7367203F"/>
    <w:rsid w:val="73696234"/>
    <w:rsid w:val="736C664F"/>
    <w:rsid w:val="73743C3A"/>
    <w:rsid w:val="738339EA"/>
    <w:rsid w:val="738803BC"/>
    <w:rsid w:val="73916C87"/>
    <w:rsid w:val="739217D5"/>
    <w:rsid w:val="7393325A"/>
    <w:rsid w:val="739A44BB"/>
    <w:rsid w:val="739C75F0"/>
    <w:rsid w:val="73B13A3B"/>
    <w:rsid w:val="73B67726"/>
    <w:rsid w:val="73D019E2"/>
    <w:rsid w:val="73E11E8E"/>
    <w:rsid w:val="73E21061"/>
    <w:rsid w:val="73E82D35"/>
    <w:rsid w:val="73EB6176"/>
    <w:rsid w:val="740E0FB7"/>
    <w:rsid w:val="741120F9"/>
    <w:rsid w:val="741A21DF"/>
    <w:rsid w:val="741B7888"/>
    <w:rsid w:val="741E6D35"/>
    <w:rsid w:val="74200660"/>
    <w:rsid w:val="7422193C"/>
    <w:rsid w:val="74247F29"/>
    <w:rsid w:val="742E2721"/>
    <w:rsid w:val="74336C32"/>
    <w:rsid w:val="74367725"/>
    <w:rsid w:val="74414257"/>
    <w:rsid w:val="744556BC"/>
    <w:rsid w:val="74474DDC"/>
    <w:rsid w:val="744A225B"/>
    <w:rsid w:val="7453015F"/>
    <w:rsid w:val="746D2F8F"/>
    <w:rsid w:val="74745479"/>
    <w:rsid w:val="748047B1"/>
    <w:rsid w:val="748B5B9F"/>
    <w:rsid w:val="748C3B60"/>
    <w:rsid w:val="749318CF"/>
    <w:rsid w:val="749D7361"/>
    <w:rsid w:val="74A76BEC"/>
    <w:rsid w:val="74AA6209"/>
    <w:rsid w:val="74BB5404"/>
    <w:rsid w:val="74CE4047"/>
    <w:rsid w:val="74D30C31"/>
    <w:rsid w:val="74DD31F6"/>
    <w:rsid w:val="74E44E7D"/>
    <w:rsid w:val="74E56975"/>
    <w:rsid w:val="74F03E52"/>
    <w:rsid w:val="74F40D7A"/>
    <w:rsid w:val="74F62005"/>
    <w:rsid w:val="74F946E7"/>
    <w:rsid w:val="74F967E1"/>
    <w:rsid w:val="750A5E63"/>
    <w:rsid w:val="75171229"/>
    <w:rsid w:val="7518696C"/>
    <w:rsid w:val="751C1388"/>
    <w:rsid w:val="752F4037"/>
    <w:rsid w:val="75357DB4"/>
    <w:rsid w:val="755B4A35"/>
    <w:rsid w:val="755D199D"/>
    <w:rsid w:val="7577699C"/>
    <w:rsid w:val="75835C26"/>
    <w:rsid w:val="7586025E"/>
    <w:rsid w:val="75871955"/>
    <w:rsid w:val="759F2CDC"/>
    <w:rsid w:val="75A66E0A"/>
    <w:rsid w:val="75B015A8"/>
    <w:rsid w:val="75BF6A1B"/>
    <w:rsid w:val="75CB073B"/>
    <w:rsid w:val="75CD06A0"/>
    <w:rsid w:val="75D51566"/>
    <w:rsid w:val="75D94807"/>
    <w:rsid w:val="75DE6402"/>
    <w:rsid w:val="75DF6BF0"/>
    <w:rsid w:val="75E336B8"/>
    <w:rsid w:val="75EE1457"/>
    <w:rsid w:val="75EF3639"/>
    <w:rsid w:val="75F00F0C"/>
    <w:rsid w:val="75F1568F"/>
    <w:rsid w:val="75FD7697"/>
    <w:rsid w:val="760164F4"/>
    <w:rsid w:val="760A1289"/>
    <w:rsid w:val="760A43CB"/>
    <w:rsid w:val="761004F1"/>
    <w:rsid w:val="7642141B"/>
    <w:rsid w:val="76484AE6"/>
    <w:rsid w:val="76555B86"/>
    <w:rsid w:val="765E69CE"/>
    <w:rsid w:val="765F53F9"/>
    <w:rsid w:val="766723CB"/>
    <w:rsid w:val="76681882"/>
    <w:rsid w:val="76694FAD"/>
    <w:rsid w:val="766A703C"/>
    <w:rsid w:val="767B3E93"/>
    <w:rsid w:val="768751E8"/>
    <w:rsid w:val="76877E2F"/>
    <w:rsid w:val="768C0658"/>
    <w:rsid w:val="76936197"/>
    <w:rsid w:val="7694749C"/>
    <w:rsid w:val="769805BC"/>
    <w:rsid w:val="76B40434"/>
    <w:rsid w:val="76B62F74"/>
    <w:rsid w:val="76D11871"/>
    <w:rsid w:val="76DA4682"/>
    <w:rsid w:val="76DC2585"/>
    <w:rsid w:val="76E049C7"/>
    <w:rsid w:val="77024BF4"/>
    <w:rsid w:val="770B1B6B"/>
    <w:rsid w:val="77101A03"/>
    <w:rsid w:val="771F4675"/>
    <w:rsid w:val="772C72CD"/>
    <w:rsid w:val="77545823"/>
    <w:rsid w:val="77582A5D"/>
    <w:rsid w:val="775F1345"/>
    <w:rsid w:val="775F74CF"/>
    <w:rsid w:val="776261AB"/>
    <w:rsid w:val="77750CCF"/>
    <w:rsid w:val="778901F1"/>
    <w:rsid w:val="77B96C23"/>
    <w:rsid w:val="77BC4273"/>
    <w:rsid w:val="77D0003C"/>
    <w:rsid w:val="77D401DC"/>
    <w:rsid w:val="77D73344"/>
    <w:rsid w:val="77DD6152"/>
    <w:rsid w:val="77ED2F50"/>
    <w:rsid w:val="77FD5F1C"/>
    <w:rsid w:val="7803186B"/>
    <w:rsid w:val="780340CB"/>
    <w:rsid w:val="78240EC4"/>
    <w:rsid w:val="78267116"/>
    <w:rsid w:val="78282FF5"/>
    <w:rsid w:val="782909D7"/>
    <w:rsid w:val="782B6B1D"/>
    <w:rsid w:val="78306A2D"/>
    <w:rsid w:val="78427187"/>
    <w:rsid w:val="78516149"/>
    <w:rsid w:val="78596233"/>
    <w:rsid w:val="786E6813"/>
    <w:rsid w:val="787B4617"/>
    <w:rsid w:val="788041AB"/>
    <w:rsid w:val="7883171E"/>
    <w:rsid w:val="7895695B"/>
    <w:rsid w:val="78987BDB"/>
    <w:rsid w:val="78AD2D80"/>
    <w:rsid w:val="78C975C5"/>
    <w:rsid w:val="78D17FD0"/>
    <w:rsid w:val="78E51C5C"/>
    <w:rsid w:val="78F115C2"/>
    <w:rsid w:val="78FB5444"/>
    <w:rsid w:val="79006B87"/>
    <w:rsid w:val="790316B0"/>
    <w:rsid w:val="7904683B"/>
    <w:rsid w:val="79110669"/>
    <w:rsid w:val="79121925"/>
    <w:rsid w:val="79195BB1"/>
    <w:rsid w:val="79197396"/>
    <w:rsid w:val="794964C4"/>
    <w:rsid w:val="795221D4"/>
    <w:rsid w:val="795F0221"/>
    <w:rsid w:val="79613012"/>
    <w:rsid w:val="796252FE"/>
    <w:rsid w:val="796B33C1"/>
    <w:rsid w:val="797F5550"/>
    <w:rsid w:val="798C3BD2"/>
    <w:rsid w:val="79953FBA"/>
    <w:rsid w:val="79963DBD"/>
    <w:rsid w:val="799A5532"/>
    <w:rsid w:val="799D4356"/>
    <w:rsid w:val="79C00345"/>
    <w:rsid w:val="79C502ED"/>
    <w:rsid w:val="79CF180D"/>
    <w:rsid w:val="79DA711C"/>
    <w:rsid w:val="79DB1F19"/>
    <w:rsid w:val="79DB395B"/>
    <w:rsid w:val="79E3496E"/>
    <w:rsid w:val="79EC3260"/>
    <w:rsid w:val="79FF60E2"/>
    <w:rsid w:val="7A1748C2"/>
    <w:rsid w:val="7A1C1AA5"/>
    <w:rsid w:val="7A2804E7"/>
    <w:rsid w:val="7A2A2771"/>
    <w:rsid w:val="7A3E3CB4"/>
    <w:rsid w:val="7A40712D"/>
    <w:rsid w:val="7A507324"/>
    <w:rsid w:val="7A5F2143"/>
    <w:rsid w:val="7A7A1FAC"/>
    <w:rsid w:val="7A8C4B1E"/>
    <w:rsid w:val="7A8E2A47"/>
    <w:rsid w:val="7A8E41EF"/>
    <w:rsid w:val="7A900B5E"/>
    <w:rsid w:val="7A95085F"/>
    <w:rsid w:val="7AA36E77"/>
    <w:rsid w:val="7AA76DD1"/>
    <w:rsid w:val="7AA86067"/>
    <w:rsid w:val="7AAA5C4B"/>
    <w:rsid w:val="7AB92AB9"/>
    <w:rsid w:val="7AC7106C"/>
    <w:rsid w:val="7ACA420E"/>
    <w:rsid w:val="7ACF3E00"/>
    <w:rsid w:val="7ADA2F8E"/>
    <w:rsid w:val="7AE1058E"/>
    <w:rsid w:val="7AE34562"/>
    <w:rsid w:val="7AE75258"/>
    <w:rsid w:val="7AF57FDD"/>
    <w:rsid w:val="7B004FE7"/>
    <w:rsid w:val="7B005536"/>
    <w:rsid w:val="7B082EBB"/>
    <w:rsid w:val="7B0E4E14"/>
    <w:rsid w:val="7B132478"/>
    <w:rsid w:val="7B1B0A51"/>
    <w:rsid w:val="7B1B49FF"/>
    <w:rsid w:val="7B387CC4"/>
    <w:rsid w:val="7B4B2FA7"/>
    <w:rsid w:val="7B4C4049"/>
    <w:rsid w:val="7B567B00"/>
    <w:rsid w:val="7B6139EC"/>
    <w:rsid w:val="7B752B14"/>
    <w:rsid w:val="7B8C7716"/>
    <w:rsid w:val="7B8F2B04"/>
    <w:rsid w:val="7B933FFC"/>
    <w:rsid w:val="7BB34D36"/>
    <w:rsid w:val="7BC321F4"/>
    <w:rsid w:val="7BD20F10"/>
    <w:rsid w:val="7BD830EB"/>
    <w:rsid w:val="7BE928AC"/>
    <w:rsid w:val="7BEC1A10"/>
    <w:rsid w:val="7BF7784F"/>
    <w:rsid w:val="7BF857C3"/>
    <w:rsid w:val="7BFA59F8"/>
    <w:rsid w:val="7BFD5C31"/>
    <w:rsid w:val="7BFF131E"/>
    <w:rsid w:val="7C0076D3"/>
    <w:rsid w:val="7C045EE0"/>
    <w:rsid w:val="7C16626D"/>
    <w:rsid w:val="7C1D75F4"/>
    <w:rsid w:val="7C217BBC"/>
    <w:rsid w:val="7C274292"/>
    <w:rsid w:val="7C3E2DB7"/>
    <w:rsid w:val="7C4A0BE0"/>
    <w:rsid w:val="7C51509B"/>
    <w:rsid w:val="7C572CA5"/>
    <w:rsid w:val="7C6245DF"/>
    <w:rsid w:val="7C6B1E45"/>
    <w:rsid w:val="7C7117A7"/>
    <w:rsid w:val="7C7A6994"/>
    <w:rsid w:val="7C802B69"/>
    <w:rsid w:val="7C9214AA"/>
    <w:rsid w:val="7C952974"/>
    <w:rsid w:val="7C9F3E41"/>
    <w:rsid w:val="7CA01689"/>
    <w:rsid w:val="7CA21815"/>
    <w:rsid w:val="7CAC3287"/>
    <w:rsid w:val="7CB2548A"/>
    <w:rsid w:val="7CB373F3"/>
    <w:rsid w:val="7CBE6DCD"/>
    <w:rsid w:val="7CD91B6D"/>
    <w:rsid w:val="7CDF596B"/>
    <w:rsid w:val="7CE54755"/>
    <w:rsid w:val="7CF02147"/>
    <w:rsid w:val="7CF0428C"/>
    <w:rsid w:val="7CF0780B"/>
    <w:rsid w:val="7CF24091"/>
    <w:rsid w:val="7CF34E39"/>
    <w:rsid w:val="7CF70054"/>
    <w:rsid w:val="7D1144BC"/>
    <w:rsid w:val="7D14510A"/>
    <w:rsid w:val="7D1A3E4C"/>
    <w:rsid w:val="7D2B26D3"/>
    <w:rsid w:val="7D2F2037"/>
    <w:rsid w:val="7D351EEB"/>
    <w:rsid w:val="7D384692"/>
    <w:rsid w:val="7D4B5724"/>
    <w:rsid w:val="7D537B5C"/>
    <w:rsid w:val="7D55752F"/>
    <w:rsid w:val="7D652D10"/>
    <w:rsid w:val="7D6D095E"/>
    <w:rsid w:val="7D7055CB"/>
    <w:rsid w:val="7D7963EB"/>
    <w:rsid w:val="7D884C43"/>
    <w:rsid w:val="7D8D1888"/>
    <w:rsid w:val="7D8D3EFA"/>
    <w:rsid w:val="7D9700E8"/>
    <w:rsid w:val="7DAE7340"/>
    <w:rsid w:val="7DC04C6D"/>
    <w:rsid w:val="7DC9385D"/>
    <w:rsid w:val="7DD02864"/>
    <w:rsid w:val="7DF35A5F"/>
    <w:rsid w:val="7DFF4B5B"/>
    <w:rsid w:val="7E021FE9"/>
    <w:rsid w:val="7E041C29"/>
    <w:rsid w:val="7E0B59D9"/>
    <w:rsid w:val="7E120E6D"/>
    <w:rsid w:val="7E182A1E"/>
    <w:rsid w:val="7E1A7AAC"/>
    <w:rsid w:val="7E2010C0"/>
    <w:rsid w:val="7E3C4853"/>
    <w:rsid w:val="7E445C1A"/>
    <w:rsid w:val="7E6D6900"/>
    <w:rsid w:val="7E6F622C"/>
    <w:rsid w:val="7E706D55"/>
    <w:rsid w:val="7E861A37"/>
    <w:rsid w:val="7E957537"/>
    <w:rsid w:val="7E9F5752"/>
    <w:rsid w:val="7EA62C59"/>
    <w:rsid w:val="7ECF5717"/>
    <w:rsid w:val="7ED643C6"/>
    <w:rsid w:val="7EE0422B"/>
    <w:rsid w:val="7EF90044"/>
    <w:rsid w:val="7F003CA2"/>
    <w:rsid w:val="7F1B5896"/>
    <w:rsid w:val="7F2B1A9F"/>
    <w:rsid w:val="7F364DF4"/>
    <w:rsid w:val="7F3D6AAB"/>
    <w:rsid w:val="7F3D7973"/>
    <w:rsid w:val="7F437511"/>
    <w:rsid w:val="7F474FA1"/>
    <w:rsid w:val="7F4E51E4"/>
    <w:rsid w:val="7F4F7D9A"/>
    <w:rsid w:val="7F531882"/>
    <w:rsid w:val="7F54405B"/>
    <w:rsid w:val="7F567244"/>
    <w:rsid w:val="7F5D3766"/>
    <w:rsid w:val="7F6000C3"/>
    <w:rsid w:val="7F74591C"/>
    <w:rsid w:val="7F79597A"/>
    <w:rsid w:val="7F7F2E58"/>
    <w:rsid w:val="7F860A6E"/>
    <w:rsid w:val="7F9861D6"/>
    <w:rsid w:val="7FAE3AA2"/>
    <w:rsid w:val="7FAF2BD6"/>
    <w:rsid w:val="7FB46FEB"/>
    <w:rsid w:val="7FC51605"/>
    <w:rsid w:val="7FCB614F"/>
    <w:rsid w:val="7FCE2AAE"/>
    <w:rsid w:val="7FDA7C10"/>
    <w:rsid w:val="7FE13266"/>
    <w:rsid w:val="7FF25105"/>
    <w:rsid w:val="7FF470EE"/>
    <w:rsid w:val="7FFB3A83"/>
    <w:rsid w:val="7FFF02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spacing w:before="260" w:after="260" w:line="360" w:lineRule="auto"/>
      <w:jc w:val="center"/>
      <w:outlineLvl w:val="2"/>
    </w:pPr>
    <w:rPr>
      <w:b/>
      <w:bCs/>
      <w:sz w:val="30"/>
      <w:szCs w:val="32"/>
      <w:lang w:val="zh-CN"/>
    </w:rPr>
  </w:style>
  <w:style w:type="paragraph" w:styleId="6">
    <w:name w:val="heading 4"/>
    <w:basedOn w:val="1"/>
    <w:next w:val="1"/>
    <w:link w:val="64"/>
    <w:qFormat/>
    <w:uiPriority w:val="0"/>
    <w:pPr>
      <w:spacing w:before="156" w:beforeLines="50" w:after="156" w:afterLines="50"/>
      <w:ind w:left="284" w:hanging="284"/>
      <w:outlineLvl w:val="3"/>
    </w:pPr>
    <w:rPr>
      <w:rFonts w:ascii="Arial" w:hAnsi="Arial"/>
      <w:color w:val="000000"/>
      <w:sz w:val="24"/>
      <w:szCs w:val="24"/>
    </w:rPr>
  </w:style>
  <w:style w:type="paragraph" w:styleId="7">
    <w:name w:val="heading 5"/>
    <w:basedOn w:val="6"/>
    <w:next w:val="8"/>
    <w:link w:val="65"/>
    <w:qFormat/>
    <w:uiPriority w:val="0"/>
    <w:pPr>
      <w:spacing w:line="240" w:lineRule="exact"/>
      <w:outlineLvl w:val="4"/>
    </w:pPr>
  </w:style>
  <w:style w:type="paragraph" w:styleId="9">
    <w:name w:val="heading 6"/>
    <w:basedOn w:val="1"/>
    <w:next w:val="1"/>
    <w:link w:val="66"/>
    <w:unhideWhenUsed/>
    <w:qFormat/>
    <w:uiPriority w:val="0"/>
    <w:pPr>
      <w:keepNext/>
      <w:keepLines/>
      <w:spacing w:before="240" w:after="64" w:line="320" w:lineRule="auto"/>
      <w:outlineLvl w:val="5"/>
    </w:pPr>
    <w:rPr>
      <w:rFonts w:ascii="Cambria" w:hAnsi="Cambria"/>
      <w:b/>
      <w:bCs/>
      <w:sz w:val="24"/>
      <w:szCs w:val="24"/>
      <w:lang w:val="zh-CN"/>
    </w:rPr>
  </w:style>
  <w:style w:type="paragraph" w:styleId="10">
    <w:name w:val="heading 7"/>
    <w:basedOn w:val="1"/>
    <w:next w:val="8"/>
    <w:link w:val="67"/>
    <w:qFormat/>
    <w:uiPriority w:val="0"/>
    <w:pPr>
      <w:keepNext/>
      <w:keepLines/>
      <w:spacing w:before="240" w:after="64" w:line="360" w:lineRule="auto"/>
      <w:jc w:val="center"/>
      <w:outlineLvl w:val="6"/>
    </w:pPr>
    <w:rPr>
      <w:b/>
      <w:sz w:val="28"/>
      <w:lang w:val="zh-CN"/>
    </w:rPr>
  </w:style>
  <w:style w:type="paragraph" w:styleId="11">
    <w:name w:val="heading 8"/>
    <w:basedOn w:val="1"/>
    <w:next w:val="8"/>
    <w:link w:val="68"/>
    <w:qFormat/>
    <w:uiPriority w:val="0"/>
    <w:pPr>
      <w:keepNext/>
      <w:keepLines/>
      <w:spacing w:before="240" w:after="64" w:line="320" w:lineRule="auto"/>
      <w:outlineLvl w:val="7"/>
    </w:pPr>
    <w:rPr>
      <w:rFonts w:ascii="Arial" w:hAnsi="Arial" w:eastAsia="黑体"/>
      <w:sz w:val="24"/>
      <w:lang w:val="zh-CN"/>
    </w:rPr>
  </w:style>
  <w:style w:type="paragraph" w:styleId="12">
    <w:name w:val="heading 9"/>
    <w:basedOn w:val="1"/>
    <w:next w:val="8"/>
    <w:link w:val="69"/>
    <w:qFormat/>
    <w:uiPriority w:val="0"/>
    <w:pPr>
      <w:keepNext/>
      <w:keepLines/>
      <w:spacing w:before="240" w:after="64" w:line="320" w:lineRule="auto"/>
      <w:outlineLvl w:val="8"/>
    </w:pPr>
    <w:rPr>
      <w:rFonts w:ascii="Arial" w:hAnsi="Arial" w:eastAsia="黑体"/>
      <w:lang w:val="zh-CN"/>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rFonts w:ascii="@DotumChe" w:hAnsi="@DotumChe" w:eastAsia="@DotumChe" w:cs="@DotumChe"/>
      <w:sz w:val="20"/>
    </w:rPr>
  </w:style>
  <w:style w:type="paragraph" w:styleId="8">
    <w:name w:val="Normal Indent"/>
    <w:basedOn w:val="1"/>
    <w:next w:val="1"/>
    <w:link w:val="219"/>
    <w:qFormat/>
    <w:uiPriority w:val="0"/>
    <w:pPr>
      <w:ind w:firstLine="420" w:firstLineChars="200"/>
    </w:pPr>
  </w:style>
  <w:style w:type="paragraph" w:styleId="13">
    <w:name w:val="toc 7"/>
    <w:basedOn w:val="1"/>
    <w:next w:val="1"/>
    <w:qFormat/>
    <w:uiPriority w:val="0"/>
    <w:pPr>
      <w:ind w:left="1260"/>
      <w:jc w:val="left"/>
    </w:pPr>
    <w:rPr>
      <w:sz w:val="18"/>
      <w:szCs w:val="18"/>
    </w:rPr>
  </w:style>
  <w:style w:type="paragraph" w:styleId="14">
    <w:name w:val="Document Map"/>
    <w:basedOn w:val="1"/>
    <w:link w:val="83"/>
    <w:qFormat/>
    <w:uiPriority w:val="0"/>
    <w:pPr>
      <w:shd w:val="clear" w:color="auto" w:fill="000080"/>
    </w:pPr>
    <w:rPr>
      <w:lang w:val="zh-CN"/>
    </w:rPr>
  </w:style>
  <w:style w:type="paragraph" w:styleId="15">
    <w:name w:val="annotation text"/>
    <w:basedOn w:val="1"/>
    <w:link w:val="80"/>
    <w:qFormat/>
    <w:uiPriority w:val="0"/>
    <w:pPr>
      <w:jc w:val="left"/>
    </w:pPr>
    <w:rPr>
      <w:lang w:val="zh-CN"/>
    </w:rPr>
  </w:style>
  <w:style w:type="paragraph" w:styleId="16">
    <w:name w:val="Body Text 3"/>
    <w:basedOn w:val="1"/>
    <w:link w:val="82"/>
    <w:qFormat/>
    <w:uiPriority w:val="0"/>
    <w:pPr>
      <w:spacing w:after="120"/>
    </w:pPr>
    <w:rPr>
      <w:sz w:val="16"/>
      <w:szCs w:val="16"/>
      <w:lang w:val="zh-CN"/>
    </w:rPr>
  </w:style>
  <w:style w:type="paragraph" w:styleId="17">
    <w:name w:val="Body Text"/>
    <w:basedOn w:val="1"/>
    <w:next w:val="18"/>
    <w:link w:val="85"/>
    <w:qFormat/>
    <w:uiPriority w:val="0"/>
    <w:pPr>
      <w:spacing w:after="120"/>
    </w:pPr>
    <w:rPr>
      <w:lang w:val="zh-CN"/>
    </w:rPr>
  </w:style>
  <w:style w:type="paragraph" w:styleId="18">
    <w:name w:val="Title"/>
    <w:basedOn w:val="1"/>
    <w:next w:val="1"/>
    <w:link w:val="141"/>
    <w:qFormat/>
    <w:uiPriority w:val="10"/>
    <w:pPr>
      <w:spacing w:before="240" w:after="60"/>
      <w:jc w:val="center"/>
      <w:outlineLvl w:val="0"/>
    </w:pPr>
    <w:rPr>
      <w:rFonts w:ascii="Cambria" w:hAnsi="Cambria"/>
      <w:b/>
      <w:bCs/>
      <w:sz w:val="32"/>
      <w:szCs w:val="32"/>
      <w:lang w:val="zh-CN"/>
    </w:rPr>
  </w:style>
  <w:style w:type="paragraph" w:styleId="19">
    <w:name w:val="Body Text Indent"/>
    <w:basedOn w:val="1"/>
    <w:link w:val="84"/>
    <w:qFormat/>
    <w:uiPriority w:val="0"/>
    <w:pPr>
      <w:spacing w:after="120"/>
      <w:ind w:left="420" w:leftChars="200"/>
    </w:pPr>
    <w:rPr>
      <w:lang w:val="zh-CN"/>
    </w:rPr>
  </w:style>
  <w:style w:type="paragraph" w:styleId="20">
    <w:name w:val="Block Text"/>
    <w:basedOn w:val="1"/>
    <w:qFormat/>
    <w:uiPriority w:val="0"/>
    <w:pPr>
      <w:tabs>
        <w:tab w:val="left" w:pos="900"/>
      </w:tabs>
      <w:snapToGrid w:val="0"/>
      <w:spacing w:line="360" w:lineRule="auto"/>
      <w:ind w:left="-180" w:right="-334" w:firstLine="482"/>
    </w:pPr>
    <w:rPr>
      <w:rFonts w:ascii="仿宋_GB2312" w:eastAsia="仿宋_GB2312"/>
      <w:sz w:val="24"/>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39"/>
    <w:pPr>
      <w:ind w:left="840" w:leftChars="400"/>
    </w:pPr>
  </w:style>
  <w:style w:type="paragraph" w:styleId="23">
    <w:name w:val="Plain Text"/>
    <w:basedOn w:val="1"/>
    <w:next w:val="1"/>
    <w:link w:val="76"/>
    <w:qFormat/>
    <w:uiPriority w:val="0"/>
    <w:rPr>
      <w:rFonts w:ascii="宋体" w:hAnsi="Courier New"/>
    </w:rPr>
  </w:style>
  <w:style w:type="paragraph" w:styleId="24">
    <w:name w:val="toc 8"/>
    <w:basedOn w:val="1"/>
    <w:next w:val="1"/>
    <w:qFormat/>
    <w:uiPriority w:val="0"/>
    <w:pPr>
      <w:ind w:left="1470"/>
      <w:jc w:val="left"/>
    </w:pPr>
    <w:rPr>
      <w:sz w:val="18"/>
      <w:szCs w:val="18"/>
    </w:rPr>
  </w:style>
  <w:style w:type="paragraph" w:styleId="25">
    <w:name w:val="Date"/>
    <w:basedOn w:val="1"/>
    <w:next w:val="1"/>
    <w:link w:val="89"/>
    <w:qFormat/>
    <w:uiPriority w:val="0"/>
    <w:pPr>
      <w:ind w:left="100" w:leftChars="2500"/>
    </w:pPr>
    <w:rPr>
      <w:rFonts w:ascii="宋体" w:hAnsi="Courier New"/>
      <w:b/>
      <w:bCs/>
      <w:sz w:val="28"/>
      <w:szCs w:val="21"/>
      <w:lang w:val="zh-CN"/>
    </w:rPr>
  </w:style>
  <w:style w:type="paragraph" w:styleId="26">
    <w:name w:val="Body Text Indent 2"/>
    <w:basedOn w:val="1"/>
    <w:link w:val="91"/>
    <w:qFormat/>
    <w:uiPriority w:val="0"/>
    <w:pPr>
      <w:spacing w:after="120" w:line="480" w:lineRule="auto"/>
      <w:ind w:left="420" w:leftChars="200"/>
    </w:pPr>
    <w:rPr>
      <w:lang w:val="zh-CN"/>
    </w:rPr>
  </w:style>
  <w:style w:type="paragraph" w:styleId="27">
    <w:name w:val="Balloon Text"/>
    <w:basedOn w:val="1"/>
    <w:link w:val="88"/>
    <w:semiHidden/>
    <w:qFormat/>
    <w:uiPriority w:val="99"/>
    <w:rPr>
      <w:sz w:val="18"/>
      <w:szCs w:val="18"/>
      <w:lang w:val="zh-CN"/>
    </w:rPr>
  </w:style>
  <w:style w:type="paragraph" w:styleId="28">
    <w:name w:val="footer"/>
    <w:basedOn w:val="1"/>
    <w:link w:val="90"/>
    <w:qFormat/>
    <w:uiPriority w:val="99"/>
    <w:pPr>
      <w:tabs>
        <w:tab w:val="center" w:pos="4153"/>
        <w:tab w:val="right" w:pos="8306"/>
      </w:tabs>
      <w:snapToGrid w:val="0"/>
      <w:jc w:val="left"/>
    </w:pPr>
    <w:rPr>
      <w:sz w:val="18"/>
      <w:lang w:val="zh-CN"/>
    </w:rPr>
  </w:style>
  <w:style w:type="paragraph" w:styleId="29">
    <w:name w:val="envelope return"/>
    <w:basedOn w:val="1"/>
    <w:qFormat/>
    <w:uiPriority w:val="0"/>
    <w:pPr>
      <w:snapToGrid w:val="0"/>
    </w:pPr>
    <w:rPr>
      <w:rFonts w:ascii="Arial" w:hAnsi="Arial"/>
    </w:rPr>
  </w:style>
  <w:style w:type="paragraph" w:styleId="30">
    <w:name w:val="header"/>
    <w:basedOn w:val="1"/>
    <w:link w:val="87"/>
    <w:qFormat/>
    <w:uiPriority w:val="0"/>
    <w:pPr>
      <w:pBdr>
        <w:bottom w:val="single" w:color="auto" w:sz="6" w:space="1"/>
      </w:pBdr>
      <w:tabs>
        <w:tab w:val="center" w:pos="4153"/>
        <w:tab w:val="right" w:pos="8306"/>
      </w:tabs>
      <w:snapToGrid w:val="0"/>
      <w:jc w:val="center"/>
    </w:pPr>
    <w:rPr>
      <w:sz w:val="18"/>
      <w:lang w:val="zh-CN"/>
    </w:rPr>
  </w:style>
  <w:style w:type="paragraph" w:styleId="31">
    <w:name w:val="toc 1"/>
    <w:basedOn w:val="1"/>
    <w:next w:val="1"/>
    <w:qFormat/>
    <w:uiPriority w:val="39"/>
  </w:style>
  <w:style w:type="paragraph" w:styleId="32">
    <w:name w:val="toc 4"/>
    <w:basedOn w:val="1"/>
    <w:next w:val="1"/>
    <w:qFormat/>
    <w:uiPriority w:val="0"/>
    <w:pPr>
      <w:ind w:left="630"/>
      <w:jc w:val="left"/>
    </w:pPr>
    <w:rPr>
      <w:sz w:val="18"/>
      <w:szCs w:val="18"/>
    </w:rPr>
  </w:style>
  <w:style w:type="paragraph" w:styleId="33">
    <w:name w:val="Subtitle"/>
    <w:basedOn w:val="1"/>
    <w:next w:val="1"/>
    <w:link w:val="218"/>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List"/>
    <w:qFormat/>
    <w:uiPriority w:val="0"/>
    <w:pPr>
      <w:widowControl w:val="0"/>
      <w:ind w:left="200" w:hanging="200" w:hangingChars="200"/>
      <w:jc w:val="both"/>
    </w:pPr>
    <w:rPr>
      <w:rFonts w:ascii="Times New Roman" w:hAnsi="Times New Roman" w:eastAsia="宋体" w:cs="Times New Roman"/>
      <w:kern w:val="2"/>
      <w:sz w:val="21"/>
      <w:szCs w:val="22"/>
      <w:lang w:val="en-US" w:eastAsia="zh-CN" w:bidi="ar-SA"/>
    </w:rPr>
  </w:style>
  <w:style w:type="paragraph" w:styleId="35">
    <w:name w:val="toc 6"/>
    <w:basedOn w:val="1"/>
    <w:next w:val="1"/>
    <w:qFormat/>
    <w:uiPriority w:val="0"/>
    <w:pPr>
      <w:ind w:left="1050"/>
      <w:jc w:val="left"/>
    </w:pPr>
    <w:rPr>
      <w:sz w:val="18"/>
      <w:szCs w:val="18"/>
    </w:rPr>
  </w:style>
  <w:style w:type="paragraph" w:styleId="36">
    <w:name w:val="Body Text Indent 3"/>
    <w:basedOn w:val="1"/>
    <w:link w:val="86"/>
    <w:qFormat/>
    <w:uiPriority w:val="0"/>
    <w:pPr>
      <w:spacing w:after="120"/>
      <w:ind w:left="420" w:leftChars="200"/>
    </w:pPr>
    <w:rPr>
      <w:sz w:val="16"/>
      <w:szCs w:val="16"/>
      <w:lang w:val="zh-CN"/>
    </w:rPr>
  </w:style>
  <w:style w:type="paragraph" w:styleId="37">
    <w:name w:val="toc 2"/>
    <w:basedOn w:val="1"/>
    <w:next w:val="1"/>
    <w:qFormat/>
    <w:uiPriority w:val="39"/>
    <w:pPr>
      <w:ind w:left="420" w:leftChars="200"/>
    </w:pPr>
  </w:style>
  <w:style w:type="paragraph" w:styleId="38">
    <w:name w:val="toc 9"/>
    <w:basedOn w:val="1"/>
    <w:next w:val="1"/>
    <w:qFormat/>
    <w:uiPriority w:val="0"/>
    <w:pPr>
      <w:ind w:left="1680"/>
      <w:jc w:val="left"/>
    </w:pPr>
    <w:rPr>
      <w:sz w:val="18"/>
      <w:szCs w:val="18"/>
    </w:rPr>
  </w:style>
  <w:style w:type="paragraph" w:styleId="39">
    <w:name w:val="Body Text 2"/>
    <w:basedOn w:val="1"/>
    <w:link w:val="116"/>
    <w:qFormat/>
    <w:uiPriority w:val="0"/>
    <w:rPr>
      <w:sz w:val="24"/>
      <w:lang w:val="zh-CN"/>
    </w:rPr>
  </w:style>
  <w:style w:type="paragraph" w:styleId="40">
    <w:name w:val="HTML Preformatted"/>
    <w:basedOn w:val="1"/>
    <w:link w:val="7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2">
    <w:name w:val="annotation subject"/>
    <w:basedOn w:val="15"/>
    <w:next w:val="15"/>
    <w:link w:val="81"/>
    <w:qFormat/>
    <w:uiPriority w:val="99"/>
    <w:rPr>
      <w:b/>
      <w:bCs/>
    </w:rPr>
  </w:style>
  <w:style w:type="paragraph" w:styleId="43">
    <w:name w:val="Body Text First Indent"/>
    <w:basedOn w:val="17"/>
    <w:next w:val="1"/>
    <w:link w:val="115"/>
    <w:qFormat/>
    <w:uiPriority w:val="0"/>
    <w:pPr>
      <w:ind w:firstLine="420" w:firstLineChars="100"/>
    </w:pPr>
  </w:style>
  <w:style w:type="paragraph" w:styleId="44">
    <w:name w:val="Body Text First Indent 2"/>
    <w:basedOn w:val="19"/>
    <w:next w:val="45"/>
    <w:link w:val="164"/>
    <w:qFormat/>
    <w:uiPriority w:val="0"/>
    <w:pPr>
      <w:ind w:firstLine="420" w:firstLineChars="200"/>
    </w:pPr>
    <w:rPr>
      <w:rFonts w:hAnsi="Calibri"/>
      <w:szCs w:val="24"/>
    </w:rPr>
  </w:style>
  <w:style w:type="paragraph" w:customStyle="1" w:styleId="45">
    <w:name w:val="表格文字"/>
    <w:basedOn w:val="34"/>
    <w:next w:val="1"/>
    <w:qFormat/>
    <w:uiPriority w:val="0"/>
    <w:pPr>
      <w:adjustRightInd w:val="0"/>
      <w:spacing w:line="420" w:lineRule="atLeast"/>
      <w:jc w:val="left"/>
      <w:textAlignment w:val="baseline"/>
    </w:pPr>
    <w:rPr>
      <w:kern w:val="0"/>
    </w:rPr>
  </w:style>
  <w:style w:type="table" w:styleId="47">
    <w:name w:val="Table Grid"/>
    <w:basedOn w:val="46"/>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qFormat/>
    <w:uiPriority w:val="22"/>
    <w:rPr>
      <w:b/>
      <w:bCs/>
    </w:rPr>
  </w:style>
  <w:style w:type="character" w:styleId="50">
    <w:name w:val="page number"/>
    <w:basedOn w:val="48"/>
    <w:qFormat/>
    <w:uiPriority w:val="0"/>
  </w:style>
  <w:style w:type="character" w:styleId="51">
    <w:name w:val="FollowedHyperlink"/>
    <w:basedOn w:val="48"/>
    <w:qFormat/>
    <w:uiPriority w:val="99"/>
    <w:rPr>
      <w:color w:val="0066CD"/>
      <w:u w:val="none"/>
    </w:rPr>
  </w:style>
  <w:style w:type="character" w:styleId="52">
    <w:name w:val="Emphasis"/>
    <w:qFormat/>
    <w:uiPriority w:val="0"/>
    <w:rPr>
      <w:color w:val="C60A00"/>
    </w:rPr>
  </w:style>
  <w:style w:type="character" w:styleId="53">
    <w:name w:val="HTML Definition"/>
    <w:basedOn w:val="48"/>
    <w:qFormat/>
    <w:uiPriority w:val="0"/>
    <w:rPr>
      <w:i/>
    </w:rPr>
  </w:style>
  <w:style w:type="character" w:styleId="54">
    <w:name w:val="HTML Acronym"/>
    <w:basedOn w:val="48"/>
    <w:qFormat/>
    <w:uiPriority w:val="0"/>
  </w:style>
  <w:style w:type="character" w:styleId="55">
    <w:name w:val="Hyperlink"/>
    <w:basedOn w:val="48"/>
    <w:qFormat/>
    <w:uiPriority w:val="99"/>
    <w:rPr>
      <w:color w:val="0000FF"/>
      <w:u w:val="single"/>
    </w:rPr>
  </w:style>
  <w:style w:type="character" w:styleId="56">
    <w:name w:val="HTML Code"/>
    <w:basedOn w:val="48"/>
    <w:qFormat/>
    <w:uiPriority w:val="0"/>
    <w:rPr>
      <w:rFonts w:hint="default" w:ascii="Consolas" w:hAnsi="Consolas" w:eastAsia="Consolas" w:cs="Consolas"/>
      <w:color w:val="C7254E"/>
      <w:sz w:val="21"/>
      <w:szCs w:val="21"/>
      <w:shd w:val="clear" w:fill="F9F2F4"/>
    </w:rPr>
  </w:style>
  <w:style w:type="character" w:styleId="57">
    <w:name w:val="annotation reference"/>
    <w:basedOn w:val="48"/>
    <w:qFormat/>
    <w:uiPriority w:val="0"/>
    <w:rPr>
      <w:sz w:val="21"/>
      <w:szCs w:val="21"/>
    </w:rPr>
  </w:style>
  <w:style w:type="character" w:styleId="58">
    <w:name w:val="HTML Keyboard"/>
    <w:basedOn w:val="48"/>
    <w:qFormat/>
    <w:uiPriority w:val="0"/>
    <w:rPr>
      <w:rFonts w:hint="default" w:ascii="Consolas" w:hAnsi="Consolas" w:eastAsia="Consolas" w:cs="Consolas"/>
      <w:color w:val="FFFFFF"/>
      <w:sz w:val="21"/>
      <w:szCs w:val="21"/>
      <w:shd w:val="clear" w:fill="333333"/>
    </w:rPr>
  </w:style>
  <w:style w:type="character" w:styleId="59">
    <w:name w:val="HTML Sample"/>
    <w:basedOn w:val="48"/>
    <w:qFormat/>
    <w:uiPriority w:val="0"/>
    <w:rPr>
      <w:rFonts w:ascii="Consolas" w:hAnsi="Consolas" w:eastAsia="Consolas" w:cs="Consolas"/>
      <w:sz w:val="21"/>
      <w:szCs w:val="21"/>
    </w:rPr>
  </w:style>
  <w:style w:type="paragraph" w:customStyle="1" w:styleId="60">
    <w:name w:val="目录 21"/>
    <w:basedOn w:val="1"/>
    <w:next w:val="1"/>
    <w:qFormat/>
    <w:uiPriority w:val="0"/>
    <w:pPr>
      <w:spacing w:before="100" w:beforeAutospacing="1" w:after="100" w:afterAutospacing="1"/>
      <w:ind w:left="420" w:leftChars="200"/>
    </w:pPr>
  </w:style>
  <w:style w:type="character" w:customStyle="1" w:styleId="61">
    <w:name w:val="标题 1 Char"/>
    <w:link w:val="3"/>
    <w:qFormat/>
    <w:uiPriority w:val="0"/>
    <w:rPr>
      <w:rFonts w:eastAsia="宋体"/>
      <w:b/>
      <w:bCs/>
      <w:kern w:val="44"/>
      <w:sz w:val="44"/>
      <w:szCs w:val="44"/>
      <w:lang w:val="en-US" w:eastAsia="zh-CN" w:bidi="ar-SA"/>
    </w:rPr>
  </w:style>
  <w:style w:type="character" w:customStyle="1" w:styleId="62">
    <w:name w:val="标题 2 Char"/>
    <w:link w:val="4"/>
    <w:qFormat/>
    <w:uiPriority w:val="0"/>
    <w:rPr>
      <w:rFonts w:ascii="Arial" w:hAnsi="Arial" w:eastAsia="黑体"/>
      <w:b/>
      <w:bCs/>
      <w:kern w:val="2"/>
      <w:sz w:val="32"/>
      <w:szCs w:val="32"/>
      <w:lang w:val="en-US" w:eastAsia="zh-CN" w:bidi="ar-SA"/>
    </w:rPr>
  </w:style>
  <w:style w:type="character" w:customStyle="1" w:styleId="63">
    <w:name w:val="标题 3 Char"/>
    <w:link w:val="5"/>
    <w:qFormat/>
    <w:uiPriority w:val="0"/>
    <w:rPr>
      <w:b/>
      <w:bCs/>
      <w:kern w:val="2"/>
      <w:sz w:val="30"/>
      <w:szCs w:val="32"/>
      <w:lang w:val="zh-CN" w:eastAsia="zh-CN"/>
    </w:rPr>
  </w:style>
  <w:style w:type="character" w:customStyle="1" w:styleId="64">
    <w:name w:val="标题 4 Char"/>
    <w:link w:val="6"/>
    <w:qFormat/>
    <w:uiPriority w:val="0"/>
    <w:rPr>
      <w:rFonts w:ascii="Arial" w:hAnsi="Arial"/>
      <w:color w:val="000000"/>
      <w:kern w:val="2"/>
      <w:sz w:val="24"/>
      <w:szCs w:val="24"/>
      <w:lang w:val="zh-CN" w:eastAsia="zh-CN"/>
    </w:rPr>
  </w:style>
  <w:style w:type="character" w:customStyle="1" w:styleId="65">
    <w:name w:val="标题 5 Char"/>
    <w:link w:val="7"/>
    <w:qFormat/>
    <w:uiPriority w:val="0"/>
    <w:rPr>
      <w:rFonts w:ascii="Arial" w:hAnsi="Arial"/>
      <w:color w:val="000000"/>
      <w:kern w:val="2"/>
      <w:sz w:val="24"/>
      <w:szCs w:val="24"/>
      <w:lang w:val="zh-CN" w:eastAsia="zh-CN"/>
    </w:rPr>
  </w:style>
  <w:style w:type="character" w:customStyle="1" w:styleId="66">
    <w:name w:val="标题 6 Char"/>
    <w:link w:val="9"/>
    <w:qFormat/>
    <w:uiPriority w:val="0"/>
    <w:rPr>
      <w:rFonts w:ascii="Cambria" w:hAnsi="Cambria"/>
      <w:b/>
      <w:bCs/>
      <w:kern w:val="2"/>
      <w:sz w:val="24"/>
      <w:szCs w:val="24"/>
    </w:rPr>
  </w:style>
  <w:style w:type="character" w:customStyle="1" w:styleId="67">
    <w:name w:val="标题 7 Char"/>
    <w:link w:val="10"/>
    <w:qFormat/>
    <w:uiPriority w:val="0"/>
    <w:rPr>
      <w:b/>
      <w:kern w:val="2"/>
      <w:sz w:val="28"/>
      <w:lang w:val="zh-CN" w:eastAsia="zh-CN"/>
    </w:rPr>
  </w:style>
  <w:style w:type="character" w:customStyle="1" w:styleId="68">
    <w:name w:val="标题 8 Char"/>
    <w:link w:val="11"/>
    <w:qFormat/>
    <w:uiPriority w:val="0"/>
    <w:rPr>
      <w:rFonts w:ascii="Arial" w:hAnsi="Arial" w:eastAsia="黑体"/>
      <w:kern w:val="2"/>
      <w:sz w:val="24"/>
      <w:lang w:val="zh-CN" w:eastAsia="zh-CN"/>
    </w:rPr>
  </w:style>
  <w:style w:type="character" w:customStyle="1" w:styleId="69">
    <w:name w:val="标题 9 Char"/>
    <w:link w:val="12"/>
    <w:qFormat/>
    <w:uiPriority w:val="0"/>
    <w:rPr>
      <w:rFonts w:ascii="Arial" w:hAnsi="Arial" w:eastAsia="黑体"/>
      <w:kern w:val="2"/>
      <w:sz w:val="21"/>
      <w:lang w:val="zh-CN" w:eastAsia="zh-CN"/>
    </w:rPr>
  </w:style>
  <w:style w:type="character" w:customStyle="1" w:styleId="70">
    <w:name w:val="！正文（四号字） Char"/>
    <w:link w:val="71"/>
    <w:qFormat/>
    <w:uiPriority w:val="0"/>
    <w:rPr>
      <w:kern w:val="2"/>
      <w:sz w:val="24"/>
      <w:szCs w:val="28"/>
      <w:lang w:val="en-US" w:eastAsia="zh-CN" w:bidi="ar-SA"/>
    </w:rPr>
  </w:style>
  <w:style w:type="paragraph" w:customStyle="1" w:styleId="71">
    <w:name w:val="！正文（四号字）"/>
    <w:link w:val="70"/>
    <w:qFormat/>
    <w:uiPriority w:val="0"/>
    <w:pPr>
      <w:snapToGri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character" w:customStyle="1" w:styleId="72">
    <w:name w:val="Char Char12"/>
    <w:qFormat/>
    <w:uiPriority w:val="0"/>
    <w:rPr>
      <w:rFonts w:ascii="Arial" w:hAnsi="Arial" w:eastAsia="黑体"/>
      <w:b/>
      <w:bCs/>
      <w:kern w:val="2"/>
      <w:sz w:val="32"/>
      <w:szCs w:val="32"/>
      <w:lang w:val="en-US" w:eastAsia="zh-CN" w:bidi="ar-SA"/>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普通文字 Char2"/>
    <w:qFormat/>
    <w:uiPriority w:val="0"/>
    <w:rPr>
      <w:rFonts w:ascii="宋体" w:hAnsi="Courier New" w:eastAsia="宋体"/>
      <w:kern w:val="2"/>
      <w:sz w:val="21"/>
      <w:lang w:val="en-US" w:eastAsia="zh-CN" w:bidi="ar-SA"/>
    </w:rPr>
  </w:style>
  <w:style w:type="character" w:customStyle="1" w:styleId="75">
    <w:name w:val="Char Char3"/>
    <w:qFormat/>
    <w:uiPriority w:val="0"/>
    <w:rPr>
      <w:rFonts w:ascii="Arial" w:hAnsi="Arial" w:eastAsia="黑体"/>
      <w:b/>
      <w:bCs/>
      <w:kern w:val="2"/>
      <w:sz w:val="32"/>
      <w:szCs w:val="32"/>
      <w:lang w:val="en-US" w:eastAsia="zh-CN" w:bidi="ar-SA"/>
    </w:rPr>
  </w:style>
  <w:style w:type="character" w:customStyle="1" w:styleId="76">
    <w:name w:val="纯文本 Char1"/>
    <w:link w:val="23"/>
    <w:qFormat/>
    <w:uiPriority w:val="0"/>
    <w:rPr>
      <w:rFonts w:ascii="宋体" w:hAnsi="Courier New" w:eastAsia="宋体"/>
      <w:kern w:val="2"/>
      <w:sz w:val="21"/>
      <w:lang w:val="en-US" w:eastAsia="zh-CN" w:bidi="ar-SA"/>
    </w:rPr>
  </w:style>
  <w:style w:type="character" w:customStyle="1" w:styleId="77">
    <w:name w:val="apple-converted-space"/>
    <w:basedOn w:val="48"/>
    <w:qFormat/>
    <w:uiPriority w:val="0"/>
  </w:style>
  <w:style w:type="paragraph" w:customStyle="1" w:styleId="78">
    <w:name w:val="p15"/>
    <w:basedOn w:val="1"/>
    <w:qFormat/>
    <w:uiPriority w:val="0"/>
    <w:pPr>
      <w:widowControl/>
    </w:pPr>
    <w:rPr>
      <w:rFonts w:ascii="宋体" w:hAnsi="宋体" w:cs="宋体"/>
      <w:kern w:val="0"/>
      <w:szCs w:val="21"/>
    </w:rPr>
  </w:style>
  <w:style w:type="character" w:customStyle="1" w:styleId="79">
    <w:name w:val="HTML 预设格式 Char"/>
    <w:link w:val="40"/>
    <w:qFormat/>
    <w:uiPriority w:val="0"/>
    <w:rPr>
      <w:rFonts w:ascii="宋体" w:hAnsi="宋体" w:cs="宋体"/>
      <w:sz w:val="24"/>
      <w:szCs w:val="24"/>
    </w:rPr>
  </w:style>
  <w:style w:type="character" w:customStyle="1" w:styleId="80">
    <w:name w:val="批注文字 Char"/>
    <w:link w:val="15"/>
    <w:qFormat/>
    <w:uiPriority w:val="0"/>
    <w:rPr>
      <w:kern w:val="2"/>
      <w:sz w:val="21"/>
    </w:rPr>
  </w:style>
  <w:style w:type="character" w:customStyle="1" w:styleId="81">
    <w:name w:val="批注主题 Char"/>
    <w:link w:val="42"/>
    <w:qFormat/>
    <w:uiPriority w:val="99"/>
    <w:rPr>
      <w:b/>
      <w:bCs/>
      <w:kern w:val="2"/>
      <w:sz w:val="21"/>
    </w:rPr>
  </w:style>
  <w:style w:type="character" w:customStyle="1" w:styleId="82">
    <w:name w:val="正文文本 3 Char"/>
    <w:link w:val="16"/>
    <w:qFormat/>
    <w:uiPriority w:val="0"/>
    <w:rPr>
      <w:kern w:val="2"/>
      <w:sz w:val="16"/>
      <w:szCs w:val="16"/>
    </w:rPr>
  </w:style>
  <w:style w:type="character" w:customStyle="1" w:styleId="83">
    <w:name w:val="文档结构图 Char"/>
    <w:link w:val="14"/>
    <w:qFormat/>
    <w:uiPriority w:val="0"/>
    <w:rPr>
      <w:kern w:val="2"/>
      <w:sz w:val="21"/>
      <w:shd w:val="clear" w:color="auto" w:fill="000080"/>
    </w:rPr>
  </w:style>
  <w:style w:type="character" w:customStyle="1" w:styleId="84">
    <w:name w:val="正文文本缩进 Char"/>
    <w:link w:val="19"/>
    <w:qFormat/>
    <w:uiPriority w:val="0"/>
    <w:rPr>
      <w:kern w:val="2"/>
      <w:sz w:val="21"/>
    </w:rPr>
  </w:style>
  <w:style w:type="character" w:customStyle="1" w:styleId="85">
    <w:name w:val="正文文本 Char1"/>
    <w:link w:val="17"/>
    <w:qFormat/>
    <w:uiPriority w:val="99"/>
    <w:rPr>
      <w:kern w:val="2"/>
      <w:sz w:val="21"/>
    </w:rPr>
  </w:style>
  <w:style w:type="character" w:customStyle="1" w:styleId="86">
    <w:name w:val="正文文本缩进 3 Char"/>
    <w:link w:val="36"/>
    <w:qFormat/>
    <w:uiPriority w:val="0"/>
    <w:rPr>
      <w:kern w:val="2"/>
      <w:sz w:val="16"/>
      <w:szCs w:val="16"/>
    </w:rPr>
  </w:style>
  <w:style w:type="character" w:customStyle="1" w:styleId="87">
    <w:name w:val="页眉 Char"/>
    <w:link w:val="30"/>
    <w:qFormat/>
    <w:uiPriority w:val="0"/>
    <w:rPr>
      <w:kern w:val="2"/>
      <w:sz w:val="18"/>
    </w:rPr>
  </w:style>
  <w:style w:type="character" w:customStyle="1" w:styleId="88">
    <w:name w:val="批注框文本 Char"/>
    <w:link w:val="27"/>
    <w:qFormat/>
    <w:uiPriority w:val="99"/>
    <w:rPr>
      <w:kern w:val="2"/>
      <w:sz w:val="18"/>
      <w:szCs w:val="18"/>
    </w:rPr>
  </w:style>
  <w:style w:type="character" w:customStyle="1" w:styleId="89">
    <w:name w:val="日期 Char"/>
    <w:link w:val="25"/>
    <w:qFormat/>
    <w:uiPriority w:val="0"/>
    <w:rPr>
      <w:rFonts w:ascii="宋体" w:hAnsi="Courier New" w:cs="Courier New"/>
      <w:b/>
      <w:bCs/>
      <w:kern w:val="2"/>
      <w:sz w:val="28"/>
      <w:szCs w:val="21"/>
    </w:rPr>
  </w:style>
  <w:style w:type="character" w:customStyle="1" w:styleId="90">
    <w:name w:val="页脚 Char"/>
    <w:link w:val="28"/>
    <w:qFormat/>
    <w:uiPriority w:val="99"/>
    <w:rPr>
      <w:kern w:val="2"/>
      <w:sz w:val="18"/>
    </w:rPr>
  </w:style>
  <w:style w:type="character" w:customStyle="1" w:styleId="91">
    <w:name w:val="正文文本缩进 2 Char"/>
    <w:link w:val="26"/>
    <w:qFormat/>
    <w:uiPriority w:val="0"/>
    <w:rPr>
      <w:kern w:val="2"/>
      <w:sz w:val="21"/>
    </w:rPr>
  </w:style>
  <w:style w:type="paragraph" w:customStyle="1" w:styleId="92">
    <w:name w:val="正文4"/>
    <w:basedOn w:val="1"/>
    <w:qFormat/>
    <w:uiPriority w:val="0"/>
    <w:pPr>
      <w:ind w:firstLine="630"/>
    </w:pPr>
    <w:rPr>
      <w:sz w:val="28"/>
    </w:rPr>
  </w:style>
  <w:style w:type="paragraph" w:customStyle="1" w:styleId="93">
    <w:name w:val="Char1 Char Char Char Char Char Char Char Char Char Char Char Char Char Char Char Char Char Char Char"/>
    <w:basedOn w:val="1"/>
    <w:qFormat/>
    <w:uiPriority w:val="0"/>
    <w:pPr>
      <w:spacing w:line="360" w:lineRule="auto"/>
    </w:pPr>
  </w:style>
  <w:style w:type="paragraph" w:customStyle="1" w:styleId="94">
    <w:name w:val="默认段落字体 Para Char Char Char Char Char Char Char Char Char Char Char Char Char Char"/>
    <w:basedOn w:val="14"/>
    <w:qFormat/>
    <w:uiPriority w:val="0"/>
  </w:style>
  <w:style w:type="paragraph" w:customStyle="1" w:styleId="95">
    <w:name w:val="Char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paragraph" w:customStyle="1" w:styleId="9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97">
    <w:name w:val="普通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
    <w:name w:val="列出段落1"/>
    <w:basedOn w:val="1"/>
    <w:qFormat/>
    <w:uiPriority w:val="34"/>
    <w:pPr>
      <w:spacing w:line="360" w:lineRule="auto"/>
      <w:ind w:firstLine="420" w:firstLineChars="200"/>
    </w:pPr>
    <w:rPr>
      <w:rFonts w:ascii="Calibri" w:hAnsi="Calibri"/>
      <w:szCs w:val="22"/>
    </w:rPr>
  </w:style>
  <w:style w:type="paragraph" w:customStyle="1" w:styleId="99">
    <w:name w:val="Char Char Char Char"/>
    <w:basedOn w:val="1"/>
    <w:qFormat/>
    <w:uiPriority w:val="0"/>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100">
    <w:name w:val="p0"/>
    <w:basedOn w:val="1"/>
    <w:qFormat/>
    <w:uiPriority w:val="0"/>
    <w:pPr>
      <w:widowControl/>
    </w:pPr>
    <w:rPr>
      <w:kern w:val="0"/>
      <w:szCs w:val="21"/>
    </w:rPr>
  </w:style>
  <w:style w:type="paragraph" w:customStyle="1" w:styleId="10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2">
    <w:name w:val="Char Char Char Char1"/>
    <w:basedOn w:val="1"/>
    <w:qFormat/>
    <w:uiPriority w:val="0"/>
    <w:pPr>
      <w:tabs>
        <w:tab w:val="left" w:pos="425"/>
      </w:tabs>
      <w:ind w:left="425" w:hanging="425"/>
    </w:pPr>
    <w:rPr>
      <w:rFonts w:ascii="仿宋_GB2312" w:hAnsi="宋体" w:eastAsia="仿宋_GB2312"/>
      <w:b/>
      <w:kern w:val="24"/>
      <w:sz w:val="32"/>
      <w:szCs w:val="32"/>
    </w:rPr>
  </w:style>
  <w:style w:type="paragraph" w:customStyle="1" w:styleId="103">
    <w:name w:val="Char"/>
    <w:basedOn w:val="1"/>
    <w:qFormat/>
    <w:uiPriority w:val="0"/>
    <w:rPr>
      <w:sz w:val="24"/>
      <w:szCs w:val="24"/>
    </w:rPr>
  </w:style>
  <w:style w:type="paragraph" w:customStyle="1" w:styleId="104">
    <w:name w:val="Char2"/>
    <w:basedOn w:val="1"/>
    <w:qFormat/>
    <w:uiPriority w:val="0"/>
    <w:rPr>
      <w:sz w:val="24"/>
      <w:szCs w:val="24"/>
    </w:rPr>
  </w:style>
  <w:style w:type="paragraph" w:customStyle="1" w:styleId="10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Char Char Char Char Char1 Char"/>
    <w:basedOn w:val="1"/>
    <w:qFormat/>
    <w:uiPriority w:val="0"/>
    <w:rPr>
      <w:rFonts w:ascii="Tahoma" w:hAnsi="Tahoma"/>
      <w:sz w:val="24"/>
    </w:rPr>
  </w:style>
  <w:style w:type="paragraph" w:customStyle="1" w:styleId="107">
    <w:name w:val="纯文本1"/>
    <w:basedOn w:val="1"/>
    <w:qFormat/>
    <w:uiPriority w:val="0"/>
    <w:pPr>
      <w:adjustRightInd w:val="0"/>
      <w:jc w:val="left"/>
      <w:textAlignment w:val="baseline"/>
    </w:pPr>
    <w:rPr>
      <w:rFonts w:ascii="宋体" w:hAnsi="Courier New"/>
      <w:sz w:val="24"/>
    </w:rPr>
  </w:style>
  <w:style w:type="paragraph" w:customStyle="1" w:styleId="108">
    <w:name w:val="6'"/>
    <w:basedOn w:val="1"/>
    <w:qFormat/>
    <w:uiPriority w:val="0"/>
    <w:pPr>
      <w:autoSpaceDE w:val="0"/>
      <w:autoSpaceDN w:val="0"/>
      <w:adjustRightInd w:val="0"/>
      <w:snapToGrid w:val="0"/>
      <w:spacing w:line="320" w:lineRule="exact"/>
      <w:jc w:val="center"/>
      <w:textAlignment w:val="baseline"/>
    </w:pPr>
    <w:rPr>
      <w:spacing w:val="20"/>
      <w:kern w:val="28"/>
    </w:rPr>
  </w:style>
  <w:style w:type="character" w:customStyle="1" w:styleId="109">
    <w:name w:val="Char Char5"/>
    <w:qFormat/>
    <w:uiPriority w:val="0"/>
    <w:rPr>
      <w:rFonts w:ascii="宋体" w:hAnsi="Courier New" w:eastAsia="宋体"/>
      <w:kern w:val="2"/>
      <w:sz w:val="21"/>
      <w:lang w:val="en-US" w:eastAsia="zh-CN" w:bidi="ar-SA"/>
    </w:rPr>
  </w:style>
  <w:style w:type="paragraph" w:customStyle="1" w:styleId="110">
    <w:name w:val="公文标题"/>
    <w:basedOn w:val="5"/>
    <w:qFormat/>
    <w:uiPriority w:val="0"/>
    <w:pPr>
      <w:spacing w:line="240" w:lineRule="auto"/>
      <w:ind w:left="1469" w:right="1542"/>
    </w:pPr>
    <w:rPr>
      <w:bCs w:val="0"/>
      <w:sz w:val="44"/>
      <w:szCs w:val="24"/>
    </w:rPr>
  </w:style>
  <w:style w:type="paragraph" w:customStyle="1" w:styleId="111">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12">
    <w:name w:val="发文落款"/>
    <w:basedOn w:val="111"/>
    <w:qFormat/>
    <w:uiPriority w:val="0"/>
    <w:pPr>
      <w:ind w:left="4094" w:right="607" w:firstLine="0"/>
      <w:jc w:val="center"/>
    </w:pPr>
  </w:style>
  <w:style w:type="character" w:customStyle="1" w:styleId="113">
    <w:name w:val="孙普文字 Char"/>
    <w:qFormat/>
    <w:uiPriority w:val="0"/>
    <w:rPr>
      <w:rFonts w:ascii="宋体" w:hAnsi="Courier New" w:eastAsia="宋体"/>
      <w:kern w:val="2"/>
      <w:sz w:val="21"/>
      <w:lang w:val="en-US" w:eastAsia="zh-CN" w:bidi="ar-SA"/>
    </w:rPr>
  </w:style>
  <w:style w:type="paragraph" w:customStyle="1" w:styleId="114">
    <w:name w:val="formtable1"/>
    <w:basedOn w:val="1"/>
    <w:qFormat/>
    <w:uiPriority w:val="0"/>
    <w:pPr>
      <w:widowControl/>
      <w:pBdr>
        <w:left w:val="single" w:color="CCCCCC" w:sz="6" w:space="0"/>
      </w:pBdr>
      <w:spacing w:before="100" w:beforeAutospacing="1" w:after="100" w:afterAutospacing="1"/>
      <w:jc w:val="left"/>
    </w:pPr>
    <w:rPr>
      <w:rFonts w:ascii="宋体" w:hAnsi="宋体" w:cs="宋体"/>
      <w:kern w:val="0"/>
      <w:sz w:val="24"/>
      <w:szCs w:val="24"/>
    </w:rPr>
  </w:style>
  <w:style w:type="character" w:customStyle="1" w:styleId="115">
    <w:name w:val="正文首行缩进 Char"/>
    <w:link w:val="43"/>
    <w:qFormat/>
    <w:uiPriority w:val="0"/>
    <w:rPr>
      <w:kern w:val="2"/>
      <w:sz w:val="21"/>
    </w:rPr>
  </w:style>
  <w:style w:type="character" w:customStyle="1" w:styleId="116">
    <w:name w:val="正文文本 2 Char"/>
    <w:link w:val="39"/>
    <w:qFormat/>
    <w:uiPriority w:val="0"/>
    <w:rPr>
      <w:kern w:val="2"/>
      <w:sz w:val="24"/>
    </w:rPr>
  </w:style>
  <w:style w:type="character" w:customStyle="1" w:styleId="117">
    <w:name w:val="正文文本 Char"/>
    <w:qFormat/>
    <w:uiPriority w:val="0"/>
    <w:rPr>
      <w:rFonts w:ascii="仿宋_GB2312" w:eastAsia="仿宋_GB2312"/>
      <w:kern w:val="2"/>
      <w:sz w:val="28"/>
      <w:lang w:bidi="ar-SA"/>
    </w:rPr>
  </w:style>
  <w:style w:type="character" w:customStyle="1" w:styleId="118">
    <w:name w:val="正文首行缩进 Char1"/>
    <w:basedOn w:val="85"/>
    <w:qFormat/>
    <w:uiPriority w:val="0"/>
    <w:rPr>
      <w:kern w:val="2"/>
      <w:sz w:val="21"/>
    </w:rPr>
  </w:style>
  <w:style w:type="character" w:customStyle="1" w:styleId="119">
    <w:name w:val="HTML 预设格式 Char1"/>
    <w:qFormat/>
    <w:uiPriority w:val="0"/>
    <w:rPr>
      <w:rFonts w:ascii="Courier New" w:hAnsi="Courier New" w:cs="Courier New"/>
      <w:kern w:val="2"/>
    </w:rPr>
  </w:style>
  <w:style w:type="character" w:customStyle="1" w:styleId="120">
    <w:name w:val="正文文本 2 Char1"/>
    <w:qFormat/>
    <w:uiPriority w:val="0"/>
    <w:rPr>
      <w:kern w:val="2"/>
      <w:sz w:val="21"/>
    </w:rPr>
  </w:style>
  <w:style w:type="paragraph" w:customStyle="1" w:styleId="121">
    <w:name w:val="p17"/>
    <w:basedOn w:val="1"/>
    <w:qFormat/>
    <w:uiPriority w:val="0"/>
    <w:pPr>
      <w:widowControl/>
    </w:pPr>
    <w:rPr>
      <w:rFonts w:ascii="宋体" w:hAnsi="宋体" w:cs="宋体"/>
      <w:kern w:val="0"/>
      <w:szCs w:val="21"/>
    </w:rPr>
  </w:style>
  <w:style w:type="paragraph" w:customStyle="1" w:styleId="122">
    <w:name w:val="Char Char Char Char Char1 Char Char Char Char Char Char Char"/>
    <w:basedOn w:val="1"/>
    <w:qFormat/>
    <w:uiPriority w:val="0"/>
    <w:pPr>
      <w:spacing w:line="360" w:lineRule="auto"/>
    </w:pPr>
    <w:rPr>
      <w:rFonts w:ascii="Tahoma" w:hAnsi="Tahoma"/>
      <w:sz w:val="24"/>
    </w:rPr>
  </w:style>
  <w:style w:type="character" w:customStyle="1" w:styleId="123">
    <w:name w:val="纯文本 Char2"/>
    <w:qFormat/>
    <w:uiPriority w:val="0"/>
    <w:rPr>
      <w:rFonts w:ascii="宋体" w:hAnsi="Courier New"/>
      <w:kern w:val="2"/>
      <w:sz w:val="21"/>
    </w:rPr>
  </w:style>
  <w:style w:type="paragraph" w:customStyle="1" w:styleId="124">
    <w:name w:val="域名"/>
    <w:basedOn w:val="1"/>
    <w:qFormat/>
    <w:uiPriority w:val="0"/>
    <w:pPr>
      <w:adjustRightInd w:val="0"/>
      <w:spacing w:line="240" w:lineRule="exact"/>
      <w:textAlignment w:val="baseline"/>
    </w:pPr>
    <w:rPr>
      <w:rFonts w:ascii="宋体" w:eastAsia="仿宋_GB2312"/>
      <w:b/>
      <w:color w:val="FF0000"/>
      <w:kern w:val="0"/>
    </w:rPr>
  </w:style>
  <w:style w:type="paragraph" w:customStyle="1" w:styleId="125">
    <w:name w:val="xl22"/>
    <w:basedOn w:val="1"/>
    <w:qFormat/>
    <w:uiPriority w:val="0"/>
    <w:pPr>
      <w:widowControl/>
      <w:spacing w:before="100" w:beforeAutospacing="1" w:after="100" w:afterAutospacing="1"/>
      <w:jc w:val="center"/>
      <w:textAlignment w:val="center"/>
    </w:pPr>
    <w:rPr>
      <w:rFonts w:hint="eastAsia" w:ascii="仿宋_GB2312" w:hAnsi="宋体" w:eastAsia="仿宋_GB2312"/>
      <w:kern w:val="0"/>
      <w:sz w:val="24"/>
      <w:szCs w:val="24"/>
    </w:rPr>
  </w:style>
  <w:style w:type="character" w:customStyle="1" w:styleId="126">
    <w:name w:val="标题 2 Char1"/>
    <w:qFormat/>
    <w:uiPriority w:val="9"/>
    <w:rPr>
      <w:rFonts w:ascii="Arial" w:hAnsi="Arial" w:eastAsia="黑体"/>
      <w:b/>
      <w:bCs/>
      <w:kern w:val="2"/>
      <w:sz w:val="32"/>
      <w:szCs w:val="32"/>
    </w:rPr>
  </w:style>
  <w:style w:type="paragraph" w:customStyle="1" w:styleId="127">
    <w:name w:val="表格标题粗体_制度头表格"/>
    <w:qFormat/>
    <w:uiPriority w:val="0"/>
    <w:pPr>
      <w:jc w:val="center"/>
    </w:pPr>
    <w:rPr>
      <w:rFonts w:ascii="Times New Roman" w:hAnsi="Times New Roman" w:eastAsia="宋体" w:cs="Times New Roman"/>
      <w:b/>
      <w:sz w:val="21"/>
      <w:szCs w:val="21"/>
      <w:lang w:val="en-US" w:eastAsia="zh-CN" w:bidi="ar-SA"/>
    </w:rPr>
  </w:style>
  <w:style w:type="paragraph" w:customStyle="1" w:styleId="128">
    <w:name w:val="表格标题正常_制度头表格"/>
    <w:qFormat/>
    <w:uiPriority w:val="0"/>
    <w:pPr>
      <w:jc w:val="center"/>
    </w:pPr>
    <w:rPr>
      <w:rFonts w:ascii="Times New Roman" w:hAnsi="Times New Roman" w:eastAsia="宋体" w:cs="Times New Roman"/>
      <w:sz w:val="21"/>
      <w:lang w:val="en-US" w:eastAsia="zh-CN" w:bidi="ar-SA"/>
    </w:rPr>
  </w:style>
  <w:style w:type="paragraph" w:customStyle="1" w:styleId="129">
    <w:name w:val="表格内容靠左正常_制度头表格"/>
    <w:qFormat/>
    <w:uiPriority w:val="0"/>
    <w:rPr>
      <w:rFonts w:ascii="Times New Roman" w:hAnsi="Times New Roman" w:eastAsia="宋体" w:cs="Times New Roman"/>
      <w:sz w:val="21"/>
      <w:szCs w:val="21"/>
      <w:lang w:val="en-US" w:eastAsia="zh-CN" w:bidi="ar-SA"/>
    </w:rPr>
  </w:style>
  <w:style w:type="paragraph" w:customStyle="1" w:styleId="130">
    <w:name w:val="表格空行_制度头表格"/>
    <w:basedOn w:val="128"/>
    <w:qFormat/>
    <w:uiPriority w:val="0"/>
    <w:pPr>
      <w:tabs>
        <w:tab w:val="left" w:pos="2960"/>
      </w:tabs>
      <w:jc w:val="both"/>
    </w:pPr>
    <w:rPr>
      <w:rFonts w:eastAsia="黑体"/>
      <w:sz w:val="11"/>
      <w:szCs w:val="30"/>
    </w:rPr>
  </w:style>
  <w:style w:type="character" w:customStyle="1" w:styleId="131">
    <w:name w:val="Char Char26"/>
    <w:qFormat/>
    <w:uiPriority w:val="0"/>
    <w:rPr>
      <w:rFonts w:ascii="Arial" w:hAnsi="Arial" w:eastAsia="黑体"/>
      <w:b/>
      <w:bCs/>
      <w:kern w:val="2"/>
      <w:sz w:val="32"/>
      <w:szCs w:val="32"/>
      <w:lang w:val="en-US" w:eastAsia="zh-CN" w:bidi="ar-SA"/>
    </w:rPr>
  </w:style>
  <w:style w:type="paragraph" w:customStyle="1" w:styleId="132">
    <w:name w:val="11"/>
    <w:basedOn w:val="19"/>
    <w:link w:val="133"/>
    <w:qFormat/>
    <w:uiPriority w:val="0"/>
    <w:pPr>
      <w:spacing w:line="360" w:lineRule="auto"/>
    </w:pPr>
    <w:rPr>
      <w:rFonts w:hAnsi="宋体"/>
      <w:b/>
      <w:szCs w:val="21"/>
    </w:rPr>
  </w:style>
  <w:style w:type="character" w:customStyle="1" w:styleId="133">
    <w:name w:val="11 Char"/>
    <w:link w:val="132"/>
    <w:qFormat/>
    <w:uiPriority w:val="0"/>
    <w:rPr>
      <w:rFonts w:hAnsi="宋体"/>
      <w:b/>
      <w:kern w:val="2"/>
      <w:sz w:val="21"/>
      <w:szCs w:val="21"/>
    </w:rPr>
  </w:style>
  <w:style w:type="character" w:customStyle="1" w:styleId="134">
    <w:name w:val="正文文本缩进 Char1"/>
    <w:qFormat/>
    <w:uiPriority w:val="99"/>
  </w:style>
  <w:style w:type="paragraph" w:customStyle="1" w:styleId="135">
    <w:name w:val="英文1"/>
    <w:basedOn w:val="1"/>
    <w:qFormat/>
    <w:uiPriority w:val="0"/>
    <w:pPr>
      <w:tabs>
        <w:tab w:val="left" w:pos="1155"/>
      </w:tabs>
      <w:adjustRightInd w:val="0"/>
      <w:snapToGrid w:val="0"/>
      <w:spacing w:beforeLines="50" w:line="240" w:lineRule="exact"/>
      <w:ind w:left="733" w:leftChars="349" w:firstLine="373" w:firstLineChars="207"/>
    </w:pPr>
    <w:rPr>
      <w:rFonts w:ascii="Arial" w:hAnsi="Arial" w:cs="Arial"/>
      <w:sz w:val="18"/>
      <w:szCs w:val="24"/>
    </w:rPr>
  </w:style>
  <w:style w:type="paragraph" w:customStyle="1" w:styleId="136">
    <w:name w:val="中文1"/>
    <w:basedOn w:val="135"/>
    <w:qFormat/>
    <w:uiPriority w:val="0"/>
    <w:pPr>
      <w:spacing w:afterLines="150"/>
      <w:ind w:firstLine="371" w:firstLineChars="206"/>
    </w:pPr>
    <w:rPr>
      <w:rFonts w:ascii="宋体" w:hAnsi="宋体"/>
    </w:rPr>
  </w:style>
  <w:style w:type="paragraph" w:customStyle="1" w:styleId="137">
    <w:name w:val="样式 段后: 0.5 行1"/>
    <w:basedOn w:val="1"/>
    <w:qFormat/>
    <w:uiPriority w:val="0"/>
    <w:pPr>
      <w:snapToGrid w:val="0"/>
      <w:spacing w:afterLines="50"/>
    </w:pPr>
    <w:rPr>
      <w:rFonts w:cs="宋体"/>
      <w:sz w:val="24"/>
      <w:szCs w:val="24"/>
    </w:rPr>
  </w:style>
  <w:style w:type="paragraph" w:customStyle="1" w:styleId="138">
    <w:name w:val="样式 样式 样式1 + 段后: 0.5 行 + 段后: 0.5 行"/>
    <w:basedOn w:val="1"/>
    <w:qFormat/>
    <w:uiPriority w:val="0"/>
    <w:pPr>
      <w:numPr>
        <w:ilvl w:val="0"/>
        <w:numId w:val="1"/>
      </w:numPr>
      <w:adjustRightInd w:val="0"/>
      <w:snapToGrid w:val="0"/>
      <w:jc w:val="left"/>
      <w:outlineLvl w:val="0"/>
    </w:pPr>
    <w:rPr>
      <w:rFonts w:ascii="宋体" w:hAnsi="Arial" w:cs="宋体"/>
      <w:sz w:val="24"/>
    </w:rPr>
  </w:style>
  <w:style w:type="paragraph" w:customStyle="1" w:styleId="139">
    <w:name w:val="第二级"/>
    <w:basedOn w:val="1"/>
    <w:qFormat/>
    <w:uiPriority w:val="0"/>
    <w:pPr>
      <w:numPr>
        <w:ilvl w:val="1"/>
        <w:numId w:val="2"/>
      </w:numPr>
      <w:adjustRightInd w:val="0"/>
      <w:snapToGrid w:val="0"/>
      <w:spacing w:afterLines="50"/>
      <w:ind w:left="0" w:firstLine="0"/>
      <w:jc w:val="left"/>
      <w:outlineLvl w:val="1"/>
    </w:pPr>
    <w:rPr>
      <w:rFonts w:ascii="宋体" w:hAnsi="Arial"/>
      <w:sz w:val="24"/>
    </w:rPr>
  </w:style>
  <w:style w:type="paragraph" w:customStyle="1" w:styleId="140">
    <w:name w:val="样式 第二级 + 段后: 0.5 行"/>
    <w:basedOn w:val="139"/>
    <w:qFormat/>
    <w:uiPriority w:val="0"/>
    <w:pPr>
      <w:spacing w:afterLines="0"/>
      <w:ind w:left="567" w:hanging="567"/>
    </w:pPr>
    <w:rPr>
      <w:rFonts w:cs="宋体"/>
    </w:rPr>
  </w:style>
  <w:style w:type="character" w:customStyle="1" w:styleId="141">
    <w:name w:val="标题 Char"/>
    <w:link w:val="18"/>
    <w:qFormat/>
    <w:uiPriority w:val="10"/>
    <w:rPr>
      <w:rFonts w:ascii="Cambria" w:hAnsi="Cambria"/>
      <w:b/>
      <w:bCs/>
      <w:kern w:val="2"/>
      <w:sz w:val="32"/>
      <w:szCs w:val="32"/>
      <w:lang w:val="zh-CN" w:eastAsia="zh-CN"/>
    </w:rPr>
  </w:style>
  <w:style w:type="paragraph" w:customStyle="1" w:styleId="142">
    <w:name w:val="无间隔1"/>
    <w:link w:val="143"/>
    <w:qFormat/>
    <w:uiPriority w:val="1"/>
    <w:pPr>
      <w:widowControl w:val="0"/>
      <w:jc w:val="both"/>
    </w:pPr>
    <w:rPr>
      <w:rFonts w:ascii="Times New Roman" w:hAnsi="Times New Roman" w:eastAsia="宋体" w:cs="Times New Roman"/>
      <w:kern w:val="2"/>
      <w:sz w:val="24"/>
      <w:lang w:val="en-US" w:eastAsia="zh-CN" w:bidi="ar-SA"/>
    </w:rPr>
  </w:style>
  <w:style w:type="character" w:customStyle="1" w:styleId="143">
    <w:name w:val="无间隔 Char"/>
    <w:link w:val="142"/>
    <w:qFormat/>
    <w:uiPriority w:val="1"/>
    <w:rPr>
      <w:kern w:val="2"/>
      <w:sz w:val="24"/>
      <w:lang w:bidi="ar-SA"/>
    </w:rPr>
  </w:style>
  <w:style w:type="paragraph" w:customStyle="1" w:styleId="144">
    <w:name w:val="TOC 标题1"/>
    <w:basedOn w:val="3"/>
    <w:next w:val="1"/>
    <w:unhideWhenUsed/>
    <w:qFormat/>
    <w:uiPriority w:val="39"/>
    <w:pPr>
      <w:widowControl/>
      <w:adjustRightInd w:val="0"/>
      <w:spacing w:before="480" w:after="0" w:line="276" w:lineRule="auto"/>
      <w:jc w:val="left"/>
      <w:outlineLvl w:val="9"/>
    </w:pPr>
    <w:rPr>
      <w:rFonts w:ascii="Cambria" w:hAnsi="Cambria"/>
      <w:b w:val="0"/>
      <w:color w:val="365F91"/>
      <w:kern w:val="0"/>
      <w:sz w:val="28"/>
      <w:szCs w:val="28"/>
    </w:rPr>
  </w:style>
  <w:style w:type="character" w:customStyle="1" w:styleId="145">
    <w:name w:val="正文文本 3 Char1"/>
    <w:qFormat/>
    <w:uiPriority w:val="0"/>
    <w:rPr>
      <w:rFonts w:eastAsia="仿宋_GB2312"/>
      <w:sz w:val="16"/>
      <w:szCs w:val="16"/>
    </w:rPr>
  </w:style>
  <w:style w:type="character" w:customStyle="1" w:styleId="146">
    <w:name w:val="日期 Char1"/>
    <w:qFormat/>
    <w:uiPriority w:val="0"/>
    <w:rPr>
      <w:rFonts w:ascii="Times New Roman" w:hAnsi="Times New Roman" w:eastAsia="宋体" w:cs="Times New Roman"/>
      <w:szCs w:val="20"/>
    </w:rPr>
  </w:style>
  <w:style w:type="character" w:customStyle="1" w:styleId="147">
    <w:name w:val="！正文（四号字） Char Char"/>
    <w:qFormat/>
    <w:uiPriority w:val="0"/>
    <w:rPr>
      <w:rFonts w:eastAsia="Times New Roman"/>
      <w:kern w:val="2"/>
      <w:sz w:val="24"/>
      <w:szCs w:val="28"/>
      <w:lang w:val="en-US" w:eastAsia="zh-CN" w:bidi="ar-SA"/>
    </w:rPr>
  </w:style>
  <w:style w:type="character" w:customStyle="1" w:styleId="148">
    <w:name w:val="文档结构图 Char1"/>
    <w:qFormat/>
    <w:uiPriority w:val="0"/>
    <w:rPr>
      <w:rFonts w:ascii="宋体"/>
      <w:sz w:val="18"/>
      <w:szCs w:val="18"/>
    </w:rPr>
  </w:style>
  <w:style w:type="character" w:customStyle="1" w:styleId="149">
    <w:name w:val="Char Char13"/>
    <w:qFormat/>
    <w:uiPriority w:val="0"/>
    <w:rPr>
      <w:rFonts w:ascii="宋体" w:eastAsia="宋体"/>
      <w:kern w:val="2"/>
      <w:sz w:val="24"/>
      <w:lang w:val="en-US" w:eastAsia="zh-CN" w:bidi="ar-SA"/>
    </w:rPr>
  </w:style>
  <w:style w:type="character" w:customStyle="1" w:styleId="150">
    <w:name w:val="批注文字 Char1"/>
    <w:qFormat/>
    <w:uiPriority w:val="0"/>
    <w:rPr>
      <w:rFonts w:eastAsia="仿宋_GB2312"/>
      <w:sz w:val="30"/>
    </w:rPr>
  </w:style>
  <w:style w:type="character" w:customStyle="1" w:styleId="151">
    <w:name w:val="Comment Text Char"/>
    <w:qFormat/>
    <w:locked/>
    <w:uiPriority w:val="0"/>
    <w:rPr>
      <w:kern w:val="2"/>
      <w:sz w:val="24"/>
      <w:szCs w:val="24"/>
    </w:rPr>
  </w:style>
  <w:style w:type="character" w:customStyle="1" w:styleId="152">
    <w:name w:val="h Char1"/>
    <w:qFormat/>
    <w:locked/>
    <w:uiPriority w:val="0"/>
    <w:rPr>
      <w:rFonts w:eastAsia="仿宋_GB2312"/>
      <w:sz w:val="18"/>
    </w:rPr>
  </w:style>
  <w:style w:type="character" w:customStyle="1" w:styleId="153">
    <w:name w:val="Char Char10"/>
    <w:qFormat/>
    <w:uiPriority w:val="0"/>
    <w:rPr>
      <w:rFonts w:ascii="宋体" w:hAnsi="Courier New" w:eastAsia="宋体" w:cs="宋体"/>
      <w:kern w:val="2"/>
      <w:sz w:val="24"/>
      <w:szCs w:val="24"/>
      <w:lang w:val="en-US" w:eastAsia="zh-CN"/>
    </w:rPr>
  </w:style>
  <w:style w:type="character" w:customStyle="1" w:styleId="154">
    <w:name w:val="正文首行缩进 2 Char1"/>
    <w:qFormat/>
    <w:uiPriority w:val="0"/>
    <w:rPr>
      <w:rFonts w:ascii="宋体" w:hAnsi="宋体" w:eastAsia="仿宋_GB2312"/>
      <w:sz w:val="30"/>
      <w:szCs w:val="28"/>
    </w:rPr>
  </w:style>
  <w:style w:type="character" w:customStyle="1" w:styleId="155">
    <w:name w:val="批注主题 Char1"/>
    <w:qFormat/>
    <w:uiPriority w:val="0"/>
    <w:rPr>
      <w:rFonts w:eastAsia="仿宋_GB2312"/>
      <w:b/>
      <w:bCs/>
      <w:sz w:val="30"/>
    </w:rPr>
  </w:style>
  <w:style w:type="character" w:customStyle="1" w:styleId="156">
    <w:name w:val="Char Char22"/>
    <w:qFormat/>
    <w:uiPriority w:val="0"/>
    <w:rPr>
      <w:rFonts w:ascii="Arial" w:hAnsi="Arial" w:eastAsia="黑体"/>
      <w:b/>
      <w:bCs/>
      <w:kern w:val="2"/>
      <w:sz w:val="32"/>
      <w:szCs w:val="32"/>
      <w:lang w:val="en-US" w:eastAsia="zh-CN" w:bidi="ar-SA"/>
    </w:rPr>
  </w:style>
  <w:style w:type="character" w:customStyle="1" w:styleId="157">
    <w:name w:val="Char Char121"/>
    <w:qFormat/>
    <w:uiPriority w:val="0"/>
    <w:rPr>
      <w:rFonts w:eastAsia="仿宋_GB2312"/>
      <w:sz w:val="18"/>
    </w:rPr>
  </w:style>
  <w:style w:type="character" w:customStyle="1" w:styleId="158">
    <w:name w:val="Char Char11"/>
    <w:qFormat/>
    <w:uiPriority w:val="0"/>
    <w:rPr>
      <w:kern w:val="2"/>
      <w:sz w:val="26"/>
    </w:rPr>
  </w:style>
  <w:style w:type="character" w:customStyle="1" w:styleId="159">
    <w:name w:val="Comment Subject Char"/>
    <w:qFormat/>
    <w:locked/>
    <w:uiPriority w:val="0"/>
    <w:rPr>
      <w:b/>
      <w:bCs/>
      <w:kern w:val="2"/>
      <w:sz w:val="24"/>
      <w:szCs w:val="24"/>
    </w:rPr>
  </w:style>
  <w:style w:type="character" w:customStyle="1" w:styleId="160">
    <w:name w:val="正文文本缩进 3 Char1"/>
    <w:qFormat/>
    <w:uiPriority w:val="0"/>
    <w:rPr>
      <w:rFonts w:eastAsia="仿宋_GB2312"/>
      <w:sz w:val="16"/>
      <w:szCs w:val="16"/>
    </w:rPr>
  </w:style>
  <w:style w:type="character" w:customStyle="1" w:styleId="161">
    <w:name w:val="Footer-Even Char1"/>
    <w:qFormat/>
    <w:locked/>
    <w:uiPriority w:val="0"/>
    <w:rPr>
      <w:rFonts w:eastAsia="仿宋_GB2312"/>
      <w:sz w:val="18"/>
    </w:rPr>
  </w:style>
  <w:style w:type="paragraph" w:customStyle="1" w:styleId="162">
    <w:name w:val="bn"/>
    <w:basedOn w:val="1"/>
    <w:qFormat/>
    <w:uiPriority w:val="0"/>
    <w:pPr>
      <w:topLinePunct/>
      <w:snapToGrid w:val="0"/>
      <w:ind w:left="20" w:leftChars="20" w:right="20" w:rightChars="20"/>
      <w:jc w:val="center"/>
    </w:pPr>
    <w:rPr>
      <w:color w:val="000000"/>
      <w:kern w:val="18"/>
      <w:sz w:val="18"/>
      <w:szCs w:val="18"/>
    </w:rPr>
  </w:style>
  <w:style w:type="paragraph" w:customStyle="1" w:styleId="163">
    <w:name w:val="bg"/>
    <w:basedOn w:val="19"/>
    <w:qFormat/>
    <w:uiPriority w:val="0"/>
    <w:pPr>
      <w:topLinePunct/>
      <w:snapToGrid w:val="0"/>
      <w:spacing w:after="0"/>
      <w:ind w:left="0" w:leftChars="0"/>
      <w:jc w:val="center"/>
    </w:pPr>
    <w:rPr>
      <w:rFonts w:hAnsi="Calibri"/>
      <w:color w:val="000000"/>
      <w:sz w:val="18"/>
      <w:szCs w:val="18"/>
      <w:lang w:val="en-US"/>
    </w:rPr>
  </w:style>
  <w:style w:type="character" w:customStyle="1" w:styleId="164">
    <w:name w:val="正文首行缩进 2 Char"/>
    <w:link w:val="44"/>
    <w:qFormat/>
    <w:uiPriority w:val="0"/>
    <w:rPr>
      <w:rFonts w:hAnsi="Calibri"/>
      <w:kern w:val="2"/>
      <w:sz w:val="21"/>
      <w:szCs w:val="24"/>
    </w:rPr>
  </w:style>
  <w:style w:type="paragraph" w:customStyle="1" w:styleId="165">
    <w:name w:val="Char1 Char Char Char Char Char Char Char Char Char Char Char Char Char Char Char Char Char Char Char1"/>
    <w:basedOn w:val="1"/>
    <w:qFormat/>
    <w:uiPriority w:val="0"/>
    <w:pPr>
      <w:spacing w:line="360" w:lineRule="auto"/>
    </w:pPr>
  </w:style>
  <w:style w:type="paragraph" w:customStyle="1" w:styleId="166">
    <w:name w:val="Char Char Char Char Char Char Char Char Char Char Char Char"/>
    <w:basedOn w:val="1"/>
    <w:qFormat/>
    <w:uiPriority w:val="0"/>
    <w:pPr>
      <w:spacing w:line="360" w:lineRule="auto"/>
    </w:pPr>
  </w:style>
  <w:style w:type="paragraph" w:customStyle="1" w:styleId="167">
    <w:name w:val="修订1"/>
    <w:hidden/>
    <w:semiHidden/>
    <w:qFormat/>
    <w:uiPriority w:val="99"/>
    <w:rPr>
      <w:rFonts w:ascii="Times New Roman" w:hAnsi="Times New Roman" w:eastAsia="宋体" w:cs="Times New Roman"/>
      <w:kern w:val="2"/>
      <w:sz w:val="21"/>
      <w:lang w:val="en-US" w:eastAsia="zh-CN" w:bidi="ar-SA"/>
    </w:rPr>
  </w:style>
  <w:style w:type="table" w:customStyle="1" w:styleId="168">
    <w:name w:val="网格型1"/>
    <w:basedOn w:val="4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9">
    <w:name w:val="批注主题 Char2"/>
    <w:qFormat/>
    <w:uiPriority w:val="99"/>
    <w:rPr>
      <w:rFonts w:eastAsia="仿宋_GB2312"/>
      <w:b/>
      <w:bCs/>
      <w:sz w:val="30"/>
    </w:rPr>
  </w:style>
  <w:style w:type="character" w:customStyle="1" w:styleId="170">
    <w:name w:val="正文文本缩进 3 Char2"/>
    <w:qFormat/>
    <w:uiPriority w:val="99"/>
    <w:rPr>
      <w:rFonts w:eastAsia="仿宋_GB2312"/>
      <w:sz w:val="16"/>
      <w:szCs w:val="16"/>
    </w:rPr>
  </w:style>
  <w:style w:type="character" w:customStyle="1" w:styleId="171">
    <w:name w:val="正文首行缩进 Char2"/>
    <w:qFormat/>
    <w:uiPriority w:val="99"/>
    <w:rPr>
      <w:rFonts w:eastAsia="仿宋_GB2312"/>
      <w:kern w:val="2"/>
      <w:sz w:val="30"/>
    </w:rPr>
  </w:style>
  <w:style w:type="character" w:customStyle="1" w:styleId="172">
    <w:name w:val="Char Char51"/>
    <w:qFormat/>
    <w:uiPriority w:val="0"/>
    <w:rPr>
      <w:rFonts w:ascii="宋体" w:hAnsi="Courier New" w:eastAsia="宋体"/>
      <w:kern w:val="2"/>
      <w:sz w:val="21"/>
      <w:lang w:val="en-US" w:eastAsia="zh-CN" w:bidi="ar-SA"/>
    </w:rPr>
  </w:style>
  <w:style w:type="character" w:customStyle="1" w:styleId="173">
    <w:name w:val="日期 Char2"/>
    <w:qFormat/>
    <w:uiPriority w:val="99"/>
    <w:rPr>
      <w:rFonts w:eastAsia="仿宋_GB2312"/>
      <w:sz w:val="30"/>
    </w:rPr>
  </w:style>
  <w:style w:type="paragraph" w:customStyle="1" w:styleId="174">
    <w:name w:val="Char11"/>
    <w:basedOn w:val="1"/>
    <w:qFormat/>
    <w:uiPriority w:val="0"/>
    <w:pPr>
      <w:widowControl/>
      <w:spacing w:before="100" w:beforeAutospacing="1" w:after="100" w:afterAutospacing="1" w:line="330" w:lineRule="atLeast"/>
      <w:ind w:left="360"/>
      <w:jc w:val="left"/>
    </w:pPr>
    <w:rPr>
      <w:rFonts w:ascii="ˎ̥" w:hAnsi="ˎ̥" w:cs="宋体"/>
      <w:color w:val="51585D"/>
      <w:kern w:val="0"/>
      <w:sz w:val="24"/>
      <w:szCs w:val="18"/>
    </w:rPr>
  </w:style>
  <w:style w:type="character" w:customStyle="1" w:styleId="175">
    <w:name w:val="正文文本 2 Char2"/>
    <w:basedOn w:val="48"/>
    <w:semiHidden/>
    <w:qFormat/>
    <w:uiPriority w:val="99"/>
  </w:style>
  <w:style w:type="character" w:customStyle="1" w:styleId="176">
    <w:name w:val="正文文本缩进 Char2"/>
    <w:basedOn w:val="48"/>
    <w:semiHidden/>
    <w:qFormat/>
    <w:uiPriority w:val="99"/>
  </w:style>
  <w:style w:type="character" w:customStyle="1" w:styleId="177">
    <w:name w:val="批注文字 Char2"/>
    <w:basedOn w:val="48"/>
    <w:semiHidden/>
    <w:qFormat/>
    <w:uiPriority w:val="99"/>
  </w:style>
  <w:style w:type="character" w:customStyle="1" w:styleId="178">
    <w:name w:val="日期 Char3"/>
    <w:basedOn w:val="48"/>
    <w:semiHidden/>
    <w:qFormat/>
    <w:uiPriority w:val="99"/>
  </w:style>
  <w:style w:type="character" w:customStyle="1" w:styleId="179">
    <w:name w:val="正文文本缩进 2 Char1"/>
    <w:basedOn w:val="48"/>
    <w:semiHidden/>
    <w:qFormat/>
    <w:uiPriority w:val="99"/>
  </w:style>
  <w:style w:type="character" w:customStyle="1" w:styleId="180">
    <w:name w:val="正文文本缩进 3 Char3"/>
    <w:semiHidden/>
    <w:qFormat/>
    <w:uiPriority w:val="99"/>
    <w:rPr>
      <w:sz w:val="16"/>
      <w:szCs w:val="16"/>
    </w:rPr>
  </w:style>
  <w:style w:type="character" w:customStyle="1" w:styleId="181">
    <w:name w:val="正文文本 Char2"/>
    <w:basedOn w:val="48"/>
    <w:semiHidden/>
    <w:qFormat/>
    <w:uiPriority w:val="99"/>
  </w:style>
  <w:style w:type="character" w:customStyle="1" w:styleId="182">
    <w:name w:val="正文首行缩进 Char3"/>
    <w:basedOn w:val="181"/>
    <w:semiHidden/>
    <w:qFormat/>
    <w:uiPriority w:val="99"/>
  </w:style>
  <w:style w:type="character" w:customStyle="1" w:styleId="183">
    <w:name w:val="页眉 Char1"/>
    <w:semiHidden/>
    <w:qFormat/>
    <w:uiPriority w:val="99"/>
    <w:rPr>
      <w:sz w:val="18"/>
      <w:szCs w:val="18"/>
    </w:rPr>
  </w:style>
  <w:style w:type="character" w:customStyle="1" w:styleId="184">
    <w:name w:val="纯文本 Char3"/>
    <w:semiHidden/>
    <w:qFormat/>
    <w:uiPriority w:val="99"/>
    <w:rPr>
      <w:rFonts w:ascii="宋体" w:hAnsi="Courier New" w:eastAsia="宋体" w:cs="Courier New"/>
      <w:szCs w:val="21"/>
    </w:rPr>
  </w:style>
  <w:style w:type="character" w:customStyle="1" w:styleId="185">
    <w:name w:val="批注主题 Char3"/>
    <w:semiHidden/>
    <w:qFormat/>
    <w:uiPriority w:val="99"/>
    <w:rPr>
      <w:b/>
      <w:bCs/>
    </w:rPr>
  </w:style>
  <w:style w:type="paragraph" w:customStyle="1" w:styleId="186">
    <w:name w:val="默认段落字体 Para Char Char Char Char"/>
    <w:basedOn w:val="1"/>
    <w:qFormat/>
    <w:uiPriority w:val="0"/>
    <w:rPr>
      <w:szCs w:val="24"/>
    </w:rPr>
  </w:style>
  <w:style w:type="character" w:customStyle="1" w:styleId="187">
    <w:name w:val="HTML 预设格式 Char2"/>
    <w:semiHidden/>
    <w:qFormat/>
    <w:uiPriority w:val="99"/>
    <w:rPr>
      <w:rFonts w:ascii="Courier New" w:hAnsi="Courier New" w:cs="Courier New"/>
      <w:sz w:val="20"/>
      <w:szCs w:val="20"/>
    </w:rPr>
  </w:style>
  <w:style w:type="character" w:customStyle="1" w:styleId="188">
    <w:name w:val="文档结构图 Char2"/>
    <w:semiHidden/>
    <w:qFormat/>
    <w:uiPriority w:val="99"/>
    <w:rPr>
      <w:rFonts w:ascii="宋体" w:eastAsia="宋体"/>
      <w:sz w:val="18"/>
      <w:szCs w:val="18"/>
    </w:rPr>
  </w:style>
  <w:style w:type="character" w:customStyle="1" w:styleId="189">
    <w:name w:val="页脚 Char1"/>
    <w:semiHidden/>
    <w:qFormat/>
    <w:uiPriority w:val="99"/>
    <w:rPr>
      <w:sz w:val="18"/>
      <w:szCs w:val="18"/>
    </w:rPr>
  </w:style>
  <w:style w:type="paragraph" w:customStyle="1" w:styleId="190">
    <w:name w:val="纯文本11"/>
    <w:basedOn w:val="1"/>
    <w:qFormat/>
    <w:uiPriority w:val="0"/>
    <w:pPr>
      <w:adjustRightInd w:val="0"/>
      <w:jc w:val="left"/>
      <w:textAlignment w:val="baseline"/>
    </w:pPr>
    <w:rPr>
      <w:rFonts w:ascii="宋体" w:hAnsi="Courier New"/>
      <w:sz w:val="24"/>
    </w:rPr>
  </w:style>
  <w:style w:type="character" w:customStyle="1" w:styleId="191">
    <w:name w:val="正文文本 3 Char2"/>
    <w:semiHidden/>
    <w:qFormat/>
    <w:uiPriority w:val="99"/>
    <w:rPr>
      <w:sz w:val="16"/>
      <w:szCs w:val="16"/>
    </w:rPr>
  </w:style>
  <w:style w:type="character" w:customStyle="1" w:styleId="192">
    <w:name w:val="正文首行缩进 2 Char2"/>
    <w:basedOn w:val="176"/>
    <w:semiHidden/>
    <w:qFormat/>
    <w:uiPriority w:val="99"/>
  </w:style>
  <w:style w:type="character" w:customStyle="1" w:styleId="193">
    <w:name w:val="标题 Char1"/>
    <w:qFormat/>
    <w:uiPriority w:val="10"/>
    <w:rPr>
      <w:rFonts w:ascii="Cambria" w:hAnsi="Cambria" w:eastAsia="宋体" w:cs="Times New Roman"/>
      <w:b/>
      <w:bCs/>
      <w:sz w:val="32"/>
      <w:szCs w:val="32"/>
    </w:rPr>
  </w:style>
  <w:style w:type="paragraph" w:customStyle="1" w:styleId="194">
    <w:name w:val="Char Char Char Char Char1 Char1"/>
    <w:basedOn w:val="1"/>
    <w:qFormat/>
    <w:uiPriority w:val="0"/>
    <w:rPr>
      <w:rFonts w:ascii="Tahoma" w:hAnsi="Tahoma"/>
      <w:sz w:val="24"/>
    </w:rPr>
  </w:style>
  <w:style w:type="paragraph" w:customStyle="1" w:styleId="195">
    <w:name w:val="by"/>
    <w:basedOn w:val="163"/>
    <w:qFormat/>
    <w:uiPriority w:val="0"/>
    <w:pPr>
      <w:autoSpaceDE w:val="0"/>
      <w:autoSpaceDN w:val="0"/>
      <w:adjustRightInd w:val="0"/>
      <w:spacing w:afterLines="10"/>
      <w:ind w:left="545" w:leftChars="25" w:right="52" w:rightChars="25" w:hanging="493" w:hangingChars="275"/>
      <w:jc w:val="both"/>
    </w:pPr>
    <w:rPr>
      <w:spacing w:val="2"/>
    </w:rPr>
  </w:style>
  <w:style w:type="character" w:customStyle="1" w:styleId="196">
    <w:name w:val="已访问的超链接1"/>
    <w:unhideWhenUsed/>
    <w:qFormat/>
    <w:uiPriority w:val="99"/>
    <w:rPr>
      <w:color w:val="800080"/>
      <w:u w:val="single"/>
    </w:rPr>
  </w:style>
  <w:style w:type="paragraph" w:customStyle="1" w:styleId="197">
    <w:name w:val="font5"/>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8">
    <w:name w:val="font6"/>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99">
    <w:name w:val="font7"/>
    <w:basedOn w:val="1"/>
    <w:qFormat/>
    <w:uiPriority w:val="0"/>
    <w:pPr>
      <w:widowControl/>
      <w:spacing w:before="100" w:beforeAutospacing="1" w:after="100" w:afterAutospacing="1"/>
      <w:jc w:val="left"/>
    </w:pPr>
    <w:rPr>
      <w:rFonts w:ascii="宋体" w:hAnsi="宋体" w:cs="宋体"/>
      <w:color w:val="333333"/>
      <w:kern w:val="0"/>
      <w:sz w:val="20"/>
    </w:rPr>
  </w:style>
  <w:style w:type="paragraph" w:customStyle="1" w:styleId="20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01">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2">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3">
    <w:name w:val="xl6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4">
    <w:name w:val="xl66"/>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b/>
      <w:bCs/>
      <w:kern w:val="0"/>
      <w:sz w:val="20"/>
    </w:rPr>
  </w:style>
  <w:style w:type="paragraph" w:customStyle="1" w:styleId="205">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20"/>
    </w:rPr>
  </w:style>
  <w:style w:type="paragraph" w:customStyle="1" w:styleId="206">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7">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rPr>
  </w:style>
  <w:style w:type="paragraph" w:customStyle="1" w:styleId="208">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09">
    <w:name w:val="xl7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color w:val="FF0000"/>
      <w:kern w:val="0"/>
      <w:sz w:val="20"/>
    </w:rPr>
  </w:style>
  <w:style w:type="paragraph" w:customStyle="1" w:styleId="210">
    <w:name w:val="xl72"/>
    <w:basedOn w:val="1"/>
    <w:qFormat/>
    <w:uiPriority w:val="0"/>
    <w:pPr>
      <w:widowControl/>
      <w:pBdr>
        <w:right w:val="single" w:color="auto" w:sz="8" w:space="0"/>
      </w:pBdr>
      <w:spacing w:before="100" w:beforeAutospacing="1" w:after="100" w:afterAutospacing="1"/>
      <w:jc w:val="left"/>
    </w:pPr>
    <w:rPr>
      <w:rFonts w:ascii="宋体" w:hAnsi="宋体" w:cs="宋体"/>
      <w:kern w:val="0"/>
      <w:sz w:val="20"/>
    </w:rPr>
  </w:style>
  <w:style w:type="paragraph" w:customStyle="1" w:styleId="211">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0"/>
    </w:rPr>
  </w:style>
  <w:style w:type="paragraph" w:customStyle="1" w:styleId="212">
    <w:name w:val="xl74"/>
    <w:basedOn w:val="1"/>
    <w:qFormat/>
    <w:uiPriority w:val="0"/>
    <w:pPr>
      <w:widowControl/>
      <w:spacing w:before="100" w:beforeAutospacing="1" w:after="100" w:afterAutospacing="1"/>
      <w:jc w:val="left"/>
    </w:pPr>
    <w:rPr>
      <w:rFonts w:ascii="宋体" w:hAnsi="宋体" w:cs="宋体"/>
      <w:kern w:val="0"/>
      <w:sz w:val="20"/>
    </w:rPr>
  </w:style>
  <w:style w:type="paragraph" w:customStyle="1" w:styleId="213">
    <w:name w:val="xl75"/>
    <w:basedOn w:val="1"/>
    <w:qFormat/>
    <w:uiPriority w:val="0"/>
    <w:pPr>
      <w:widowControl/>
      <w:spacing w:before="100" w:beforeAutospacing="1" w:after="100" w:afterAutospacing="1"/>
      <w:jc w:val="center"/>
    </w:pPr>
    <w:rPr>
      <w:rFonts w:ascii="宋体" w:hAnsi="宋体" w:cs="宋体"/>
      <w:kern w:val="0"/>
      <w:sz w:val="20"/>
    </w:rPr>
  </w:style>
  <w:style w:type="paragraph" w:customStyle="1" w:styleId="214">
    <w:name w:val="xl76"/>
    <w:basedOn w:val="1"/>
    <w:qFormat/>
    <w:uiPriority w:val="0"/>
    <w:pPr>
      <w:widowControl/>
      <w:spacing w:before="100" w:beforeAutospacing="1" w:after="100" w:afterAutospacing="1"/>
      <w:jc w:val="left"/>
    </w:pPr>
    <w:rPr>
      <w:rFonts w:ascii="宋体" w:hAnsi="宋体" w:cs="宋体"/>
      <w:kern w:val="0"/>
      <w:sz w:val="20"/>
    </w:rPr>
  </w:style>
  <w:style w:type="paragraph" w:customStyle="1" w:styleId="215">
    <w:name w:val="font9"/>
    <w:basedOn w:val="1"/>
    <w:qFormat/>
    <w:uiPriority w:val="0"/>
    <w:pPr>
      <w:widowControl/>
      <w:spacing w:before="100" w:beforeAutospacing="1" w:after="100" w:afterAutospacing="1"/>
      <w:jc w:val="left"/>
    </w:pPr>
    <w:rPr>
      <w:rFonts w:ascii="MS Mincho" w:hAnsi="MS Mincho" w:eastAsia="MS Mincho" w:cs="宋体"/>
      <w:color w:val="000000"/>
      <w:kern w:val="0"/>
      <w:sz w:val="20"/>
    </w:rPr>
  </w:style>
  <w:style w:type="paragraph" w:customStyle="1" w:styleId="216">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17">
    <w:name w:val="大标题"/>
    <w:basedOn w:val="12"/>
    <w:next w:val="12"/>
    <w:qFormat/>
    <w:uiPriority w:val="0"/>
    <w:pPr>
      <w:spacing w:line="360" w:lineRule="auto"/>
      <w:jc w:val="center"/>
    </w:pPr>
    <w:rPr>
      <w:b/>
      <w:sz w:val="32"/>
      <w:szCs w:val="21"/>
      <w:lang w:val="en-US"/>
    </w:rPr>
  </w:style>
  <w:style w:type="character" w:customStyle="1" w:styleId="218">
    <w:name w:val="副标题 Char"/>
    <w:basedOn w:val="48"/>
    <w:link w:val="33"/>
    <w:qFormat/>
    <w:uiPriority w:val="0"/>
    <w:rPr>
      <w:rFonts w:asciiTheme="majorHAnsi" w:hAnsiTheme="majorHAnsi" w:cstheme="majorBidi"/>
      <w:b/>
      <w:bCs/>
      <w:kern w:val="28"/>
      <w:sz w:val="32"/>
      <w:szCs w:val="32"/>
    </w:rPr>
  </w:style>
  <w:style w:type="character" w:customStyle="1" w:styleId="219">
    <w:name w:val="正文缩进 Char"/>
    <w:link w:val="8"/>
    <w:qFormat/>
    <w:locked/>
    <w:uiPriority w:val="0"/>
    <w:rPr>
      <w:kern w:val="2"/>
      <w:sz w:val="21"/>
    </w:rPr>
  </w:style>
  <w:style w:type="paragraph" w:customStyle="1" w:styleId="220">
    <w:name w:val="Char Char1 Char Char"/>
    <w:basedOn w:val="14"/>
    <w:qFormat/>
    <w:uiPriority w:val="0"/>
    <w:pPr>
      <w:adjustRightInd w:val="0"/>
      <w:spacing w:line="436" w:lineRule="exact"/>
      <w:ind w:left="357"/>
      <w:jc w:val="left"/>
      <w:outlineLvl w:val="3"/>
    </w:pPr>
    <w:rPr>
      <w:rFonts w:ascii="Tahoma" w:hAnsi="Tahoma"/>
      <w:b/>
      <w:sz w:val="24"/>
      <w:szCs w:val="24"/>
      <w:lang w:val="en-US"/>
    </w:rPr>
  </w:style>
  <w:style w:type="paragraph" w:customStyle="1" w:styleId="221">
    <w:name w:val="页脚1"/>
    <w:basedOn w:val="1"/>
    <w:qFormat/>
    <w:uiPriority w:val="0"/>
    <w:pPr>
      <w:tabs>
        <w:tab w:val="center" w:pos="4153"/>
        <w:tab w:val="right" w:pos="8306"/>
      </w:tabs>
      <w:snapToGrid w:val="0"/>
      <w:jc w:val="left"/>
    </w:pPr>
    <w:rPr>
      <w:sz w:val="18"/>
      <w:szCs w:val="18"/>
    </w:rPr>
  </w:style>
  <w:style w:type="paragraph" w:customStyle="1" w:styleId="222">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23">
    <w:name w:val="正文首行缩进1"/>
    <w:basedOn w:val="1"/>
    <w:qFormat/>
    <w:uiPriority w:val="0"/>
    <w:pPr>
      <w:spacing w:beforeLines="50" w:line="360" w:lineRule="auto"/>
      <w:ind w:firstLine="200" w:firstLineChars="200"/>
    </w:pPr>
    <w:rPr>
      <w:sz w:val="24"/>
      <w:szCs w:val="24"/>
    </w:rPr>
  </w:style>
  <w:style w:type="paragraph" w:customStyle="1" w:styleId="224">
    <w:name w:val="南网格式"/>
    <w:basedOn w:val="1"/>
    <w:qFormat/>
    <w:uiPriority w:val="0"/>
    <w:pPr>
      <w:widowControl/>
      <w:spacing w:before="120" w:line="360" w:lineRule="auto"/>
      <w:jc w:val="left"/>
    </w:pPr>
    <w:rPr>
      <w:rFonts w:ascii="宋体" w:hAnsi="宋体" w:cstheme="minorBidi"/>
      <w:sz w:val="24"/>
      <w:szCs w:val="28"/>
      <w:lang w:val="zh-CN"/>
    </w:rPr>
  </w:style>
  <w:style w:type="paragraph" w:customStyle="1" w:styleId="225">
    <w:name w:val="无间隔2"/>
    <w:qFormat/>
    <w:uiPriority w:val="1"/>
    <w:pPr>
      <w:widowControl w:val="0"/>
      <w:jc w:val="both"/>
    </w:pPr>
    <w:rPr>
      <w:rFonts w:ascii="Calibri" w:hAnsi="Calibri" w:eastAsiaTheme="minorEastAsia" w:cstheme="minorBidi"/>
      <w:kern w:val="2"/>
      <w:sz w:val="21"/>
      <w:szCs w:val="22"/>
      <w:lang w:val="en-US" w:eastAsia="zh-CN" w:bidi="ar-SA"/>
    </w:rPr>
  </w:style>
  <w:style w:type="paragraph" w:customStyle="1" w:styleId="226">
    <w:name w:val="_Style 2"/>
    <w:basedOn w:val="3"/>
    <w:next w:val="1"/>
    <w:qFormat/>
    <w:uiPriority w:val="39"/>
    <w:pPr>
      <w:widowControl/>
      <w:tabs>
        <w:tab w:val="left" w:pos="720"/>
      </w:tabs>
      <w:spacing w:before="480" w:after="0" w:line="276" w:lineRule="auto"/>
      <w:outlineLvl w:val="9"/>
    </w:pPr>
    <w:rPr>
      <w:rFonts w:ascii="Cambria" w:hAnsi="Cambria"/>
      <w:color w:val="365F91"/>
      <w:kern w:val="0"/>
      <w:sz w:val="28"/>
      <w:szCs w:val="28"/>
    </w:rPr>
  </w:style>
  <w:style w:type="paragraph" w:customStyle="1" w:styleId="227">
    <w:name w:val="列出段落2"/>
    <w:basedOn w:val="1"/>
    <w:qFormat/>
    <w:uiPriority w:val="0"/>
    <w:pPr>
      <w:ind w:firstLine="420" w:firstLineChars="200"/>
    </w:pPr>
    <w:rPr>
      <w:rFonts w:ascii="Calibri" w:hAnsi="Calibri"/>
      <w:szCs w:val="22"/>
    </w:rPr>
  </w:style>
  <w:style w:type="paragraph" w:customStyle="1" w:styleId="228">
    <w:name w:val="标题1李洪"/>
    <w:basedOn w:val="1"/>
    <w:qFormat/>
    <w:uiPriority w:val="0"/>
    <w:pPr>
      <w:tabs>
        <w:tab w:val="left" w:pos="567"/>
      </w:tabs>
      <w:ind w:left="567" w:hanging="567"/>
    </w:pPr>
    <w:rPr>
      <w:sz w:val="20"/>
      <w:szCs w:val="24"/>
    </w:rPr>
  </w:style>
  <w:style w:type="paragraph" w:customStyle="1" w:styleId="229">
    <w:name w:val="标题 2李洪"/>
    <w:basedOn w:val="1"/>
    <w:qFormat/>
    <w:uiPriority w:val="0"/>
    <w:pPr>
      <w:tabs>
        <w:tab w:val="left" w:pos="567"/>
      </w:tabs>
      <w:ind w:left="567" w:hanging="567"/>
    </w:pPr>
    <w:rPr>
      <w:szCs w:val="24"/>
    </w:rPr>
  </w:style>
  <w:style w:type="paragraph" w:customStyle="1" w:styleId="230">
    <w:name w:val="样式1"/>
    <w:basedOn w:val="1"/>
    <w:qFormat/>
    <w:uiPriority w:val="0"/>
    <w:pPr>
      <w:spacing w:line="420" w:lineRule="auto"/>
      <w:jc w:val="center"/>
    </w:pPr>
    <w:rPr>
      <w:rFonts w:ascii="宋体" w:hAnsiTheme="minorHAnsi" w:eastAsiaTheme="minorEastAsia" w:cstheme="minorBidi"/>
      <w:sz w:val="24"/>
      <w:szCs w:val="22"/>
    </w:rPr>
  </w:style>
  <w:style w:type="paragraph" w:customStyle="1" w:styleId="231">
    <w:name w:val="正文5"/>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232">
    <w:name w:val="List Paragraph"/>
    <w:basedOn w:val="1"/>
    <w:qFormat/>
    <w:uiPriority w:val="34"/>
    <w:pPr>
      <w:ind w:firstLine="420" w:firstLineChars="200"/>
    </w:pPr>
    <w:rPr>
      <w:szCs w:val="24"/>
    </w:rPr>
  </w:style>
  <w:style w:type="character" w:customStyle="1" w:styleId="233">
    <w:name w:val="页码1"/>
    <w:qFormat/>
    <w:uiPriority w:val="0"/>
  </w:style>
  <w:style w:type="paragraph" w:customStyle="1" w:styleId="234">
    <w:name w:val="页眉1"/>
    <w:basedOn w:val="1"/>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character" w:customStyle="1" w:styleId="235">
    <w:name w:val="font11"/>
    <w:basedOn w:val="48"/>
    <w:qFormat/>
    <w:uiPriority w:val="0"/>
    <w:rPr>
      <w:rFonts w:hint="eastAsia" w:ascii="宋体" w:hAnsi="宋体" w:eastAsia="宋体" w:cs="宋体"/>
      <w:color w:val="000000"/>
      <w:sz w:val="18"/>
      <w:szCs w:val="18"/>
      <w:u w:val="none"/>
    </w:rPr>
  </w:style>
  <w:style w:type="paragraph" w:customStyle="1" w:styleId="23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37">
    <w:name w:val="章标题"/>
    <w:next w:val="222"/>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238">
    <w:name w:val="一级条标题"/>
    <w:next w:val="222"/>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239">
    <w:name w:val="font01"/>
    <w:basedOn w:val="48"/>
    <w:qFormat/>
    <w:uiPriority w:val="0"/>
    <w:rPr>
      <w:rFonts w:hint="eastAsia" w:ascii="宋体" w:hAnsi="宋体" w:eastAsia="宋体" w:cs="宋体"/>
      <w:b/>
      <w:color w:val="000000"/>
      <w:sz w:val="28"/>
      <w:szCs w:val="28"/>
      <w:u w:val="none"/>
    </w:rPr>
  </w:style>
  <w:style w:type="character" w:customStyle="1" w:styleId="240">
    <w:name w:val="18"/>
    <w:qFormat/>
    <w:uiPriority w:val="0"/>
    <w:rPr>
      <w:rFonts w:hint="eastAsia" w:ascii="微软雅黑" w:hAnsi="微软雅黑" w:eastAsia="微软雅黑"/>
      <w:color w:val="000000"/>
      <w:sz w:val="21"/>
      <w:szCs w:val="21"/>
    </w:rPr>
  </w:style>
  <w:style w:type="character" w:customStyle="1" w:styleId="241">
    <w:name w:val="font21"/>
    <w:basedOn w:val="48"/>
    <w:unhideWhenUsed/>
    <w:qFormat/>
    <w:uiPriority w:val="0"/>
    <w:rPr>
      <w:rFonts w:hint="eastAsia" w:ascii="宋体" w:hAnsi="宋体" w:eastAsia="宋体"/>
      <w:color w:val="000000"/>
      <w:sz w:val="22"/>
    </w:rPr>
  </w:style>
  <w:style w:type="character" w:customStyle="1" w:styleId="242">
    <w:name w:val="v-line"/>
    <w:basedOn w:val="48"/>
    <w:qFormat/>
    <w:uiPriority w:val="0"/>
  </w:style>
  <w:style w:type="character" w:customStyle="1" w:styleId="243">
    <w:name w:val="img01"/>
    <w:basedOn w:val="48"/>
    <w:qFormat/>
    <w:uiPriority w:val="0"/>
  </w:style>
  <w:style w:type="character" w:customStyle="1" w:styleId="244">
    <w:name w:val="page-selected"/>
    <w:basedOn w:val="48"/>
    <w:qFormat/>
    <w:uiPriority w:val="0"/>
    <w:rPr>
      <w:color w:val="888888"/>
      <w:shd w:val="clear" w:fill="F2F2F2"/>
    </w:rPr>
  </w:style>
  <w:style w:type="character" w:customStyle="1" w:styleId="245">
    <w:name w:val="img02"/>
    <w:basedOn w:val="48"/>
    <w:qFormat/>
    <w:uiPriority w:val="0"/>
    <w:rPr>
      <w:color w:val="666666"/>
    </w:rPr>
  </w:style>
  <w:style w:type="character" w:customStyle="1" w:styleId="246">
    <w:name w:val="more"/>
    <w:basedOn w:val="48"/>
    <w:qFormat/>
    <w:uiPriority w:val="0"/>
    <w:rPr>
      <w:color w:val="0861B0"/>
      <w:sz w:val="24"/>
      <w:szCs w:val="24"/>
    </w:rPr>
  </w:style>
  <w:style w:type="character" w:customStyle="1" w:styleId="247">
    <w:name w:val="active7"/>
    <w:basedOn w:val="48"/>
    <w:qFormat/>
    <w:uiPriority w:val="0"/>
    <w:rPr>
      <w:color w:val="FFFFFF"/>
      <w:shd w:val="clear" w:fill="0861B0"/>
    </w:rPr>
  </w:style>
  <w:style w:type="character" w:customStyle="1" w:styleId="248">
    <w:name w:val="first-child"/>
    <w:basedOn w:val="48"/>
    <w:qFormat/>
    <w:uiPriority w:val="0"/>
    <w:rPr>
      <w:color w:val="333333"/>
    </w:rPr>
  </w:style>
  <w:style w:type="character" w:customStyle="1" w:styleId="249">
    <w:name w:val="first-child1"/>
    <w:basedOn w:val="48"/>
    <w:qFormat/>
    <w:uiPriority w:val="0"/>
    <w:rPr>
      <w:color w:val="333333"/>
      <w:sz w:val="24"/>
      <w:szCs w:val="24"/>
    </w:rPr>
  </w:style>
  <w:style w:type="character" w:customStyle="1" w:styleId="250">
    <w:name w:val="first-child2"/>
    <w:basedOn w:val="48"/>
    <w:qFormat/>
    <w:uiPriority w:val="0"/>
  </w:style>
  <w:style w:type="character" w:customStyle="1" w:styleId="251">
    <w:name w:val="first-child3"/>
    <w:basedOn w:val="48"/>
    <w:qFormat/>
    <w:uiPriority w:val="0"/>
    <w:rPr>
      <w:color w:val="0861B0"/>
      <w:sz w:val="24"/>
      <w:szCs w:val="24"/>
    </w:rPr>
  </w:style>
  <w:style w:type="character" w:customStyle="1" w:styleId="252">
    <w:name w:val="ca-lead"/>
    <w:basedOn w:val="48"/>
    <w:qFormat/>
    <w:uiPriority w:val="0"/>
  </w:style>
  <w:style w:type="character" w:customStyle="1" w:styleId="253">
    <w:name w:val="common-questions"/>
    <w:basedOn w:val="48"/>
    <w:qFormat/>
    <w:uiPriority w:val="0"/>
  </w:style>
  <w:style w:type="character" w:customStyle="1" w:styleId="254">
    <w:name w:val="money-service"/>
    <w:basedOn w:val="48"/>
    <w:qFormat/>
    <w:uiPriority w:val="0"/>
  </w:style>
  <w:style w:type="character" w:customStyle="1" w:styleId="255">
    <w:name w:val="download-center"/>
    <w:basedOn w:val="48"/>
    <w:qFormat/>
    <w:uiPriority w:val="0"/>
  </w:style>
  <w:style w:type="character" w:customStyle="1" w:styleId="256">
    <w:name w:val="img03"/>
    <w:basedOn w:val="48"/>
    <w:qFormat/>
    <w:uiPriority w:val="0"/>
  </w:style>
  <w:style w:type="character" w:customStyle="1" w:styleId="257">
    <w:name w:val="img04"/>
    <w:basedOn w:val="48"/>
    <w:qFormat/>
    <w:uiPriority w:val="0"/>
  </w:style>
  <w:style w:type="character" w:customStyle="1" w:styleId="258">
    <w:name w:val="img05"/>
    <w:basedOn w:val="48"/>
    <w:qFormat/>
    <w:uiPriority w:val="0"/>
  </w:style>
  <w:style w:type="character" w:customStyle="1" w:styleId="259">
    <w:name w:val="link-wrap"/>
    <w:basedOn w:val="48"/>
    <w:qFormat/>
    <w:uiPriority w:val="0"/>
    <w:rPr>
      <w:bdr w:val="single" w:color="ECECEC" w:sz="6" w:space="0"/>
    </w:rPr>
  </w:style>
  <w:style w:type="character" w:customStyle="1" w:styleId="260">
    <w:name w:val="page-first2"/>
    <w:basedOn w:val="48"/>
    <w:qFormat/>
    <w:uiPriority w:val="0"/>
    <w:rPr>
      <w:color w:val="CCCCCC"/>
    </w:rPr>
  </w:style>
  <w:style w:type="character" w:customStyle="1" w:styleId="261">
    <w:name w:val="page-next2"/>
    <w:basedOn w:val="48"/>
    <w:qFormat/>
    <w:uiPriority w:val="0"/>
    <w:rPr>
      <w:color w:val="CCCCCC"/>
    </w:rPr>
  </w:style>
  <w:style w:type="character" w:customStyle="1" w:styleId="262">
    <w:name w:val="pagesize-selected2"/>
    <w:basedOn w:val="48"/>
    <w:qFormat/>
    <w:uiPriority w:val="0"/>
    <w:rPr>
      <w:color w:val="888888"/>
    </w:rPr>
  </w:style>
  <w:style w:type="character" w:customStyle="1" w:styleId="263">
    <w:name w:val="page-end3"/>
    <w:basedOn w:val="48"/>
    <w:qFormat/>
    <w:uiPriority w:val="0"/>
    <w:rPr>
      <w:color w:val="CCCCCC"/>
    </w:rPr>
  </w:style>
  <w:style w:type="character" w:customStyle="1" w:styleId="264">
    <w:name w:val="hover13"/>
    <w:basedOn w:val="48"/>
    <w:qFormat/>
    <w:uiPriority w:val="0"/>
    <w:rPr>
      <w:shd w:val="clear" w:fill="F0F0F0"/>
    </w:rPr>
  </w:style>
  <w:style w:type="character" w:customStyle="1" w:styleId="265">
    <w:name w:val="fontstyle01"/>
    <w:basedOn w:val="48"/>
    <w:qFormat/>
    <w:uiPriority w:val="0"/>
    <w:rPr>
      <w:rFonts w:hint="eastAsia" w:ascii="仿宋_GB2312" w:eastAsia="仿宋_GB2312"/>
      <w:color w:val="000000"/>
      <w:sz w:val="28"/>
      <w:szCs w:val="28"/>
    </w:rPr>
  </w:style>
  <w:style w:type="character" w:customStyle="1" w:styleId="266">
    <w:name w:val="_Style 0"/>
    <w:qFormat/>
    <w:uiPriority w:val="21"/>
    <w:rPr>
      <w:i/>
      <w:iCs/>
      <w:color w:val="4472C4"/>
    </w:rPr>
  </w:style>
  <w:style w:type="paragraph" w:customStyle="1" w:styleId="267">
    <w:name w:val="Body text|1"/>
    <w:basedOn w:val="1"/>
    <w:qFormat/>
    <w:uiPriority w:val="0"/>
    <w:pPr>
      <w:spacing w:line="412" w:lineRule="auto"/>
      <w:ind w:firstLine="400"/>
    </w:pPr>
    <w:rPr>
      <w:rFonts w:ascii="宋体" w:hAnsi="宋体" w:eastAsia="宋体" w:cs="宋体"/>
      <w:color w:val="44505D"/>
      <w:sz w:val="28"/>
      <w:szCs w:val="28"/>
      <w:lang w:val="zh-TW" w:eastAsia="zh-TW" w:bidi="zh-TW"/>
    </w:rPr>
  </w:style>
  <w:style w:type="paragraph" w:customStyle="1" w:styleId="268">
    <w:name w:val="Body text|5"/>
    <w:basedOn w:val="1"/>
    <w:qFormat/>
    <w:uiPriority w:val="0"/>
    <w:pPr>
      <w:ind w:hanging="1840"/>
    </w:pPr>
    <w:rPr>
      <w:rFonts w:ascii="Calibri" w:hAnsi="Calibri" w:eastAsia="宋体" w:cs="Times New Roman"/>
      <w:sz w:val="10"/>
      <w:szCs w:val="10"/>
      <w:u w:val="single"/>
      <w:lang w:val="zh-CN"/>
    </w:rPr>
  </w:style>
  <w:style w:type="paragraph" w:customStyle="1" w:styleId="269">
    <w:name w:val="879"/>
    <w:basedOn w:val="1"/>
    <w:qFormat/>
    <w:uiPriority w:val="0"/>
    <w:pPr>
      <w:spacing w:line="560" w:lineRule="exact"/>
      <w:ind w:firstLine="880" w:firstLineChars="200"/>
    </w:pPr>
    <w:rPr>
      <w:rFonts w:eastAsia="仿宋_GB2312" w:asciiTheme="minorAscii" w:hAnsiTheme="minorAscii"/>
      <w:sz w:val="32"/>
    </w:rPr>
  </w:style>
  <w:style w:type="paragraph" w:customStyle="1" w:styleId="270">
    <w:name w:val="Table Paragraph"/>
    <w:basedOn w:val="1"/>
    <w:qFormat/>
    <w:uiPriority w:val="1"/>
    <w:pPr>
      <w:autoSpaceDE w:val="0"/>
      <w:autoSpaceDN w:val="0"/>
    </w:pPr>
    <w:rPr>
      <w:rFonts w:ascii="宋体" w:hAnsi="宋体" w:cs="宋体"/>
      <w:sz w:val="22"/>
      <w:lang w:eastAsia="en-US"/>
    </w:rPr>
  </w:style>
  <w:style w:type="paragraph" w:customStyle="1" w:styleId="271">
    <w:name w:val="Table Text"/>
    <w:basedOn w:val="1"/>
    <w:semiHidden/>
    <w:qFormat/>
    <w:uiPriority w:val="0"/>
    <w:rPr>
      <w:rFonts w:ascii="宋体" w:hAnsi="宋体" w:eastAsia="宋体" w:cs="宋体"/>
    </w:rPr>
  </w:style>
  <w:style w:type="character" w:customStyle="1" w:styleId="272">
    <w:name w:val="16"/>
    <w:qFormat/>
    <w:uiPriority w:val="0"/>
    <w:rPr>
      <w:rFonts w:hint="eastAsia" w:ascii="宋体" w:hAnsi="宋体" w:eastAsia="宋体"/>
      <w:color w:val="000000"/>
      <w:sz w:val="21"/>
      <w:szCs w:val="21"/>
    </w:rPr>
  </w:style>
  <w:style w:type="paragraph" w:customStyle="1" w:styleId="273">
    <w:name w:val="1正文"/>
    <w:basedOn w:val="1"/>
    <w:qFormat/>
    <w:uiPriority w:val="0"/>
    <w:pPr>
      <w:spacing w:line="360" w:lineRule="auto"/>
      <w:ind w:firstLine="480" w:firstLineChars="200"/>
    </w:pPr>
    <w:rPr>
      <w:rFonts w:asciiTheme="minorHAnsi" w:hAnsiTheme="minorHAnsi" w:cstheme="minorBidi"/>
      <w:sz w:val="24"/>
      <w:szCs w:val="28"/>
    </w:rPr>
  </w:style>
  <w:style w:type="paragraph" w:customStyle="1" w:styleId="274">
    <w:name w:val="内容"/>
    <w:basedOn w:val="1"/>
    <w:qFormat/>
    <w:uiPriority w:val="0"/>
    <w:pPr>
      <w:spacing w:line="360" w:lineRule="auto"/>
      <w:ind w:firstLine="560" w:firstLineChars="200"/>
    </w:pPr>
    <w:rPr>
      <w:rFonts w:cs="宋体"/>
      <w:sz w:val="24"/>
      <w:szCs w:val="28"/>
    </w:rPr>
  </w:style>
  <w:style w:type="paragraph" w:customStyle="1" w:styleId="275">
    <w:name w:val="pf0"/>
    <w:basedOn w:val="1"/>
    <w:qFormat/>
    <w:uiPriority w:val="0"/>
    <w:pPr>
      <w:spacing w:before="100" w:beforeAutospacing="1" w:after="100" w:afterAutospacing="1" w:line="240" w:lineRule="auto"/>
      <w:jc w:val="left"/>
    </w:pPr>
    <w:rPr>
      <w:rFonts w:ascii="宋体" w:hAnsi="宋体" w:cs="宋体"/>
      <w:kern w:val="0"/>
    </w:rPr>
  </w:style>
  <w:style w:type="paragraph" w:customStyle="1" w:styleId="276">
    <w:name w:val="列出段落11"/>
    <w:basedOn w:val="1"/>
    <w:qFormat/>
    <w:uiPriority w:val="0"/>
    <w:pPr>
      <w:ind w:firstLine="420" w:firstLineChars="200"/>
    </w:pPr>
  </w:style>
  <w:style w:type="paragraph" w:customStyle="1" w:styleId="277">
    <w:name w:val="封一"/>
    <w:basedOn w:val="278"/>
    <w:next w:val="278"/>
    <w:qFormat/>
    <w:uiPriority w:val="0"/>
    <w:pPr>
      <w:ind w:firstLine="0" w:firstLineChars="0"/>
      <w:jc w:val="center"/>
    </w:pPr>
    <w:rPr>
      <w:rFonts w:eastAsia="黑体"/>
      <w:b/>
      <w:sz w:val="84"/>
      <w:szCs w:val="84"/>
    </w:rPr>
  </w:style>
  <w:style w:type="paragraph" w:customStyle="1" w:styleId="278">
    <w:name w:val="文一"/>
    <w:basedOn w:val="1"/>
    <w:qFormat/>
    <w:uiPriority w:val="0"/>
    <w:pPr>
      <w:topLinePunct/>
      <w:adjustRightInd w:val="0"/>
      <w:snapToGrid w:val="0"/>
      <w:spacing w:line="360" w:lineRule="auto"/>
      <w:ind w:firstLine="200" w:firstLineChars="200"/>
    </w:pPr>
    <w:rPr>
      <w:rFonts w:ascii="Times New Roman" w:hAnsi="Times New Roman" w:eastAsia="宋体"/>
      <w:spacing w:val="4"/>
      <w:kern w:val="0"/>
      <w:sz w:val="24"/>
      <w:szCs w:val="24"/>
    </w:rPr>
  </w:style>
  <w:style w:type="paragraph" w:customStyle="1" w:styleId="279">
    <w:name w:val="样式 宋体 行距: 1.5 倍行距"/>
    <w:basedOn w:val="1"/>
    <w:qFormat/>
    <w:uiPriority w:val="0"/>
    <w:pPr>
      <w:jc w:val="center"/>
    </w:pPr>
    <w:rPr>
      <w:b/>
    </w:rPr>
  </w:style>
  <w:style w:type="paragraph" w:styleId="280">
    <w:name w:val="No Spacing"/>
    <w:qFormat/>
    <w:uiPriority w:val="1"/>
    <w:pPr>
      <w:widowControl w:val="0"/>
      <w:jc w:val="both"/>
    </w:pPr>
    <w:rPr>
      <w:rFonts w:ascii="Times New Roman" w:hAnsi="Times New Roman" w:eastAsia="等线" w:cs="Times New Roman"/>
      <w:kern w:val="2"/>
      <w:sz w:val="21"/>
      <w:szCs w:val="22"/>
      <w:lang w:val="en-US" w:eastAsia="zh-CN" w:bidi="ar-SA"/>
    </w:rPr>
  </w:style>
  <w:style w:type="character" w:customStyle="1" w:styleId="281">
    <w:name w:val="font61"/>
    <w:basedOn w:val="48"/>
    <w:qFormat/>
    <w:uiPriority w:val="0"/>
    <w:rPr>
      <w:rFonts w:hint="eastAsia" w:ascii="宋体" w:hAnsi="宋体" w:eastAsia="宋体" w:cs="宋体"/>
      <w:color w:val="FF0000"/>
      <w:sz w:val="24"/>
      <w:szCs w:val="24"/>
      <w:u w:val="none"/>
    </w:rPr>
  </w:style>
  <w:style w:type="character" w:customStyle="1" w:styleId="282">
    <w:name w:val="font81"/>
    <w:basedOn w:val="48"/>
    <w:qFormat/>
    <w:uiPriority w:val="0"/>
    <w:rPr>
      <w:rFonts w:hint="eastAsia" w:ascii="宋体" w:hAnsi="宋体" w:eastAsia="宋体" w:cs="宋体"/>
      <w:color w:val="000000"/>
      <w:sz w:val="24"/>
      <w:szCs w:val="24"/>
      <w:u w:val="none"/>
    </w:rPr>
  </w:style>
  <w:style w:type="character" w:customStyle="1" w:styleId="283">
    <w:name w:val="font112"/>
    <w:basedOn w:val="48"/>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9bc4240-5897-4b0e-a8c9-2456d4b4252b}"/>
        <w:style w:val=""/>
        <w:category>
          <w:name w:val="常规"/>
          <w:gallery w:val="placeholder"/>
        </w:category>
        <w:types>
          <w:type w:val="bbPlcHdr"/>
        </w:types>
        <w:behaviors>
          <w:behavior w:val="content"/>
        </w:behaviors>
        <w:description w:val=""/>
        <w:guid w:val="{e9bc4240-5897-4b0e-a8c9-2456d4b4252b}"/>
      </w:docPartPr>
      <w:docPartBody>
        <w:p w14:paraId="55797FD1">
          <w:r>
            <w:rPr>
              <w:rFonts w:hint="eastAsia" w:ascii="宋体" w:hAnsi="宋体" w:eastAsia="宋体" w:cs="宋体"/>
              <w:color w:val="auto"/>
              <w:kern w:val="0"/>
              <w:sz w:val="21"/>
              <w:szCs w:val="21"/>
              <w:highlight w:val="none"/>
              <w:lang w:val="en-US" w:eastAsia="zh-CN" w:bidi="ar-SA"/>
            </w:rPr>
            <w:t>**（根据项目实际情况填写）。</w:t>
          </w:r>
          <w:r>
            <w:rPr>
              <w:rFonts w:hint="eastAsia" w:ascii="宋体" w:hAnsi="宋体" w:eastAsia="宋体" w:cs="宋体"/>
              <w:color w:val="auto"/>
              <w:kern w:val="0"/>
              <w:sz w:val="21"/>
              <w:szCs w:val="21"/>
              <w:highlight w:val="none"/>
              <w:lang w:val="en-US" w:eastAsia="zh-CN" w:bidi="ar-SA"/>
            </w:rPr>
            <w:br w:type="textWrapping"/>
          </w:r>
          <w:r>
            <w:rPr>
              <w:rFonts w:hint="eastAsia" w:hAnsi="宋体" w:cs="宋体"/>
              <w:bCs/>
              <w:kern w:val="0"/>
              <w:sz w:val="21"/>
              <w:szCs w:val="21"/>
              <w:highlight w:val="none"/>
              <w:lang w:val="en-US" w:eastAsia="zh-CN" w:bidi="ar-SA"/>
            </w:rPr>
            <w:t xml:space="preserve">    </w:t>
          </w:r>
          <w:r>
            <w:rPr>
              <w:rFonts w:hint="eastAsia" w:ascii="宋体" w:hAnsi="宋体" w:eastAsia="宋体" w:cs="宋体"/>
              <w:color w:val="auto"/>
              <w:kern w:val="0"/>
              <w:sz w:val="21"/>
              <w:szCs w:val="21"/>
              <w:highlight w:val="none"/>
              <w:lang w:val="en-US" w:eastAsia="zh-CN" w:bidi="ar-SA"/>
            </w:rPr>
            <w:t>示例【采用下浮率报价方式】供应商所报的下浮率不低于**%的为有效报价。为避免恶意竞争，规定报价下浮率大于**%的必须附详细的成本分析报告（成本分析报告需充分说明单价和费用的组成、降低成本的合理措施及在其他工程中应用过的经验，未提供成本分析报告视为原则性不响应采购文件要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60CB65-040D-4162-8F53-F001E445AFE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76</Pages>
  <Words>5628</Words>
  <Characters>6051</Characters>
  <Lines>451</Lines>
  <Paragraphs>127</Paragraphs>
  <TotalTime>45</TotalTime>
  <ScaleCrop>false</ScaleCrop>
  <LinksUpToDate>false</LinksUpToDate>
  <CharactersWithSpaces>6228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2018-03-15T08:45:00Z</dcterms:created>
  <dc:creator>CHENJF</dc:creator>
  <cp:lastModifiedBy>批注</cp:lastModifiedBy>
  <cp:lastPrinted>2025-10-24T02:24:00Z</cp:lastPrinted>
  <dcterms:modified xsi:type="dcterms:W3CDTF">2025-10-27T13:28:05Z</dcterms:modified>
  <dc:title>220kV及以上电网工程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状态">
    <vt:lpwstr>xxx</vt:lpwstr>
  </property>
  <property fmtid="{D5CDD505-2E9C-101B-9397-08002B2CF9AE}" pid="3" name="KSOProductBuildVer">
    <vt:lpwstr>2052-12.1.0.21915</vt:lpwstr>
  </property>
  <property fmtid="{D5CDD505-2E9C-101B-9397-08002B2CF9AE}" pid="4" name="ICV">
    <vt:lpwstr>CD2BF5DB7F3045B0ACC502F1BD6A478B_13</vt:lpwstr>
  </property>
  <property fmtid="{D5CDD505-2E9C-101B-9397-08002B2CF9AE}" pid="5" name="KSOTemplateDocerSaveRecord">
    <vt:lpwstr>eyJoZGlkIjoiNjk1YzQ3ZTY3M2YxMzQ5OWFkMGYzMTViMmI3Y2JhYzQiLCJ1c2VySWQiOiIxNjg2MTI2NzE0In0=</vt:lpwstr>
  </property>
</Properties>
</file>