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B94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u w:val="single"/>
          <w:lang w:val="en-US" w:eastAsia="zh-CN"/>
        </w:rPr>
      </w:pPr>
      <w:bookmarkStart w:id="0" w:name="_Toc16603"/>
      <w:r>
        <w:rPr>
          <w:rFonts w:hint="eastAsia" w:ascii="宋体" w:hAnsi="宋体" w:eastAsia="宋体" w:cs="宋体"/>
          <w:color w:val="auto"/>
          <w:sz w:val="28"/>
          <w:szCs w:val="28"/>
          <w:highlight w:val="none"/>
        </w:rPr>
        <w:t>甲方</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委托人</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sdt>
        <w:sdtPr>
          <w:rPr>
            <w:rFonts w:hint="eastAsia" w:ascii="宋体" w:hAnsi="宋体" w:eastAsia="宋体" w:cs="宋体"/>
            <w:color w:val="auto"/>
            <w:kern w:val="2"/>
            <w:sz w:val="28"/>
            <w:szCs w:val="28"/>
            <w:highlight w:val="none"/>
            <w:u w:val="single"/>
            <w:lang w:val="en-US" w:eastAsia="zh-CN" w:bidi="ar-SA"/>
          </w:rPr>
          <w:alias w:val="甲方当事人全称"/>
          <w:tag w:val="甲方当事人全称"/>
          <w:id w:val="147474913"/>
          <w:placeholder>
            <w:docPart w:val="{71fb224c-8ef7-498e-8acb-aa46cc3d137c}"/>
          </w:placeholder>
          <w:text/>
        </w:sdtPr>
        <w:sdtEndPr>
          <w:rPr>
            <w:rFonts w:hint="eastAsia" w:ascii="宋体" w:hAnsi="宋体" w:eastAsia="宋体" w:cs="宋体"/>
            <w:color w:val="auto"/>
            <w:kern w:val="2"/>
            <w:sz w:val="28"/>
            <w:szCs w:val="28"/>
            <w:highlight w:val="none"/>
            <w:u w:val="single"/>
            <w:lang w:val="en-US" w:eastAsia="zh-CN" w:bidi="ar-SA"/>
          </w:rPr>
        </w:sdtEndPr>
        <w:sdtContent>
          <w:permStart w:id="0" w:edGrp="everyone"/>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permEnd w:id="0"/>
        </w:sdtContent>
      </w:sdt>
    </w:p>
    <w:p w14:paraId="59C93A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住 所 地：</w:t>
      </w:r>
      <w:sdt>
        <w:sdtPr>
          <w:rPr>
            <w:rFonts w:hint="eastAsia" w:ascii="宋体" w:hAnsi="宋体" w:eastAsia="宋体" w:cs="宋体"/>
            <w:color w:val="auto"/>
            <w:kern w:val="2"/>
            <w:sz w:val="28"/>
            <w:szCs w:val="28"/>
            <w:highlight w:val="none"/>
            <w:lang w:val="en-US" w:eastAsia="zh-CN" w:bidi="ar-SA"/>
          </w:rPr>
          <w:alias w:val="甲方注册地址"/>
          <w:tag w:val="甲方注册地址"/>
          <w:id w:val="147474805"/>
          <w:placeholder>
            <w:docPart w:val="{4ed684f7-7a72-4515-90a2-0d0f6cdae3af}"/>
          </w:placeholder>
          <w:text/>
        </w:sdtPr>
        <w:sdtEndPr>
          <w:rPr>
            <w:rFonts w:hint="eastAsia" w:ascii="宋体" w:hAnsi="宋体" w:eastAsia="宋体" w:cs="宋体"/>
            <w:color w:val="auto"/>
            <w:kern w:val="2"/>
            <w:sz w:val="28"/>
            <w:szCs w:val="28"/>
            <w:highlight w:val="none"/>
            <w:u w:val="single"/>
            <w:lang w:val="en-US" w:eastAsia="zh-CN" w:bidi="ar-SA"/>
          </w:rPr>
        </w:sdtEndPr>
        <w:sdtContent>
          <w:permStart w:id="1" w:edGrp="everyone"/>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permEnd w:id="1"/>
        </w:sdtContent>
      </w:sdt>
    </w:p>
    <w:p w14:paraId="21DACED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法定代表人（负责人）：</w:t>
      </w:r>
      <w:sdt>
        <w:sdtPr>
          <w:rPr>
            <w:rFonts w:hint="eastAsia" w:ascii="宋体" w:hAnsi="宋体" w:eastAsia="宋体" w:cs="宋体"/>
            <w:color w:val="auto"/>
            <w:kern w:val="2"/>
            <w:sz w:val="28"/>
            <w:szCs w:val="28"/>
            <w:highlight w:val="none"/>
            <w:lang w:val="en-US" w:eastAsia="zh-CN" w:bidi="ar-SA"/>
          </w:rPr>
          <w:alias w:val="甲方法定代表人或负责人"/>
          <w:tag w:val="甲方法定代表人或负责人"/>
          <w:id w:val="147474704"/>
          <w:placeholder>
            <w:docPart w:val="{ffaf60d9-efb3-4d4c-99b4-401795ad556e}"/>
          </w:placeholder>
          <w:text/>
        </w:sdtPr>
        <w:sdtEndPr>
          <w:rPr>
            <w:rFonts w:hint="eastAsia" w:ascii="宋体" w:hAnsi="宋体" w:eastAsia="宋体" w:cs="宋体"/>
            <w:color w:val="auto"/>
            <w:kern w:val="2"/>
            <w:sz w:val="28"/>
            <w:szCs w:val="28"/>
            <w:highlight w:val="none"/>
            <w:u w:val="single"/>
            <w:lang w:val="en-US" w:eastAsia="zh-CN" w:bidi="ar-SA"/>
          </w:rPr>
        </w:sdtEndPr>
        <w:sdtContent>
          <w:permStart w:id="2" w:edGrp="everyone"/>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permEnd w:id="2"/>
        </w:sdtContent>
      </w:sdt>
    </w:p>
    <w:p w14:paraId="6B6394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项目联系人：</w:t>
      </w:r>
      <w:sdt>
        <w:sdtPr>
          <w:rPr>
            <w:rFonts w:hint="eastAsia" w:ascii="宋体" w:hAnsi="宋体" w:eastAsia="宋体" w:cs="宋体"/>
            <w:color w:val="auto"/>
            <w:kern w:val="2"/>
            <w:sz w:val="28"/>
            <w:szCs w:val="28"/>
            <w:highlight w:val="none"/>
            <w:lang w:val="en-US" w:eastAsia="zh-CN" w:bidi="ar-SA"/>
          </w:rPr>
          <w:alias w:val="甲方联系人姓名"/>
          <w:tag w:val="甲方联系人姓名"/>
          <w:id w:val="147473636"/>
          <w:placeholder>
            <w:docPart w:val="{1d5a13cc-10f9-4249-b50c-00f351dac052}"/>
          </w:placeholder>
          <w:text/>
        </w:sdtPr>
        <w:sdtEndPr>
          <w:rPr>
            <w:rFonts w:hint="eastAsia" w:ascii="宋体" w:hAnsi="宋体" w:eastAsia="宋体" w:cs="宋体"/>
            <w:color w:val="auto"/>
            <w:kern w:val="2"/>
            <w:sz w:val="28"/>
            <w:szCs w:val="28"/>
            <w:highlight w:val="none"/>
            <w:u w:val="single"/>
            <w:lang w:val="en-US" w:eastAsia="zh-CN" w:bidi="ar-SA"/>
          </w:rPr>
        </w:sdtEndPr>
        <w:sdtContent>
          <w:permStart w:id="3" w:edGrp="everyone"/>
          <w:r>
            <w:rPr>
              <w:rFonts w:hint="eastAsia" w:ascii="宋体" w:hAnsi="宋体" w:eastAsia="宋体" w:cs="宋体"/>
              <w:color w:val="auto"/>
              <w:sz w:val="28"/>
              <w:szCs w:val="28"/>
              <w:highlight w:val="none"/>
              <w:u w:val="single"/>
              <w:lang w:val="en-US" w:eastAsia="zh-CN"/>
            </w:rPr>
            <w:t xml:space="preserve">                              </w:t>
          </w:r>
          <w:permEnd w:id="3"/>
        </w:sdtContent>
      </w:sdt>
    </w:p>
    <w:p w14:paraId="49EA52B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u w:val="single"/>
          <w:shd w:val="pct10" w:color="auto" w:fill="FFFFFF"/>
        </w:rPr>
      </w:pPr>
      <w:r>
        <w:rPr>
          <w:rFonts w:hint="eastAsia" w:ascii="宋体" w:hAnsi="宋体" w:eastAsia="宋体" w:cs="宋体"/>
          <w:color w:val="auto"/>
          <w:sz w:val="28"/>
          <w:szCs w:val="28"/>
          <w:highlight w:val="none"/>
        </w:rPr>
        <w:t>通讯地址：</w:t>
      </w:r>
      <w:sdt>
        <w:sdtPr>
          <w:rPr>
            <w:rFonts w:hint="eastAsia" w:ascii="宋体" w:hAnsi="宋体" w:eastAsia="宋体" w:cs="宋体"/>
            <w:color w:val="auto"/>
            <w:kern w:val="2"/>
            <w:sz w:val="28"/>
            <w:szCs w:val="28"/>
            <w:highlight w:val="none"/>
            <w:lang w:val="en-US" w:eastAsia="zh-CN" w:bidi="ar-SA"/>
          </w:rPr>
          <w:alias w:val="甲方办公通讯地址"/>
          <w:tag w:val="甲方办公通讯地址"/>
          <w:id w:val="147473545"/>
          <w:placeholder>
            <w:docPart w:val="{05831dd9-7f66-4c5a-86e4-233761c6e73b}"/>
          </w:placeholder>
          <w:text/>
        </w:sdtPr>
        <w:sdtEndPr>
          <w:rPr>
            <w:rFonts w:hint="eastAsia" w:ascii="宋体" w:hAnsi="宋体" w:eastAsia="宋体" w:cs="宋体"/>
            <w:color w:val="auto"/>
            <w:kern w:val="2"/>
            <w:sz w:val="28"/>
            <w:szCs w:val="28"/>
            <w:highlight w:val="none"/>
            <w:u w:val="single"/>
            <w:lang w:val="en-US" w:eastAsia="zh-CN" w:bidi="ar-SA"/>
          </w:rPr>
        </w:sdtEndPr>
        <w:sdtContent>
          <w:permStart w:id="4" w:edGrp="everyone"/>
          <w:r>
            <w:rPr>
              <w:rFonts w:hint="eastAsia" w:ascii="宋体" w:hAnsi="宋体" w:eastAsia="宋体" w:cs="宋体"/>
              <w:color w:val="auto"/>
              <w:sz w:val="28"/>
              <w:szCs w:val="28"/>
              <w:highlight w:val="none"/>
              <w:u w:val="single"/>
              <w:lang w:val="en-US" w:eastAsia="zh-CN"/>
            </w:rPr>
            <w:t xml:space="preserve">                                </w:t>
          </w:r>
          <w:permEnd w:id="4"/>
        </w:sdtContent>
      </w:sdt>
    </w:p>
    <w:p w14:paraId="3108AB1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u w:val="none"/>
          <w:shd w:val="clear" w:color="auto" w:fill="auto"/>
          <w:lang w:val="en-US" w:eastAsia="zh-CN"/>
        </w:rPr>
      </w:pPr>
      <w:r>
        <w:rPr>
          <w:rFonts w:hint="eastAsia" w:ascii="宋体" w:hAnsi="宋体" w:eastAsia="宋体" w:cs="宋体"/>
          <w:color w:val="auto"/>
          <w:sz w:val="28"/>
          <w:szCs w:val="28"/>
          <w:highlight w:val="none"/>
          <w:u w:val="none"/>
          <w:shd w:val="clear" w:color="auto" w:fill="auto"/>
          <w:lang w:val="en-US" w:eastAsia="zh-CN"/>
        </w:rPr>
        <w:t>手    机：</w:t>
      </w:r>
      <w:sdt>
        <w:sdtPr>
          <w:rPr>
            <w:rFonts w:hint="eastAsia" w:ascii="宋体" w:hAnsi="宋体" w:eastAsia="宋体" w:cs="宋体"/>
            <w:color w:val="auto"/>
            <w:kern w:val="2"/>
            <w:sz w:val="28"/>
            <w:szCs w:val="28"/>
            <w:highlight w:val="none"/>
            <w:u w:val="none"/>
            <w:shd w:val="clear" w:color="auto" w:fill="auto"/>
            <w:lang w:val="en-US" w:eastAsia="zh-CN" w:bidi="ar-SA"/>
          </w:rPr>
          <w:alias w:val="甲方联系人手机"/>
          <w:tag w:val="甲方联系人手机"/>
          <w:id w:val="147473434"/>
          <w:placeholder>
            <w:docPart w:val="{86493cc7-958b-4644-a01b-fac0e51ac46b}"/>
          </w:placeholder>
          <w:text/>
        </w:sdtPr>
        <w:sdtEndPr>
          <w:rPr>
            <w:rFonts w:hint="eastAsia" w:ascii="宋体" w:hAnsi="宋体" w:eastAsia="宋体" w:cs="宋体"/>
            <w:color w:val="auto"/>
            <w:kern w:val="2"/>
            <w:sz w:val="28"/>
            <w:szCs w:val="28"/>
            <w:highlight w:val="none"/>
            <w:u w:val="none"/>
            <w:shd w:val="clear" w:color="auto" w:fill="auto"/>
            <w:lang w:val="en-US" w:eastAsia="zh-CN" w:bidi="ar-SA"/>
          </w:rPr>
        </w:sdtEndPr>
        <w:sdtContent>
          <w:permStart w:id="5" w:edGrp="everyone"/>
          <w:r>
            <w:rPr>
              <w:rFonts w:hint="eastAsia" w:ascii="宋体" w:hAnsi="宋体" w:eastAsia="宋体" w:cs="宋体"/>
              <w:color w:val="auto"/>
              <w:sz w:val="28"/>
              <w:szCs w:val="28"/>
              <w:highlight w:val="none"/>
              <w:u w:val="single"/>
              <w:shd w:val="clear" w:color="auto" w:fill="auto"/>
              <w:lang w:val="en-US" w:eastAsia="zh-CN"/>
            </w:rPr>
            <w:t xml:space="preserve">                                </w:t>
          </w:r>
          <w:permEnd w:id="5"/>
        </w:sdtContent>
      </w:sdt>
    </w:p>
    <w:p w14:paraId="3331AEA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    话：</w:t>
      </w:r>
      <w:sdt>
        <w:sdtPr>
          <w:rPr>
            <w:rFonts w:hint="eastAsia" w:ascii="宋体" w:hAnsi="宋体" w:eastAsia="宋体" w:cs="宋体"/>
            <w:color w:val="auto"/>
            <w:kern w:val="2"/>
            <w:sz w:val="28"/>
            <w:szCs w:val="28"/>
            <w:highlight w:val="none"/>
            <w:lang w:val="en-US" w:eastAsia="zh-CN" w:bidi="ar-SA"/>
          </w:rPr>
          <w:alias w:val="甲方联系人固定电话"/>
          <w:tag w:val="甲方联系人固定电话"/>
          <w:id w:val="147473290"/>
          <w:placeholder>
            <w:docPart w:val="{490e9ded-2104-4bb1-9f56-70f0260a47f6}"/>
          </w:placeholder>
          <w:text/>
        </w:sdtPr>
        <w:sdtEndPr>
          <w:rPr>
            <w:rFonts w:hint="eastAsia" w:ascii="宋体" w:hAnsi="宋体" w:eastAsia="宋体" w:cs="宋体"/>
            <w:color w:val="auto"/>
            <w:kern w:val="2"/>
            <w:sz w:val="28"/>
            <w:szCs w:val="28"/>
            <w:highlight w:val="none"/>
            <w:u w:val="single"/>
            <w:lang w:val="en-US" w:eastAsia="zh-CN" w:bidi="ar-SA"/>
          </w:rPr>
        </w:sdtEndPr>
        <w:sdtContent>
          <w:permStart w:id="6" w:edGrp="everyone"/>
          <w:r>
            <w:rPr>
              <w:rFonts w:hint="eastAsia" w:ascii="宋体" w:hAnsi="宋体" w:eastAsia="宋体" w:cs="宋体"/>
              <w:color w:val="auto"/>
              <w:sz w:val="28"/>
              <w:szCs w:val="28"/>
              <w:highlight w:val="none"/>
              <w:u w:val="single"/>
              <w:lang w:val="en-US" w:eastAsia="zh-CN"/>
            </w:rPr>
            <w:t xml:space="preserve">                                </w:t>
          </w:r>
          <w:permEnd w:id="6"/>
        </w:sdtContent>
      </w:sdt>
    </w:p>
    <w:p w14:paraId="7ED3AC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u w:val="single"/>
          <w:shd w:val="pct10" w:color="auto" w:fill="FFFFFF"/>
        </w:rPr>
      </w:pPr>
      <w:r>
        <w:rPr>
          <w:rFonts w:hint="eastAsia" w:ascii="宋体" w:hAnsi="宋体" w:eastAsia="宋体" w:cs="宋体"/>
          <w:color w:val="auto"/>
          <w:sz w:val="28"/>
          <w:szCs w:val="28"/>
          <w:highlight w:val="none"/>
        </w:rPr>
        <w:t>电子信箱：</w:t>
      </w:r>
      <w:sdt>
        <w:sdtPr>
          <w:rPr>
            <w:rFonts w:hint="eastAsia" w:ascii="宋体" w:hAnsi="宋体" w:eastAsia="宋体" w:cs="宋体"/>
            <w:color w:val="auto"/>
            <w:kern w:val="2"/>
            <w:sz w:val="28"/>
            <w:szCs w:val="28"/>
            <w:highlight w:val="none"/>
            <w:lang w:val="en-US" w:eastAsia="zh-CN" w:bidi="ar-SA"/>
          </w:rPr>
          <w:alias w:val="甲方联系人电子邮箱"/>
          <w:tag w:val="甲方联系人电子邮箱"/>
          <w:id w:val="147473169"/>
          <w:placeholder>
            <w:docPart w:val="{08930d46-f9c1-495f-b7ae-71b858d74ee3}"/>
          </w:placeholder>
          <w:text/>
        </w:sdtPr>
        <w:sdtEndPr>
          <w:rPr>
            <w:rFonts w:hint="eastAsia" w:ascii="宋体" w:hAnsi="宋体" w:eastAsia="宋体" w:cs="宋体"/>
            <w:color w:val="auto"/>
            <w:kern w:val="2"/>
            <w:sz w:val="28"/>
            <w:szCs w:val="28"/>
            <w:highlight w:val="none"/>
            <w:lang w:val="en-US" w:eastAsia="zh-CN" w:bidi="ar-SA"/>
          </w:rPr>
        </w:sdtEndPr>
        <w:sdtContent>
          <w:permStart w:id="7" w:edGrp="everyone"/>
          <w:r>
            <w:rPr>
              <w:rFonts w:hint="eastAsia" w:ascii="宋体" w:hAnsi="宋体" w:eastAsia="宋体" w:cs="宋体"/>
              <w:color w:val="auto"/>
              <w:sz w:val="28"/>
              <w:szCs w:val="28"/>
              <w:highlight w:val="none"/>
              <w:u w:val="single"/>
              <w:lang w:val="en-US" w:eastAsia="zh-CN"/>
            </w:rPr>
            <w:t xml:space="preserve">                                </w:t>
          </w:r>
          <w:permEnd w:id="7"/>
        </w:sdtContent>
      </w:sdt>
    </w:p>
    <w:p w14:paraId="4EE47A1C">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auto"/>
          <w:sz w:val="28"/>
          <w:szCs w:val="28"/>
          <w:highlight w:val="none"/>
          <w:lang w:val="en-US" w:eastAsia="zh-CN"/>
        </w:rPr>
      </w:pPr>
    </w:p>
    <w:p w14:paraId="74C4B6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乙</w:t>
      </w:r>
      <w:r>
        <w:rPr>
          <w:rFonts w:hint="eastAsia" w:ascii="宋体" w:hAnsi="宋体" w:eastAsia="宋体" w:cs="宋体"/>
          <w:color w:val="auto"/>
          <w:sz w:val="28"/>
          <w:szCs w:val="28"/>
          <w:highlight w:val="none"/>
        </w:rPr>
        <w:t>方</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监理人</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sdt>
        <w:sdtPr>
          <w:rPr>
            <w:rFonts w:hint="eastAsia" w:ascii="宋体" w:hAnsi="宋体" w:eastAsia="宋体" w:cs="宋体"/>
            <w:color w:val="auto"/>
            <w:kern w:val="2"/>
            <w:sz w:val="28"/>
            <w:szCs w:val="28"/>
            <w:highlight w:val="none"/>
            <w:lang w:val="en-US" w:eastAsia="zh-CN" w:bidi="ar-SA"/>
          </w:rPr>
          <w:alias w:val="乙方当事人全称"/>
          <w:tag w:val="乙方当事人全称"/>
          <w:id w:val="147472829"/>
          <w:placeholder>
            <w:docPart w:val="{a3ff74ef-95cb-480c-9205-771a4f1aca51}"/>
          </w:placeholder>
          <w:text/>
        </w:sdtPr>
        <w:sdtEndPr>
          <w:rPr>
            <w:rFonts w:hint="eastAsia" w:ascii="宋体" w:hAnsi="宋体" w:eastAsia="宋体" w:cs="宋体"/>
            <w:color w:val="auto"/>
            <w:kern w:val="2"/>
            <w:sz w:val="28"/>
            <w:szCs w:val="28"/>
            <w:highlight w:val="none"/>
            <w:u w:val="single"/>
            <w:lang w:val="en-US" w:eastAsia="zh-CN" w:bidi="ar-SA"/>
          </w:rPr>
        </w:sdtEndPr>
        <w:sdtContent>
          <w:permStart w:id="8" w:edGrp="everyone"/>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permEnd w:id="8"/>
        </w:sdtContent>
      </w:sdt>
    </w:p>
    <w:p w14:paraId="47779FA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住 所 地：</w:t>
      </w:r>
      <w:sdt>
        <w:sdtPr>
          <w:rPr>
            <w:rFonts w:hint="eastAsia" w:ascii="宋体" w:hAnsi="宋体" w:eastAsia="宋体" w:cs="宋体"/>
            <w:color w:val="auto"/>
            <w:kern w:val="2"/>
            <w:sz w:val="28"/>
            <w:szCs w:val="28"/>
            <w:highlight w:val="none"/>
            <w:lang w:val="en-US" w:eastAsia="zh-CN" w:bidi="ar-SA"/>
          </w:rPr>
          <w:alias w:val="乙方注册地址"/>
          <w:tag w:val="乙方注册地址"/>
          <w:id w:val="147472663"/>
          <w:placeholder>
            <w:docPart w:val="{09fdc14a-840d-408b-8ba0-c224665d83fc}"/>
          </w:placeholder>
          <w:text/>
        </w:sdtPr>
        <w:sdtEndPr>
          <w:rPr>
            <w:rFonts w:hint="eastAsia" w:ascii="宋体" w:hAnsi="宋体" w:eastAsia="宋体" w:cs="宋体"/>
            <w:color w:val="auto"/>
            <w:kern w:val="2"/>
            <w:sz w:val="28"/>
            <w:szCs w:val="28"/>
            <w:highlight w:val="none"/>
            <w:u w:val="single"/>
            <w:lang w:val="en-US" w:eastAsia="zh-CN" w:bidi="ar-SA"/>
          </w:rPr>
        </w:sdtEndPr>
        <w:sdtContent>
          <w:permStart w:id="9" w:edGrp="everyone"/>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permEnd w:id="9"/>
        </w:sdtContent>
      </w:sdt>
    </w:p>
    <w:p w14:paraId="4FF3F2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法定代表人（负责人）：</w:t>
      </w:r>
      <w:sdt>
        <w:sdtPr>
          <w:rPr>
            <w:rFonts w:hint="eastAsia" w:ascii="宋体" w:hAnsi="宋体" w:eastAsia="宋体" w:cs="宋体"/>
            <w:color w:val="auto"/>
            <w:kern w:val="2"/>
            <w:sz w:val="28"/>
            <w:szCs w:val="28"/>
            <w:highlight w:val="none"/>
            <w:lang w:val="en-US" w:eastAsia="zh-CN" w:bidi="ar-SA"/>
          </w:rPr>
          <w:alias w:val="乙方法定代表人或负责人"/>
          <w:tag w:val="乙方法定代表人或负责人"/>
          <w:id w:val="147472581"/>
          <w:placeholder>
            <w:docPart w:val="{42e4ac0a-4190-465f-8616-0b193ca03582}"/>
          </w:placeholder>
          <w:text/>
        </w:sdtPr>
        <w:sdtEndPr>
          <w:rPr>
            <w:rFonts w:hint="eastAsia" w:ascii="宋体" w:hAnsi="宋体" w:eastAsia="宋体" w:cs="宋体"/>
            <w:color w:val="auto"/>
            <w:kern w:val="2"/>
            <w:sz w:val="28"/>
            <w:szCs w:val="28"/>
            <w:highlight w:val="none"/>
            <w:u w:val="single"/>
            <w:lang w:val="en-US" w:eastAsia="zh-CN" w:bidi="ar-SA"/>
          </w:rPr>
        </w:sdtEndPr>
        <w:sdtContent>
          <w:permStart w:id="10" w:edGrp="everyone"/>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permEnd w:id="10"/>
        </w:sdtContent>
      </w:sdt>
    </w:p>
    <w:p w14:paraId="4F6000B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项目联系人：</w:t>
      </w:r>
      <w:sdt>
        <w:sdtPr>
          <w:rPr>
            <w:rFonts w:hint="eastAsia" w:ascii="宋体" w:hAnsi="宋体" w:eastAsia="宋体" w:cs="宋体"/>
            <w:color w:val="auto"/>
            <w:kern w:val="2"/>
            <w:sz w:val="28"/>
            <w:szCs w:val="28"/>
            <w:highlight w:val="none"/>
            <w:lang w:val="en-US" w:eastAsia="zh-CN" w:bidi="ar-SA"/>
          </w:rPr>
          <w:alias w:val="乙方联系人姓名"/>
          <w:tag w:val="乙方联系人姓名"/>
          <w:id w:val="147472052"/>
          <w:placeholder>
            <w:docPart w:val="{160dbd89-eb86-488d-9634-11f5108d053e}"/>
          </w:placeholder>
          <w:text/>
        </w:sdtPr>
        <w:sdtEndPr>
          <w:rPr>
            <w:rFonts w:hint="eastAsia" w:ascii="宋体" w:hAnsi="宋体" w:eastAsia="宋体" w:cs="宋体"/>
            <w:color w:val="auto"/>
            <w:kern w:val="2"/>
            <w:sz w:val="28"/>
            <w:szCs w:val="28"/>
            <w:highlight w:val="none"/>
            <w:u w:val="single"/>
            <w:lang w:val="en-US" w:eastAsia="zh-CN" w:bidi="ar-SA"/>
          </w:rPr>
        </w:sdtEndPr>
        <w:sdtContent>
          <w:permStart w:id="11" w:edGrp="everyone"/>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permEnd w:id="11"/>
        </w:sdtContent>
      </w:sdt>
    </w:p>
    <w:p w14:paraId="11813A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u w:val="single"/>
          <w:shd w:val="pct10" w:color="auto" w:fill="FFFFFF"/>
          <w:lang w:val="en-US"/>
        </w:rPr>
      </w:pPr>
      <w:r>
        <w:rPr>
          <w:rFonts w:hint="eastAsia" w:ascii="宋体" w:hAnsi="宋体" w:eastAsia="宋体" w:cs="宋体"/>
          <w:color w:val="auto"/>
          <w:sz w:val="28"/>
          <w:szCs w:val="28"/>
          <w:highlight w:val="none"/>
        </w:rPr>
        <w:t>通讯地址：</w:t>
      </w:r>
      <w:sdt>
        <w:sdtPr>
          <w:rPr>
            <w:rFonts w:hint="eastAsia" w:ascii="宋体" w:hAnsi="宋体" w:eastAsia="宋体" w:cs="宋体"/>
            <w:color w:val="auto"/>
            <w:kern w:val="2"/>
            <w:sz w:val="28"/>
            <w:szCs w:val="28"/>
            <w:highlight w:val="none"/>
            <w:lang w:val="en-US" w:eastAsia="zh-CN" w:bidi="ar-SA"/>
          </w:rPr>
          <w:alias w:val="乙方办公通讯地址"/>
          <w:tag w:val="乙方办公通讯地址"/>
          <w:id w:val="147471941"/>
          <w:placeholder>
            <w:docPart w:val="{76f56ca3-432c-49e9-a1db-38d12658f012}"/>
          </w:placeholder>
          <w:text/>
        </w:sdtPr>
        <w:sdtEndPr>
          <w:rPr>
            <w:rFonts w:hint="eastAsia" w:ascii="宋体" w:hAnsi="宋体" w:eastAsia="宋体" w:cs="宋体"/>
            <w:color w:val="auto"/>
            <w:kern w:val="2"/>
            <w:sz w:val="28"/>
            <w:szCs w:val="28"/>
            <w:highlight w:val="none"/>
            <w:u w:val="single"/>
            <w:lang w:val="en-US" w:eastAsia="zh-CN" w:bidi="ar-SA"/>
          </w:rPr>
        </w:sdtEndPr>
        <w:sdtContent>
          <w:permStart w:id="12" w:edGrp="everyone"/>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permEnd w:id="12"/>
        </w:sdtContent>
      </w:sdt>
    </w:p>
    <w:p w14:paraId="4FEC8EA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u w:val="none"/>
          <w:shd w:val="clear" w:color="auto" w:fill="auto"/>
          <w:lang w:val="en-US" w:eastAsia="zh-CN"/>
        </w:rPr>
      </w:pPr>
      <w:r>
        <w:rPr>
          <w:rFonts w:hint="eastAsia" w:ascii="宋体" w:hAnsi="宋体" w:eastAsia="宋体" w:cs="宋体"/>
          <w:color w:val="auto"/>
          <w:sz w:val="28"/>
          <w:szCs w:val="28"/>
          <w:highlight w:val="none"/>
          <w:u w:val="none"/>
          <w:shd w:val="clear" w:color="auto" w:fill="auto"/>
          <w:lang w:val="en-US" w:eastAsia="zh-CN"/>
        </w:rPr>
        <w:t>手    机：</w:t>
      </w:r>
      <w:sdt>
        <w:sdtPr>
          <w:rPr>
            <w:rFonts w:hint="eastAsia" w:ascii="宋体" w:hAnsi="宋体" w:eastAsia="宋体" w:cs="宋体"/>
            <w:color w:val="auto"/>
            <w:kern w:val="2"/>
            <w:sz w:val="28"/>
            <w:szCs w:val="28"/>
            <w:highlight w:val="none"/>
            <w:u w:val="none"/>
            <w:shd w:val="clear" w:color="auto" w:fill="auto"/>
            <w:lang w:val="en-US" w:eastAsia="zh-CN" w:bidi="ar-SA"/>
          </w:rPr>
          <w:alias w:val="乙方联系人手机"/>
          <w:tag w:val="乙方联系人手机"/>
          <w:id w:val="147471784"/>
          <w:placeholder>
            <w:docPart w:val="{76c3784a-ba33-44e5-ac8e-7c3af81fc9e6}"/>
          </w:placeholder>
          <w:text/>
        </w:sdtPr>
        <w:sdtEndPr>
          <w:rPr>
            <w:rFonts w:hint="eastAsia" w:ascii="宋体" w:hAnsi="宋体" w:eastAsia="宋体" w:cs="宋体"/>
            <w:color w:val="auto"/>
            <w:kern w:val="2"/>
            <w:sz w:val="28"/>
            <w:szCs w:val="28"/>
            <w:highlight w:val="none"/>
            <w:u w:val="single"/>
            <w:shd w:val="clear" w:color="auto" w:fill="auto"/>
            <w:lang w:val="en-US" w:eastAsia="zh-CN" w:bidi="ar-SA"/>
          </w:rPr>
        </w:sdtEndPr>
        <w:sdtContent>
          <w:permStart w:id="13" w:edGrp="everyone"/>
          <w:r>
            <w:rPr>
              <w:rFonts w:hint="eastAsia" w:ascii="宋体" w:hAnsi="宋体" w:eastAsia="宋体" w:cs="宋体"/>
              <w:color w:val="auto"/>
              <w:sz w:val="28"/>
              <w:szCs w:val="28"/>
              <w:highlight w:val="none"/>
              <w:u w:val="single"/>
              <w:shd w:val="clear" w:color="auto" w:fill="auto"/>
              <w:lang w:val="en-US" w:eastAsia="zh-CN"/>
            </w:rPr>
            <w:t xml:space="preserve"> </w:t>
          </w:r>
          <w:r>
            <w:rPr>
              <w:rFonts w:hint="eastAsia" w:ascii="宋体" w:hAnsi="宋体" w:cs="宋体"/>
              <w:color w:val="auto"/>
              <w:sz w:val="28"/>
              <w:szCs w:val="28"/>
              <w:highlight w:val="none"/>
              <w:u w:val="single"/>
              <w:shd w:val="clear" w:color="auto" w:fill="auto"/>
              <w:lang w:val="en-US" w:eastAsia="zh-CN"/>
            </w:rPr>
            <w:t xml:space="preserve"> </w:t>
          </w:r>
          <w:r>
            <w:rPr>
              <w:rFonts w:hint="eastAsia" w:ascii="宋体" w:hAnsi="宋体" w:eastAsia="宋体" w:cs="宋体"/>
              <w:color w:val="auto"/>
              <w:sz w:val="28"/>
              <w:szCs w:val="28"/>
              <w:highlight w:val="none"/>
              <w:u w:val="single"/>
              <w:shd w:val="clear" w:color="auto" w:fill="auto"/>
              <w:lang w:val="en-US" w:eastAsia="zh-CN"/>
            </w:rPr>
            <w:t xml:space="preserve"> </w:t>
          </w:r>
          <w:permEnd w:id="13"/>
        </w:sdtContent>
      </w:sdt>
    </w:p>
    <w:p w14:paraId="2F98AA7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电    话：</w:t>
      </w:r>
      <w:sdt>
        <w:sdtPr>
          <w:rPr>
            <w:rFonts w:hint="eastAsia" w:ascii="宋体" w:hAnsi="宋体" w:eastAsia="宋体" w:cs="宋体"/>
            <w:color w:val="auto"/>
            <w:kern w:val="2"/>
            <w:sz w:val="28"/>
            <w:szCs w:val="28"/>
            <w:highlight w:val="none"/>
            <w:lang w:val="en-US" w:eastAsia="zh-CN" w:bidi="ar-SA"/>
          </w:rPr>
          <w:alias w:val="乙方联系人固定电话"/>
          <w:tag w:val="乙方联系人固定电话"/>
          <w:id w:val="147471722"/>
          <w:placeholder>
            <w:docPart w:val="{a82037d7-6cb5-42f8-a184-c5dbf63f4828}"/>
          </w:placeholder>
          <w:text/>
        </w:sdtPr>
        <w:sdtEndPr>
          <w:rPr>
            <w:rFonts w:hint="eastAsia" w:ascii="宋体" w:hAnsi="宋体" w:eastAsia="宋体" w:cs="宋体"/>
            <w:color w:val="auto"/>
            <w:kern w:val="2"/>
            <w:sz w:val="28"/>
            <w:szCs w:val="28"/>
            <w:highlight w:val="none"/>
            <w:lang w:val="en-US" w:eastAsia="zh-CN" w:bidi="ar-SA"/>
          </w:rPr>
        </w:sdtEndPr>
        <w:sdtContent>
          <w:permStart w:id="14" w:edGrp="everyone"/>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shd w:val="clear" w:color="auto" w:fill="auto"/>
              <w:lang w:val="en-US" w:eastAsia="zh-CN"/>
            </w:rPr>
            <w:t xml:space="preserve"> </w:t>
          </w:r>
          <w:r>
            <w:rPr>
              <w:rFonts w:hint="eastAsia" w:ascii="宋体" w:hAnsi="宋体" w:eastAsia="宋体" w:cs="宋体"/>
              <w:color w:val="auto"/>
              <w:sz w:val="28"/>
              <w:szCs w:val="28"/>
              <w:highlight w:val="none"/>
              <w:u w:val="single"/>
              <w:lang w:val="en-US" w:eastAsia="zh-CN"/>
            </w:rPr>
            <w:t xml:space="preserve"> </w:t>
          </w:r>
          <w:permEnd w:id="14"/>
        </w:sdtContent>
      </w:sdt>
    </w:p>
    <w:p w14:paraId="6419DA8F">
      <w:pPr>
        <w:ind w:firstLine="560" w:firstLineChars="200"/>
        <w:rPr>
          <w:rFonts w:hint="eastAsia" w:asciiTheme="majorEastAsia" w:hAnsiTheme="majorEastAsia" w:eastAsiaTheme="majorEastAsia" w:cstheme="majorEastAsia"/>
          <w:b/>
          <w:bCs/>
          <w:color w:val="auto"/>
          <w:sz w:val="36"/>
          <w:szCs w:val="36"/>
          <w:highlight w:val="none"/>
        </w:rPr>
      </w:pPr>
      <w:r>
        <w:rPr>
          <w:rFonts w:hint="eastAsia" w:ascii="宋体" w:hAnsi="宋体" w:eastAsia="宋体" w:cs="宋体"/>
          <w:color w:val="auto"/>
          <w:sz w:val="28"/>
          <w:szCs w:val="28"/>
          <w:highlight w:val="none"/>
        </w:rPr>
        <w:t>电子信箱：</w:t>
      </w:r>
      <w:sdt>
        <w:sdtPr>
          <w:rPr>
            <w:rFonts w:hint="eastAsia" w:ascii="宋体" w:hAnsi="宋体" w:eastAsia="宋体" w:cs="宋体"/>
            <w:color w:val="auto"/>
            <w:kern w:val="2"/>
            <w:sz w:val="28"/>
            <w:szCs w:val="28"/>
            <w:highlight w:val="none"/>
            <w:lang w:val="en-US" w:eastAsia="zh-CN" w:bidi="ar-SA"/>
          </w:rPr>
          <w:alias w:val="乙方联系人电子邮箱"/>
          <w:tag w:val="乙方联系人电子邮箱"/>
          <w:id w:val="147471651"/>
          <w:placeholder>
            <w:docPart w:val="{ae94232e-4d76-4895-9931-a56f229b32b0}"/>
          </w:placeholder>
          <w:text/>
        </w:sdtPr>
        <w:sdtEndPr>
          <w:rPr>
            <w:rFonts w:hint="eastAsia" w:ascii="宋体" w:hAnsi="宋体" w:eastAsia="宋体" w:cs="宋体"/>
            <w:color w:val="auto"/>
            <w:kern w:val="2"/>
            <w:sz w:val="28"/>
            <w:szCs w:val="28"/>
            <w:highlight w:val="none"/>
            <w:u w:val="single"/>
            <w:lang w:val="en-US" w:eastAsia="zh-CN" w:bidi="ar-SA"/>
          </w:rPr>
        </w:sdtEndPr>
        <w:sdtContent>
          <w:permStart w:id="15" w:edGrp="everyone"/>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w:t>
          </w:r>
          <w:r>
            <w:rPr>
              <w:rFonts w:hint="eastAsia" w:ascii="宋体" w:hAnsi="宋体" w:eastAsia="宋体" w:cs="宋体"/>
              <w:color w:val="auto"/>
              <w:sz w:val="28"/>
              <w:szCs w:val="28"/>
              <w:highlight w:val="none"/>
              <w:u w:val="single"/>
              <w:lang w:val="en-US" w:eastAsia="zh-CN"/>
            </w:rPr>
            <w:t xml:space="preserve"> </w:t>
          </w:r>
          <w:permEnd w:id="15"/>
        </w:sdtContent>
      </w:sdt>
      <w:r>
        <w:rPr>
          <w:rFonts w:hint="eastAsia" w:asciiTheme="majorEastAsia" w:hAnsiTheme="majorEastAsia" w:eastAsiaTheme="majorEastAsia" w:cstheme="majorEastAsia"/>
          <w:b/>
          <w:bCs/>
          <w:color w:val="auto"/>
          <w:sz w:val="36"/>
          <w:szCs w:val="36"/>
          <w:highlight w:val="none"/>
        </w:rPr>
        <w:br w:type="page"/>
      </w:r>
    </w:p>
    <w:p w14:paraId="6003A760">
      <w:pPr>
        <w:spacing w:line="440" w:lineRule="exact"/>
        <w:jc w:val="center"/>
        <w:rPr>
          <w:rFonts w:hint="eastAsia"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第一节</w:t>
      </w:r>
      <w:r>
        <w:rPr>
          <w:rFonts w:hint="eastAsia" w:asciiTheme="majorEastAsia" w:hAnsiTheme="majorEastAsia" w:eastAsiaTheme="majorEastAsia" w:cstheme="majorEastAsia"/>
          <w:b/>
          <w:bCs/>
          <w:color w:val="auto"/>
          <w:sz w:val="36"/>
          <w:szCs w:val="36"/>
          <w:highlight w:val="none"/>
          <w:lang w:val="en-US" w:eastAsia="zh-CN"/>
        </w:rPr>
        <w:t xml:space="preserve"> </w:t>
      </w:r>
      <w:r>
        <w:rPr>
          <w:rFonts w:hint="eastAsia" w:asciiTheme="majorEastAsia" w:hAnsiTheme="majorEastAsia" w:eastAsiaTheme="majorEastAsia" w:cstheme="majorEastAsia"/>
          <w:b/>
          <w:bCs/>
          <w:color w:val="auto"/>
          <w:sz w:val="36"/>
          <w:szCs w:val="36"/>
          <w:highlight w:val="none"/>
        </w:rPr>
        <w:t>合同协议书</w:t>
      </w:r>
    </w:p>
    <w:p w14:paraId="1249703E">
      <w:pPr>
        <w:spacing w:line="440" w:lineRule="exact"/>
        <w:rPr>
          <w:color w:val="auto"/>
          <w:highlight w:val="none"/>
        </w:rPr>
      </w:pPr>
    </w:p>
    <w:p w14:paraId="63222E3B">
      <w:pPr>
        <w:spacing w:line="440" w:lineRule="exact"/>
        <w:ind w:firstLine="359" w:firstLineChars="171"/>
        <w:rPr>
          <w:color w:val="auto"/>
          <w:szCs w:val="21"/>
          <w:highlight w:val="none"/>
        </w:rPr>
      </w:pPr>
      <w:r>
        <w:rPr>
          <w:rFonts w:hint="eastAsia"/>
          <w:color w:val="auto"/>
          <w:szCs w:val="21"/>
          <w:highlight w:val="none"/>
        </w:rPr>
        <w:t>根据《中华人民共和国民法典》《中华人民共和国建筑法》及其他有关法律、法规，遵循平等、自愿、公平和诚信的原则，双方就下述工程委托监理与相关服务事项协商一致，订立本合同。</w:t>
      </w:r>
    </w:p>
    <w:p w14:paraId="00ECC421">
      <w:pPr>
        <w:spacing w:line="440" w:lineRule="exact"/>
        <w:ind w:firstLine="420" w:firstLineChars="200"/>
        <w:rPr>
          <w:color w:val="auto"/>
          <w:szCs w:val="21"/>
          <w:highlight w:val="none"/>
        </w:rPr>
      </w:pPr>
      <w:r>
        <w:rPr>
          <w:color w:val="auto"/>
          <w:szCs w:val="21"/>
          <w:highlight w:val="none"/>
        </w:rPr>
        <w:t>1. 下列文件一起构成合同文件：</w:t>
      </w:r>
    </w:p>
    <w:p w14:paraId="4E68CFFB">
      <w:pPr>
        <w:spacing w:line="360" w:lineRule="auto"/>
        <w:ind w:firstLine="420"/>
        <w:rPr>
          <w:color w:val="auto"/>
          <w:highlight w:val="none"/>
        </w:rPr>
      </w:pPr>
      <w:permStart w:id="16" w:edGrp="everyone"/>
      <w:r>
        <w:rPr>
          <w:color w:val="auto"/>
          <w:highlight w:val="none"/>
        </w:rPr>
        <w:t>（1）合同协议书；</w:t>
      </w:r>
    </w:p>
    <w:p w14:paraId="5314A3AD">
      <w:pPr>
        <w:spacing w:line="360" w:lineRule="auto"/>
        <w:ind w:firstLine="420"/>
        <w:rPr>
          <w:color w:val="auto"/>
          <w:highlight w:val="none"/>
        </w:rPr>
      </w:pPr>
      <w:r>
        <w:rPr>
          <w:color w:val="auto"/>
          <w:highlight w:val="none"/>
        </w:rPr>
        <w:t>（2）中标通知书；</w:t>
      </w:r>
    </w:p>
    <w:p w14:paraId="713FA871">
      <w:pPr>
        <w:spacing w:line="360" w:lineRule="auto"/>
        <w:ind w:firstLine="420"/>
        <w:rPr>
          <w:color w:val="auto"/>
          <w:highlight w:val="none"/>
        </w:rPr>
      </w:pPr>
      <w:r>
        <w:rPr>
          <w:color w:val="auto"/>
          <w:highlight w:val="none"/>
        </w:rPr>
        <w:t>（3）专用合同条款</w:t>
      </w:r>
      <w:r>
        <w:rPr>
          <w:rFonts w:hint="eastAsia"/>
          <w:color w:val="auto"/>
          <w:highlight w:val="none"/>
        </w:rPr>
        <w:t>及合同附件</w:t>
      </w:r>
      <w:r>
        <w:rPr>
          <w:color w:val="auto"/>
          <w:highlight w:val="none"/>
        </w:rPr>
        <w:t>；</w:t>
      </w:r>
    </w:p>
    <w:p w14:paraId="3E5AA6D6">
      <w:pPr>
        <w:spacing w:line="360" w:lineRule="auto"/>
        <w:ind w:firstLine="420"/>
        <w:rPr>
          <w:color w:val="auto"/>
          <w:highlight w:val="none"/>
        </w:rPr>
      </w:pPr>
      <w:r>
        <w:rPr>
          <w:color w:val="auto"/>
          <w:highlight w:val="none"/>
        </w:rPr>
        <w:t>（4）通用合同条款；</w:t>
      </w:r>
    </w:p>
    <w:p w14:paraId="1E33E556">
      <w:pPr>
        <w:spacing w:line="360" w:lineRule="auto"/>
        <w:ind w:firstLine="420"/>
        <w:rPr>
          <w:color w:val="auto"/>
          <w:highlight w:val="none"/>
        </w:rPr>
      </w:pPr>
      <w:r>
        <w:rPr>
          <w:color w:val="auto"/>
          <w:highlight w:val="none"/>
        </w:rPr>
        <w:t>（5）</w:t>
      </w:r>
      <w:r>
        <w:rPr>
          <w:rFonts w:hint="eastAsia"/>
          <w:color w:val="auto"/>
          <w:highlight w:val="none"/>
        </w:rPr>
        <w:t>招标文件（含答疑及澄清）；</w:t>
      </w:r>
    </w:p>
    <w:p w14:paraId="7B6B7B18">
      <w:pPr>
        <w:spacing w:line="360" w:lineRule="auto"/>
        <w:ind w:firstLine="420"/>
        <w:rPr>
          <w:color w:val="auto"/>
          <w:highlight w:val="none"/>
        </w:rPr>
      </w:pPr>
      <w:r>
        <w:rPr>
          <w:color w:val="auto"/>
          <w:highlight w:val="none"/>
        </w:rPr>
        <w:t>（6）投标函及</w:t>
      </w:r>
      <w:r>
        <w:rPr>
          <w:rFonts w:hint="eastAsia"/>
          <w:color w:val="auto"/>
          <w:highlight w:val="none"/>
        </w:rPr>
        <w:t>投标</w:t>
      </w:r>
      <w:r>
        <w:rPr>
          <w:rFonts w:hint="eastAsia"/>
          <w:color w:val="auto"/>
          <w:highlight w:val="none"/>
          <w:lang w:val="en-US" w:eastAsia="zh-CN"/>
        </w:rPr>
        <w:t>文件</w:t>
      </w:r>
      <w:r>
        <w:rPr>
          <w:rFonts w:hint="eastAsia"/>
          <w:color w:val="auto"/>
          <w:highlight w:val="none"/>
        </w:rPr>
        <w:t>（含澄清）</w:t>
      </w:r>
      <w:r>
        <w:rPr>
          <w:color w:val="auto"/>
          <w:highlight w:val="none"/>
        </w:rPr>
        <w:t>；</w:t>
      </w:r>
    </w:p>
    <w:p w14:paraId="1EFAEE16">
      <w:pPr>
        <w:spacing w:line="360" w:lineRule="auto"/>
        <w:ind w:firstLine="420"/>
        <w:rPr>
          <w:color w:val="auto"/>
          <w:highlight w:val="none"/>
        </w:rPr>
      </w:pPr>
      <w:r>
        <w:rPr>
          <w:rFonts w:hint="eastAsia"/>
          <w:color w:val="auto"/>
          <w:highlight w:val="none"/>
        </w:rPr>
        <w:t>（7）</w:t>
      </w:r>
      <w:r>
        <w:rPr>
          <w:color w:val="auto"/>
          <w:highlight w:val="none"/>
        </w:rPr>
        <w:t>委托人要求；</w:t>
      </w:r>
    </w:p>
    <w:p w14:paraId="3E1A33C1">
      <w:pPr>
        <w:spacing w:line="360" w:lineRule="auto"/>
        <w:ind w:firstLine="420"/>
        <w:rPr>
          <w:color w:val="auto"/>
          <w:highlight w:val="none"/>
        </w:rPr>
      </w:pPr>
      <w:r>
        <w:rPr>
          <w:color w:val="auto"/>
          <w:highlight w:val="none"/>
        </w:rPr>
        <w:t>（</w:t>
      </w:r>
      <w:r>
        <w:rPr>
          <w:rFonts w:hint="eastAsia"/>
          <w:color w:val="auto"/>
          <w:highlight w:val="none"/>
        </w:rPr>
        <w:t>8</w:t>
      </w:r>
      <w:r>
        <w:rPr>
          <w:color w:val="auto"/>
          <w:highlight w:val="none"/>
        </w:rPr>
        <w:t>）</w:t>
      </w:r>
      <w:r>
        <w:rPr>
          <w:rFonts w:hint="eastAsia"/>
          <w:color w:val="auto"/>
          <w:highlight w:val="none"/>
        </w:rPr>
        <w:t>图纸；</w:t>
      </w:r>
    </w:p>
    <w:p w14:paraId="2621EBFA">
      <w:pPr>
        <w:spacing w:line="360" w:lineRule="auto"/>
        <w:ind w:firstLine="420"/>
        <w:rPr>
          <w:color w:val="auto"/>
          <w:szCs w:val="21"/>
          <w:highlight w:val="none"/>
        </w:rPr>
      </w:pPr>
      <w:r>
        <w:rPr>
          <w:color w:val="auto"/>
          <w:highlight w:val="none"/>
        </w:rPr>
        <w:t>（</w:t>
      </w:r>
      <w:r>
        <w:rPr>
          <w:rFonts w:hint="eastAsia"/>
          <w:color w:val="auto"/>
          <w:highlight w:val="none"/>
          <w:lang w:val="en-US" w:eastAsia="zh-CN"/>
        </w:rPr>
        <w:t>9</w:t>
      </w:r>
      <w:r>
        <w:rPr>
          <w:color w:val="auto"/>
          <w:highlight w:val="none"/>
        </w:rPr>
        <w:t>）其他合同</w:t>
      </w:r>
      <w:r>
        <w:rPr>
          <w:color w:val="auto"/>
          <w:szCs w:val="21"/>
          <w:highlight w:val="none"/>
        </w:rPr>
        <w:t>文件。</w:t>
      </w:r>
    </w:p>
    <w:permEnd w:id="16"/>
    <w:p w14:paraId="188CBD91">
      <w:pPr>
        <w:spacing w:line="440" w:lineRule="exact"/>
        <w:ind w:firstLine="420" w:firstLineChars="200"/>
        <w:rPr>
          <w:color w:val="auto"/>
          <w:szCs w:val="21"/>
          <w:highlight w:val="none"/>
        </w:rPr>
      </w:pPr>
      <w:r>
        <w:rPr>
          <w:color w:val="auto"/>
          <w:szCs w:val="21"/>
          <w:highlight w:val="none"/>
        </w:rPr>
        <w:t>2. 上述合同文件互相补充和解释。如果合同文件之间存在矛盾或不一致之处，以上述文件的排列顺序在先者为准。</w:t>
      </w:r>
    </w:p>
    <w:p w14:paraId="6C75C8CB">
      <w:pPr>
        <w:kinsoku/>
        <w:wordWrap/>
        <w:overflowPunct/>
        <w:topLinePunct w:val="0"/>
        <w:bidi w:val="0"/>
        <w:spacing w:line="540" w:lineRule="exact"/>
        <w:ind w:firstLine="420" w:firstLineChars="200"/>
        <w:rPr>
          <w:color w:val="auto"/>
          <w:szCs w:val="21"/>
          <w:highlight w:val="none"/>
        </w:rPr>
      </w:pPr>
      <w:r>
        <w:rPr>
          <w:rFonts w:hint="eastAsia"/>
          <w:color w:val="auto"/>
          <w:szCs w:val="21"/>
          <w:highlight w:val="none"/>
        </w:rPr>
        <w:t>3. 工程概况：</w:t>
      </w:r>
      <w:sdt>
        <w:sdtPr>
          <w:rPr>
            <w:rFonts w:hint="eastAsia" w:eastAsia="宋体"/>
            <w:color w:val="FF0000"/>
            <w:szCs w:val="21"/>
            <w:highlight w:val="none"/>
            <w:u w:val="single"/>
            <w:lang w:val="en-US" w:eastAsia="zh-CN"/>
          </w:rPr>
          <w:alias w:val="项目名称"/>
          <w:id w:val="147459498"/>
          <w:lock w:val="sdtLocked"/>
          <w:placeholder>
            <w:docPart w:val="{0fd64566-713e-40d2-b158-49783a76344c}"/>
          </w:placeholder>
          <w:dataBinding w:prefixMappings="xmlns:ns0='http://schemas.microsoft.com/office/2006/xmlPackage' xmlns:ns1='http://schemas.openxmlformats.org/package/2006/relationships' xmlns:ns2='http://schemas.microsoft.com/office/word/2010/wordprocessingCanvas' xmlns:ns3='http://schemas.openxmlformats.org/markup-compatibility/2006' xmlns:ns4='urn:schemas-microsoft-com:office:office' xmlns:ns5='http://schemas.openxmlformats.org/officeDocument/2006/relationships' xmlns:ns6='http://schemas.openxmlformats.org/officeDocument/2006/math' xmlns:ns7='urn:schemas-microsoft-com:vml' xmlns:ns8='http://schemas.microsoft.com/office/word/2010/wordprocessingDrawing' xmlns:ns9='http://schemas.openxmlformats.org/drawingml/2006/wordprocessingDrawing' xmlns:ns10='http://schemas.openxmlformats.org/wordprocessingml/2006/main' xmlns:ns11='http://schemas.microsoft.com/office/word/2010/wordml' xmlns:ns12='urn:schemas-microsoft-com:office:word' xmlns:ns13='http://schemas.microsoft.com/office/word/2012/wordml' xmlns:ns14='http://schemas.microsoft.com/office/word/2010/wordprocessingGroup' xmlns:ns15='http://schemas.microsoft.com/office/word/2010/wordprocessingInk' xmlns:ns16='http://schemas.microsoft.com/office/word/2006/wordml' xmlns:ns17='http://schemas.microsoft.com/office/word/2010/wordprocessingShape' xmlns:ns18='http://www.wps.cn/officeDocument/2013/wpsCustomData' xmlns:ns19='http://schemas.openxmlformats.org/officeDocument/2006/extended-properties' xmlns:ns20='http://schemas.openxmlformats.org/officeDocument/2006/docPropsVTypes' xmlns:ns21='http://schemas.openxmlformats.org/package/2006/metadata/core-properties' xmlns:ns22='http://purl.org/dc/elements/1.1/' xmlns:ns23='http://purl.org/dc/terms/' xmlns:ns24='http://purl.org/dc/dcmitype/' xmlns:ns25='http://www.w3.org/2001/XMLSchema-instance' xmlns:ns26='http://schemas.openxmlformats.org/officeDocument/2006/custom-properties' xmlns:ns27='http://schemas.openxmlformats.org/schemaLibrary/2006/main' xmlns:ns28='http://schemas.openxmlformats.org/drawingml/2006/main' " w:xpath="/ns0:package[1]/ns0:part[1]/ns0:xmlData[1]/ns1:Relationships[1]/ns1:Relationship[1]/@Id" w:storeItemID="{f01a80e8-afba-4f8f-9ad5-44941422db2f}"/>
          <w:text/>
        </w:sdtPr>
        <w:sdtEndPr>
          <w:rPr>
            <w:rFonts w:hint="eastAsia" w:eastAsia="宋体"/>
            <w:color w:val="auto"/>
            <w:szCs w:val="21"/>
            <w:highlight w:val="none"/>
            <w:u w:val="single"/>
            <w:lang w:val="en-US" w:eastAsia="zh-CN"/>
          </w:rPr>
        </w:sdtEndPr>
        <w:sdtContent>
          <w:permStart w:id="17" w:edGrp="everyone"/>
          <w:r>
            <w:rPr>
              <w:rFonts w:hint="eastAsia" w:ascii="Times New Roman" w:hAnsi="Times New Roman" w:cs="Times New Roman"/>
              <w:color w:val="auto"/>
              <w:szCs w:val="21"/>
              <w:highlight w:val="none"/>
              <w:u w:val="single"/>
              <w:lang w:val="en-US" w:eastAsia="zh-CN"/>
            </w:rPr>
            <w:t>番南能源科技基地开发用地红线范围内需配套建设500kV傍海（番南）变电站 1 座，用地面积约为34505平方米，总建筑面积约为15889平方米，变电站基底面积约为5390平方米（最终以规划批复文件为准）。本项目为500kV傍海（番南）变电站的建、构筑物土建工程，及开发项目红线内建设的开发项目配套变电站进出线电缆管沟土建工程</w:t>
          </w:r>
        </w:sdtContent>
      </w:sdt>
      <w:r>
        <w:rPr>
          <w:rFonts w:hint="eastAsia" w:eastAsia="宋体"/>
          <w:color w:val="auto"/>
          <w:szCs w:val="21"/>
          <w:highlight w:val="none"/>
          <w:u w:val="single"/>
        </w:rPr>
        <w:t xml:space="preserve"> </w:t>
      </w:r>
      <w:permEnd w:id="17"/>
      <w:r>
        <w:rPr>
          <w:color w:val="auto"/>
          <w:szCs w:val="21"/>
          <w:highlight w:val="none"/>
        </w:rPr>
        <w:t>。</w:t>
      </w:r>
    </w:p>
    <w:p w14:paraId="5FFE2A42">
      <w:pPr>
        <w:spacing w:line="440" w:lineRule="exact"/>
        <w:ind w:firstLine="420" w:firstLineChars="200"/>
        <w:rPr>
          <w:color w:val="auto"/>
          <w:szCs w:val="21"/>
          <w:highlight w:val="none"/>
        </w:rPr>
      </w:pPr>
      <w:r>
        <w:rPr>
          <w:rFonts w:hint="eastAsia"/>
          <w:color w:val="auto"/>
          <w:szCs w:val="21"/>
          <w:highlight w:val="none"/>
        </w:rPr>
        <w:t>4. 监理服务范围：</w:t>
      </w:r>
      <w:permStart w:id="18" w:edGrp="everyone"/>
      <w:r>
        <w:rPr>
          <w:color w:val="auto"/>
          <w:szCs w:val="21"/>
          <w:highlight w:val="none"/>
          <w:u w:val="single"/>
        </w:rPr>
        <w:t xml:space="preserve"> </w:t>
      </w:r>
      <w:r>
        <w:rPr>
          <w:rFonts w:hint="eastAsia"/>
          <w:color w:val="auto"/>
          <w:szCs w:val="21"/>
          <w:highlight w:val="none"/>
          <w:u w:val="single"/>
        </w:rPr>
        <w:t>勘</w:t>
      </w:r>
      <w:r>
        <w:rPr>
          <w:rFonts w:hint="eastAsia"/>
          <w:color w:val="auto"/>
          <w:szCs w:val="21"/>
          <w:highlight w:val="none"/>
          <w:u w:val="single"/>
        </w:rPr>
        <w:t>察设计</w:t>
      </w:r>
      <w:r>
        <w:rPr>
          <w:rFonts w:hint="eastAsia"/>
          <w:color w:val="auto"/>
          <w:szCs w:val="21"/>
          <w:highlight w:val="none"/>
          <w:u w:val="single"/>
          <w:lang w:eastAsia="zh-CN"/>
        </w:rPr>
        <w:t>（</w:t>
      </w:r>
      <w:r>
        <w:rPr>
          <w:rFonts w:hint="eastAsia"/>
          <w:color w:val="auto"/>
          <w:szCs w:val="21"/>
          <w:highlight w:val="none"/>
          <w:u w:val="single"/>
          <w:lang w:val="en-US" w:eastAsia="zh-CN"/>
        </w:rPr>
        <w:t>如需</w:t>
      </w:r>
      <w:r>
        <w:rPr>
          <w:rFonts w:hint="eastAsia"/>
          <w:color w:val="auto"/>
          <w:szCs w:val="21"/>
          <w:highlight w:val="none"/>
          <w:u w:val="single"/>
          <w:lang w:eastAsia="zh-CN"/>
        </w:rPr>
        <w:t>）</w:t>
      </w:r>
      <w:r>
        <w:rPr>
          <w:rFonts w:hint="eastAsia"/>
          <w:color w:val="auto"/>
          <w:szCs w:val="21"/>
          <w:highlight w:val="none"/>
          <w:u w:val="single"/>
        </w:rPr>
        <w:t>、施工准备（不含三通一平）、施工（含通信）、竣工结算、缺陷责任期、电子化移交的全过程监理，以及初步设计概算（或施工图预算）中监理计费范围以外但与工程相关的监理工作。按照建设单位要求使用工程信息管理系统</w:t>
      </w:r>
      <w:r>
        <w:rPr>
          <w:color w:val="auto"/>
          <w:szCs w:val="21"/>
          <w:highlight w:val="none"/>
          <w:u w:val="single"/>
        </w:rPr>
        <w:t xml:space="preserve"> </w:t>
      </w:r>
      <w:r>
        <w:rPr>
          <w:color w:val="auto"/>
          <w:szCs w:val="21"/>
          <w:highlight w:val="none"/>
        </w:rPr>
        <w:t>。</w:t>
      </w:r>
      <w:permEnd w:id="18"/>
    </w:p>
    <w:p w14:paraId="5FD85212">
      <w:pPr>
        <w:spacing w:line="440" w:lineRule="exact"/>
        <w:ind w:firstLine="420" w:firstLineChars="200"/>
        <w:rPr>
          <w:color w:val="auto"/>
          <w:szCs w:val="21"/>
          <w:highlight w:val="none"/>
        </w:rPr>
      </w:pPr>
      <w:r>
        <w:rPr>
          <w:rFonts w:hint="eastAsia"/>
          <w:color w:val="auto"/>
          <w:szCs w:val="21"/>
          <w:highlight w:val="none"/>
        </w:rPr>
        <w:t>5. 项目质量目标</w:t>
      </w:r>
      <w:r>
        <w:rPr>
          <w:color w:val="auto"/>
          <w:szCs w:val="21"/>
          <w:highlight w:val="none"/>
        </w:rPr>
        <w:t>：</w:t>
      </w:r>
      <w:permStart w:id="19" w:edGrp="everyone"/>
      <w:r>
        <w:rPr>
          <w:color w:val="auto"/>
          <w:szCs w:val="21"/>
          <w:highlight w:val="none"/>
          <w:u w:val="single"/>
        </w:rPr>
        <w:t xml:space="preserve"> </w:t>
      </w:r>
      <w:r>
        <w:rPr>
          <w:rFonts w:hint="eastAsia"/>
          <w:color w:val="auto"/>
          <w:szCs w:val="21"/>
          <w:highlight w:val="none"/>
          <w:u w:val="single"/>
        </w:rPr>
        <w:t>满足国家、行业、中国南方电网有限责任公司质量标准、控制标准和验收规范，在质量管理过程中达到或超过质量标准，通过各级验收合格并完成启动投产</w:t>
      </w:r>
      <w:r>
        <w:rPr>
          <w:color w:val="auto"/>
          <w:szCs w:val="21"/>
          <w:highlight w:val="none"/>
          <w:u w:val="single"/>
        </w:rPr>
        <w:t xml:space="preserve"> </w:t>
      </w:r>
      <w:r>
        <w:rPr>
          <w:color w:val="auto"/>
          <w:szCs w:val="21"/>
          <w:highlight w:val="none"/>
        </w:rPr>
        <w:t>。</w:t>
      </w:r>
      <w:permEnd w:id="19"/>
    </w:p>
    <w:p w14:paraId="32C41967">
      <w:pPr>
        <w:spacing w:line="440" w:lineRule="exact"/>
        <w:ind w:firstLine="420" w:firstLineChars="200"/>
        <w:rPr>
          <w:color w:val="auto"/>
          <w:szCs w:val="21"/>
          <w:highlight w:val="none"/>
        </w:rPr>
      </w:pPr>
      <w:r>
        <w:rPr>
          <w:rFonts w:hint="eastAsia"/>
          <w:color w:val="auto"/>
          <w:szCs w:val="21"/>
          <w:highlight w:val="none"/>
        </w:rPr>
        <w:t xml:space="preserve">6. </w:t>
      </w:r>
      <w:bookmarkStart w:id="1" w:name="OLE_LINK1"/>
      <w:r>
        <w:rPr>
          <w:rFonts w:hint="eastAsia"/>
          <w:color w:val="auto"/>
          <w:szCs w:val="21"/>
          <w:highlight w:val="none"/>
        </w:rPr>
        <w:t>安全</w:t>
      </w:r>
      <w:bookmarkEnd w:id="1"/>
      <w:r>
        <w:rPr>
          <w:rFonts w:hint="eastAsia"/>
          <w:color w:val="auto"/>
          <w:szCs w:val="21"/>
          <w:highlight w:val="none"/>
        </w:rPr>
        <w:t>目标：</w:t>
      </w:r>
      <w:permStart w:id="20" w:edGrp="everyone"/>
      <w:r>
        <w:rPr>
          <w:color w:val="auto"/>
          <w:szCs w:val="21"/>
          <w:highlight w:val="none"/>
          <w:u w:val="single"/>
        </w:rPr>
        <w:t xml:space="preserve"> </w:t>
      </w:r>
      <w:r>
        <w:rPr>
          <w:rFonts w:hint="eastAsia"/>
          <w:color w:val="auto"/>
          <w:szCs w:val="21"/>
          <w:highlight w:val="none"/>
          <w:u w:val="single"/>
        </w:rPr>
        <w:t>杜绝人身死亡事故、杜绝人身重伤事故；杜绝重大设备、一般及以上质量事故，确保工程 “零缺陷”投运</w:t>
      </w:r>
      <w:r>
        <w:rPr>
          <w:color w:val="auto"/>
          <w:szCs w:val="21"/>
          <w:highlight w:val="none"/>
          <w:u w:val="single"/>
        </w:rPr>
        <w:t xml:space="preserve"> </w:t>
      </w:r>
      <w:r>
        <w:rPr>
          <w:color w:val="auto"/>
          <w:szCs w:val="21"/>
          <w:highlight w:val="none"/>
        </w:rPr>
        <w:t>。</w:t>
      </w:r>
      <w:permEnd w:id="20"/>
    </w:p>
    <w:p w14:paraId="05285A38">
      <w:pPr>
        <w:spacing w:line="440" w:lineRule="exact"/>
        <w:ind w:firstLine="420" w:firstLineChars="200"/>
        <w:rPr>
          <w:color w:val="auto"/>
          <w:szCs w:val="21"/>
          <w:highlight w:val="none"/>
        </w:rPr>
      </w:pPr>
      <w:r>
        <w:rPr>
          <w:rFonts w:hint="eastAsia"/>
          <w:color w:val="auto"/>
          <w:szCs w:val="21"/>
          <w:highlight w:val="none"/>
        </w:rPr>
        <w:t>7. 文明施工目标</w:t>
      </w:r>
      <w:permStart w:id="21" w:edGrp="everyone"/>
      <w:r>
        <w:rPr>
          <w:rFonts w:hint="eastAsia"/>
          <w:color w:val="auto"/>
          <w:szCs w:val="21"/>
          <w:highlight w:val="none"/>
        </w:rPr>
        <w:t>：</w:t>
      </w:r>
      <w:r>
        <w:rPr>
          <w:rFonts w:hint="eastAsia" w:eastAsia="宋体"/>
          <w:color w:val="auto"/>
          <w:szCs w:val="21"/>
          <w:highlight w:val="none"/>
          <w:u w:val="single"/>
        </w:rPr>
        <w:t xml:space="preserve"> </w:t>
      </w:r>
      <w:r>
        <w:rPr>
          <w:rFonts w:hint="default" w:eastAsia="宋体"/>
          <w:color w:val="auto"/>
          <w:szCs w:val="21"/>
          <w:highlight w:val="none"/>
          <w:u w:val="single"/>
          <w:lang w:val="en-US" w:eastAsia="zh-CN"/>
        </w:rPr>
        <w:t>按照《中国南方电网有限责任公司基建安全管理业务指导书》的要求和标准布置施工现场的文明施工设施，根据《广东电网有限责任公司作业现场智慧安全监督办法》的要求开展作业现场智慧安全监督工作，创造良好和规范的安全文明施工环境。按中国南方电网有限责任公司及工程所在地电网公司有关要求和标准</w:t>
      </w:r>
      <w:r>
        <w:rPr>
          <w:color w:val="auto"/>
          <w:szCs w:val="21"/>
          <w:highlight w:val="none"/>
        </w:rPr>
        <w:t>。</w:t>
      </w:r>
      <w:permEnd w:id="21"/>
    </w:p>
    <w:p w14:paraId="04D90312">
      <w:pPr>
        <w:spacing w:line="440" w:lineRule="exact"/>
        <w:ind w:firstLine="420" w:firstLineChars="200"/>
        <w:rPr>
          <w:color w:val="auto"/>
          <w:szCs w:val="21"/>
          <w:highlight w:val="none"/>
        </w:rPr>
      </w:pPr>
      <w:r>
        <w:rPr>
          <w:rFonts w:hint="eastAsia"/>
          <w:color w:val="auto"/>
          <w:szCs w:val="21"/>
          <w:highlight w:val="none"/>
        </w:rPr>
        <w:t>8. 造价控制目标：</w:t>
      </w:r>
      <w:permStart w:id="22" w:edGrp="everyone"/>
      <w:r>
        <w:rPr>
          <w:color w:val="auto"/>
          <w:szCs w:val="21"/>
          <w:highlight w:val="none"/>
          <w:u w:val="single"/>
        </w:rPr>
        <w:t xml:space="preserve"> </w:t>
      </w:r>
      <w:r>
        <w:rPr>
          <w:rFonts w:hint="eastAsia" w:eastAsia="宋体"/>
          <w:color w:val="auto"/>
          <w:szCs w:val="21"/>
          <w:highlight w:val="none"/>
          <w:u w:val="single"/>
        </w:rPr>
        <w:t>工程总投资控制在批准的预算之内。满足南方电网公司标准设计和典型造价、绿色电网建设行动指南要求。</w:t>
      </w:r>
      <w:permEnd w:id="22"/>
    </w:p>
    <w:p w14:paraId="392A99A1">
      <w:pPr>
        <w:spacing w:line="440" w:lineRule="exact"/>
        <w:ind w:firstLine="420" w:firstLineChars="200"/>
        <w:rPr>
          <w:color w:val="auto"/>
          <w:szCs w:val="21"/>
          <w:highlight w:val="none"/>
        </w:rPr>
      </w:pPr>
      <w:r>
        <w:rPr>
          <w:rFonts w:hint="eastAsia"/>
          <w:color w:val="auto"/>
          <w:szCs w:val="21"/>
          <w:highlight w:val="none"/>
        </w:rPr>
        <w:t>9. 项目监理服务期限：</w:t>
      </w:r>
      <w:permStart w:id="23" w:edGrp="everyone"/>
      <w:r>
        <w:rPr>
          <w:rFonts w:hint="eastAsia"/>
          <w:color w:val="auto"/>
          <w:szCs w:val="21"/>
          <w:highlight w:val="none"/>
          <w:u w:val="single"/>
        </w:rPr>
        <w:t xml:space="preserve"> </w:t>
      </w:r>
      <w:r>
        <w:rPr>
          <w:rFonts w:hint="eastAsia"/>
          <w:color w:val="auto"/>
          <w:szCs w:val="21"/>
          <w:highlight w:val="none"/>
          <w:u w:val="single"/>
          <w:lang w:val="en-US" w:eastAsia="zh-CN"/>
        </w:rPr>
        <w:t>406</w:t>
      </w:r>
      <w:r>
        <w:rPr>
          <w:rFonts w:hint="eastAsia"/>
          <w:color w:val="auto"/>
          <w:szCs w:val="21"/>
          <w:highlight w:val="none"/>
          <w:u w:val="single"/>
        </w:rPr>
        <w:t xml:space="preserve">日历 </w:t>
      </w:r>
      <w:permEnd w:id="23"/>
      <w:r>
        <w:rPr>
          <w:rFonts w:hint="eastAsia"/>
          <w:color w:val="auto"/>
          <w:szCs w:val="21"/>
          <w:highlight w:val="none"/>
        </w:rPr>
        <w:t>天，计划开始监理日期：</w:t>
      </w:r>
      <w:sdt>
        <w:sdtPr>
          <w:rPr>
            <w:rFonts w:hint="eastAsia" w:asciiTheme="minorHAnsi" w:hAnsiTheme="minorHAnsi" w:eastAsiaTheme="minorEastAsia" w:cstheme="minorBidi"/>
            <w:color w:val="auto"/>
            <w:kern w:val="2"/>
            <w:sz w:val="28"/>
            <w:szCs w:val="36"/>
            <w:highlight w:val="none"/>
            <w:u w:val="single"/>
            <w:lang w:val="en-US" w:eastAsia="zh-CN" w:bidi="ar-SA"/>
          </w:rPr>
          <w:alias w:val="履行开始时间不应早于合同签订之日"/>
          <w:tag w:val="履行开始时间"/>
          <w:id w:val="147458093"/>
          <w:placeholder>
            <w:docPart w:val="{0bf1823a-91f6-4618-994a-950ce3efa577}"/>
          </w:placeholder>
          <w:date w:fullDate="2022-11-12T00:00:00Z">
            <w:dateFormat w:val="yyyy'年'M'月'd'日'"/>
            <w:lid w:val="zh-CN"/>
            <w:storeMappedDataAs w:val="datetime"/>
            <w:calendar w:val="gregorian"/>
          </w:date>
        </w:sdtPr>
        <w:sdtEndPr>
          <w:rPr>
            <w:rFonts w:hint="eastAsia" w:ascii="宋体" w:hAnsi="宋体" w:eastAsia="宋体" w:cs="宋体"/>
            <w:color w:val="auto"/>
            <w:kern w:val="2"/>
            <w:sz w:val="28"/>
            <w:szCs w:val="36"/>
            <w:highlight w:val="none"/>
            <w:u w:val="single"/>
            <w:lang w:val="en-US" w:eastAsia="zh-CN" w:bidi="ar-SA"/>
          </w:rPr>
        </w:sdtEndPr>
        <w:sdtContent>
          <w:permStart w:id="24" w:edGrp="everyone"/>
          <w:r>
            <w:rPr>
              <w:rFonts w:hint="eastAsia" w:ascii="宋体" w:hAnsi="宋体" w:eastAsia="宋体" w:cs="宋体"/>
              <w:color w:val="auto"/>
              <w:kern w:val="2"/>
              <w:sz w:val="21"/>
              <w:szCs w:val="21"/>
              <w:highlight w:val="none"/>
              <w:u w:val="single"/>
              <w:lang w:val="en-US" w:eastAsia="zh-CN" w:bidi="ar-SA"/>
            </w:rPr>
            <w:t xml:space="preserve"> 2025年1</w:t>
          </w:r>
          <w:r>
            <w:rPr>
              <w:rFonts w:hint="eastAsia" w:ascii="宋体" w:hAnsi="宋体" w:cs="宋体"/>
              <w:color w:val="auto"/>
              <w:kern w:val="2"/>
              <w:sz w:val="21"/>
              <w:szCs w:val="21"/>
              <w:highlight w:val="none"/>
              <w:u w:val="single"/>
              <w:lang w:val="en-US" w:eastAsia="zh-CN" w:bidi="ar-SA"/>
            </w:rPr>
            <w:t>1</w:t>
          </w:r>
          <w:r>
            <w:rPr>
              <w:rFonts w:hint="eastAsia" w:ascii="宋体" w:hAnsi="宋体" w:eastAsia="宋体" w:cs="宋体"/>
              <w:color w:val="auto"/>
              <w:kern w:val="2"/>
              <w:sz w:val="21"/>
              <w:szCs w:val="21"/>
              <w:highlight w:val="none"/>
              <w:u w:val="single"/>
              <w:lang w:val="en-US" w:eastAsia="zh-CN" w:bidi="ar-SA"/>
            </w:rPr>
            <w:t>月</w:t>
          </w:r>
          <w:r>
            <w:rPr>
              <w:rFonts w:hint="eastAsia" w:ascii="宋体" w:hAnsi="宋体" w:cs="宋体"/>
              <w:color w:val="auto"/>
              <w:kern w:val="2"/>
              <w:sz w:val="21"/>
              <w:szCs w:val="21"/>
              <w:highlight w:val="none"/>
              <w:u w:val="single"/>
              <w:lang w:val="en-US" w:eastAsia="zh-CN" w:bidi="ar-SA"/>
            </w:rPr>
            <w:t>2</w:t>
          </w:r>
          <w:r>
            <w:rPr>
              <w:rFonts w:hint="eastAsia" w:ascii="宋体" w:hAnsi="宋体" w:eastAsia="宋体" w:cs="宋体"/>
              <w:color w:val="auto"/>
              <w:kern w:val="2"/>
              <w:sz w:val="21"/>
              <w:szCs w:val="21"/>
              <w:highlight w:val="none"/>
              <w:u w:val="single"/>
              <w:lang w:val="en-US" w:eastAsia="zh-CN" w:bidi="ar-SA"/>
            </w:rPr>
            <w:t xml:space="preserve">0日 </w:t>
          </w:r>
          <w:permEnd w:id="24"/>
        </w:sdtContent>
      </w:sdt>
      <w:r>
        <w:rPr>
          <w:rFonts w:hint="eastAsia"/>
          <w:color w:val="auto"/>
          <w:szCs w:val="21"/>
          <w:highlight w:val="none"/>
        </w:rPr>
        <w:t>，计划完成监理日期：</w:t>
      </w:r>
      <w:sdt>
        <w:sdtPr>
          <w:rPr>
            <w:rFonts w:hint="eastAsia" w:asciiTheme="minorHAnsi" w:hAnsiTheme="minorHAnsi" w:eastAsiaTheme="minorEastAsia" w:cstheme="minorBidi"/>
            <w:color w:val="auto"/>
            <w:kern w:val="2"/>
            <w:sz w:val="28"/>
            <w:szCs w:val="36"/>
            <w:highlight w:val="none"/>
            <w:u w:val="single"/>
            <w:lang w:val="en-US" w:eastAsia="zh-CN" w:bidi="ar-SA"/>
          </w:rPr>
          <w:tag w:val="履行结束时间"/>
          <w:id w:val="464410469"/>
          <w:placeholder>
            <w:docPart w:val="{16c0b9c7-a71e-4789-b353-e76c23ba24f3}"/>
          </w:placeholder>
          <w:date w:fullDate="2022-11-26T00:00:00Z">
            <w:dateFormat w:val="yyyy'年'M'月'd'日'"/>
            <w:lid w:val="zh-CN"/>
            <w:storeMappedDataAs w:val="datetime"/>
            <w:calendar w:val="gregorian"/>
          </w:date>
        </w:sdtPr>
        <w:sdtEndPr>
          <w:rPr>
            <w:rFonts w:hint="eastAsia" w:ascii="宋体" w:hAnsi="宋体" w:eastAsia="宋体" w:cs="宋体"/>
            <w:color w:val="auto"/>
            <w:kern w:val="2"/>
            <w:sz w:val="21"/>
            <w:szCs w:val="21"/>
            <w:highlight w:val="none"/>
            <w:u w:val="single"/>
            <w:lang w:val="en-US" w:eastAsia="zh-CN" w:bidi="ar-SA"/>
          </w:rPr>
        </w:sdtEndPr>
        <w:sdtContent>
          <w:permStart w:id="25" w:edGrp="everyone"/>
          <w:r>
            <w:rPr>
              <w:rFonts w:hint="eastAsia" w:ascii="宋体" w:hAnsi="宋体" w:eastAsia="宋体" w:cs="宋体"/>
              <w:color w:val="auto"/>
              <w:kern w:val="2"/>
              <w:sz w:val="21"/>
              <w:szCs w:val="21"/>
              <w:highlight w:val="none"/>
              <w:u w:val="single"/>
              <w:lang w:val="en-US" w:eastAsia="zh-CN" w:bidi="ar-SA"/>
            </w:rPr>
            <w:t xml:space="preserve"> 202</w:t>
          </w:r>
          <w:r>
            <w:rPr>
              <w:rFonts w:hint="eastAsia" w:ascii="宋体" w:hAnsi="宋体" w:cs="宋体"/>
              <w:color w:val="auto"/>
              <w:kern w:val="2"/>
              <w:sz w:val="21"/>
              <w:szCs w:val="21"/>
              <w:highlight w:val="none"/>
              <w:u w:val="single"/>
              <w:lang w:val="en-US" w:eastAsia="zh-CN" w:bidi="ar-SA"/>
            </w:rPr>
            <w:t>6</w:t>
          </w:r>
          <w:r>
            <w:rPr>
              <w:rFonts w:hint="eastAsia" w:ascii="宋体" w:hAnsi="宋体" w:eastAsia="宋体" w:cs="宋体"/>
              <w:color w:val="auto"/>
              <w:kern w:val="2"/>
              <w:sz w:val="21"/>
              <w:szCs w:val="21"/>
              <w:highlight w:val="none"/>
              <w:u w:val="single"/>
              <w:lang w:val="en-US" w:eastAsia="zh-CN" w:bidi="ar-SA"/>
            </w:rPr>
            <w:t xml:space="preserve">年12月30日 </w:t>
          </w:r>
          <w:permEnd w:id="25"/>
        </w:sdtContent>
      </w:sdt>
      <w:r>
        <w:rPr>
          <w:rFonts w:hint="eastAsia"/>
          <w:color w:val="auto"/>
          <w:szCs w:val="21"/>
          <w:highlight w:val="none"/>
        </w:rPr>
        <w:t>（实际日期按照委托人在开始监理通知中载明的开始监理日期、竣工日期为准）。</w:t>
      </w:r>
    </w:p>
    <w:p w14:paraId="14DCA991">
      <w:pPr>
        <w:spacing w:line="440" w:lineRule="exact"/>
        <w:ind w:firstLine="420" w:firstLineChars="200"/>
        <w:rPr>
          <w:color w:val="auto"/>
          <w:szCs w:val="21"/>
          <w:highlight w:val="none"/>
        </w:rPr>
      </w:pPr>
      <w:r>
        <w:rPr>
          <w:rFonts w:hint="eastAsia"/>
          <w:color w:val="auto"/>
          <w:szCs w:val="21"/>
          <w:highlight w:val="none"/>
        </w:rPr>
        <w:t>10</w:t>
      </w:r>
      <w:r>
        <w:rPr>
          <w:color w:val="auto"/>
          <w:szCs w:val="21"/>
          <w:highlight w:val="none"/>
        </w:rPr>
        <w:t xml:space="preserve">. </w:t>
      </w:r>
      <w:r>
        <w:rPr>
          <w:rFonts w:hint="eastAsia"/>
          <w:color w:val="auto"/>
          <w:szCs w:val="21"/>
          <w:highlight w:val="none"/>
        </w:rPr>
        <w:t>合同价格及支付条件</w:t>
      </w:r>
    </w:p>
    <w:p w14:paraId="518C0245">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合同总价为人民币</w:t>
      </w:r>
      <w:sdt>
        <w:sdtPr>
          <w:rPr>
            <w:rFonts w:hint="eastAsia" w:ascii="宋体" w:hAnsi="宋体" w:eastAsia="宋体" w:cs="宋体"/>
            <w:color w:val="auto"/>
            <w:kern w:val="2"/>
            <w:sz w:val="21"/>
            <w:szCs w:val="21"/>
            <w:highlight w:val="none"/>
            <w:lang w:val="en-US" w:eastAsia="zh-CN" w:bidi="ar-SA"/>
          </w:rPr>
          <w:alias w:val="合同金额"/>
          <w:tag w:val="合同金额"/>
          <w:id w:val="147471842"/>
          <w:placeholder>
            <w:docPart w:val="{dea59c8e-4672-457c-aff6-502e5dd10eda}"/>
          </w:placeholder>
        </w:sdtPr>
        <w:sdtEndPr>
          <w:rPr>
            <w:rFonts w:hint="eastAsia" w:ascii="宋体" w:hAnsi="宋体" w:eastAsia="宋体" w:cs="宋体"/>
            <w:color w:val="auto"/>
            <w:kern w:val="2"/>
            <w:sz w:val="21"/>
            <w:szCs w:val="21"/>
            <w:highlight w:val="none"/>
            <w:u w:val="single"/>
            <w:lang w:val="en-US" w:eastAsia="zh-CN" w:bidi="ar-SA"/>
          </w:rPr>
        </w:sdtEndPr>
        <w:sdtContent>
          <w:permStart w:id="26" w:edGrp="everyone"/>
          <w:r>
            <w:rPr>
              <w:rFonts w:hint="eastAsia" w:ascii="宋体" w:hAnsi="宋体" w:eastAsia="宋体" w:cs="宋体"/>
              <w:color w:val="auto"/>
              <w:szCs w:val="21"/>
              <w:highlight w:val="none"/>
              <w:u w:val="single"/>
            </w:rPr>
            <w:t xml:space="preserve">  </w:t>
          </w:r>
          <w:permEnd w:id="26"/>
        </w:sdtContent>
      </w:sdt>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sdt>
        <w:sdtPr>
          <w:rPr>
            <w:rFonts w:hint="eastAsia" w:ascii="宋体" w:hAnsi="宋体" w:eastAsia="宋体" w:cs="宋体"/>
            <w:color w:val="auto"/>
            <w:kern w:val="2"/>
            <w:sz w:val="21"/>
            <w:szCs w:val="21"/>
            <w:highlight w:val="none"/>
            <w:lang w:val="en-US" w:eastAsia="zh-CN" w:bidi="ar-SA"/>
          </w:rPr>
          <w:alias w:val="合同大写金额"/>
          <w:tag w:val="合同大写金额"/>
          <w:id w:val="147471777"/>
          <w:placeholder>
            <w:docPart w:val="{30c4e123-1683-46f4-8849-fb379464994b}"/>
          </w:placeholder>
        </w:sdtPr>
        <w:sdtEndPr>
          <w:rPr>
            <w:rFonts w:hint="eastAsia" w:ascii="宋体" w:hAnsi="宋体" w:eastAsia="宋体" w:cs="宋体"/>
            <w:color w:val="auto"/>
            <w:kern w:val="2"/>
            <w:sz w:val="21"/>
            <w:szCs w:val="21"/>
            <w:highlight w:val="none"/>
            <w:u w:val="single"/>
            <w:lang w:val="en-US" w:eastAsia="zh-CN" w:bidi="ar-SA"/>
          </w:rPr>
        </w:sdtEndPr>
        <w:sdtContent>
          <w:permStart w:id="27" w:edGrp="everyone"/>
          <w:r>
            <w:rPr>
              <w:rFonts w:hint="eastAsia" w:ascii="宋体" w:hAnsi="宋体" w:eastAsia="宋体" w:cs="宋体"/>
              <w:color w:val="auto"/>
              <w:szCs w:val="21"/>
              <w:highlight w:val="none"/>
              <w:u w:val="single"/>
            </w:rPr>
            <w:t xml:space="preserve"> </w:t>
          </w:r>
          <w:permEnd w:id="27"/>
        </w:sdtContent>
      </w:sdt>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中标费</w:t>
      </w:r>
      <w:r>
        <w:rPr>
          <w:rFonts w:hint="eastAsia" w:ascii="宋体" w:hAnsi="宋体" w:eastAsia="宋体" w:cs="宋体"/>
          <w:color w:val="auto"/>
          <w:szCs w:val="21"/>
          <w:highlight w:val="none"/>
        </w:rPr>
        <w:t>率</w:t>
      </w:r>
      <w:sdt>
        <w:sdtPr>
          <w:rPr>
            <w:rFonts w:hint="eastAsia" w:ascii="宋体" w:hAnsi="宋体" w:eastAsia="宋体" w:cs="宋体"/>
            <w:color w:val="auto"/>
            <w:kern w:val="2"/>
            <w:sz w:val="21"/>
            <w:szCs w:val="21"/>
            <w:highlight w:val="none"/>
            <w:u w:val="single"/>
            <w:lang w:val="en-US" w:eastAsia="zh-CN" w:bidi="ar-SA"/>
          </w:rPr>
          <w:alias w:val="应与中标结果一致。"/>
          <w:tag w:val="中标下浮率"/>
          <w:id w:val="147480141"/>
          <w:placeholder>
            <w:docPart w:val="{6c5a40e1-983b-4696-a833-7eb654bb4b7e}"/>
          </w:placeholder>
          <w:text w:multiLine="1"/>
        </w:sdtPr>
        <w:sdtEndPr>
          <w:rPr>
            <w:rFonts w:hint="eastAsia" w:ascii="宋体" w:hAnsi="宋体" w:eastAsia="宋体" w:cs="宋体"/>
            <w:color w:val="auto"/>
            <w:kern w:val="2"/>
            <w:sz w:val="21"/>
            <w:szCs w:val="21"/>
            <w:highlight w:val="none"/>
            <w:u w:val="single"/>
            <w:lang w:val="en-US" w:eastAsia="zh-CN" w:bidi="ar-SA"/>
          </w:rPr>
        </w:sdtEndPr>
        <w:sdtContent>
          <w:permStart w:id="28" w:edGrp="everyone"/>
          <w:r>
            <w:rPr>
              <w:rFonts w:hint="eastAsia" w:ascii="宋体" w:hAnsi="宋体" w:eastAsia="宋体" w:cs="宋体"/>
              <w:color w:val="auto"/>
              <w:kern w:val="2"/>
              <w:sz w:val="21"/>
              <w:szCs w:val="21"/>
              <w:highlight w:val="none"/>
              <w:u w:val="single"/>
              <w:lang w:val="en-US" w:eastAsia="zh-CN" w:bidi="ar-SA"/>
            </w:rPr>
            <w:t xml:space="preserve">  </w:t>
          </w:r>
          <w:permEnd w:id="28"/>
        </w:sdtContent>
      </w:sdt>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税率为</w:t>
      </w:r>
      <w:sdt>
        <w:sdtPr>
          <w:rPr>
            <w:rFonts w:hint="eastAsia" w:ascii="宋体" w:hAnsi="宋体" w:eastAsia="宋体" w:cs="宋体"/>
            <w:color w:val="auto"/>
            <w:kern w:val="2"/>
            <w:sz w:val="21"/>
            <w:szCs w:val="21"/>
            <w:highlight w:val="none"/>
            <w:lang w:val="en-US" w:eastAsia="zh-CN" w:bidi="ar-SA"/>
          </w:rPr>
          <w:alias w:val="合同金额"/>
          <w:tag w:val="合同金额"/>
          <w:id w:val="440832576"/>
          <w:placeholder>
            <w:docPart w:val="{db4d97dc-8b9a-442f-8e15-e2018ffcea64}"/>
          </w:placeholder>
        </w:sdtPr>
        <w:sdtEndPr>
          <w:rPr>
            <w:rFonts w:hint="eastAsia" w:ascii="宋体" w:hAnsi="宋体" w:eastAsia="宋体" w:cs="宋体"/>
            <w:color w:val="auto"/>
            <w:kern w:val="2"/>
            <w:sz w:val="21"/>
            <w:szCs w:val="22"/>
            <w:highlight w:val="none"/>
            <w:u w:val="single"/>
            <w:lang w:val="en-US" w:eastAsia="zh-CN" w:bidi="ar-SA"/>
          </w:rPr>
        </w:sdtEndPr>
        <w:sdtContent>
          <w:permStart w:id="29" w:edGrp="everyone"/>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6%</w:t>
          </w:r>
          <w:r>
            <w:rPr>
              <w:rFonts w:hint="eastAsia" w:ascii="宋体" w:hAnsi="宋体" w:eastAsia="宋体" w:cs="宋体"/>
              <w:color w:val="auto"/>
              <w:highlight w:val="none"/>
              <w:u w:val="single"/>
            </w:rPr>
            <w:t xml:space="preserve"> </w:t>
          </w:r>
          <w:permEnd w:id="29"/>
        </w:sdtContent>
      </w:sdt>
      <w:r>
        <w:rPr>
          <w:rFonts w:hint="eastAsia" w:ascii="宋体" w:hAnsi="宋体" w:eastAsia="宋体" w:cs="宋体"/>
          <w:color w:val="auto"/>
          <w:kern w:val="2"/>
          <w:sz w:val="21"/>
          <w:szCs w:val="22"/>
          <w:highlight w:val="none"/>
          <w:u w:val="single"/>
          <w:lang w:val="en-US" w:eastAsia="zh-CN" w:bidi="ar-SA"/>
        </w:rPr>
        <w:t>。</w:t>
      </w:r>
      <w:r>
        <w:rPr>
          <w:rFonts w:hint="eastAsia" w:ascii="宋体" w:hAnsi="宋体" w:eastAsia="宋体" w:cs="宋体"/>
          <w:color w:val="auto"/>
          <w:sz w:val="21"/>
          <w:szCs w:val="21"/>
          <w:highlight w:val="none"/>
          <w:lang w:val="en-US" w:eastAsia="zh-CN"/>
        </w:rPr>
        <w:t>其中，不含税价为人民币大写</w:t>
      </w:r>
      <w:sdt>
        <w:sdtPr>
          <w:rPr>
            <w:rFonts w:hint="eastAsia" w:ascii="宋体" w:hAnsi="宋体" w:eastAsia="宋体" w:cs="宋体"/>
            <w:color w:val="auto"/>
            <w:kern w:val="2"/>
            <w:sz w:val="21"/>
            <w:szCs w:val="21"/>
            <w:highlight w:val="none"/>
            <w:lang w:val="en-US" w:eastAsia="zh-CN" w:bidi="ar-SA"/>
          </w:rPr>
          <w:alias w:val="不含税价金额"/>
          <w:tag w:val="不含税价金额"/>
          <w:id w:val="336908368"/>
          <w:placeholder>
            <w:docPart w:val="{a83ef914-a14a-4b29-a761-4ccccb63bcea}"/>
          </w:placeholder>
          <w:text/>
        </w:sdtPr>
        <w:sdtEndPr>
          <w:rPr>
            <w:rFonts w:hint="eastAsia" w:ascii="宋体" w:hAnsi="宋体" w:eastAsia="宋体" w:cs="宋体"/>
            <w:color w:val="auto"/>
            <w:kern w:val="2"/>
            <w:sz w:val="21"/>
            <w:szCs w:val="21"/>
            <w:highlight w:val="none"/>
            <w:u w:val="none"/>
            <w:lang w:val="en-US" w:eastAsia="zh-CN" w:bidi="ar-SA"/>
          </w:rPr>
        </w:sdtEndPr>
        <w:sdtContent>
          <w:sdt>
            <w:sdtPr>
              <w:rPr>
                <w:rFonts w:hint="eastAsia" w:ascii="宋体" w:hAnsi="宋体" w:eastAsia="宋体" w:cs="宋体"/>
                <w:color w:val="auto"/>
                <w:kern w:val="2"/>
                <w:sz w:val="21"/>
                <w:szCs w:val="21"/>
                <w:highlight w:val="none"/>
                <w:lang w:val="en-US" w:eastAsia="zh-CN" w:bidi="ar-SA"/>
              </w:rPr>
              <w:alias w:val="合同大写金额"/>
              <w:tag w:val="合同大写金额"/>
              <w:id w:val="254522682"/>
              <w:placeholder>
                <w:docPart w:val="{5ffe8954-846e-42ac-99c4-694cbb2eb7f8}"/>
              </w:placeholder>
            </w:sdtPr>
            <w:sdtEndPr>
              <w:rPr>
                <w:rFonts w:hint="eastAsia" w:ascii="宋体" w:hAnsi="宋体" w:eastAsia="宋体" w:cs="宋体"/>
                <w:color w:val="auto"/>
                <w:kern w:val="2"/>
                <w:sz w:val="21"/>
                <w:szCs w:val="22"/>
                <w:highlight w:val="none"/>
                <w:u w:val="single"/>
                <w:lang w:val="en-US" w:eastAsia="zh-CN" w:bidi="ar-SA"/>
              </w:rPr>
            </w:sdtEndPr>
            <w:sdtContent>
              <w:permStart w:id="30" w:edGrp="everyone"/>
              <w:r>
                <w:rPr>
                  <w:rFonts w:hint="eastAsia" w:ascii="宋体" w:hAnsi="宋体" w:eastAsia="宋体" w:cs="宋体"/>
                  <w:color w:val="auto"/>
                  <w:highlight w:val="none"/>
                  <w:u w:val="single"/>
                </w:rPr>
                <w:t xml:space="preserve">  </w:t>
              </w:r>
              <w:permEnd w:id="30"/>
            </w:sdtContent>
          </w:sdt>
          <w:r>
            <w:rPr>
              <w:rFonts w:hint="eastAsia" w:ascii="宋体" w:hAnsi="宋体" w:eastAsia="宋体" w:cs="宋体"/>
              <w:color w:val="auto"/>
              <w:szCs w:val="21"/>
              <w:highlight w:val="none"/>
            </w:rPr>
            <w:t>（¥</w:t>
          </w:r>
          <w:sdt>
            <w:sdtPr>
              <w:rPr>
                <w:rFonts w:hint="eastAsia" w:ascii="宋体" w:hAnsi="宋体" w:eastAsia="宋体" w:cs="宋体"/>
                <w:color w:val="auto"/>
                <w:kern w:val="2"/>
                <w:sz w:val="21"/>
                <w:szCs w:val="21"/>
                <w:highlight w:val="none"/>
                <w:lang w:val="en-US" w:eastAsia="zh-CN" w:bidi="ar-SA"/>
              </w:rPr>
              <w:alias w:val="合同金额"/>
              <w:tag w:val="合同金额"/>
              <w:id w:val="122775197"/>
              <w:placeholder>
                <w:docPart w:val="{f18d968e-6ae7-4009-92c8-769761edb06e}"/>
              </w:placeholder>
            </w:sdtPr>
            <w:sdtEndPr>
              <w:rPr>
                <w:rFonts w:hint="eastAsia" w:ascii="宋体" w:hAnsi="宋体" w:eastAsia="宋体" w:cs="宋体"/>
                <w:color w:val="auto"/>
                <w:kern w:val="2"/>
                <w:sz w:val="21"/>
                <w:szCs w:val="22"/>
                <w:highlight w:val="none"/>
                <w:u w:val="single"/>
                <w:lang w:val="en-US" w:eastAsia="zh-CN" w:bidi="ar-SA"/>
              </w:rPr>
            </w:sdtEndPr>
            <w:sdtContent>
              <w:permStart w:id="31" w:edGrp="everyone"/>
              <w:r>
                <w:rPr>
                  <w:rFonts w:hint="eastAsia" w:ascii="宋体" w:hAnsi="宋体" w:eastAsia="宋体" w:cs="宋体"/>
                  <w:color w:val="auto"/>
                  <w:highlight w:val="none"/>
                  <w:u w:val="single"/>
                </w:rPr>
                <w:t xml:space="preserve">  </w:t>
              </w:r>
              <w:permEnd w:id="31"/>
            </w:sdtContent>
          </w:sdt>
          <w:r>
            <w:rPr>
              <w:rFonts w:hint="eastAsia" w:ascii="宋体" w:hAnsi="宋体" w:eastAsia="宋体" w:cs="宋体"/>
              <w:color w:val="auto"/>
              <w:sz w:val="21"/>
              <w:szCs w:val="21"/>
              <w:highlight w:val="none"/>
              <w:u w:val="none"/>
              <w:lang w:val="en-US" w:eastAsia="zh-CN"/>
            </w:rPr>
            <w:t xml:space="preserve"> </w:t>
          </w:r>
        </w:sdtContent>
      </w:sdt>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增值税为人民币大写</w:t>
      </w:r>
      <w:sdt>
        <w:sdtPr>
          <w:rPr>
            <w:rFonts w:hint="eastAsia" w:ascii="宋体" w:hAnsi="宋体" w:eastAsia="宋体" w:cs="宋体"/>
            <w:color w:val="auto"/>
            <w:kern w:val="2"/>
            <w:sz w:val="21"/>
            <w:szCs w:val="21"/>
            <w:highlight w:val="none"/>
            <w:lang w:val="en-US" w:eastAsia="zh-CN" w:bidi="ar-SA"/>
          </w:rPr>
          <w:alias w:val="合同大写金额"/>
          <w:tag w:val="合同大写金额"/>
          <w:id w:val="297542415"/>
          <w:placeholder>
            <w:docPart w:val="{70e4b8ce-8470-43f5-a46c-81ec0d22b065}"/>
          </w:placeholder>
        </w:sdtPr>
        <w:sdtEndPr>
          <w:rPr>
            <w:rFonts w:hint="eastAsia" w:ascii="宋体" w:hAnsi="宋体" w:eastAsia="宋体" w:cs="宋体"/>
            <w:color w:val="auto"/>
            <w:kern w:val="2"/>
            <w:sz w:val="21"/>
            <w:szCs w:val="22"/>
            <w:highlight w:val="none"/>
            <w:u w:val="single"/>
            <w:lang w:val="en-US" w:eastAsia="zh-CN" w:bidi="ar-SA"/>
          </w:rPr>
        </w:sdtEndPr>
        <w:sdtContent>
          <w:permStart w:id="32" w:edGrp="everyone"/>
          <w:r>
            <w:rPr>
              <w:rFonts w:hint="eastAsia" w:ascii="宋体" w:hAnsi="宋体" w:eastAsia="宋体" w:cs="宋体"/>
              <w:color w:val="auto"/>
              <w:highlight w:val="none"/>
              <w:u w:val="single"/>
            </w:rPr>
            <w:t xml:space="preserve">  </w:t>
          </w:r>
          <w:permEnd w:id="32"/>
        </w:sdtContent>
      </w:sdt>
      <w:r>
        <w:rPr>
          <w:rFonts w:hint="eastAsia" w:ascii="宋体" w:hAnsi="宋体" w:eastAsia="宋体" w:cs="宋体"/>
          <w:color w:val="auto"/>
          <w:szCs w:val="21"/>
          <w:highlight w:val="none"/>
        </w:rPr>
        <w:t>（¥</w:t>
      </w:r>
      <w:sdt>
        <w:sdtPr>
          <w:rPr>
            <w:rFonts w:hint="eastAsia" w:ascii="宋体" w:hAnsi="宋体" w:eastAsia="宋体" w:cs="宋体"/>
            <w:color w:val="auto"/>
            <w:kern w:val="2"/>
            <w:sz w:val="21"/>
            <w:szCs w:val="21"/>
            <w:highlight w:val="none"/>
            <w:lang w:val="en-US" w:eastAsia="zh-CN" w:bidi="ar-SA"/>
          </w:rPr>
          <w:alias w:val="合同金额"/>
          <w:tag w:val="合同金额"/>
          <w:id w:val="453438689"/>
          <w:placeholder>
            <w:docPart w:val="{6317f787-9a22-482e-b323-03aaab5c55db}"/>
          </w:placeholder>
        </w:sdtPr>
        <w:sdtEndPr>
          <w:rPr>
            <w:rFonts w:hint="eastAsia" w:ascii="宋体" w:hAnsi="宋体" w:eastAsia="宋体" w:cs="宋体"/>
            <w:color w:val="auto"/>
            <w:kern w:val="2"/>
            <w:sz w:val="21"/>
            <w:szCs w:val="22"/>
            <w:highlight w:val="none"/>
            <w:u w:val="single"/>
            <w:lang w:val="en-US" w:eastAsia="zh-CN" w:bidi="ar-SA"/>
          </w:rPr>
        </w:sdtEndPr>
        <w:sdtContent>
          <w:permStart w:id="33" w:edGrp="everyone"/>
          <w:r>
            <w:rPr>
              <w:rFonts w:hint="eastAsia" w:ascii="宋体" w:hAnsi="宋体" w:eastAsia="宋体" w:cs="宋体"/>
              <w:color w:val="auto"/>
              <w:highlight w:val="none"/>
              <w:u w:val="single"/>
            </w:rPr>
            <w:t xml:space="preserve">  </w:t>
          </w:r>
          <w:permEnd w:id="33"/>
        </w:sdtContent>
      </w:sdt>
      <w:r>
        <w:rPr>
          <w:rFonts w:hint="eastAsia" w:ascii="宋体" w:hAnsi="宋体" w:eastAsia="宋体" w:cs="宋体"/>
          <w:color w:val="auto"/>
          <w:szCs w:val="21"/>
          <w:highlight w:val="none"/>
        </w:rPr>
        <w:t>。</w:t>
      </w:r>
    </w:p>
    <w:p w14:paraId="77088F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宋体-18030"/>
          <w:color w:val="auto"/>
          <w:szCs w:val="21"/>
          <w:highlight w:val="none"/>
          <w:lang w:eastAsia="zh-CN"/>
        </w:rPr>
      </w:pPr>
      <w:r>
        <w:rPr>
          <w:rFonts w:hint="eastAsia" w:ascii="宋体" w:hAnsi="宋体" w:cs="宋体-18030"/>
          <w:color w:val="auto"/>
          <w:szCs w:val="21"/>
          <w:highlight w:val="none"/>
          <w:lang w:val="en-US" w:eastAsia="zh-CN"/>
        </w:rPr>
        <w:t xml:space="preserve">10.2 </w:t>
      </w:r>
      <w:r>
        <w:rPr>
          <w:rFonts w:hint="eastAsia" w:ascii="宋体" w:hAnsi="宋体" w:cs="宋体-18030"/>
          <w:color w:val="auto"/>
          <w:szCs w:val="21"/>
          <w:highlight w:val="none"/>
        </w:rPr>
        <w:t>合同价款</w:t>
      </w:r>
      <w:r>
        <w:rPr>
          <w:rFonts w:hint="eastAsia" w:ascii="宋体" w:hAnsi="宋体" w:cs="宋体-18030"/>
          <w:color w:val="auto"/>
          <w:szCs w:val="21"/>
          <w:highlight w:val="none"/>
          <w:lang w:val="en-US" w:eastAsia="zh-CN"/>
        </w:rPr>
        <w:t>支付按</w:t>
      </w:r>
      <w:r>
        <w:rPr>
          <w:rFonts w:hint="eastAsia" w:ascii="宋体" w:hAnsi="宋体" w:eastAsia="宋体" w:cs="宋体"/>
          <w:color w:val="auto"/>
          <w:sz w:val="21"/>
          <w:szCs w:val="21"/>
          <w:highlight w:val="none"/>
          <w:lang w:val="en-US" w:eastAsia="zh-CN"/>
        </w:rPr>
        <w:t>第</w:t>
      </w:r>
      <w:permStart w:id="34" w:edGrp="everyone"/>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val="en-US" w:eastAsia="zh-CN"/>
        </w:rPr>
        <w:t xml:space="preserve">  </w:t>
      </w:r>
      <w:permEnd w:id="34"/>
      <w:r>
        <w:rPr>
          <w:rFonts w:hint="eastAsia" w:ascii="宋体" w:hAnsi="宋体" w:eastAsia="宋体" w:cs="宋体"/>
          <w:color w:val="auto"/>
          <w:sz w:val="21"/>
          <w:szCs w:val="21"/>
          <w:highlight w:val="none"/>
          <w:lang w:val="en-US" w:eastAsia="zh-CN"/>
        </w:rPr>
        <w:t>种</w:t>
      </w:r>
      <w:r>
        <w:rPr>
          <w:rFonts w:hint="eastAsia" w:ascii="宋体" w:hAnsi="宋体" w:cs="宋体-18030"/>
          <w:color w:val="auto"/>
          <w:szCs w:val="21"/>
          <w:highlight w:val="none"/>
        </w:rPr>
        <w:t>方式</w:t>
      </w: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1.</w:t>
      </w:r>
      <w:r>
        <w:rPr>
          <w:rFonts w:hint="eastAsia" w:ascii="宋体" w:hAnsi="宋体" w:cs="宋体-18030"/>
          <w:color w:val="auto"/>
          <w:szCs w:val="21"/>
          <w:highlight w:val="none"/>
        </w:rPr>
        <w:t>转账</w:t>
      </w:r>
      <w:r>
        <w:rPr>
          <w:rFonts w:hint="eastAsia" w:ascii="宋体" w:hAnsi="宋体" w:cs="宋体-18030"/>
          <w:color w:val="auto"/>
          <w:szCs w:val="21"/>
          <w:highlight w:val="none"/>
          <w:lang w:val="en-US" w:eastAsia="zh-CN"/>
        </w:rPr>
        <w:t>/2.</w:t>
      </w:r>
      <w:r>
        <w:rPr>
          <w:rFonts w:hint="eastAsia" w:ascii="宋体" w:hAnsi="宋体" w:cs="宋体-18030"/>
          <w:color w:val="auto"/>
          <w:szCs w:val="21"/>
          <w:highlight w:val="none"/>
        </w:rPr>
        <w:t>汇票</w:t>
      </w:r>
      <w:r>
        <w:rPr>
          <w:rFonts w:hint="eastAsia" w:ascii="宋体" w:hAnsi="宋体" w:cs="宋体-18030"/>
          <w:color w:val="auto"/>
          <w:szCs w:val="21"/>
          <w:highlight w:val="none"/>
          <w:lang w:val="en-US" w:eastAsia="zh-CN"/>
        </w:rPr>
        <w:t>/3.支票/4.其他</w:t>
      </w:r>
      <w:permStart w:id="35" w:edGrp="everyone"/>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permEnd w:id="35"/>
      <w:r>
        <w:rPr>
          <w:rFonts w:hint="eastAsia" w:ascii="宋体" w:hAnsi="宋体" w:cs="宋体-18030"/>
          <w:color w:val="auto"/>
          <w:sz w:val="21"/>
          <w:szCs w:val="21"/>
          <w:highlight w:val="none"/>
          <w:lang w:val="en-US" w:eastAsia="zh-CN"/>
        </w:rPr>
        <w:t>)</w:t>
      </w:r>
      <w:r>
        <w:rPr>
          <w:rFonts w:hint="eastAsia" w:ascii="宋体" w:hAnsi="宋体" w:cs="宋体-18030"/>
          <w:color w:val="auto"/>
          <w:sz w:val="21"/>
          <w:szCs w:val="21"/>
          <w:highlight w:val="none"/>
          <w:lang w:eastAsia="zh-CN"/>
        </w:rPr>
        <w:t>。</w:t>
      </w:r>
      <w:r>
        <w:rPr>
          <w:rFonts w:hint="eastAsia" w:ascii="宋体" w:hAnsi="宋体" w:eastAsia="宋体" w:cs="宋体"/>
          <w:color w:val="auto"/>
          <w:sz w:val="21"/>
          <w:szCs w:val="21"/>
          <w:highlight w:val="none"/>
          <w:lang w:val="en-US" w:eastAsia="zh-CN"/>
        </w:rPr>
        <w:t>如需使用商业汇票进行支付的，由款项支付方承担资金成本（买方付息贴现）。</w:t>
      </w:r>
    </w:p>
    <w:p w14:paraId="405067F3">
      <w:pPr>
        <w:spacing w:line="300" w:lineRule="auto"/>
        <w:ind w:firstLine="420" w:firstLineChars="200"/>
        <w:rPr>
          <w:rFonts w:hint="eastAsia" w:ascii="宋体" w:hAnsi="宋体" w:cs="宋体-18030"/>
          <w:color w:val="auto"/>
          <w:szCs w:val="21"/>
          <w:highlight w:val="none"/>
          <w:lang w:eastAsia="zh-CN"/>
        </w:rPr>
      </w:pPr>
      <w:r>
        <w:rPr>
          <w:rFonts w:hint="eastAsia" w:ascii="宋体" w:hAnsi="宋体" w:cs="宋体-18030"/>
          <w:color w:val="auto"/>
          <w:szCs w:val="21"/>
          <w:highlight w:val="none"/>
          <w:lang w:val="en-US" w:eastAsia="zh-CN"/>
        </w:rPr>
        <w:t>监理人</w:t>
      </w:r>
      <w:r>
        <w:rPr>
          <w:rFonts w:hint="eastAsia" w:ascii="宋体" w:hAnsi="宋体" w:cs="宋体-18030"/>
          <w:color w:val="auto"/>
          <w:szCs w:val="21"/>
          <w:highlight w:val="none"/>
          <w:lang w:eastAsia="zh-CN"/>
        </w:rPr>
        <w:t>汇票开立信息如下：</w:t>
      </w:r>
    </w:p>
    <w:p w14:paraId="15FAF7FA">
      <w:pPr>
        <w:spacing w:line="300" w:lineRule="auto"/>
        <w:ind w:firstLine="420" w:firstLineChars="200"/>
        <w:rPr>
          <w:rFonts w:hint="eastAsia" w:ascii="宋体" w:hAnsi="宋体" w:cs="宋体-18030"/>
          <w:color w:val="auto"/>
          <w:szCs w:val="21"/>
          <w:highlight w:val="none"/>
          <w:lang w:eastAsia="zh-CN"/>
        </w:rPr>
      </w:pPr>
      <w:r>
        <w:rPr>
          <w:rFonts w:hint="eastAsia" w:ascii="宋体" w:hAnsi="宋体" w:cs="宋体-18030"/>
          <w:color w:val="auto"/>
          <w:szCs w:val="21"/>
          <w:highlight w:val="none"/>
          <w:lang w:eastAsia="zh-CN"/>
        </w:rPr>
        <w:t>汇票类型：</w:t>
      </w:r>
      <w:permStart w:id="36" w:edGrp="everyone"/>
      <w:r>
        <w:rPr>
          <w:rFonts w:hint="eastAsia" w:ascii="宋体" w:hAnsi="宋体" w:eastAsia="宋体" w:cs="宋体"/>
          <w:b w:val="0"/>
          <w:bCs w:val="0"/>
          <w:color w:val="auto"/>
          <w:sz w:val="21"/>
          <w:szCs w:val="21"/>
          <w:highlight w:val="none"/>
          <w:lang w:eastAsia="zh-CN"/>
        </w:rPr>
        <w:sym w:font="Wingdings" w:char="006F"/>
      </w:r>
      <w:r>
        <w:rPr>
          <w:rFonts w:hint="eastAsia" w:ascii="宋体" w:hAnsi="宋体" w:eastAsia="宋体" w:cs="宋体"/>
          <w:b w:val="0"/>
          <w:bCs w:val="0"/>
          <w:color w:val="auto"/>
          <w:sz w:val="21"/>
          <w:szCs w:val="21"/>
          <w:highlight w:val="none"/>
          <w:lang w:eastAsia="zh-CN"/>
        </w:rPr>
        <w:t>银行承兑汇票</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sym w:font="Wingdings" w:char="006F"/>
      </w:r>
      <w:r>
        <w:rPr>
          <w:rFonts w:hint="eastAsia" w:ascii="宋体" w:hAnsi="宋体" w:eastAsia="宋体" w:cs="宋体"/>
          <w:b w:val="0"/>
          <w:bCs w:val="0"/>
          <w:color w:val="auto"/>
          <w:sz w:val="21"/>
          <w:szCs w:val="21"/>
          <w:highlight w:val="none"/>
          <w:lang w:eastAsia="zh-CN"/>
        </w:rPr>
        <w:t>商业承兑汇票</w:t>
      </w:r>
      <w:permEnd w:id="36"/>
    </w:p>
    <w:p w14:paraId="3A7F2082">
      <w:pPr>
        <w:spacing w:line="300" w:lineRule="auto"/>
        <w:ind w:firstLine="420" w:firstLineChars="200"/>
        <w:rPr>
          <w:rFonts w:hint="eastAsia" w:ascii="宋体" w:hAnsi="宋体" w:cs="宋体-18030"/>
          <w:color w:val="auto"/>
          <w:szCs w:val="21"/>
          <w:highlight w:val="none"/>
          <w:lang w:val="en-US" w:eastAsia="zh-CN"/>
        </w:rPr>
      </w:pPr>
      <w:r>
        <w:rPr>
          <w:rFonts w:hint="eastAsia" w:ascii="宋体" w:hAnsi="宋体" w:cs="宋体-18030"/>
          <w:color w:val="auto"/>
          <w:szCs w:val="21"/>
          <w:highlight w:val="none"/>
          <w:lang w:eastAsia="zh-CN"/>
        </w:rPr>
        <w:t>收款人全称：</w:t>
      </w:r>
      <w:permStart w:id="37" w:edGrp="everyone"/>
      <w:r>
        <w:rPr>
          <w:rFonts w:hint="eastAsia" w:ascii="宋体" w:hAnsi="宋体" w:cs="宋体-18030"/>
          <w:color w:val="auto"/>
          <w:szCs w:val="21"/>
          <w:highlight w:val="none"/>
          <w:lang w:val="en-US" w:eastAsia="zh-CN"/>
        </w:rPr>
        <w:t xml:space="preserve">  </w:t>
      </w:r>
      <w:permEnd w:id="37"/>
    </w:p>
    <w:p w14:paraId="4851B7E2">
      <w:pPr>
        <w:spacing w:line="300" w:lineRule="auto"/>
        <w:ind w:firstLine="420" w:firstLineChars="200"/>
        <w:rPr>
          <w:rFonts w:hint="eastAsia" w:ascii="宋体" w:hAnsi="宋体" w:cs="宋体-18030"/>
          <w:color w:val="auto"/>
          <w:szCs w:val="21"/>
          <w:highlight w:val="none"/>
          <w:lang w:val="en-US" w:eastAsia="zh-CN"/>
        </w:rPr>
      </w:pPr>
      <w:r>
        <w:rPr>
          <w:rFonts w:hint="eastAsia" w:ascii="宋体" w:hAnsi="宋体" w:cs="宋体-18030"/>
          <w:color w:val="auto"/>
          <w:szCs w:val="21"/>
          <w:highlight w:val="none"/>
          <w:lang w:eastAsia="zh-CN"/>
        </w:rPr>
        <w:t>银行账户：</w:t>
      </w:r>
      <w:permStart w:id="38" w:edGrp="everyone"/>
      <w:r>
        <w:rPr>
          <w:rFonts w:hint="eastAsia" w:ascii="宋体" w:hAnsi="宋体" w:cs="宋体-18030"/>
          <w:color w:val="auto"/>
          <w:szCs w:val="21"/>
          <w:highlight w:val="none"/>
          <w:lang w:val="en-US" w:eastAsia="zh-CN"/>
        </w:rPr>
        <w:t xml:space="preserve">  </w:t>
      </w:r>
      <w:permEnd w:id="38"/>
    </w:p>
    <w:p w14:paraId="1A4884D6">
      <w:pPr>
        <w:spacing w:line="300" w:lineRule="auto"/>
        <w:ind w:firstLine="420" w:firstLineChars="200"/>
        <w:rPr>
          <w:rFonts w:hint="eastAsia" w:ascii="宋体" w:hAnsi="宋体" w:eastAsia="宋体" w:cs="宋体-18030"/>
          <w:color w:val="auto"/>
          <w:szCs w:val="21"/>
          <w:highlight w:val="none"/>
          <w:lang w:eastAsia="zh-CN"/>
        </w:rPr>
      </w:pPr>
      <w:r>
        <w:rPr>
          <w:rFonts w:hint="eastAsia" w:ascii="宋体" w:hAnsi="宋体" w:eastAsia="宋体" w:cs="宋体-18030"/>
          <w:color w:val="auto"/>
          <w:szCs w:val="21"/>
          <w:highlight w:val="none"/>
          <w:lang w:eastAsia="zh-CN"/>
        </w:rPr>
        <w:t>开户银行：</w:t>
      </w:r>
      <w:permStart w:id="39" w:edGrp="everyone"/>
      <w:r>
        <w:rPr>
          <w:rFonts w:hint="eastAsia" w:ascii="宋体" w:hAnsi="宋体" w:eastAsia="宋体" w:cs="宋体-18030"/>
          <w:color w:val="auto"/>
          <w:szCs w:val="21"/>
          <w:highlight w:val="none"/>
          <w:lang w:val="en-US" w:eastAsia="zh-CN"/>
        </w:rPr>
        <w:t xml:space="preserve">  </w:t>
      </w:r>
      <w:permEnd w:id="39"/>
    </w:p>
    <w:p w14:paraId="7E3CC1E0">
      <w:pPr>
        <w:spacing w:line="300" w:lineRule="auto"/>
        <w:ind w:firstLine="420" w:firstLineChars="200"/>
        <w:rPr>
          <w:rFonts w:hint="eastAsia" w:ascii="宋体" w:hAnsi="宋体" w:eastAsia="宋体" w:cs="宋体-18030"/>
          <w:color w:val="auto"/>
          <w:szCs w:val="21"/>
          <w:highlight w:val="none"/>
          <w:lang w:val="en-US" w:eastAsia="zh-CN"/>
        </w:rPr>
      </w:pPr>
      <w:r>
        <w:rPr>
          <w:rFonts w:hint="eastAsia" w:ascii="宋体" w:hAnsi="宋体" w:eastAsia="宋体" w:cs="宋体-18030"/>
          <w:color w:val="auto"/>
          <w:szCs w:val="21"/>
          <w:highlight w:val="none"/>
          <w:lang w:eastAsia="zh-CN"/>
        </w:rPr>
        <w:t>开户行行号：</w:t>
      </w:r>
      <w:permStart w:id="40" w:edGrp="everyone"/>
      <w:r>
        <w:rPr>
          <w:rFonts w:hint="eastAsia" w:ascii="宋体" w:hAnsi="宋体" w:eastAsia="宋体" w:cs="宋体-18030"/>
          <w:color w:val="auto"/>
          <w:szCs w:val="21"/>
          <w:highlight w:val="none"/>
          <w:lang w:val="en-US" w:eastAsia="zh-CN"/>
        </w:rPr>
        <w:t xml:space="preserve">  </w:t>
      </w:r>
      <w:permEnd w:id="40"/>
    </w:p>
    <w:p w14:paraId="2166A997">
      <w:pPr>
        <w:spacing w:line="360" w:lineRule="auto"/>
        <w:ind w:firstLine="420" w:firstLineChars="200"/>
        <w:jc w:val="left"/>
        <w:outlineLvl w:val="9"/>
        <w:rPr>
          <w:rFonts w:hint="eastAsia" w:ascii="宋体" w:hAnsi="宋体" w:eastAsia="宋体" w:cs="宋体-18030"/>
          <w:color w:val="auto"/>
          <w:szCs w:val="21"/>
          <w:highlight w:val="none"/>
          <w:lang w:val="en-US" w:eastAsia="zh-CN"/>
        </w:rPr>
      </w:pPr>
      <w:r>
        <w:rPr>
          <w:rFonts w:hint="eastAsia" w:ascii="宋体" w:hAnsi="宋体" w:eastAsia="宋体" w:cs="宋体-18030"/>
          <w:color w:val="auto"/>
          <w:szCs w:val="21"/>
          <w:highlight w:val="none"/>
          <w:lang w:eastAsia="zh-CN"/>
        </w:rPr>
        <w:t>联系人：</w:t>
      </w:r>
      <w:permStart w:id="41" w:edGrp="everyone"/>
      <w:r>
        <w:rPr>
          <w:rFonts w:hint="eastAsia" w:ascii="宋体" w:hAnsi="宋体" w:eastAsia="宋体" w:cs="宋体-18030"/>
          <w:color w:val="auto"/>
          <w:szCs w:val="21"/>
          <w:highlight w:val="none"/>
          <w:lang w:val="en-US" w:eastAsia="zh-CN"/>
        </w:rPr>
        <w:t xml:space="preserve"> </w:t>
      </w:r>
      <w:r>
        <w:rPr>
          <w:rFonts w:hint="eastAsia" w:ascii="宋体" w:hAnsi="宋体" w:eastAsia="宋体" w:cs="宋体-18030"/>
          <w:color w:val="auto"/>
          <w:sz w:val="21"/>
          <w:szCs w:val="21"/>
          <w:highlight w:val="none"/>
          <w:u w:val="none"/>
          <w:shd w:val="clear" w:color="auto" w:fill="auto"/>
          <w:lang w:val="en-US" w:eastAsia="zh-CN"/>
        </w:rPr>
        <w:t xml:space="preserve"> </w:t>
      </w:r>
      <w:permEnd w:id="41"/>
    </w:p>
    <w:p w14:paraId="522CFEDA">
      <w:pPr>
        <w:spacing w:line="360" w:lineRule="auto"/>
        <w:ind w:firstLine="420" w:firstLineChars="200"/>
        <w:jc w:val="left"/>
        <w:outlineLvl w:val="9"/>
        <w:rPr>
          <w:rFonts w:hint="eastAsia" w:ascii="宋体" w:hAnsi="宋体" w:eastAsia="宋体" w:cs="宋体-18030"/>
          <w:color w:val="auto"/>
          <w:szCs w:val="21"/>
          <w:highlight w:val="none"/>
          <w:lang w:val="en-US" w:eastAsia="zh-CN"/>
        </w:rPr>
      </w:pPr>
      <w:r>
        <w:rPr>
          <w:rFonts w:hint="eastAsia" w:ascii="宋体" w:hAnsi="宋体" w:eastAsia="宋体" w:cs="宋体-18030"/>
          <w:color w:val="auto"/>
          <w:szCs w:val="21"/>
          <w:highlight w:val="none"/>
          <w:lang w:val="en-US" w:eastAsia="zh-CN"/>
        </w:rPr>
        <w:t>联系电话</w:t>
      </w:r>
      <w:r>
        <w:rPr>
          <w:rFonts w:hint="eastAsia" w:ascii="宋体" w:hAnsi="宋体" w:eastAsia="宋体" w:cs="宋体-18030"/>
          <w:color w:val="auto"/>
          <w:szCs w:val="21"/>
          <w:highlight w:val="none"/>
          <w:lang w:eastAsia="zh-CN"/>
        </w:rPr>
        <w:t>：</w:t>
      </w:r>
      <w:permStart w:id="42" w:edGrp="everyone"/>
      <w:r>
        <w:rPr>
          <w:rFonts w:hint="eastAsia" w:ascii="宋体" w:hAnsi="宋体" w:eastAsia="宋体" w:cs="宋体-18030"/>
          <w:color w:val="auto"/>
          <w:szCs w:val="21"/>
          <w:highlight w:val="none"/>
          <w:lang w:val="en-US" w:eastAsia="zh-CN"/>
        </w:rPr>
        <w:t xml:space="preserve">  </w:t>
      </w:r>
      <w:permEnd w:id="42"/>
    </w:p>
    <w:p w14:paraId="4A31D1F9">
      <w:pPr>
        <w:keepNext w:val="0"/>
        <w:keepLines w:val="0"/>
        <w:pageBreakBefore w:val="0"/>
        <w:kinsoku/>
        <w:wordWrap/>
        <w:overflowPunct/>
        <w:topLinePunct w:val="0"/>
        <w:bidi w:val="0"/>
        <w:adjustRightInd/>
        <w:snapToGrid/>
        <w:spacing w:line="360" w:lineRule="auto"/>
        <w:ind w:left="0" w:leftChars="0" w:right="0" w:rightChars="0" w:firstLine="420" w:firstLineChars="200"/>
        <w:jc w:val="left"/>
        <w:outlineLvl w:val="9"/>
        <w:rPr>
          <w:rFonts w:hint="eastAsia" w:ascii="宋体" w:hAnsi="宋体" w:eastAsia="宋体" w:cs="宋体-18030"/>
          <w:color w:val="auto"/>
          <w:sz w:val="21"/>
          <w:szCs w:val="21"/>
          <w:highlight w:val="none"/>
        </w:rPr>
      </w:pPr>
      <w:r>
        <w:rPr>
          <w:rFonts w:hint="eastAsia" w:ascii="宋体" w:hAnsi="宋体" w:eastAsia="宋体" w:cs="宋体-18030"/>
          <w:color w:val="auto"/>
          <w:sz w:val="21"/>
          <w:szCs w:val="21"/>
          <w:highlight w:val="none"/>
          <w:lang w:val="en-US" w:eastAsia="zh-CN"/>
        </w:rPr>
        <w:t>10.3</w:t>
      </w:r>
      <w:r>
        <w:rPr>
          <w:rFonts w:hint="eastAsia" w:ascii="宋体" w:hAnsi="宋体" w:eastAsia="宋体" w:cs="宋体-18030"/>
          <w:color w:val="auto"/>
          <w:sz w:val="21"/>
          <w:szCs w:val="21"/>
          <w:highlight w:val="none"/>
        </w:rPr>
        <w:t>乙方应在甲方付预付款前</w:t>
      </w:r>
      <w:permStart w:id="43" w:edGrp="everyone"/>
      <w:r>
        <w:rPr>
          <w:rFonts w:hint="eastAsia" w:ascii="宋体" w:hAnsi="宋体" w:eastAsia="宋体" w:cs="宋体-18030"/>
          <w:color w:val="auto"/>
          <w:sz w:val="21"/>
          <w:szCs w:val="21"/>
          <w:highlight w:val="none"/>
          <w:u w:val="none"/>
        </w:rPr>
        <w:t xml:space="preserve"> </w:t>
      </w:r>
      <w:r>
        <w:rPr>
          <w:rFonts w:hint="eastAsia" w:ascii="宋体" w:hAnsi="宋体" w:cs="宋体-18030"/>
          <w:color w:val="auto"/>
          <w:sz w:val="21"/>
          <w:szCs w:val="21"/>
          <w:highlight w:val="none"/>
          <w:u w:val="none"/>
          <w:lang w:val="en-US" w:eastAsia="zh-CN"/>
        </w:rPr>
        <w:t>60</w:t>
      </w:r>
      <w:r>
        <w:rPr>
          <w:rFonts w:hint="eastAsia" w:ascii="宋体" w:hAnsi="宋体" w:eastAsia="宋体" w:cs="宋体-18030"/>
          <w:color w:val="auto"/>
          <w:sz w:val="21"/>
          <w:szCs w:val="21"/>
          <w:highlight w:val="none"/>
          <w:u w:val="none"/>
        </w:rPr>
        <w:t xml:space="preserve"> </w:t>
      </w:r>
      <w:permEnd w:id="43"/>
      <w:r>
        <w:rPr>
          <w:rFonts w:hint="eastAsia" w:ascii="宋体" w:hAnsi="宋体" w:eastAsia="宋体" w:cs="宋体-18030"/>
          <w:color w:val="auto"/>
          <w:sz w:val="21"/>
          <w:szCs w:val="21"/>
          <w:highlight w:val="none"/>
        </w:rPr>
        <w:t>日开具收据等带有法律</w:t>
      </w:r>
      <w:r>
        <w:rPr>
          <w:rFonts w:hint="eastAsia" w:ascii="宋体" w:hAnsi="宋体" w:eastAsia="宋体" w:cs="宋体-18030"/>
          <w:color w:val="auto"/>
          <w:sz w:val="21"/>
          <w:szCs w:val="21"/>
          <w:highlight w:val="none"/>
          <w:lang w:val="en-US" w:eastAsia="zh-CN"/>
        </w:rPr>
        <w:t>效力</w:t>
      </w:r>
      <w:r>
        <w:rPr>
          <w:rFonts w:hint="eastAsia" w:ascii="宋体" w:hAnsi="宋体" w:eastAsia="宋体" w:cs="宋体-18030"/>
          <w:color w:val="auto"/>
          <w:sz w:val="21"/>
          <w:szCs w:val="21"/>
          <w:highlight w:val="none"/>
        </w:rPr>
        <w:t>的原始凭据，否则甲方有权迟延支付相应价款，乙方因此造成的损失由其自行承担。</w:t>
      </w:r>
    </w:p>
    <w:p w14:paraId="51A32A89">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18030"/>
          <w:color w:val="auto"/>
          <w:sz w:val="21"/>
          <w:szCs w:val="21"/>
          <w:highlight w:val="none"/>
        </w:rPr>
      </w:pPr>
      <w:r>
        <w:rPr>
          <w:rFonts w:hint="eastAsia" w:ascii="宋体" w:hAnsi="宋体" w:eastAsia="宋体" w:cs="宋体-18030"/>
          <w:color w:val="auto"/>
          <w:sz w:val="21"/>
          <w:szCs w:val="21"/>
          <w:highlight w:val="none"/>
        </w:rPr>
        <w:t>乙方应在甲方</w:t>
      </w:r>
      <w:r>
        <w:rPr>
          <w:rFonts w:hint="eastAsia" w:ascii="宋体" w:hAnsi="宋体" w:eastAsia="宋体" w:cs="宋体-18030"/>
          <w:color w:val="auto"/>
          <w:sz w:val="21"/>
          <w:szCs w:val="21"/>
          <w:highlight w:val="none"/>
          <w:lang w:val="en-US" w:eastAsia="zh-CN"/>
        </w:rPr>
        <w:t>支</w:t>
      </w:r>
      <w:r>
        <w:rPr>
          <w:rFonts w:hint="eastAsia" w:ascii="宋体" w:hAnsi="宋体" w:eastAsia="宋体" w:cs="宋体-18030"/>
          <w:color w:val="auto"/>
          <w:sz w:val="21"/>
          <w:szCs w:val="21"/>
          <w:highlight w:val="none"/>
        </w:rPr>
        <w:t>付首付款、进度款及尾款款前</w:t>
      </w:r>
      <w:permStart w:id="44" w:edGrp="everyone"/>
      <w:r>
        <w:rPr>
          <w:rFonts w:hint="eastAsia" w:ascii="宋体" w:hAnsi="宋体" w:eastAsia="宋体" w:cs="宋体-18030"/>
          <w:color w:val="auto"/>
          <w:sz w:val="21"/>
          <w:szCs w:val="21"/>
          <w:highlight w:val="none"/>
          <w:u w:val="none"/>
          <w:shd w:val="clear" w:color="auto" w:fill="auto"/>
          <w:lang w:val="en-US" w:eastAsia="zh-CN"/>
        </w:rPr>
        <w:t xml:space="preserve"> </w:t>
      </w:r>
      <w:r>
        <w:rPr>
          <w:rFonts w:hint="eastAsia" w:ascii="宋体" w:hAnsi="宋体" w:cs="宋体-18030"/>
          <w:color w:val="auto"/>
          <w:sz w:val="21"/>
          <w:szCs w:val="21"/>
          <w:highlight w:val="none"/>
          <w:u w:val="none"/>
          <w:shd w:val="clear" w:color="auto" w:fill="auto"/>
          <w:lang w:val="en-US" w:eastAsia="zh-CN"/>
        </w:rPr>
        <w:t>60</w:t>
      </w:r>
      <w:r>
        <w:rPr>
          <w:rFonts w:hint="eastAsia" w:ascii="宋体" w:hAnsi="宋体" w:eastAsia="宋体" w:cs="宋体-18030"/>
          <w:color w:val="auto"/>
          <w:sz w:val="21"/>
          <w:szCs w:val="21"/>
          <w:highlight w:val="none"/>
          <w:u w:val="none"/>
          <w:shd w:val="clear" w:color="auto" w:fill="auto"/>
          <w:lang w:val="en-US" w:eastAsia="zh-CN"/>
        </w:rPr>
        <w:t xml:space="preserve"> </w:t>
      </w:r>
      <w:permEnd w:id="44"/>
      <w:r>
        <w:rPr>
          <w:rFonts w:hint="eastAsia" w:ascii="宋体" w:hAnsi="宋体" w:eastAsia="宋体" w:cs="宋体-18030"/>
          <w:color w:val="auto"/>
          <w:sz w:val="21"/>
          <w:szCs w:val="21"/>
          <w:highlight w:val="none"/>
          <w:lang w:val="en-US" w:eastAsia="zh-CN"/>
        </w:rPr>
        <w:t>日</w:t>
      </w:r>
      <w:r>
        <w:rPr>
          <w:rFonts w:hint="eastAsia" w:ascii="宋体" w:hAnsi="宋体" w:eastAsia="宋体" w:cs="宋体-18030"/>
          <w:color w:val="auto"/>
          <w:sz w:val="21"/>
          <w:szCs w:val="21"/>
          <w:highlight w:val="none"/>
        </w:rPr>
        <w:t>开具等额的增值税专用发票，</w:t>
      </w:r>
      <w:r>
        <w:rPr>
          <w:rFonts w:hint="eastAsia" w:ascii="宋体" w:hAnsi="宋体" w:eastAsia="宋体" w:cs="宋体-18030"/>
          <w:color w:val="auto"/>
          <w:sz w:val="21"/>
          <w:szCs w:val="21"/>
          <w:highlight w:val="none"/>
          <w:lang w:val="en-US" w:eastAsia="zh-CN"/>
        </w:rPr>
        <w:t>增值税专用发票上注明的银行账户应与本合同提供的相同，</w:t>
      </w:r>
      <w:r>
        <w:rPr>
          <w:rFonts w:hint="eastAsia" w:ascii="宋体" w:hAnsi="宋体" w:eastAsia="宋体" w:cs="宋体-18030"/>
          <w:color w:val="auto"/>
          <w:sz w:val="21"/>
          <w:szCs w:val="21"/>
          <w:highlight w:val="none"/>
        </w:rPr>
        <w:t>否则甲方有权迟延支付相应价款，乙方因此造成的损失由其自行承担。</w:t>
      </w:r>
    </w:p>
    <w:p w14:paraId="52EC7897">
      <w:pPr>
        <w:keepNext w:val="0"/>
        <w:keepLines w:val="0"/>
        <w:pageBreakBefore w:val="0"/>
        <w:widowControl w:val="0"/>
        <w:kinsoku/>
        <w:wordWrap/>
        <w:overflowPunct/>
        <w:topLinePunct w:val="0"/>
        <w:bidi w:val="0"/>
        <w:adjustRightInd/>
        <w:snapToGrid/>
        <w:spacing w:line="360" w:lineRule="auto"/>
        <w:ind w:left="0" w:leftChars="0" w:right="0" w:rightChars="0" w:firstLine="420" w:firstLineChars="200"/>
        <w:jc w:val="left"/>
        <w:outlineLvl w:val="9"/>
        <w:rPr>
          <w:rFonts w:hint="eastAsia" w:ascii="宋体" w:hAnsi="宋体" w:eastAsia="宋体" w:cs="宋体-18030"/>
          <w:color w:val="auto"/>
          <w:sz w:val="21"/>
          <w:szCs w:val="21"/>
          <w:highlight w:val="none"/>
        </w:rPr>
      </w:pPr>
      <w:r>
        <w:rPr>
          <w:rFonts w:hint="eastAsia" w:ascii="宋体" w:hAnsi="宋体" w:eastAsia="宋体" w:cs="宋体-18030"/>
          <w:color w:val="auto"/>
          <w:sz w:val="21"/>
          <w:szCs w:val="21"/>
          <w:highlight w:val="none"/>
        </w:rPr>
        <w:t>如乙方不能开具增值税专用发票的，应向甲方提交相关证明材料并取得甲方</w:t>
      </w:r>
      <w:r>
        <w:rPr>
          <w:rFonts w:hint="eastAsia" w:ascii="宋体" w:hAnsi="宋体" w:eastAsia="宋体" w:cs="宋体-18030"/>
          <w:color w:val="auto"/>
          <w:sz w:val="21"/>
          <w:szCs w:val="21"/>
          <w:highlight w:val="none"/>
          <w:lang w:val="en-US" w:eastAsia="zh-CN"/>
        </w:rPr>
        <w:t>书面</w:t>
      </w:r>
      <w:r>
        <w:rPr>
          <w:rFonts w:hint="eastAsia" w:ascii="宋体" w:hAnsi="宋体" w:eastAsia="宋体" w:cs="宋体-18030"/>
          <w:color w:val="auto"/>
          <w:sz w:val="21"/>
          <w:szCs w:val="21"/>
          <w:highlight w:val="none"/>
        </w:rPr>
        <w:t>同意后，可开具符合甲方要求的其他发票。</w:t>
      </w:r>
    </w:p>
    <w:p w14:paraId="304EA528">
      <w:pPr>
        <w:keepNext w:val="0"/>
        <w:keepLines w:val="0"/>
        <w:pageBreakBefore w:val="0"/>
        <w:widowControl w:val="0"/>
        <w:kinsoku/>
        <w:wordWrap/>
        <w:overflowPunct/>
        <w:topLinePunct w:val="0"/>
        <w:bidi w:val="0"/>
        <w:adjustRightInd/>
        <w:snapToGrid/>
        <w:spacing w:line="360" w:lineRule="auto"/>
        <w:ind w:left="0" w:leftChars="0" w:right="0" w:rightChars="0" w:firstLine="420" w:firstLineChars="200"/>
        <w:jc w:val="left"/>
        <w:outlineLvl w:val="9"/>
        <w:rPr>
          <w:rFonts w:hint="eastAsia" w:ascii="宋体" w:hAnsi="宋体" w:eastAsia="宋体" w:cs="宋体-18030"/>
          <w:color w:val="auto"/>
          <w:sz w:val="21"/>
          <w:szCs w:val="21"/>
          <w:highlight w:val="none"/>
        </w:rPr>
      </w:pPr>
      <w:r>
        <w:rPr>
          <w:rFonts w:hint="eastAsia" w:ascii="宋体" w:hAnsi="宋体" w:eastAsia="宋体" w:cs="宋体-18030"/>
          <w:color w:val="auto"/>
          <w:sz w:val="21"/>
          <w:szCs w:val="21"/>
          <w:highlight w:val="none"/>
          <w:lang w:val="en-US" w:eastAsia="zh-CN"/>
        </w:rPr>
        <w:t>10.4监理人</w:t>
      </w:r>
      <w:r>
        <w:rPr>
          <w:rFonts w:hint="eastAsia" w:ascii="宋体" w:hAnsi="宋体" w:eastAsia="宋体" w:cs="宋体-18030"/>
          <w:color w:val="auto"/>
          <w:sz w:val="21"/>
          <w:szCs w:val="21"/>
          <w:highlight w:val="none"/>
        </w:rPr>
        <w:t>收款账户信息如下：</w:t>
      </w:r>
    </w:p>
    <w:p w14:paraId="1F310446">
      <w:pPr>
        <w:keepNext w:val="0"/>
        <w:keepLines w:val="0"/>
        <w:pageBreakBefore w:val="0"/>
        <w:widowControl w:val="0"/>
        <w:kinsoku/>
        <w:wordWrap/>
        <w:overflowPunct/>
        <w:topLinePunct w:val="0"/>
        <w:bidi w:val="0"/>
        <w:adjustRightInd/>
        <w:snapToGrid/>
        <w:spacing w:line="360" w:lineRule="auto"/>
        <w:ind w:left="0" w:leftChars="0" w:right="0" w:rightChars="0" w:firstLine="420" w:firstLineChars="200"/>
        <w:jc w:val="left"/>
        <w:outlineLvl w:val="9"/>
        <w:rPr>
          <w:rFonts w:hint="default" w:ascii="宋体" w:hAnsi="宋体" w:eastAsia="宋体" w:cs="宋体-18030"/>
          <w:color w:val="auto"/>
          <w:sz w:val="21"/>
          <w:szCs w:val="21"/>
          <w:highlight w:val="none"/>
          <w:u w:val="none"/>
          <w:lang w:val="en-US" w:eastAsia="zh-CN"/>
        </w:rPr>
      </w:pPr>
      <w:r>
        <w:rPr>
          <w:rFonts w:hint="eastAsia" w:ascii="宋体" w:hAnsi="宋体" w:eastAsia="宋体" w:cs="宋体-18030"/>
          <w:color w:val="auto"/>
          <w:sz w:val="21"/>
          <w:szCs w:val="21"/>
          <w:highlight w:val="none"/>
        </w:rPr>
        <w:t>账号：</w:t>
      </w:r>
      <w:permStart w:id="45" w:edGrp="everyone"/>
      <w:r>
        <w:rPr>
          <w:rFonts w:hint="eastAsia" w:ascii="宋体" w:hAnsi="宋体" w:eastAsia="宋体" w:cs="宋体-18030"/>
          <w:color w:val="auto"/>
          <w:sz w:val="21"/>
          <w:szCs w:val="21"/>
          <w:highlight w:val="none"/>
          <w:u w:val="none"/>
          <w:lang w:val="en-US" w:eastAsia="zh-CN"/>
        </w:rPr>
        <w:t xml:space="preserve"> </w:t>
      </w:r>
      <w:r>
        <w:rPr>
          <w:rFonts w:hint="eastAsia" w:ascii="宋体" w:hAnsi="宋体" w:cs="宋体-18030"/>
          <w:color w:val="auto"/>
          <w:sz w:val="21"/>
          <w:szCs w:val="21"/>
          <w:highlight w:val="none"/>
          <w:u w:val="none"/>
          <w:lang w:val="en-US" w:eastAsia="zh-CN"/>
        </w:rPr>
        <w:t xml:space="preserve"> </w:t>
      </w:r>
      <w:r>
        <w:rPr>
          <w:rFonts w:hint="eastAsia" w:ascii="宋体" w:hAnsi="宋体" w:eastAsia="宋体" w:cs="宋体-18030"/>
          <w:color w:val="auto"/>
          <w:sz w:val="21"/>
          <w:szCs w:val="21"/>
          <w:highlight w:val="none"/>
          <w:u w:val="none"/>
          <w:lang w:val="en-US" w:eastAsia="zh-CN"/>
        </w:rPr>
        <w:t xml:space="preserve"> </w:t>
      </w:r>
      <w:permEnd w:id="45"/>
    </w:p>
    <w:p w14:paraId="4A5C36DE">
      <w:pPr>
        <w:keepNext w:val="0"/>
        <w:keepLines w:val="0"/>
        <w:pageBreakBefore w:val="0"/>
        <w:kinsoku/>
        <w:wordWrap/>
        <w:overflowPunct/>
        <w:topLinePunct w:val="0"/>
        <w:bidi w:val="0"/>
        <w:adjustRightInd/>
        <w:snapToGrid/>
        <w:spacing w:line="360" w:lineRule="auto"/>
        <w:ind w:left="0" w:leftChars="0" w:right="0" w:rightChars="0" w:firstLine="420" w:firstLineChars="200"/>
        <w:jc w:val="left"/>
        <w:outlineLvl w:val="9"/>
        <w:rPr>
          <w:rFonts w:hint="eastAsia" w:ascii="宋体" w:hAnsi="宋体" w:eastAsia="宋体" w:cs="宋体-18030"/>
          <w:color w:val="auto"/>
          <w:sz w:val="21"/>
          <w:szCs w:val="21"/>
          <w:highlight w:val="none"/>
          <w:u w:val="none"/>
          <w:shd w:val="clear" w:color="auto" w:fill="auto"/>
          <w:lang w:val="en-US" w:eastAsia="zh-CN"/>
        </w:rPr>
      </w:pPr>
      <w:r>
        <w:rPr>
          <w:rFonts w:hint="eastAsia" w:ascii="宋体" w:hAnsi="宋体" w:eastAsia="宋体" w:cs="宋体-18030"/>
          <w:color w:val="auto"/>
          <w:sz w:val="21"/>
          <w:szCs w:val="21"/>
          <w:highlight w:val="none"/>
        </w:rPr>
        <w:t>户名：</w:t>
      </w:r>
      <w:permStart w:id="46" w:edGrp="everyone"/>
      <w:r>
        <w:rPr>
          <w:rFonts w:hint="eastAsia" w:ascii="宋体" w:hAnsi="宋体" w:eastAsia="宋体" w:cs="宋体-18030"/>
          <w:color w:val="auto"/>
          <w:sz w:val="21"/>
          <w:szCs w:val="21"/>
          <w:highlight w:val="none"/>
          <w:u w:val="none"/>
          <w:lang w:val="en-US" w:eastAsia="zh-CN"/>
        </w:rPr>
        <w:t xml:space="preserve"> </w:t>
      </w:r>
      <w:r>
        <w:rPr>
          <w:rFonts w:hint="eastAsia" w:ascii="宋体" w:hAnsi="宋体" w:cs="宋体-18030"/>
          <w:color w:val="auto"/>
          <w:sz w:val="21"/>
          <w:szCs w:val="21"/>
          <w:highlight w:val="none"/>
          <w:u w:val="none"/>
          <w:lang w:val="en-US" w:eastAsia="zh-CN"/>
        </w:rPr>
        <w:t xml:space="preserve"> </w:t>
      </w:r>
      <w:r>
        <w:rPr>
          <w:rFonts w:hint="eastAsia" w:ascii="宋体" w:hAnsi="宋体" w:eastAsia="宋体" w:cs="宋体-18030"/>
          <w:color w:val="auto"/>
          <w:sz w:val="21"/>
          <w:szCs w:val="21"/>
          <w:highlight w:val="none"/>
          <w:u w:val="none"/>
          <w:lang w:val="en-US" w:eastAsia="zh-CN"/>
        </w:rPr>
        <w:t xml:space="preserve"> </w:t>
      </w:r>
      <w:permEnd w:id="46"/>
    </w:p>
    <w:p w14:paraId="4F61C173">
      <w:pPr>
        <w:keepNext w:val="0"/>
        <w:keepLines w:val="0"/>
        <w:pageBreakBefore w:val="0"/>
        <w:kinsoku/>
        <w:wordWrap/>
        <w:overflowPunct/>
        <w:topLinePunct w:val="0"/>
        <w:bidi w:val="0"/>
        <w:adjustRightInd/>
        <w:snapToGrid/>
        <w:spacing w:line="360" w:lineRule="auto"/>
        <w:ind w:left="0" w:leftChars="0" w:right="0" w:rightChars="0" w:firstLine="420" w:firstLineChars="200"/>
        <w:jc w:val="left"/>
        <w:outlineLvl w:val="9"/>
        <w:rPr>
          <w:rFonts w:hint="eastAsia" w:ascii="宋体" w:hAnsi="宋体" w:eastAsia="宋体" w:cs="宋体"/>
          <w:color w:val="auto"/>
          <w:sz w:val="28"/>
          <w:szCs w:val="28"/>
          <w:highlight w:val="none"/>
          <w:u w:val="single"/>
          <w:shd w:val="pct10" w:color="auto" w:fill="FFFFFF"/>
          <w:lang w:val="en-US" w:eastAsia="zh-CN"/>
        </w:rPr>
      </w:pPr>
      <w:r>
        <w:rPr>
          <w:rFonts w:hint="eastAsia" w:ascii="宋体" w:hAnsi="宋体" w:eastAsia="宋体" w:cs="宋体-18030"/>
          <w:color w:val="auto"/>
          <w:sz w:val="21"/>
          <w:szCs w:val="21"/>
          <w:highlight w:val="none"/>
        </w:rPr>
        <w:t>开户行：</w:t>
      </w:r>
      <w:permStart w:id="47" w:edGrp="everyone"/>
      <w:r>
        <w:rPr>
          <w:rFonts w:hint="eastAsia" w:ascii="宋体" w:hAnsi="宋体" w:eastAsia="宋体" w:cs="宋体-18030"/>
          <w:color w:val="auto"/>
          <w:sz w:val="21"/>
          <w:szCs w:val="21"/>
          <w:highlight w:val="none"/>
          <w:u w:val="none"/>
          <w:lang w:val="en-US" w:eastAsia="zh-CN"/>
        </w:rPr>
        <w:t xml:space="preserve"> </w:t>
      </w:r>
      <w:r>
        <w:rPr>
          <w:rFonts w:hint="eastAsia" w:ascii="宋体" w:hAnsi="宋体" w:cs="宋体-18030"/>
          <w:color w:val="auto"/>
          <w:sz w:val="21"/>
          <w:szCs w:val="21"/>
          <w:highlight w:val="none"/>
          <w:u w:val="none"/>
          <w:lang w:val="en-US" w:eastAsia="zh-CN"/>
        </w:rPr>
        <w:t xml:space="preserve"> </w:t>
      </w:r>
      <w:r>
        <w:rPr>
          <w:rFonts w:hint="eastAsia" w:ascii="宋体" w:hAnsi="宋体" w:eastAsia="宋体" w:cs="宋体-18030"/>
          <w:color w:val="auto"/>
          <w:sz w:val="21"/>
          <w:szCs w:val="21"/>
          <w:highlight w:val="none"/>
          <w:u w:val="none"/>
          <w:lang w:val="en-US" w:eastAsia="zh-CN"/>
        </w:rPr>
        <w:t xml:space="preserve"> </w:t>
      </w:r>
      <w:permEnd w:id="47"/>
    </w:p>
    <w:p w14:paraId="66BD584B">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18030"/>
          <w:color w:val="auto"/>
          <w:szCs w:val="21"/>
          <w:highlight w:val="none"/>
          <w:lang w:val="en-US" w:eastAsia="zh-CN"/>
        </w:rPr>
        <w:t>10.5监理人</w:t>
      </w:r>
      <w:r>
        <w:rPr>
          <w:rFonts w:hint="eastAsia" w:ascii="宋体" w:hAnsi="宋体" w:eastAsia="宋体" w:cs="宋体"/>
          <w:color w:val="auto"/>
          <w:kern w:val="0"/>
          <w:sz w:val="21"/>
          <w:szCs w:val="21"/>
          <w:highlight w:val="none"/>
          <w:lang w:val="en-US" w:eastAsia="zh-CN"/>
        </w:rPr>
        <w:t>数字人民币对公钱包信息如下：</w:t>
      </w:r>
    </w:p>
    <w:p w14:paraId="05B91C14">
      <w:pPr>
        <w:keepNext w:val="0"/>
        <w:keepLines w:val="0"/>
        <w:pageBreakBefore w:val="0"/>
        <w:kinsoku/>
        <w:wordWrap/>
        <w:overflowPunct/>
        <w:topLinePunct w:val="0"/>
        <w:bidi w:val="0"/>
        <w:adjustRightInd/>
        <w:snapToGrid/>
        <w:spacing w:line="360" w:lineRule="auto"/>
        <w:ind w:firstLine="56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数字人民币钱包开户行：</w:t>
      </w:r>
      <w:sdt>
        <w:sdtPr>
          <w:rPr>
            <w:rFonts w:hint="eastAsia" w:ascii="宋体" w:hAnsi="宋体" w:eastAsia="宋体" w:cs="宋体"/>
            <w:color w:val="auto"/>
            <w:kern w:val="0"/>
            <w:sz w:val="21"/>
            <w:szCs w:val="21"/>
            <w:highlight w:val="none"/>
            <w:lang w:val="en-US" w:eastAsia="zh-CN"/>
          </w:rPr>
          <w:alias w:val="乙方数字人民币钱包开户银行名称"/>
          <w:tag w:val="乙方数字人民币钱包开户银行名称"/>
          <w:id w:val="147451869"/>
          <w:placeholder>
            <w:docPart w:val="{d152aa71-e116-4fa8-bea9-ff03929a20fd}"/>
          </w:placeholder>
          <w:text/>
        </w:sdtPr>
        <w:sdtEndPr>
          <w:rPr>
            <w:rFonts w:hint="eastAsia" w:ascii="宋体" w:hAnsi="宋体" w:eastAsia="宋体" w:cs="宋体"/>
            <w:color w:val="auto"/>
            <w:kern w:val="0"/>
            <w:sz w:val="21"/>
            <w:szCs w:val="21"/>
            <w:highlight w:val="none"/>
            <w:lang w:val="en-US" w:eastAsia="zh-CN"/>
          </w:rPr>
        </w:sdtEndPr>
        <w:sdtContent>
          <w:permStart w:id="48" w:edGrp="everyone"/>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lang w:val="en-US" w:eastAsia="zh-CN"/>
            </w:rPr>
            <w:t xml:space="preserve">   </w:t>
          </w:r>
          <w:permEnd w:id="48"/>
        </w:sdtContent>
      </w:sdt>
    </w:p>
    <w:p w14:paraId="411BD550">
      <w:pPr>
        <w:keepNext w:val="0"/>
        <w:keepLines w:val="0"/>
        <w:pageBreakBefore w:val="0"/>
        <w:kinsoku/>
        <w:wordWrap/>
        <w:overflowPunct/>
        <w:topLinePunct w:val="0"/>
        <w:bidi w:val="0"/>
        <w:adjustRightInd/>
        <w:snapToGrid/>
        <w:spacing w:line="360" w:lineRule="auto"/>
        <w:ind w:firstLine="56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钱包名称：</w:t>
      </w:r>
      <w:sdt>
        <w:sdtPr>
          <w:rPr>
            <w:rFonts w:hint="eastAsia" w:asciiTheme="minorEastAsia" w:hAnsiTheme="minorEastAsia" w:eastAsiaTheme="minorEastAsia" w:cstheme="minorEastAsia"/>
            <w:color w:val="auto"/>
            <w:kern w:val="2"/>
            <w:sz w:val="21"/>
            <w:szCs w:val="21"/>
            <w:highlight w:val="none"/>
            <w:lang w:val="en-US" w:eastAsia="zh-CN" w:bidi="ar-SA"/>
          </w:rPr>
          <w:alias w:val="乙方数字人民币钱包名称"/>
          <w:tag w:val="乙方数字人民币钱包名称"/>
          <w:id w:val="147452104"/>
          <w:placeholder>
            <w:docPart w:val="{191709e9-e690-41b9-9f32-38b583c410fb}"/>
          </w:placeholder>
          <w:text/>
        </w:sdtPr>
        <w:sdtEndPr>
          <w:rPr>
            <w:rFonts w:hint="eastAsia" w:asciiTheme="minorEastAsia" w:hAnsiTheme="minorEastAsia" w:eastAsiaTheme="minorEastAsia" w:cstheme="minorEastAsia"/>
            <w:color w:val="auto"/>
            <w:kern w:val="2"/>
            <w:sz w:val="21"/>
            <w:szCs w:val="21"/>
            <w:highlight w:val="none"/>
            <w:lang w:val="en-US" w:eastAsia="zh-CN" w:bidi="ar-SA"/>
          </w:rPr>
        </w:sdtEndPr>
        <w:sdtContent>
          <w:permStart w:id="49" w:edGrp="everyone"/>
          <w:r>
            <w:rPr>
              <w:rFonts w:hint="eastAsia" w:asciiTheme="minorEastAsia" w:hAnsiTheme="minorEastAsia" w:eastAsiaTheme="minorEastAsia" w:cstheme="minorEastAsia"/>
              <w:color w:val="auto"/>
              <w:sz w:val="21"/>
              <w:szCs w:val="21"/>
              <w:highlight w:val="none"/>
              <w:u w:val="single"/>
              <w:lang w:val="en-US" w:eastAsia="zh-CN"/>
            </w:rPr>
            <w:t xml:space="preserve">   /   </w:t>
          </w:r>
          <w:permEnd w:id="49"/>
        </w:sdtContent>
      </w:sdt>
    </w:p>
    <w:p w14:paraId="1864FB48">
      <w:pPr>
        <w:keepNext w:val="0"/>
        <w:keepLines w:val="0"/>
        <w:pageBreakBefore w:val="0"/>
        <w:kinsoku/>
        <w:wordWrap/>
        <w:overflowPunct/>
        <w:topLinePunct w:val="0"/>
        <w:bidi w:val="0"/>
        <w:adjustRightInd/>
        <w:snapToGrid/>
        <w:spacing w:line="360" w:lineRule="auto"/>
        <w:ind w:firstLine="56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钱包编号：</w:t>
      </w:r>
      <w:sdt>
        <w:sdtPr>
          <w:rPr>
            <w:rFonts w:hint="eastAsia" w:asciiTheme="minorEastAsia" w:hAnsiTheme="minorEastAsia" w:eastAsiaTheme="minorEastAsia" w:cstheme="minorEastAsia"/>
            <w:color w:val="auto"/>
            <w:kern w:val="2"/>
            <w:sz w:val="21"/>
            <w:szCs w:val="21"/>
            <w:highlight w:val="none"/>
            <w:lang w:val="en-US" w:eastAsia="zh-CN" w:bidi="ar-SA"/>
          </w:rPr>
          <w:alias w:val="乙方数字人民币钱包编号"/>
          <w:tag w:val="乙方数字人民币钱包编号"/>
          <w:id w:val="530282237"/>
          <w:placeholder>
            <w:docPart w:val="{ede3ea59-285b-4a06-b475-48a1a49bb99a}"/>
          </w:placeholder>
          <w:text/>
        </w:sdtPr>
        <w:sdtEndPr>
          <w:rPr>
            <w:rFonts w:hint="eastAsia" w:asciiTheme="minorEastAsia" w:hAnsiTheme="minorEastAsia" w:eastAsiaTheme="minorEastAsia" w:cstheme="minorEastAsia"/>
            <w:color w:val="auto"/>
            <w:kern w:val="2"/>
            <w:sz w:val="21"/>
            <w:szCs w:val="21"/>
            <w:highlight w:val="none"/>
            <w:lang w:val="en-US" w:eastAsia="zh-CN" w:bidi="ar-SA"/>
          </w:rPr>
        </w:sdtEndPr>
        <w:sdtContent>
          <w:permStart w:id="50" w:edGrp="everyone"/>
          <w:r>
            <w:rPr>
              <w:rFonts w:hint="eastAsia" w:asciiTheme="minorEastAsia" w:hAnsiTheme="minorEastAsia" w:eastAsiaTheme="minorEastAsia" w:cstheme="minorEastAsia"/>
              <w:color w:val="auto"/>
              <w:sz w:val="21"/>
              <w:szCs w:val="21"/>
              <w:highlight w:val="none"/>
              <w:u w:val="single"/>
              <w:lang w:val="en-US" w:eastAsia="zh-CN"/>
            </w:rPr>
            <w:t xml:space="preserve">   /   </w:t>
          </w:r>
          <w:permEnd w:id="50"/>
        </w:sdtContent>
      </w:sdt>
      <w:r>
        <w:rPr>
          <w:rFonts w:hint="eastAsia" w:ascii="宋体" w:hAnsi="宋体" w:eastAsia="宋体" w:cs="宋体"/>
          <w:color w:val="auto"/>
          <w:kern w:val="0"/>
          <w:sz w:val="21"/>
          <w:szCs w:val="21"/>
          <w:highlight w:val="none"/>
          <w:lang w:val="en-US" w:eastAsia="zh-CN"/>
        </w:rPr>
        <w:t xml:space="preserve"> </w:t>
      </w:r>
    </w:p>
    <w:p w14:paraId="574BEF19">
      <w:pPr>
        <w:pStyle w:val="6"/>
        <w:ind w:firstLine="422" w:firstLineChars="200"/>
        <w:rPr>
          <w:rFonts w:hint="eastAsia"/>
          <w:color w:val="auto"/>
          <w:highlight w:val="none"/>
        </w:rPr>
      </w:pPr>
      <w:r>
        <w:rPr>
          <w:rFonts w:hint="eastAsia" w:ascii="宋体" w:hAnsi="宋体" w:cs="宋体"/>
          <w:b/>
          <w:bCs/>
          <w:color w:val="auto"/>
          <w:kern w:val="0"/>
          <w:sz w:val="21"/>
          <w:szCs w:val="21"/>
          <w:highlight w:val="none"/>
          <w:u w:val="none"/>
          <w:lang w:val="en-US" w:eastAsia="zh-CN"/>
        </w:rPr>
        <w:t>10.6本合同项下监理人收款账户信息、监理人数字人民币对公钱包信息，以本合同第10.4、第10.5条约定为准。监理人在签署本合同时，应对前述信息进行确认，本合同一经双方签署即视为监理人确认前述信息无误，委托人应按前述信息进行付款。监理人如需变更收款账户或数字人民币钱包信息的，应提前向委托人提出，并由双方签署变更协议后方可变更；否则，委托人仍应按本条约定的收款信息进行付款。委托人按本条约定的收款信息付款后，视为已完成付款义务，因收款信息错误造成的全部损失由监理人自行承担，委托人人不承担任何责任。</w:t>
      </w:r>
      <w:r>
        <w:rPr>
          <w:rFonts w:hint="eastAsia" w:ascii="宋体" w:hAnsi="宋体" w:eastAsia="宋体" w:cs="宋体"/>
          <w:color w:val="auto"/>
          <w:kern w:val="0"/>
          <w:sz w:val="21"/>
          <w:szCs w:val="21"/>
          <w:highlight w:val="none"/>
          <w:u w:val="none"/>
          <w:lang w:val="en-US" w:eastAsia="zh-CN"/>
        </w:rPr>
        <w:t xml:space="preserve">  </w:t>
      </w:r>
      <w:r>
        <w:rPr>
          <w:rFonts w:hint="eastAsia" w:ascii="宋体" w:hAnsi="宋体" w:eastAsia="宋体" w:cs="宋体"/>
          <w:color w:val="auto"/>
          <w:kern w:val="0"/>
          <w:sz w:val="21"/>
          <w:szCs w:val="21"/>
          <w:highlight w:val="none"/>
          <w:lang w:val="en-US" w:eastAsia="zh-CN"/>
        </w:rPr>
        <w:t xml:space="preserve"> </w:t>
      </w:r>
    </w:p>
    <w:p w14:paraId="586A517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Cs w:val="21"/>
          <w:highlight w:val="none"/>
          <w:lang w:val="en-US" w:eastAsia="zh-CN"/>
        </w:rPr>
        <w:t>10.7</w:t>
      </w:r>
      <w:r>
        <w:rPr>
          <w:rFonts w:hint="eastAsia" w:ascii="宋体" w:hAnsi="宋体" w:eastAsia="宋体" w:cs="宋体"/>
          <w:color w:val="auto"/>
          <w:kern w:val="0"/>
          <w:sz w:val="21"/>
          <w:szCs w:val="21"/>
          <w:highlight w:val="none"/>
          <w:lang w:val="en-US" w:eastAsia="zh-CN"/>
        </w:rPr>
        <w:t>委托人增值税开票信息如下：</w:t>
      </w:r>
    </w:p>
    <w:p w14:paraId="093EBF2C">
      <w:pPr>
        <w:keepNext w:val="0"/>
        <w:keepLines w:val="0"/>
        <w:pageBreakBefore w:val="0"/>
        <w:widowControl w:val="0"/>
        <w:kinsoku/>
        <w:wordWrap/>
        <w:overflowPunct/>
        <w:topLinePunct w:val="0"/>
        <w:autoSpaceDE/>
        <w:autoSpaceDN/>
        <w:bidi w:val="0"/>
        <w:adjustRightInd w:val="0"/>
        <w:snapToGrid/>
        <w:ind w:firstLine="420" w:firstLineChars="200"/>
        <w:textAlignment w:val="baseline"/>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lang w:val="en-US" w:eastAsia="zh-CN"/>
        </w:rPr>
        <w:t>单位名称：</w:t>
      </w:r>
      <w:permStart w:id="51" w:edGrp="everyone"/>
      <w:r>
        <w:rPr>
          <w:rFonts w:hint="eastAsia" w:ascii="宋体" w:hAnsi="宋体" w:cs="宋体"/>
          <w:color w:val="auto"/>
          <w:kern w:val="0"/>
          <w:sz w:val="21"/>
          <w:szCs w:val="21"/>
          <w:highlight w:val="none"/>
          <w:u w:val="single"/>
          <w:lang w:val="en-US" w:eastAsia="zh-CN"/>
        </w:rPr>
        <w:t xml:space="preserve"> </w:t>
      </w:r>
      <w:r>
        <w:rPr>
          <w:rFonts w:hint="eastAsia" w:cs="Times New Roman"/>
          <w:color w:val="auto"/>
          <w:kern w:val="2"/>
          <w:sz w:val="21"/>
          <w:szCs w:val="21"/>
          <w:highlight w:val="none"/>
          <w:u w:val="single"/>
          <w:lang w:val="en-US" w:eastAsia="zh-CN" w:bidi="ar-SA"/>
        </w:rPr>
        <w:t xml:space="preserve">  </w:t>
      </w:r>
      <w:permEnd w:id="51"/>
    </w:p>
    <w:p w14:paraId="70D08BD9">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税务识别号：</w:t>
      </w:r>
      <w:permStart w:id="52" w:edGrp="everyone"/>
      <w:r>
        <w:rPr>
          <w:rFonts w:hint="eastAsia" w:cs="Times New Roman"/>
          <w:color w:val="auto"/>
          <w:kern w:val="2"/>
          <w:sz w:val="21"/>
          <w:szCs w:val="21"/>
          <w:highlight w:val="none"/>
          <w:u w:val="single"/>
          <w:lang w:val="en-US" w:eastAsia="zh-CN" w:bidi="ar-SA"/>
        </w:rPr>
        <w:t xml:space="preserve">   </w:t>
      </w:r>
      <w:permEnd w:id="52"/>
    </w:p>
    <w:p w14:paraId="50632F39">
      <w:pPr>
        <w:pageBreakBefore w:val="0"/>
        <w:kinsoku/>
        <w:wordWrap/>
        <w:overflowPunct/>
        <w:topLinePunct w:val="0"/>
        <w:bidi w:val="0"/>
        <w:adjustRightInd/>
        <w:snapToGrid/>
        <w:spacing w:line="360" w:lineRule="auto"/>
        <w:ind w:firstLine="560"/>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开户行：</w:t>
      </w:r>
      <w:permStart w:id="53" w:edGrp="everyone"/>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permEnd w:id="53"/>
    </w:p>
    <w:p w14:paraId="1C002D22">
      <w:pPr>
        <w:pageBreakBefore w:val="0"/>
        <w:kinsoku/>
        <w:wordWrap/>
        <w:overflowPunct/>
        <w:topLinePunct w:val="0"/>
        <w:bidi w:val="0"/>
        <w:adjustRightInd/>
        <w:snapToGrid/>
        <w:spacing w:line="360" w:lineRule="auto"/>
        <w:ind w:firstLine="560"/>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银行账号：</w:t>
      </w:r>
      <w:permStart w:id="54" w:edGrp="everyone"/>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permEnd w:id="54"/>
    </w:p>
    <w:p w14:paraId="48CAD6EC">
      <w:pPr>
        <w:pageBreakBefore w:val="0"/>
        <w:kinsoku/>
        <w:wordWrap/>
        <w:overflowPunct/>
        <w:topLinePunct w:val="0"/>
        <w:bidi w:val="0"/>
        <w:adjustRightInd/>
        <w:snapToGrid/>
        <w:spacing w:line="360" w:lineRule="auto"/>
        <w:ind w:firstLine="560"/>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地址：</w:t>
      </w:r>
      <w:permStart w:id="55" w:edGrp="everyone"/>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permEnd w:id="55"/>
    </w:p>
    <w:p w14:paraId="2EA073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10.8 </w:t>
      </w:r>
      <w:r>
        <w:rPr>
          <w:rFonts w:hint="eastAsia" w:ascii="宋体" w:hAnsi="宋体" w:eastAsia="宋体" w:cs="宋体"/>
          <w:color w:val="auto"/>
          <w:kern w:val="0"/>
          <w:sz w:val="21"/>
          <w:szCs w:val="21"/>
          <w:highlight w:val="none"/>
          <w:lang w:val="en-US" w:eastAsia="zh-CN"/>
        </w:rPr>
        <w:t>若监理人未能按上述要求开具增值税专用发票，或实际开票税率与上述要求不符，委托人有权根据实际收取的发票类型及税率从合同价款中直接扣除相应金额的合同款进行结算。委托人有权在任一批次的合同付款中直接扣减税款差额。若未支付合同款不足以弥补税款差额，监理人应将差额退还委托人。税款差额计算方式如下：</w:t>
      </w:r>
    </w:p>
    <w:p w14:paraId="4BB8912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税款差额=承诺税率对应的增值税进项税额﹣实际开具发票的进项税额（若计算得出的扣款小于0，则取0）</w:t>
      </w:r>
    </w:p>
    <w:p w14:paraId="692CCD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其中：增值税进项税额=∑开票金额÷（1+税率）×税率</w:t>
      </w:r>
    </w:p>
    <w:p w14:paraId="72A00439">
      <w:pPr>
        <w:spacing w:line="360" w:lineRule="auto"/>
        <w:ind w:firstLine="420" w:firstLineChars="200"/>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10.9 本合同项下不含税价格不因国家税率变化而变化，若在本合同履行期间遇国家税率调整，则价税合计相应调整，以开具发票的时间为准。</w:t>
      </w:r>
    </w:p>
    <w:p w14:paraId="36DED867">
      <w:pPr>
        <w:spacing w:line="440" w:lineRule="exact"/>
        <w:ind w:firstLine="420" w:firstLineChars="200"/>
        <w:rPr>
          <w:color w:val="auto"/>
          <w:szCs w:val="21"/>
          <w:highlight w:val="none"/>
        </w:rPr>
      </w:pPr>
      <w:r>
        <w:rPr>
          <w:rFonts w:hint="eastAsia"/>
          <w:color w:val="auto"/>
          <w:szCs w:val="21"/>
          <w:highlight w:val="none"/>
        </w:rPr>
        <w:t>10.</w:t>
      </w:r>
      <w:r>
        <w:rPr>
          <w:rFonts w:hint="eastAsia"/>
          <w:color w:val="auto"/>
          <w:szCs w:val="21"/>
          <w:highlight w:val="none"/>
          <w:lang w:val="en-US" w:eastAsia="zh-CN"/>
        </w:rPr>
        <w:t>10</w:t>
      </w:r>
      <w:r>
        <w:rPr>
          <w:color w:val="auto"/>
          <w:szCs w:val="21"/>
          <w:highlight w:val="none"/>
        </w:rPr>
        <w:t>支付条</w:t>
      </w:r>
      <w:r>
        <w:rPr>
          <w:rFonts w:hint="eastAsia"/>
          <w:color w:val="auto"/>
          <w:szCs w:val="21"/>
          <w:highlight w:val="none"/>
          <w:lang w:val="en-US" w:eastAsia="zh-CN"/>
        </w:rPr>
        <w:t>件</w:t>
      </w:r>
      <w:r>
        <w:rPr>
          <w:color w:val="auto"/>
          <w:szCs w:val="21"/>
          <w:highlight w:val="none"/>
        </w:rPr>
        <w:t>及程序在合同条款和附件中另有规定。</w:t>
      </w:r>
    </w:p>
    <w:p w14:paraId="78359E9A">
      <w:pPr>
        <w:spacing w:line="440" w:lineRule="exact"/>
        <w:ind w:firstLine="420" w:firstLineChars="200"/>
        <w:rPr>
          <w:color w:val="auto"/>
          <w:szCs w:val="21"/>
          <w:highlight w:val="none"/>
        </w:rPr>
      </w:pPr>
      <w:r>
        <w:rPr>
          <w:rFonts w:hint="eastAsia"/>
          <w:color w:val="auto"/>
          <w:szCs w:val="21"/>
          <w:highlight w:val="none"/>
        </w:rPr>
        <w:t>11</w:t>
      </w:r>
      <w:r>
        <w:rPr>
          <w:color w:val="auto"/>
          <w:szCs w:val="21"/>
          <w:highlight w:val="none"/>
        </w:rPr>
        <w:t>. 总监理工程师：</w:t>
      </w:r>
      <w:permStart w:id="56" w:edGrp="everyone"/>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permEnd w:id="56"/>
      <w:r>
        <w:rPr>
          <w:rFonts w:hint="eastAsia" w:ascii="宋体" w:hAnsi="宋体"/>
          <w:color w:val="auto"/>
          <w:szCs w:val="21"/>
          <w:highlight w:val="none"/>
        </w:rPr>
        <w:t>，身份证号码：</w:t>
      </w:r>
      <w:permStart w:id="57" w:edGrp="everyone"/>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permEnd w:id="57"/>
      <w:r>
        <w:rPr>
          <w:rFonts w:hint="eastAsia" w:ascii="宋体" w:hAnsi="宋体"/>
          <w:color w:val="auto"/>
          <w:szCs w:val="21"/>
          <w:highlight w:val="none"/>
        </w:rPr>
        <w:t>，注册号：</w:t>
      </w:r>
      <w:permStart w:id="58" w:edGrp="everyone"/>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rPr>
        <w:t>。</w:t>
      </w:r>
      <w:permEnd w:id="58"/>
    </w:p>
    <w:p w14:paraId="55BBC3A5">
      <w:pPr>
        <w:spacing w:line="440" w:lineRule="exact"/>
        <w:ind w:firstLine="420" w:firstLineChars="200"/>
        <w:rPr>
          <w:color w:val="auto"/>
          <w:szCs w:val="21"/>
          <w:highlight w:val="none"/>
        </w:rPr>
      </w:pPr>
      <w:r>
        <w:rPr>
          <w:rFonts w:hint="eastAsia"/>
          <w:color w:val="auto"/>
          <w:szCs w:val="21"/>
          <w:highlight w:val="none"/>
        </w:rPr>
        <w:t>12. 词语含义</w:t>
      </w:r>
    </w:p>
    <w:p w14:paraId="47967397">
      <w:pPr>
        <w:spacing w:line="440" w:lineRule="exact"/>
        <w:ind w:firstLine="420" w:firstLineChars="200"/>
        <w:rPr>
          <w:color w:val="auto"/>
          <w:szCs w:val="21"/>
          <w:highlight w:val="none"/>
        </w:rPr>
      </w:pPr>
      <w:r>
        <w:rPr>
          <w:rFonts w:hint="eastAsia"/>
          <w:color w:val="auto"/>
          <w:szCs w:val="21"/>
          <w:highlight w:val="none"/>
        </w:rPr>
        <w:t>本协议书中词语含义与通用合同条款中赋予的含义相同。</w:t>
      </w:r>
    </w:p>
    <w:p w14:paraId="2F081B39">
      <w:pPr>
        <w:spacing w:line="440" w:lineRule="exact"/>
        <w:ind w:firstLine="420" w:firstLineChars="200"/>
        <w:rPr>
          <w:color w:val="auto"/>
          <w:szCs w:val="21"/>
          <w:highlight w:val="none"/>
        </w:rPr>
      </w:pPr>
      <w:r>
        <w:rPr>
          <w:rFonts w:hint="eastAsia"/>
          <w:color w:val="auto"/>
          <w:szCs w:val="21"/>
          <w:highlight w:val="none"/>
        </w:rPr>
        <w:t>13. 签订时间</w:t>
      </w:r>
      <w:r>
        <w:rPr>
          <w:rFonts w:hint="eastAsia"/>
          <w:color w:val="auto"/>
          <w:szCs w:val="21"/>
          <w:highlight w:val="none"/>
        </w:rPr>
        <w:tab/>
      </w:r>
    </w:p>
    <w:p w14:paraId="48811A8F">
      <w:pPr>
        <w:spacing w:line="440" w:lineRule="exact"/>
        <w:ind w:firstLine="420" w:firstLineChars="200"/>
        <w:rPr>
          <w:color w:val="auto"/>
          <w:szCs w:val="21"/>
          <w:highlight w:val="none"/>
        </w:rPr>
      </w:pPr>
      <w:permStart w:id="59" w:edGrp="everyone"/>
      <w:r>
        <w:rPr>
          <w:rFonts w:hint="eastAsia"/>
          <w:color w:val="auto"/>
          <w:szCs w:val="21"/>
          <w:highlight w:val="none"/>
        </w:rPr>
        <w:t>本合同于__</w:t>
      </w:r>
      <w:r>
        <w:rPr>
          <w:rFonts w:hint="eastAsia"/>
          <w:color w:val="auto"/>
          <w:szCs w:val="21"/>
          <w:highlight w:val="none"/>
          <w:u w:val="single"/>
          <w:lang w:val="en-US" w:eastAsia="zh-CN"/>
        </w:rPr>
        <w:t>2025</w:t>
      </w:r>
      <w:r>
        <w:rPr>
          <w:rFonts w:hint="eastAsia"/>
          <w:color w:val="auto"/>
          <w:szCs w:val="21"/>
          <w:highlight w:val="none"/>
        </w:rPr>
        <w:t>_</w:t>
      </w:r>
      <w:bookmarkStart w:id="2" w:name="OLE_LINK2"/>
      <w:r>
        <w:rPr>
          <w:rFonts w:hint="eastAsia"/>
          <w:color w:val="auto"/>
          <w:szCs w:val="21"/>
          <w:highlight w:val="none"/>
        </w:rPr>
        <w:t>_</w:t>
      </w:r>
      <w:bookmarkEnd w:id="2"/>
      <w:r>
        <w:rPr>
          <w:rFonts w:hint="eastAsia"/>
          <w:color w:val="auto"/>
          <w:szCs w:val="21"/>
          <w:highlight w:val="none"/>
        </w:rPr>
        <w:t>年 _____月 ______日签订。</w:t>
      </w:r>
    </w:p>
    <w:permEnd w:id="59"/>
    <w:p w14:paraId="6DAAA8D6">
      <w:pPr>
        <w:spacing w:line="440" w:lineRule="exact"/>
        <w:ind w:firstLine="420" w:firstLineChars="200"/>
        <w:rPr>
          <w:color w:val="auto"/>
          <w:szCs w:val="21"/>
          <w:highlight w:val="none"/>
        </w:rPr>
      </w:pPr>
      <w:r>
        <w:rPr>
          <w:rFonts w:hint="eastAsia"/>
          <w:color w:val="auto"/>
          <w:szCs w:val="21"/>
          <w:highlight w:val="none"/>
        </w:rPr>
        <w:t>14. 签订地点</w:t>
      </w:r>
    </w:p>
    <w:p w14:paraId="6E404D6C">
      <w:pPr>
        <w:spacing w:line="440" w:lineRule="exact"/>
        <w:ind w:firstLine="420" w:firstLineChars="200"/>
        <w:rPr>
          <w:color w:val="auto"/>
          <w:szCs w:val="21"/>
          <w:highlight w:val="none"/>
        </w:rPr>
      </w:pPr>
      <w:permStart w:id="60" w:edGrp="everyone"/>
      <w:r>
        <w:rPr>
          <w:rFonts w:hint="eastAsia"/>
          <w:color w:val="auto"/>
          <w:szCs w:val="21"/>
          <w:highlight w:val="none"/>
        </w:rPr>
        <w:t>本</w:t>
      </w:r>
      <w:r>
        <w:rPr>
          <w:rFonts w:hint="eastAsia" w:ascii="宋体" w:hAnsi="宋体" w:eastAsia="宋体" w:cs="宋体"/>
          <w:color w:val="auto"/>
          <w:sz w:val="21"/>
          <w:szCs w:val="21"/>
          <w:highlight w:val="none"/>
        </w:rPr>
        <w:t>合同在</w:t>
      </w:r>
      <w:sdt>
        <w:sdtPr>
          <w:rPr>
            <w:rFonts w:hint="eastAsia" w:ascii="宋体" w:hAnsi="宋体" w:eastAsia="宋体" w:cs="宋体"/>
            <w:color w:val="auto"/>
            <w:kern w:val="2"/>
            <w:sz w:val="21"/>
            <w:szCs w:val="21"/>
            <w:highlight w:val="none"/>
            <w:u w:val="single"/>
            <w:lang w:val="en-US" w:eastAsia="zh-CN" w:bidi="ar-SA"/>
          </w:rPr>
          <w:alias w:val="签约地点"/>
          <w:tag w:val="签约地点"/>
          <w:id w:val="391179285"/>
          <w:placeholder>
            <w:docPart w:val="{ca2ffb24-239a-46d6-bcb7-3d164de108e0}"/>
          </w:placeholder>
          <w:text w:multiLine="1"/>
        </w:sdtPr>
        <w:sdtEndPr>
          <w:rPr>
            <w:rFonts w:hint="eastAsia" w:ascii="宋体" w:hAnsi="宋体" w:eastAsia="宋体" w:cs="宋体"/>
            <w:color w:val="auto"/>
            <w:kern w:val="2"/>
            <w:sz w:val="21"/>
            <w:szCs w:val="21"/>
            <w:highlight w:val="none"/>
            <w:u w:val="single"/>
            <w:lang w:val="en-US" w:eastAsia="zh-CN" w:bidi="ar-SA"/>
          </w:rPr>
        </w:sdtEndPr>
        <w:sdtContent>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广州</w:t>
          </w:r>
          <w:r>
            <w:rPr>
              <w:rFonts w:hint="eastAsia" w:ascii="宋体" w:hAnsi="宋体" w:eastAsia="宋体" w:cs="宋体"/>
              <w:color w:val="auto"/>
              <w:kern w:val="2"/>
              <w:sz w:val="21"/>
              <w:szCs w:val="21"/>
              <w:highlight w:val="none"/>
              <w:u w:val="single"/>
              <w:lang w:val="en-US" w:eastAsia="zh-CN" w:bidi="ar-SA"/>
            </w:rPr>
            <w:t xml:space="preserve">市 </w:t>
          </w:r>
        </w:sdtContent>
      </w:sdt>
      <w:r>
        <w:rPr>
          <w:rFonts w:hint="eastAsia" w:ascii="宋体" w:hAnsi="宋体" w:eastAsia="宋体" w:cs="宋体"/>
          <w:color w:val="auto"/>
          <w:sz w:val="21"/>
          <w:szCs w:val="21"/>
          <w:highlight w:val="none"/>
        </w:rPr>
        <w:t>签订</w:t>
      </w:r>
      <w:r>
        <w:rPr>
          <w:rFonts w:hint="eastAsia"/>
          <w:color w:val="auto"/>
          <w:szCs w:val="21"/>
          <w:highlight w:val="none"/>
        </w:rPr>
        <w:t>。</w:t>
      </w:r>
    </w:p>
    <w:permEnd w:id="60"/>
    <w:p w14:paraId="2C046D1E">
      <w:pPr>
        <w:spacing w:line="440" w:lineRule="exact"/>
        <w:ind w:firstLine="420" w:firstLineChars="200"/>
        <w:rPr>
          <w:color w:val="auto"/>
          <w:szCs w:val="21"/>
          <w:highlight w:val="none"/>
        </w:rPr>
      </w:pPr>
      <w:r>
        <w:rPr>
          <w:rFonts w:hint="eastAsia"/>
          <w:color w:val="auto"/>
          <w:szCs w:val="21"/>
          <w:highlight w:val="none"/>
        </w:rPr>
        <w:t>15. 本合同一式</w:t>
      </w:r>
      <w:sdt>
        <w:sdtPr>
          <w:rPr>
            <w:rFonts w:hint="eastAsia" w:ascii="宋体" w:hAnsi="宋体" w:eastAsia="宋体" w:cs="宋体"/>
            <w:color w:val="auto"/>
            <w:kern w:val="2"/>
            <w:sz w:val="21"/>
            <w:szCs w:val="21"/>
            <w:highlight w:val="none"/>
            <w:lang w:val="en-US" w:eastAsia="zh-CN" w:bidi="ar-SA"/>
          </w:rPr>
          <w:alias w:val="建议数字大写，注意各份数相加结果"/>
          <w:tag w:val="合同总份数 "/>
          <w:id w:val="147474502"/>
          <w:placeholder>
            <w:docPart w:val="{18f53c96-5c07-477a-9695-549be74208e5}"/>
          </w:placeholder>
        </w:sdtPr>
        <w:sdtEndPr>
          <w:rPr>
            <w:rFonts w:hint="eastAsia" w:ascii="宋体" w:hAnsi="宋体" w:eastAsia="宋体" w:cs="宋体"/>
            <w:color w:val="auto"/>
            <w:kern w:val="2"/>
            <w:sz w:val="21"/>
            <w:szCs w:val="21"/>
            <w:highlight w:val="none"/>
            <w:lang w:val="en-US" w:eastAsia="zh-CN" w:bidi="ar-SA"/>
          </w:rPr>
        </w:sdtEndPr>
        <w:sdtContent>
          <w:permStart w:id="61" w:edGrp="everyone"/>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捌</w:t>
          </w:r>
          <w:r>
            <w:rPr>
              <w:rFonts w:hint="eastAsia" w:ascii="宋体" w:hAnsi="宋体" w:eastAsia="宋体" w:cs="宋体"/>
              <w:color w:val="auto"/>
              <w:kern w:val="2"/>
              <w:sz w:val="21"/>
              <w:szCs w:val="21"/>
              <w:highlight w:val="none"/>
              <w:u w:val="single"/>
              <w:lang w:val="en-US" w:eastAsia="zh-CN" w:bidi="ar-SA"/>
            </w:rPr>
            <w:t xml:space="preserve"> </w:t>
          </w:r>
          <w:permEnd w:id="61"/>
        </w:sdtContent>
      </w:sdt>
      <w:r>
        <w:rPr>
          <w:rFonts w:hint="eastAsia"/>
          <w:color w:val="auto"/>
          <w:szCs w:val="21"/>
          <w:highlight w:val="none"/>
        </w:rPr>
        <w:t>份，均具有同等法律效力，委托人执</w:t>
      </w:r>
      <w:sdt>
        <w:sdtPr>
          <w:rPr>
            <w:rFonts w:hint="eastAsia" w:ascii="宋体" w:hAnsi="宋体" w:eastAsia="宋体" w:cs="宋体"/>
            <w:color w:val="auto"/>
            <w:kern w:val="2"/>
            <w:sz w:val="21"/>
            <w:szCs w:val="21"/>
            <w:highlight w:val="none"/>
            <w:lang w:val="en-US" w:eastAsia="zh-CN" w:bidi="ar-SA"/>
          </w:rPr>
          <w:alias w:val="建议数字大写，注意各份数相加结果"/>
          <w:tag w:val="甲方所执份数"/>
          <w:id w:val="895778106"/>
          <w:placeholder>
            <w:docPart w:val="{cb563b81-2f11-46c0-bb50-18cbfe11a88c}"/>
          </w:placeholder>
        </w:sdtPr>
        <w:sdtEndPr>
          <w:rPr>
            <w:rFonts w:hint="eastAsia" w:asciiTheme="minorHAnsi" w:hAnsiTheme="minorHAnsi" w:eastAsiaTheme="minorEastAsia" w:cstheme="minorBidi"/>
            <w:color w:val="auto"/>
            <w:kern w:val="2"/>
            <w:sz w:val="28"/>
            <w:szCs w:val="36"/>
            <w:highlight w:val="none"/>
            <w:u w:val="single"/>
            <w:lang w:val="en-US" w:eastAsia="zh-CN" w:bidi="ar-SA"/>
          </w:rPr>
        </w:sdtEndPr>
        <w:sdtContent>
          <w:permStart w:id="62" w:edGrp="everyone"/>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肆</w:t>
          </w:r>
          <w:r>
            <w:rPr>
              <w:rFonts w:hint="eastAsia" w:ascii="宋体" w:hAnsi="宋体" w:eastAsia="宋体" w:cs="宋体"/>
              <w:color w:val="auto"/>
              <w:kern w:val="2"/>
              <w:sz w:val="21"/>
              <w:szCs w:val="21"/>
              <w:highlight w:val="none"/>
              <w:u w:val="single"/>
              <w:lang w:val="en-US" w:eastAsia="zh-CN" w:bidi="ar-SA"/>
            </w:rPr>
            <w:t xml:space="preserve"> </w:t>
          </w:r>
          <w:permEnd w:id="62"/>
        </w:sdtContent>
      </w:sdt>
      <w:r>
        <w:rPr>
          <w:rFonts w:hint="eastAsia"/>
          <w:color w:val="auto"/>
          <w:szCs w:val="21"/>
          <w:highlight w:val="none"/>
        </w:rPr>
        <w:t>份，监理人执</w:t>
      </w:r>
      <w:sdt>
        <w:sdtPr>
          <w:rPr>
            <w:rFonts w:hint="eastAsia" w:ascii="宋体" w:hAnsi="宋体" w:eastAsia="宋体" w:cs="宋体"/>
            <w:color w:val="auto"/>
            <w:kern w:val="2"/>
            <w:sz w:val="21"/>
            <w:szCs w:val="21"/>
            <w:highlight w:val="none"/>
            <w:lang w:val="en-US" w:eastAsia="zh-CN" w:bidi="ar-SA"/>
          </w:rPr>
          <w:alias w:val="建议数字大写，注意各份数相加结果"/>
          <w:tag w:val="乙方所执份数"/>
          <w:id w:val="127757003"/>
          <w:placeholder>
            <w:docPart w:val="{5a380f52-7373-4b56-8fc5-e7f5cad94589}"/>
          </w:placeholder>
        </w:sdtPr>
        <w:sdtEndPr>
          <w:rPr>
            <w:rFonts w:hint="eastAsia" w:asciiTheme="minorHAnsi" w:hAnsiTheme="minorHAnsi" w:eastAsiaTheme="minorEastAsia" w:cstheme="minorBidi"/>
            <w:color w:val="auto"/>
            <w:kern w:val="2"/>
            <w:sz w:val="28"/>
            <w:szCs w:val="36"/>
            <w:highlight w:val="none"/>
            <w:lang w:val="en-US" w:eastAsia="zh-CN" w:bidi="ar-SA"/>
          </w:rPr>
        </w:sdtEndPr>
        <w:sdtContent>
          <w:permStart w:id="63" w:edGrp="everyone"/>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肆</w:t>
          </w:r>
          <w:r>
            <w:rPr>
              <w:rFonts w:hint="eastAsia" w:ascii="宋体" w:hAnsi="宋体" w:eastAsia="宋体" w:cs="宋体"/>
              <w:color w:val="auto"/>
              <w:kern w:val="2"/>
              <w:sz w:val="21"/>
              <w:szCs w:val="21"/>
              <w:highlight w:val="none"/>
              <w:u w:val="single"/>
              <w:lang w:val="en-US" w:eastAsia="zh-CN" w:bidi="ar-SA"/>
            </w:rPr>
            <w:t xml:space="preserve"> </w:t>
          </w:r>
          <w:permEnd w:id="63"/>
        </w:sdtContent>
      </w:sdt>
      <w:r>
        <w:rPr>
          <w:rFonts w:hint="eastAsia"/>
          <w:color w:val="auto"/>
          <w:szCs w:val="21"/>
          <w:highlight w:val="none"/>
        </w:rPr>
        <w:t>份。</w:t>
      </w:r>
    </w:p>
    <w:p w14:paraId="1A98FD0A">
      <w:pPr>
        <w:spacing w:line="440" w:lineRule="exact"/>
        <w:ind w:firstLine="420" w:firstLineChars="200"/>
        <w:rPr>
          <w:color w:val="auto"/>
          <w:szCs w:val="21"/>
          <w:highlight w:val="none"/>
        </w:rPr>
      </w:pPr>
      <w:r>
        <w:rPr>
          <w:rFonts w:hint="eastAsia"/>
          <w:color w:val="auto"/>
          <w:szCs w:val="21"/>
          <w:highlight w:val="none"/>
        </w:rPr>
        <w:t>16. 承诺</w:t>
      </w:r>
    </w:p>
    <w:p w14:paraId="1C80BACE">
      <w:pPr>
        <w:spacing w:line="440" w:lineRule="exact"/>
        <w:ind w:firstLine="420" w:firstLineChars="200"/>
        <w:rPr>
          <w:color w:val="auto"/>
          <w:szCs w:val="21"/>
          <w:highlight w:val="none"/>
        </w:rPr>
      </w:pPr>
      <w:r>
        <w:rPr>
          <w:rFonts w:hint="eastAsia"/>
          <w:color w:val="auto"/>
          <w:szCs w:val="21"/>
          <w:highlight w:val="none"/>
        </w:rPr>
        <w:t>委托人承诺按照法律规定履行项目审批手续，按照合同约定提供监理依据，并按合同约定的期限和方式支付合同价款。</w:t>
      </w:r>
    </w:p>
    <w:p w14:paraId="3B283A7B">
      <w:pPr>
        <w:spacing w:line="440" w:lineRule="exact"/>
        <w:ind w:firstLine="420" w:firstLineChars="200"/>
        <w:rPr>
          <w:color w:val="auto"/>
          <w:szCs w:val="21"/>
          <w:highlight w:val="none"/>
        </w:rPr>
      </w:pPr>
      <w:r>
        <w:rPr>
          <w:rFonts w:hint="eastAsia" w:hAnsi="宋体" w:cs="仿宋_GB2312"/>
          <w:color w:val="auto"/>
          <w:kern w:val="0"/>
          <w:szCs w:val="21"/>
          <w:highlight w:val="none"/>
        </w:rPr>
        <w:t>监理人承诺按合同约定承担本工程建设监理服务工作。</w:t>
      </w:r>
    </w:p>
    <w:p w14:paraId="24D0DD29">
      <w:pPr>
        <w:spacing w:line="440" w:lineRule="exact"/>
        <w:ind w:firstLine="420" w:firstLineChars="200"/>
        <w:rPr>
          <w:color w:val="auto"/>
          <w:szCs w:val="21"/>
          <w:highlight w:val="none"/>
        </w:rPr>
      </w:pPr>
      <w:r>
        <w:rPr>
          <w:rFonts w:hint="eastAsia"/>
          <w:color w:val="auto"/>
          <w:szCs w:val="21"/>
          <w:highlight w:val="none"/>
        </w:rPr>
        <w:t>监理人承诺，监理人已仔细阅读合同中列明的中国南方电网有限公司基建管理各项管理规定，在项目执行期间自愿服从并严格遵守合同中各项管理规定的要求。在项目执行期间如若违反相关管理规定，监理人自愿接受委托人相关的处罚（如通报批评、承包商考核扣分、停止投标资格以及依照合同额相关比例进行扣罚）。</w:t>
      </w:r>
    </w:p>
    <w:p w14:paraId="2D418F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color w:val="auto"/>
          <w:szCs w:val="21"/>
          <w:highlight w:val="none"/>
        </w:rPr>
        <w:t xml:space="preserve">17. </w:t>
      </w:r>
      <w:r>
        <w:rPr>
          <w:rFonts w:hint="eastAsia" w:ascii="宋体" w:hAnsi="宋体" w:eastAsia="宋体" w:cs="宋体"/>
          <w:color w:val="auto"/>
          <w:sz w:val="21"/>
          <w:szCs w:val="21"/>
          <w:highlight w:val="none"/>
          <w:lang w:val="en-US" w:eastAsia="zh-CN"/>
        </w:rPr>
        <w:t>廉洁条款</w:t>
      </w:r>
    </w:p>
    <w:p w14:paraId="14F923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default" w:ascii="宋体" w:hAnsi="宋体" w:eastAsia="宋体" w:cs="宋体"/>
          <w:color w:val="auto"/>
          <w:sz w:val="21"/>
          <w:szCs w:val="21"/>
          <w:highlight w:val="none"/>
          <w:lang w:val="en-US"/>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双</w:t>
      </w:r>
      <w:r>
        <w:rPr>
          <w:rFonts w:hint="eastAsia" w:ascii="宋体" w:hAnsi="宋体" w:eastAsia="宋体" w:cs="宋体"/>
          <w:color w:val="auto"/>
          <w:sz w:val="21"/>
          <w:szCs w:val="21"/>
          <w:highlight w:val="none"/>
        </w:rPr>
        <w:t>方应严格遵守国家关于市场准入、招标</w:t>
      </w:r>
      <w:r>
        <w:rPr>
          <w:rFonts w:hint="eastAsia" w:ascii="宋体" w:hAnsi="宋体" w:eastAsia="宋体" w:cs="宋体"/>
          <w:color w:val="auto"/>
          <w:sz w:val="21"/>
          <w:szCs w:val="21"/>
          <w:highlight w:val="none"/>
          <w:lang w:val="en-US" w:eastAsia="zh-CN"/>
        </w:rPr>
        <w:t>采购、工程建设</w:t>
      </w:r>
      <w:r>
        <w:rPr>
          <w:rFonts w:hint="eastAsia" w:ascii="宋体" w:hAnsi="宋体" w:eastAsia="宋体" w:cs="宋体"/>
          <w:color w:val="auto"/>
          <w:sz w:val="21"/>
          <w:szCs w:val="21"/>
          <w:highlight w:val="none"/>
        </w:rPr>
        <w:t>等市场经济活动的法律法规、政策及廉洁规定，不得为获取不正当利益，损害国家、集体和合同</w:t>
      </w:r>
      <w:r>
        <w:rPr>
          <w:rFonts w:hint="eastAsia" w:ascii="宋体" w:hAnsi="宋体" w:eastAsia="宋体" w:cs="宋体"/>
          <w:color w:val="auto"/>
          <w:sz w:val="21"/>
          <w:szCs w:val="21"/>
          <w:highlight w:val="none"/>
          <w:lang w:val="en-US" w:eastAsia="zh-CN"/>
        </w:rPr>
        <w:t>双</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val="en-US" w:eastAsia="zh-CN"/>
        </w:rPr>
        <w:t>权益</w:t>
      </w:r>
      <w:r>
        <w:rPr>
          <w:rFonts w:hint="eastAsia" w:ascii="宋体" w:hAnsi="宋体" w:eastAsia="宋体" w:cs="宋体"/>
          <w:color w:val="auto"/>
          <w:sz w:val="21"/>
          <w:szCs w:val="21"/>
          <w:highlight w:val="none"/>
        </w:rPr>
        <w:t>。</w:t>
      </w:r>
    </w:p>
    <w:p w14:paraId="113E05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default"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包括甲方工作</w:t>
      </w:r>
      <w:r>
        <w:rPr>
          <w:rFonts w:hint="eastAsia" w:ascii="宋体" w:hAnsi="宋体" w:eastAsia="宋体" w:cs="宋体"/>
          <w:color w:val="auto"/>
          <w:sz w:val="21"/>
          <w:szCs w:val="21"/>
          <w:highlight w:val="none"/>
        </w:rPr>
        <w:t>人员</w:t>
      </w:r>
      <w:r>
        <w:rPr>
          <w:rFonts w:hint="eastAsia" w:ascii="宋体" w:hAnsi="宋体" w:eastAsia="宋体" w:cs="宋体"/>
          <w:color w:val="auto"/>
          <w:sz w:val="21"/>
          <w:szCs w:val="21"/>
          <w:highlight w:val="none"/>
          <w:lang w:val="en-US" w:eastAsia="zh-CN"/>
        </w:rPr>
        <w:t>及其特定关系人，下同）应</w:t>
      </w:r>
      <w:r>
        <w:rPr>
          <w:rFonts w:hint="eastAsia" w:ascii="宋体" w:hAnsi="宋体" w:eastAsia="宋体" w:cs="宋体"/>
          <w:color w:val="auto"/>
          <w:sz w:val="21"/>
          <w:szCs w:val="21"/>
          <w:highlight w:val="none"/>
        </w:rPr>
        <w:t>遵守廉洁规定，</w:t>
      </w:r>
      <w:r>
        <w:rPr>
          <w:rFonts w:hint="eastAsia" w:ascii="宋体" w:hAnsi="宋体" w:eastAsia="宋体" w:cs="宋体"/>
          <w:color w:val="auto"/>
          <w:sz w:val="21"/>
          <w:szCs w:val="21"/>
          <w:highlight w:val="none"/>
          <w:lang w:val="en-US" w:eastAsia="zh-CN"/>
        </w:rPr>
        <w:t>不得</w:t>
      </w:r>
      <w:r>
        <w:rPr>
          <w:rFonts w:hint="eastAsia" w:ascii="宋体" w:hAnsi="宋体" w:eastAsia="宋体" w:cs="宋体"/>
          <w:color w:val="auto"/>
          <w:sz w:val="21"/>
          <w:szCs w:val="21"/>
          <w:highlight w:val="none"/>
          <w:lang w:eastAsia="zh-CN"/>
        </w:rPr>
        <w:t>利用职权或者职务上的影响谋取</w:t>
      </w:r>
      <w:r>
        <w:rPr>
          <w:rFonts w:hint="eastAsia" w:ascii="宋体" w:hAnsi="宋体" w:eastAsia="宋体" w:cs="宋体"/>
          <w:color w:val="auto"/>
          <w:sz w:val="21"/>
          <w:szCs w:val="21"/>
          <w:highlight w:val="none"/>
          <w:lang w:val="en-US" w:eastAsia="zh-CN"/>
        </w:rPr>
        <w:t>不正当利益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不得</w:t>
      </w:r>
      <w:r>
        <w:rPr>
          <w:rFonts w:hint="eastAsia" w:ascii="宋体" w:hAnsi="宋体" w:eastAsia="宋体" w:cs="宋体"/>
          <w:color w:val="auto"/>
          <w:sz w:val="21"/>
          <w:szCs w:val="21"/>
          <w:highlight w:val="none"/>
          <w:lang w:val="en-US" w:eastAsia="zh-CN"/>
        </w:rPr>
        <w:t>索取或收受乙方</w:t>
      </w:r>
      <w:r>
        <w:rPr>
          <w:rFonts w:hint="eastAsia" w:ascii="宋体" w:hAnsi="宋体" w:eastAsia="宋体" w:cs="宋体"/>
          <w:color w:val="auto"/>
          <w:sz w:val="21"/>
          <w:szCs w:val="21"/>
          <w:highlight w:val="none"/>
          <w:lang w:val="en-US" w:eastAsia="zh-CN"/>
        </w:rPr>
        <w:t>（包括乙方及其委托人、代理人、中间人等相关单位，以及上述单位的工作人员及其特定关系人，下同）</w:t>
      </w:r>
      <w:r>
        <w:rPr>
          <w:rFonts w:hint="eastAsia" w:ascii="宋体" w:hAnsi="宋体" w:eastAsia="宋体" w:cs="宋体"/>
          <w:color w:val="auto"/>
          <w:sz w:val="21"/>
          <w:szCs w:val="21"/>
          <w:highlight w:val="none"/>
          <w:lang w:val="en-US" w:eastAsia="zh-CN"/>
        </w:rPr>
        <w:t>的礼品、礼金、回扣、有价证券等财物，以及其他非财产性利益；不得借用乙方的钱款、住房、车辆等；不得参加乙方安排的</w:t>
      </w:r>
      <w:r>
        <w:rPr>
          <w:rFonts w:hint="eastAsia" w:ascii="宋体" w:hAnsi="宋体" w:eastAsia="宋体" w:cs="宋体"/>
          <w:color w:val="auto"/>
          <w:sz w:val="21"/>
          <w:szCs w:val="21"/>
          <w:highlight w:val="none"/>
        </w:rPr>
        <w:t>可能影响公正</w:t>
      </w:r>
      <w:r>
        <w:rPr>
          <w:rFonts w:hint="eastAsia" w:ascii="宋体" w:hAnsi="宋体" w:eastAsia="宋体" w:cs="宋体"/>
          <w:color w:val="auto"/>
          <w:sz w:val="21"/>
          <w:szCs w:val="21"/>
          <w:highlight w:val="none"/>
          <w:lang w:val="en-US" w:eastAsia="zh-CN"/>
        </w:rPr>
        <w:t>执行公务</w:t>
      </w:r>
      <w:r>
        <w:rPr>
          <w:rFonts w:hint="eastAsia" w:ascii="宋体" w:hAnsi="宋体" w:eastAsia="宋体" w:cs="宋体"/>
          <w:color w:val="auto"/>
          <w:sz w:val="21"/>
          <w:szCs w:val="21"/>
          <w:highlight w:val="none"/>
        </w:rPr>
        <w:t>的宴请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旅游、健身、娱乐</w:t>
      </w:r>
      <w:r>
        <w:rPr>
          <w:rFonts w:hint="eastAsia" w:ascii="宋体" w:hAnsi="宋体" w:eastAsia="宋体" w:cs="宋体"/>
          <w:color w:val="auto"/>
          <w:sz w:val="21"/>
          <w:szCs w:val="21"/>
          <w:highlight w:val="none"/>
          <w:lang w:val="en-US" w:eastAsia="zh-CN"/>
        </w:rPr>
        <w:t>等活动；不得要求或接受乙方为个人装修住房、婚丧嫁娶及亲属工作安排等提供便利；</w:t>
      </w:r>
      <w:r>
        <w:rPr>
          <w:rFonts w:hint="eastAsia" w:ascii="宋体" w:hAnsi="宋体" w:eastAsia="宋体" w:cs="宋体"/>
          <w:color w:val="auto"/>
          <w:sz w:val="21"/>
          <w:szCs w:val="21"/>
          <w:highlight w:val="none"/>
        </w:rPr>
        <w:t>不得向乙方</w:t>
      </w:r>
      <w:r>
        <w:rPr>
          <w:rFonts w:hint="eastAsia" w:ascii="宋体" w:hAnsi="宋体" w:eastAsia="宋体" w:cs="宋体"/>
          <w:color w:val="auto"/>
          <w:sz w:val="21"/>
          <w:szCs w:val="21"/>
          <w:highlight w:val="none"/>
          <w:lang w:val="en-US" w:eastAsia="zh-CN"/>
        </w:rPr>
        <w:t>介绍亲属或其他特定关系人参与可能获取不正当利益的经济活动</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eastAsia="zh-CN"/>
        </w:rPr>
        <w:t>向乙方泄漏涉及有关业务活动的秘密。</w:t>
      </w:r>
    </w:p>
    <w:p w14:paraId="698C18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乙方应遵守廉洁规定，</w:t>
      </w:r>
      <w:r>
        <w:rPr>
          <w:rFonts w:hint="eastAsia" w:ascii="宋体" w:hAnsi="宋体" w:eastAsia="宋体" w:cs="宋体"/>
          <w:color w:val="auto"/>
          <w:sz w:val="21"/>
          <w:szCs w:val="21"/>
          <w:highlight w:val="none"/>
          <w:lang w:val="en-US" w:eastAsia="zh-CN"/>
        </w:rPr>
        <w:t>不得利用本合同项下业务合作便利谋取不正当利益，</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不得向甲方</w:t>
      </w:r>
      <w:r>
        <w:rPr>
          <w:rFonts w:hint="eastAsia" w:ascii="宋体" w:hAnsi="宋体" w:eastAsia="宋体" w:cs="宋体"/>
          <w:color w:val="auto"/>
          <w:sz w:val="21"/>
          <w:szCs w:val="21"/>
          <w:highlight w:val="none"/>
          <w:lang w:val="en-US" w:eastAsia="zh-CN"/>
        </w:rPr>
        <w:t>提供或</w:t>
      </w:r>
      <w:r>
        <w:rPr>
          <w:rFonts w:hint="eastAsia" w:ascii="宋体" w:hAnsi="宋体" w:eastAsia="宋体" w:cs="宋体"/>
          <w:color w:val="auto"/>
          <w:sz w:val="21"/>
          <w:szCs w:val="21"/>
          <w:highlight w:val="none"/>
        </w:rPr>
        <w:t>赠送</w:t>
      </w:r>
      <w:r>
        <w:rPr>
          <w:rFonts w:hint="eastAsia" w:ascii="宋体" w:hAnsi="宋体" w:eastAsia="宋体" w:cs="宋体"/>
          <w:color w:val="auto"/>
          <w:sz w:val="21"/>
          <w:szCs w:val="21"/>
          <w:highlight w:val="none"/>
          <w:lang w:val="en-US" w:eastAsia="zh-CN"/>
        </w:rPr>
        <w:t>礼品、礼金、回扣、有价证券等财物，以及其他非财产性利益</w:t>
      </w:r>
      <w:r>
        <w:rPr>
          <w:rFonts w:hint="eastAsia" w:ascii="宋体" w:hAnsi="宋体" w:eastAsia="宋体" w:cs="宋体"/>
          <w:color w:val="auto"/>
          <w:sz w:val="21"/>
          <w:szCs w:val="21"/>
          <w:highlight w:val="none"/>
          <w:lang w:eastAsia="zh-CN"/>
        </w:rPr>
        <w:t>；不得</w:t>
      </w:r>
      <w:r>
        <w:rPr>
          <w:rFonts w:hint="eastAsia" w:ascii="宋体" w:hAnsi="宋体" w:eastAsia="宋体" w:cs="宋体"/>
          <w:color w:val="auto"/>
          <w:sz w:val="21"/>
          <w:szCs w:val="21"/>
          <w:highlight w:val="none"/>
          <w:lang w:val="en-US" w:eastAsia="zh-CN"/>
        </w:rPr>
        <w:t>向甲方借出</w:t>
      </w:r>
      <w:r>
        <w:rPr>
          <w:rFonts w:hint="eastAsia" w:ascii="宋体" w:hAnsi="宋体" w:eastAsia="宋体" w:cs="宋体"/>
          <w:color w:val="auto"/>
          <w:sz w:val="21"/>
          <w:szCs w:val="21"/>
          <w:highlight w:val="none"/>
          <w:lang w:eastAsia="zh-CN"/>
        </w:rPr>
        <w:t>钱款、住房、车辆等；不得</w:t>
      </w:r>
      <w:r>
        <w:rPr>
          <w:rFonts w:hint="eastAsia" w:ascii="宋体" w:hAnsi="宋体" w:eastAsia="宋体" w:cs="宋体"/>
          <w:color w:val="auto"/>
          <w:sz w:val="21"/>
          <w:szCs w:val="21"/>
          <w:highlight w:val="none"/>
          <w:lang w:val="en-US" w:eastAsia="zh-CN"/>
        </w:rPr>
        <w:t>为甲方提供</w:t>
      </w:r>
      <w:r>
        <w:rPr>
          <w:rFonts w:hint="eastAsia" w:ascii="宋体" w:hAnsi="宋体" w:eastAsia="宋体" w:cs="宋体"/>
          <w:color w:val="auto"/>
          <w:sz w:val="21"/>
          <w:szCs w:val="21"/>
          <w:highlight w:val="none"/>
          <w:lang w:eastAsia="zh-CN"/>
        </w:rPr>
        <w:t>宴请、旅游、健身、娱乐等活动</w:t>
      </w:r>
      <w:r>
        <w:rPr>
          <w:rFonts w:hint="eastAsia" w:ascii="宋体" w:hAnsi="宋体" w:eastAsia="宋体" w:cs="宋体"/>
          <w:color w:val="auto"/>
          <w:sz w:val="21"/>
          <w:szCs w:val="21"/>
          <w:highlight w:val="none"/>
          <w:lang w:val="en-US" w:eastAsia="zh-CN"/>
        </w:rPr>
        <w:t>安排；不得为甲方装修住房、婚丧嫁娶及亲属工作安排等提供便利；不得为甲方参与可能获取不正当利益的经济活动提供便利；不得以谋取非正当利益为目的，与甲方就业务问题进行私下商谈或者达成利益默契。</w:t>
      </w:r>
    </w:p>
    <w:p w14:paraId="3F65E7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发现甲方有违反廉洁规定的，应及时向甲方反映或举报。受理部门：</w:t>
      </w:r>
      <w:permStart w:id="64" w:edGrp="everyone"/>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permEnd w:id="64"/>
      <w:r>
        <w:rPr>
          <w:rFonts w:hint="eastAsia" w:ascii="宋体" w:hAnsi="宋体" w:eastAsia="宋体" w:cs="宋体"/>
          <w:color w:val="auto"/>
          <w:sz w:val="21"/>
          <w:szCs w:val="21"/>
          <w:highlight w:val="none"/>
        </w:rPr>
        <w:t>；举报地址：</w:t>
      </w:r>
      <w:permStart w:id="65" w:edGrp="everyone"/>
      <w:r>
        <w:rPr>
          <w:rFonts w:hint="eastAsia" w:ascii="宋体" w:hAnsi="宋体" w:eastAsia="宋体" w:cs="宋体"/>
          <w:color w:val="auto"/>
          <w:sz w:val="21"/>
          <w:szCs w:val="21"/>
          <w:highlight w:val="none"/>
          <w:u w:val="single"/>
          <w:lang w:val="en-US"/>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rPr>
        <w:t xml:space="preserve"> </w:t>
      </w:r>
      <w:permEnd w:id="65"/>
      <w:r>
        <w:rPr>
          <w:rFonts w:hint="eastAsia" w:ascii="宋体" w:hAnsi="宋体" w:eastAsia="宋体" w:cs="宋体"/>
          <w:color w:val="auto"/>
          <w:sz w:val="21"/>
          <w:szCs w:val="21"/>
          <w:highlight w:val="none"/>
        </w:rPr>
        <w:t>；举报邮箱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网站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ermStart w:id="66" w:edGrp="everyone"/>
      <w:r>
        <w:rPr>
          <w:rFonts w:hint="eastAsia" w:ascii="宋体" w:hAnsi="宋体" w:eastAsia="宋体" w:cs="宋体"/>
          <w:color w:val="auto"/>
          <w:sz w:val="21"/>
          <w:szCs w:val="21"/>
          <w:highlight w:val="none"/>
          <w:u w:val="single"/>
          <w:lang w:val="en-US"/>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rPr>
        <w:t xml:space="preserve"> </w:t>
      </w:r>
      <w:permEnd w:id="66"/>
      <w:r>
        <w:rPr>
          <w:rFonts w:hint="eastAsia" w:ascii="宋体" w:hAnsi="宋体" w:eastAsia="宋体" w:cs="宋体"/>
          <w:color w:val="auto"/>
          <w:sz w:val="21"/>
          <w:szCs w:val="21"/>
          <w:highlight w:val="none"/>
        </w:rPr>
        <w:t>；举报电话：</w:t>
      </w:r>
      <w:permStart w:id="67" w:edGrp="everyone"/>
      <w:r>
        <w:rPr>
          <w:rFonts w:hint="eastAsia" w:ascii="宋体" w:hAnsi="宋体" w:eastAsia="宋体" w:cs="宋体"/>
          <w:b w:val="0"/>
          <w:bCs w:val="0"/>
          <w:color w:val="auto"/>
          <w:sz w:val="21"/>
          <w:szCs w:val="21"/>
          <w:highlight w:val="none"/>
          <w:u w:val="single"/>
          <w:lang w:val="en-US"/>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val="en-US"/>
        </w:rPr>
        <w:t xml:space="preserve"> </w:t>
      </w:r>
      <w:permEnd w:id="67"/>
      <w:r>
        <w:rPr>
          <w:rFonts w:hint="eastAsia" w:ascii="宋体" w:hAnsi="宋体" w:eastAsia="宋体" w:cs="宋体"/>
          <w:color w:val="auto"/>
          <w:sz w:val="21"/>
          <w:szCs w:val="21"/>
          <w:highlight w:val="none"/>
        </w:rPr>
        <w:t>。</w:t>
      </w:r>
    </w:p>
    <w:p w14:paraId="04D62A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甲方违反国家及本合同有关廉洁规定的，</w:t>
      </w:r>
      <w:r>
        <w:rPr>
          <w:rFonts w:hint="eastAsia" w:ascii="宋体" w:hAnsi="宋体" w:eastAsia="宋体" w:cs="宋体"/>
          <w:color w:val="auto"/>
          <w:sz w:val="21"/>
          <w:szCs w:val="21"/>
          <w:highlight w:val="none"/>
          <w:lang w:val="en-US" w:eastAsia="zh-CN"/>
        </w:rPr>
        <w:t>由相关部门（机构）</w:t>
      </w:r>
      <w:r>
        <w:rPr>
          <w:rFonts w:hint="eastAsia" w:ascii="宋体" w:hAnsi="宋体" w:eastAsia="宋体" w:cs="宋体"/>
          <w:color w:val="auto"/>
          <w:sz w:val="21"/>
          <w:szCs w:val="21"/>
          <w:highlight w:val="none"/>
        </w:rPr>
        <w:t>依法依规给予纪律处分或处理；涉嫌</w:t>
      </w:r>
      <w:r>
        <w:rPr>
          <w:rFonts w:hint="eastAsia" w:ascii="宋体" w:hAnsi="宋体" w:eastAsia="宋体" w:cs="宋体"/>
          <w:color w:val="auto"/>
          <w:sz w:val="21"/>
          <w:szCs w:val="21"/>
          <w:highlight w:val="none"/>
          <w:lang w:val="en-US" w:eastAsia="zh-CN"/>
        </w:rPr>
        <w:t>职务</w:t>
      </w:r>
      <w:r>
        <w:rPr>
          <w:rFonts w:hint="eastAsia" w:ascii="宋体" w:hAnsi="宋体" w:eastAsia="宋体" w:cs="宋体"/>
          <w:color w:val="auto"/>
          <w:sz w:val="21"/>
          <w:szCs w:val="21"/>
          <w:highlight w:val="none"/>
        </w:rPr>
        <w:t>犯罪的，移</w:t>
      </w:r>
      <w:r>
        <w:rPr>
          <w:rFonts w:hint="eastAsia" w:ascii="宋体" w:hAnsi="宋体" w:eastAsia="宋体" w:cs="宋体"/>
          <w:color w:val="auto"/>
          <w:sz w:val="21"/>
          <w:szCs w:val="21"/>
          <w:highlight w:val="none"/>
          <w:lang w:val="en-US" w:eastAsia="zh-CN"/>
        </w:rPr>
        <w:t>交监察机构办理</w:t>
      </w:r>
      <w:r>
        <w:rPr>
          <w:rFonts w:hint="eastAsia" w:ascii="宋体" w:hAnsi="宋体" w:eastAsia="宋体" w:cs="宋体"/>
          <w:color w:val="auto"/>
          <w:sz w:val="21"/>
          <w:szCs w:val="21"/>
          <w:highlight w:val="none"/>
        </w:rPr>
        <w:t>。</w:t>
      </w:r>
    </w:p>
    <w:p w14:paraId="1FE530E3">
      <w:pPr>
        <w:spacing w:line="440" w:lineRule="exact"/>
        <w:ind w:firstLine="422" w:firstLineChars="200"/>
        <w:rPr>
          <w:rFonts w:hint="eastAsia"/>
          <w:b/>
          <w:bCs/>
          <w:color w:val="auto"/>
          <w:szCs w:val="21"/>
          <w:highlight w:val="none"/>
        </w:rPr>
      </w:pPr>
      <w:r>
        <w:rPr>
          <w:rFonts w:hint="eastAsia" w:ascii="宋体" w:hAnsi="宋体" w:eastAsia="宋体" w:cs="宋体"/>
          <w:b/>
          <w:bCs/>
          <w:color w:val="auto"/>
          <w:sz w:val="21"/>
          <w:szCs w:val="21"/>
          <w:highlight w:val="none"/>
          <w:lang w:val="en-US" w:eastAsia="zh-CN"/>
        </w:rPr>
        <w:t>1</w:t>
      </w:r>
      <w:r>
        <w:rPr>
          <w:rFonts w:hint="default"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5</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乙方违反国家及本合同有关廉洁规定的，</w:t>
      </w:r>
      <w:r>
        <w:rPr>
          <w:rFonts w:hint="eastAsia" w:ascii="宋体" w:hAnsi="宋体" w:eastAsia="宋体" w:cs="宋体"/>
          <w:b/>
          <w:bCs/>
          <w:color w:val="auto"/>
          <w:sz w:val="21"/>
          <w:szCs w:val="21"/>
          <w:highlight w:val="none"/>
          <w:lang w:val="en-US" w:eastAsia="zh-CN"/>
        </w:rPr>
        <w:t>甲方有权根据中国南方电网有限责任公司、广州市城市建设投资集团</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广州南方投资集团有限公司供应商失信处理有关规定，在广州南方投资集团有限公司范围内</w:t>
      </w:r>
      <w:r>
        <w:rPr>
          <w:rFonts w:hint="eastAsia" w:ascii="宋体" w:hAnsi="宋体" w:eastAsia="宋体" w:cs="宋体"/>
          <w:b/>
          <w:bCs/>
          <w:color w:val="auto"/>
          <w:sz w:val="21"/>
          <w:szCs w:val="21"/>
          <w:highlight w:val="none"/>
        </w:rPr>
        <w:t>对乙方</w:t>
      </w:r>
      <w:r>
        <w:rPr>
          <w:rFonts w:hint="eastAsia" w:ascii="宋体" w:hAnsi="宋体" w:eastAsia="宋体" w:cs="宋体"/>
          <w:b/>
          <w:bCs/>
          <w:color w:val="auto"/>
          <w:sz w:val="21"/>
          <w:szCs w:val="21"/>
          <w:highlight w:val="none"/>
          <w:lang w:val="en-US" w:eastAsia="zh-CN"/>
        </w:rPr>
        <w:t>进行一定期限的</w:t>
      </w:r>
      <w:r>
        <w:rPr>
          <w:rFonts w:hint="eastAsia" w:ascii="宋体" w:hAnsi="宋体" w:eastAsia="宋体" w:cs="宋体"/>
          <w:b/>
          <w:bCs/>
          <w:color w:val="auto"/>
          <w:sz w:val="21"/>
          <w:szCs w:val="21"/>
          <w:highlight w:val="none"/>
        </w:rPr>
        <w:t>不接受投标</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市场禁入（包括暂停投标资格、取消中标或成交资格、不签订新的订单合同或发出新的订单）等不与其发生新的采购活动的处理，并有权单方解除合同，因此造成的损失由乙方承担</w:t>
      </w:r>
      <w:r>
        <w:rPr>
          <w:rFonts w:hint="eastAsia" w:ascii="宋体" w:hAnsi="宋体" w:eastAsia="宋体" w:cs="宋体"/>
          <w:b/>
          <w:bCs/>
          <w:color w:val="auto"/>
          <w:sz w:val="21"/>
          <w:szCs w:val="21"/>
          <w:highlight w:val="none"/>
        </w:rPr>
        <w:t>；涉嫌犯罪的，移送司法机关依法追究刑事责任。</w:t>
      </w:r>
    </w:p>
    <w:p w14:paraId="7E098BBF">
      <w:pPr>
        <w:spacing w:line="440" w:lineRule="exact"/>
        <w:ind w:firstLine="420" w:firstLineChars="200"/>
        <w:rPr>
          <w:color w:val="auto"/>
          <w:szCs w:val="21"/>
          <w:highlight w:val="none"/>
        </w:rPr>
      </w:pPr>
      <w:r>
        <w:rPr>
          <w:rFonts w:hint="default"/>
          <w:color w:val="auto"/>
          <w:szCs w:val="21"/>
          <w:highlight w:val="none"/>
          <w:lang w:val="en-US"/>
        </w:rPr>
        <w:t>18.</w:t>
      </w:r>
      <w:r>
        <w:rPr>
          <w:rFonts w:hint="eastAsia"/>
          <w:color w:val="auto"/>
          <w:szCs w:val="21"/>
          <w:highlight w:val="none"/>
        </w:rPr>
        <w:t>补充协议</w:t>
      </w:r>
    </w:p>
    <w:p w14:paraId="7513E5B6">
      <w:pPr>
        <w:spacing w:line="440" w:lineRule="exact"/>
        <w:ind w:firstLine="420" w:firstLineChars="200"/>
        <w:rPr>
          <w:color w:val="auto"/>
          <w:szCs w:val="21"/>
          <w:highlight w:val="none"/>
        </w:rPr>
      </w:pPr>
      <w:r>
        <w:rPr>
          <w:rFonts w:hint="eastAsia"/>
          <w:color w:val="auto"/>
          <w:szCs w:val="21"/>
          <w:highlight w:val="none"/>
        </w:rPr>
        <w:t>合同未尽事宜，双方另行签订补充协议（含工程洽商记录、会议纪要、工程变更、现场签证、索赔和合同价款调整报告等修正文件），补充协议是合同的组成部分。</w:t>
      </w:r>
    </w:p>
    <w:p w14:paraId="14CA36E3">
      <w:pPr>
        <w:spacing w:line="440" w:lineRule="exact"/>
        <w:ind w:firstLine="420" w:firstLineChars="200"/>
        <w:rPr>
          <w:color w:val="auto"/>
          <w:szCs w:val="21"/>
          <w:highlight w:val="none"/>
        </w:rPr>
      </w:pPr>
      <w:r>
        <w:rPr>
          <w:rFonts w:hint="eastAsia"/>
          <w:color w:val="auto"/>
          <w:szCs w:val="21"/>
          <w:highlight w:val="none"/>
        </w:rPr>
        <w:t>委托人、监理人的法定代表人或委托代理人在上述的日期签字并加盖公章，并将依法执行本合同。</w:t>
      </w:r>
    </w:p>
    <w:p w14:paraId="4FA15A94">
      <w:pPr>
        <w:spacing w:line="440" w:lineRule="exact"/>
        <w:ind w:firstLine="420" w:firstLineChars="200"/>
        <w:rPr>
          <w:rFonts w:hAnsi="宋体"/>
          <w:color w:val="auto"/>
          <w:szCs w:val="21"/>
          <w:highlight w:val="none"/>
        </w:rPr>
      </w:pPr>
      <w:r>
        <w:rPr>
          <w:rFonts w:hint="eastAsia" w:hAnsi="宋体"/>
          <w:color w:val="auto"/>
          <w:szCs w:val="21"/>
          <w:highlight w:val="none"/>
        </w:rPr>
        <w:t>（本</w:t>
      </w:r>
      <w:r>
        <w:rPr>
          <w:rFonts w:hint="eastAsia" w:hAnsi="宋体"/>
          <w:color w:val="auto"/>
          <w:szCs w:val="21"/>
          <w:highlight w:val="none"/>
          <w:lang w:val="en-US" w:eastAsia="zh-CN"/>
        </w:rPr>
        <w:t>节</w:t>
      </w:r>
      <w:r>
        <w:rPr>
          <w:rFonts w:hint="eastAsia" w:hAnsi="宋体"/>
          <w:color w:val="auto"/>
          <w:szCs w:val="21"/>
          <w:highlight w:val="none"/>
        </w:rPr>
        <w:t>以下无正文）</w:t>
      </w:r>
      <w:r>
        <w:rPr>
          <w:rFonts w:hAnsi="宋体"/>
          <w:color w:val="auto"/>
          <w:szCs w:val="21"/>
          <w:highlight w:val="none"/>
        </w:rPr>
        <w:br w:type="page"/>
      </w:r>
    </w:p>
    <w:p w14:paraId="3F0845DB">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cstheme="minorEastAsia"/>
          <w:color w:val="auto"/>
          <w:sz w:val="28"/>
          <w:szCs w:val="28"/>
          <w:highlight w:val="none"/>
          <w:shd w:val="clear" w:color="auto" w:fill="auto"/>
          <w:lang w:val="en-US" w:eastAsia="zh-CN"/>
        </w:rPr>
      </w:pPr>
      <w:bookmarkStart w:id="3" w:name="_Toc144974831"/>
      <w:bookmarkEnd w:id="3"/>
      <w:r>
        <w:rPr>
          <w:rFonts w:hint="eastAsia" w:ascii="宋体" w:hAnsi="宋体" w:cs="宋体"/>
          <w:color w:val="auto"/>
          <w:sz w:val="28"/>
          <w:szCs w:val="28"/>
          <w:highlight w:val="none"/>
          <w:shd w:val="clear" w:color="auto" w:fill="auto"/>
          <w:lang w:eastAsia="zh-CN"/>
        </w:rPr>
        <w:t>【</w:t>
      </w:r>
      <w:r>
        <w:rPr>
          <w:rFonts w:hint="eastAsia" w:ascii="宋体" w:hAnsi="宋体" w:cs="宋体"/>
          <w:color w:val="auto"/>
          <w:sz w:val="28"/>
          <w:szCs w:val="28"/>
          <w:highlight w:val="none"/>
          <w:shd w:val="clear" w:color="auto" w:fill="auto"/>
          <w:lang w:val="en-US" w:eastAsia="zh-CN"/>
        </w:rPr>
        <w:t>本页为</w:t>
      </w:r>
      <w:sdt>
        <w:sdtPr>
          <w:rPr>
            <w:rFonts w:hint="eastAsia" w:asciiTheme="minorHAnsi" w:hAnsiTheme="minorHAnsi" w:eastAsiaTheme="minorEastAsia" w:cstheme="minorBidi"/>
            <w:color w:val="auto"/>
            <w:kern w:val="2"/>
            <w:sz w:val="28"/>
            <w:szCs w:val="36"/>
            <w:highlight w:val="none"/>
            <w:lang w:val="en-US" w:eastAsia="zh-CN" w:bidi="ar-SA"/>
          </w:rPr>
          <w:alias w:val="合同名称应与系统界面保持一致。"/>
          <w:tag w:val="合同名称"/>
          <w:id w:val="875786068"/>
          <w:placeholder>
            <w:docPart w:val="{685c6eae-fd69-408c-b952-434cb847b425}"/>
          </w:placeholder>
          <w:text w:multiLine="1"/>
        </w:sdtPr>
        <w:sdtEndPr>
          <w:rPr>
            <w:rFonts w:hint="eastAsia" w:asciiTheme="minorHAnsi" w:hAnsiTheme="minorHAnsi" w:eastAsiaTheme="minorEastAsia" w:cstheme="minorBidi"/>
            <w:color w:val="auto"/>
            <w:kern w:val="2"/>
            <w:sz w:val="28"/>
            <w:szCs w:val="36"/>
            <w:highlight w:val="none"/>
            <w:lang w:val="en-US" w:eastAsia="zh-CN" w:bidi="ar-SA"/>
          </w:rPr>
        </w:sdtEndPr>
        <w:sdtContent>
          <w:permStart w:id="68" w:edGrp="everyone"/>
          <w:r>
            <w:rPr>
              <w:rFonts w:hint="eastAsia" w:cstheme="minorBidi"/>
              <w:color w:val="auto"/>
              <w:kern w:val="2"/>
              <w:sz w:val="28"/>
              <w:szCs w:val="36"/>
              <w:highlight w:val="none"/>
              <w:u w:val="single"/>
              <w:lang w:val="en-US" w:eastAsia="zh-CN" w:bidi="ar-SA"/>
            </w:rPr>
            <w:t xml:space="preserve"> </w:t>
          </w:r>
          <w:r>
            <w:rPr>
              <w:rFonts w:hint="eastAsia" w:hAnsi="Times New Roman" w:eastAsia="宋体" w:cstheme="minorBidi"/>
              <w:color w:val="auto"/>
              <w:sz w:val="28"/>
              <w:szCs w:val="36"/>
              <w:highlight w:val="none"/>
              <w:u w:val="single"/>
              <w:lang w:val="en-US" w:eastAsia="zh-CN"/>
            </w:rPr>
            <w:t>500千伏番南输变电工程（变电站建筑）监理服务</w:t>
          </w:r>
          <w:r>
            <w:rPr>
              <w:rFonts w:hint="eastAsia" w:cstheme="minorBidi"/>
              <w:color w:val="auto"/>
              <w:kern w:val="2"/>
              <w:sz w:val="28"/>
              <w:szCs w:val="36"/>
              <w:highlight w:val="none"/>
              <w:u w:val="single"/>
              <w:lang w:val="en-US" w:eastAsia="zh-CN" w:bidi="ar-SA"/>
            </w:rPr>
            <w:t xml:space="preserve">合同 </w:t>
          </w:r>
          <w:permEnd w:id="68"/>
        </w:sdtContent>
      </w:sdt>
      <w:r>
        <w:rPr>
          <w:rFonts w:hint="eastAsia" w:ascii="宋体" w:hAnsi="宋体" w:cs="宋体"/>
          <w:color w:val="auto"/>
          <w:sz w:val="28"/>
          <w:szCs w:val="28"/>
          <w:highlight w:val="none"/>
          <w:u w:val="none"/>
          <w:shd w:val="clear" w:color="auto" w:fill="auto"/>
          <w:lang w:val="en-US" w:eastAsia="zh-CN"/>
        </w:rPr>
        <w:t>（合同编号：</w:t>
      </w:r>
      <w:sdt>
        <w:sdtPr>
          <w:rPr>
            <w:rFonts w:hint="eastAsia" w:asciiTheme="minorEastAsia" w:hAnsiTheme="minorEastAsia" w:eastAsiaTheme="minorEastAsia" w:cstheme="minorEastAsia"/>
            <w:color w:val="auto"/>
            <w:sz w:val="28"/>
            <w:szCs w:val="28"/>
            <w:highlight w:val="none"/>
            <w:u w:val="single"/>
            <w:lang w:val="en-US" w:eastAsia="zh-CN"/>
          </w:rPr>
          <w:alias w:val="合同编号"/>
          <w:tag w:val="合同编号"/>
          <w:id w:val="276506916"/>
          <w:placeholder>
            <w:docPart w:val="{00ee4fd0-d461-42a6-bac6-58cba807295d}"/>
          </w:placeholder>
        </w:sdtPr>
        <w:sdtEndPr>
          <w:rPr>
            <w:rFonts w:hint="eastAsia" w:asciiTheme="minorHAnsi" w:hAnsiTheme="minorHAnsi" w:eastAsiaTheme="minorEastAsia" w:cstheme="minorBidi"/>
            <w:color w:val="auto"/>
            <w:kern w:val="2"/>
            <w:sz w:val="28"/>
            <w:szCs w:val="36"/>
            <w:highlight w:val="none"/>
            <w:u w:val="single"/>
            <w:lang w:val="en-US" w:eastAsia="zh-CN" w:bidi="ar-SA"/>
          </w:rPr>
        </w:sdtEndPr>
        <w:sdtContent>
          <w:r>
            <w:rPr>
              <w:rFonts w:hint="eastAsia" w:asciiTheme="minorEastAsia" w:hAnsiTheme="minorEastAsia" w:eastAsiaTheme="minorEastAsia" w:cstheme="minorEastAsia"/>
              <w:color w:val="auto"/>
              <w:sz w:val="28"/>
              <w:szCs w:val="28"/>
              <w:highlight w:val="none"/>
              <w:u w:val="single"/>
              <w:lang w:val="en-US" w:eastAsia="zh-CN"/>
            </w:rPr>
            <w:t xml:space="preserve">                    </w:t>
          </w:r>
        </w:sdtContent>
      </w:sdt>
      <w:r>
        <w:rPr>
          <w:rFonts w:hint="eastAsia" w:ascii="宋体" w:hAnsi="宋体" w:cs="宋体"/>
          <w:color w:val="auto"/>
          <w:sz w:val="28"/>
          <w:szCs w:val="28"/>
          <w:highlight w:val="none"/>
          <w:u w:val="none"/>
          <w:shd w:val="clear" w:color="auto" w:fill="auto"/>
          <w:lang w:val="en-US" w:eastAsia="zh-CN"/>
        </w:rPr>
        <w:t>）签署页</w:t>
      </w:r>
      <w:r>
        <w:rPr>
          <w:rFonts w:hint="eastAsia" w:ascii="宋体" w:hAnsi="宋体" w:cs="宋体"/>
          <w:color w:val="auto"/>
          <w:sz w:val="28"/>
          <w:szCs w:val="28"/>
          <w:highlight w:val="none"/>
          <w:shd w:val="clear" w:color="auto" w:fill="auto"/>
          <w:lang w:eastAsia="zh-CN"/>
        </w:rPr>
        <w:t>】</w:t>
      </w:r>
    </w:p>
    <w:p w14:paraId="3CBB638E">
      <w:pPr>
        <w:keepNext w:val="0"/>
        <w:keepLines w:val="0"/>
        <w:pageBreakBefore w:val="0"/>
        <w:widowControl/>
        <w:kinsoku/>
        <w:wordWrap/>
        <w:overflowPunct/>
        <w:topLinePunct w:val="0"/>
        <w:bidi w:val="0"/>
        <w:adjustRightInd/>
        <w:snapToGrid/>
        <w:spacing w:line="360" w:lineRule="auto"/>
        <w:ind w:right="0" w:rightChars="0"/>
        <w:jc w:val="left"/>
        <w:rPr>
          <w:rFonts w:hint="eastAsia" w:asciiTheme="minorEastAsia" w:hAnsiTheme="minorEastAsia" w:eastAsiaTheme="minorEastAsia" w:cstheme="minorEastAsia"/>
          <w:color w:val="auto"/>
          <w:kern w:val="0"/>
          <w:sz w:val="28"/>
          <w:szCs w:val="28"/>
          <w:highlight w:val="none"/>
          <w:shd w:val="clear" w:color="auto" w:fill="auto"/>
          <w:lang w:eastAsia="zh-CN"/>
        </w:rPr>
      </w:pPr>
    </w:p>
    <w:p w14:paraId="0AB23375">
      <w:pPr>
        <w:keepNext w:val="0"/>
        <w:keepLines w:val="0"/>
        <w:pageBreakBefore w:val="0"/>
        <w:widowControl/>
        <w:kinsoku/>
        <w:wordWrap/>
        <w:overflowPunct/>
        <w:topLinePunct w:val="0"/>
        <w:bidi w:val="0"/>
        <w:adjustRightInd/>
        <w:snapToGrid/>
        <w:spacing w:line="360" w:lineRule="auto"/>
        <w:ind w:left="0" w:leftChars="0" w:right="0" w:rightChars="0" w:firstLine="560" w:firstLineChars="200"/>
        <w:jc w:val="left"/>
        <w:rPr>
          <w:rFonts w:hint="eastAsia" w:ascii="Times New Roman" w:hAnsi="宋体" w:eastAsia="宋体" w:cs="Times New Roman"/>
          <w:color w:val="auto"/>
          <w:sz w:val="28"/>
          <w:szCs w:val="28"/>
          <w:highlight w:val="none"/>
          <w:shd w:val="clear" w:color="auto" w:fill="auto"/>
          <w:lang w:eastAsia="zh-CN"/>
        </w:rPr>
      </w:pPr>
    </w:p>
    <w:p w14:paraId="1F39657E">
      <w:pPr>
        <w:keepNext w:val="0"/>
        <w:keepLines w:val="0"/>
        <w:pageBreakBefore w:val="0"/>
        <w:widowControl/>
        <w:kinsoku/>
        <w:wordWrap/>
        <w:overflowPunct/>
        <w:topLinePunct w:val="0"/>
        <w:bidi w:val="0"/>
        <w:adjustRightInd/>
        <w:snapToGrid/>
        <w:spacing w:line="360" w:lineRule="auto"/>
        <w:ind w:left="0" w:leftChars="0" w:right="0" w:rightChars="0"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甲方（盖章）：</w:t>
      </w:r>
      <w:r>
        <w:rPr>
          <w:rFonts w:hint="eastAsia" w:asciiTheme="minorEastAsia" w:hAnsiTheme="minorEastAsia" w:eastAsiaTheme="minorEastAsia" w:cstheme="minorEastAsia"/>
          <w:b/>
          <w:bCs/>
          <w:color w:val="auto"/>
          <w:sz w:val="2"/>
          <w:szCs w:val="2"/>
          <w:highlight w:val="none"/>
          <w:lang w:val="en-US" w:eastAsia="zh-CN"/>
        </w:rPr>
        <w:t>J</w:t>
      </w:r>
      <w:r>
        <w:rPr>
          <w:rFonts w:hint="eastAsia" w:asciiTheme="minorEastAsia" w:hAnsiTheme="minorEastAsia" w:eastAsiaTheme="minorEastAsia" w:cstheme="minorEastAsia"/>
          <w:color w:val="auto"/>
          <w:sz w:val="2"/>
          <w:szCs w:val="2"/>
          <w:highlight w:val="none"/>
          <w:u w:val="none" w:color="000000" w:themeColor="text1"/>
          <w:lang w:val="en-US" w:eastAsia="zh-CN"/>
        </w:rPr>
        <w:t>F-FWZHTGZGZ</w:t>
      </w:r>
      <w:sdt>
        <w:sdtPr>
          <w:rPr>
            <w:rFonts w:hint="eastAsia" w:asciiTheme="minorEastAsia" w:hAnsiTheme="minorEastAsia" w:eastAsiaTheme="minorEastAsia" w:cstheme="minorEastAsia"/>
            <w:color w:val="auto"/>
            <w:kern w:val="0"/>
            <w:sz w:val="28"/>
            <w:szCs w:val="28"/>
            <w:highlight w:val="none"/>
            <w:lang w:val="en-US" w:eastAsia="zh-CN" w:bidi="ar-SA"/>
          </w:rPr>
          <w:alias w:val="甲方当事人全称"/>
          <w:tag w:val="甲方当事人全称"/>
          <w:id w:val="147453709"/>
          <w:placeholder>
            <w:docPart w:val="{706a9ee8-f117-428f-b165-d06867148eca}"/>
          </w:placeholder>
          <w:text/>
        </w:sdtPr>
        <w:sdtEndPr>
          <w:rPr>
            <w:rFonts w:hint="eastAsia" w:asciiTheme="minorEastAsia" w:hAnsiTheme="minorEastAsia" w:eastAsiaTheme="minorEastAsia" w:cstheme="minorEastAsia"/>
            <w:color w:val="auto"/>
            <w:kern w:val="0"/>
            <w:sz w:val="28"/>
            <w:szCs w:val="28"/>
            <w:highlight w:val="none"/>
            <w:u w:val="single"/>
            <w:lang w:val="en-US" w:eastAsia="zh-CN" w:bidi="ar-SA"/>
          </w:rPr>
        </w:sdtEndPr>
        <w:sdtContent>
          <w:permStart w:id="69" w:edGrp="everyone"/>
          <w:r>
            <w:rPr>
              <w:rFonts w:hint="eastAsia" w:asciiTheme="minorEastAsia" w:hAnsiTheme="minorEastAsia" w:eastAsiaTheme="minorEastAsia" w:cstheme="minorEastAsia"/>
              <w:color w:val="auto"/>
              <w:sz w:val="28"/>
              <w:szCs w:val="28"/>
              <w:highlight w:val="none"/>
              <w:u w:val="single"/>
              <w:lang w:val="en-US" w:eastAsia="zh-CN"/>
            </w:rPr>
            <w:t xml:space="preserve">    </w:t>
          </w:r>
          <w:permEnd w:id="69"/>
        </w:sdtContent>
      </w:sdt>
    </w:p>
    <w:p w14:paraId="063B2236">
      <w:pPr>
        <w:keepNext w:val="0"/>
        <w:keepLines w:val="0"/>
        <w:pageBreakBefore w:val="0"/>
        <w:widowControl/>
        <w:kinsoku/>
        <w:wordWrap/>
        <w:overflowPunct/>
        <w:topLinePunct w:val="0"/>
        <w:bidi w:val="0"/>
        <w:adjustRightInd/>
        <w:snapToGrid/>
        <w:spacing w:line="360" w:lineRule="auto"/>
        <w:ind w:left="0" w:leftChars="0" w:right="0" w:rightChars="0" w:firstLine="561"/>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w:t>
      </w:r>
      <w:r>
        <w:rPr>
          <w:rFonts w:hint="eastAsia" w:asciiTheme="minorEastAsia" w:hAnsiTheme="minorEastAsia"/>
          <w:color w:val="auto"/>
          <w:sz w:val="28"/>
          <w:szCs w:val="28"/>
          <w:highlight w:val="none"/>
          <w:lang w:val="en-US" w:eastAsia="zh-CN"/>
        </w:rPr>
        <w:t>（负责人）</w:t>
      </w:r>
      <w:r>
        <w:rPr>
          <w:rFonts w:hint="eastAsia" w:asciiTheme="minorEastAsia" w:hAnsiTheme="minorEastAsia" w:eastAsiaTheme="minorEastAsia" w:cstheme="minorEastAsia"/>
          <w:color w:val="auto"/>
          <w:sz w:val="28"/>
          <w:szCs w:val="28"/>
          <w:highlight w:val="none"/>
        </w:rPr>
        <w:t>或授权代表（签名）：</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
          <w:szCs w:val="2"/>
          <w:highlight w:val="none"/>
          <w:u w:val="none" w:color="000000" w:themeColor="text1"/>
          <w:lang w:val="en-US" w:eastAsia="zh-CN"/>
        </w:rPr>
        <w:t>JF-FWZHTFRZGZ</w:t>
      </w:r>
    </w:p>
    <w:p w14:paraId="6B0074D4">
      <w:pPr>
        <w:keepNext w:val="0"/>
        <w:keepLines w:val="0"/>
        <w:pageBreakBefore w:val="0"/>
        <w:widowControl/>
        <w:kinsoku/>
        <w:wordWrap/>
        <w:overflowPunct/>
        <w:topLinePunct w:val="0"/>
        <w:bidi w:val="0"/>
        <w:adjustRightInd/>
        <w:snapToGrid/>
        <w:spacing w:line="360" w:lineRule="auto"/>
        <w:ind w:left="0" w:leftChars="0" w:right="0" w:rightChars="0" w:firstLine="561"/>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签订日期：</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日</w:t>
      </w:r>
      <w:r>
        <w:rPr>
          <w:rFonts w:hint="eastAsia" w:asciiTheme="minorEastAsia" w:hAnsiTheme="minorEastAsia" w:eastAsiaTheme="minorEastAsia" w:cstheme="minorEastAsia"/>
          <w:color w:val="auto"/>
          <w:sz w:val="2"/>
          <w:szCs w:val="2"/>
          <w:highlight w:val="none"/>
          <w:u w:val="none" w:color="000000" w:themeColor="text1"/>
          <w:lang w:val="en-US" w:eastAsia="zh-CN"/>
        </w:rPr>
        <w:t>JF-FWZHTSJZGZ</w:t>
      </w:r>
    </w:p>
    <w:p w14:paraId="6A5865A2">
      <w:pPr>
        <w:keepNext w:val="0"/>
        <w:keepLines w:val="0"/>
        <w:pageBreakBefore w:val="0"/>
        <w:widowControl/>
        <w:kinsoku/>
        <w:wordWrap/>
        <w:overflowPunct/>
        <w:topLinePunct w:val="0"/>
        <w:bidi w:val="0"/>
        <w:adjustRightInd/>
        <w:snapToGrid/>
        <w:spacing w:line="360" w:lineRule="auto"/>
        <w:ind w:left="0" w:leftChars="0" w:right="0" w:rightChars="0" w:firstLine="561"/>
        <w:jc w:val="left"/>
        <w:rPr>
          <w:rFonts w:hint="eastAsia" w:asciiTheme="minorEastAsia" w:hAnsiTheme="minorEastAsia" w:eastAsiaTheme="minorEastAsia" w:cstheme="minorEastAsia"/>
          <w:color w:val="auto"/>
          <w:sz w:val="28"/>
          <w:szCs w:val="28"/>
          <w:highlight w:val="none"/>
        </w:rPr>
      </w:pPr>
    </w:p>
    <w:p w14:paraId="3E6395FF">
      <w:pPr>
        <w:keepNext w:val="0"/>
        <w:keepLines w:val="0"/>
        <w:pageBreakBefore w:val="0"/>
        <w:widowControl/>
        <w:kinsoku/>
        <w:wordWrap/>
        <w:overflowPunct/>
        <w:topLinePunct w:val="0"/>
        <w:bidi w:val="0"/>
        <w:adjustRightInd/>
        <w:snapToGrid/>
        <w:spacing w:line="360" w:lineRule="auto"/>
        <w:ind w:left="0" w:leftChars="0" w:right="0" w:rightChars="0" w:firstLine="561"/>
        <w:jc w:val="left"/>
        <w:rPr>
          <w:rFonts w:hint="eastAsia" w:asciiTheme="minorEastAsia" w:hAnsiTheme="minorEastAsia" w:eastAsiaTheme="minorEastAsia" w:cstheme="minorEastAsia"/>
          <w:color w:val="auto"/>
          <w:sz w:val="28"/>
          <w:szCs w:val="28"/>
          <w:highlight w:val="none"/>
        </w:rPr>
      </w:pPr>
    </w:p>
    <w:p w14:paraId="10F9A53A">
      <w:pPr>
        <w:keepNext w:val="0"/>
        <w:keepLines w:val="0"/>
        <w:pageBreakBefore w:val="0"/>
        <w:widowControl/>
        <w:kinsoku/>
        <w:wordWrap/>
        <w:overflowPunct/>
        <w:topLinePunct w:val="0"/>
        <w:bidi w:val="0"/>
        <w:adjustRightInd/>
        <w:snapToGrid/>
        <w:spacing w:line="360" w:lineRule="auto"/>
        <w:ind w:left="0" w:leftChars="0" w:right="0" w:rightChars="0" w:firstLine="561"/>
        <w:jc w:val="left"/>
        <w:rPr>
          <w:rFonts w:hint="eastAsia" w:asciiTheme="minorEastAsia" w:hAnsiTheme="minorEastAsia" w:eastAsiaTheme="minorEastAsia" w:cstheme="minorEastAsia"/>
          <w:color w:val="auto"/>
          <w:sz w:val="28"/>
          <w:szCs w:val="28"/>
          <w:highlight w:val="none"/>
        </w:rPr>
      </w:pPr>
    </w:p>
    <w:p w14:paraId="51152D81">
      <w:pPr>
        <w:keepNext w:val="0"/>
        <w:keepLines w:val="0"/>
        <w:pageBreakBefore w:val="0"/>
        <w:widowControl/>
        <w:kinsoku/>
        <w:wordWrap/>
        <w:overflowPunct/>
        <w:topLinePunct w:val="0"/>
        <w:bidi w:val="0"/>
        <w:adjustRightInd/>
        <w:snapToGrid/>
        <w:spacing w:line="360" w:lineRule="auto"/>
        <w:ind w:left="0" w:leftChars="0" w:right="0" w:rightChars="0" w:firstLine="561"/>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乙方（盖章）：</w:t>
      </w:r>
      <w:r>
        <w:rPr>
          <w:rFonts w:hint="eastAsia" w:asciiTheme="minorEastAsia" w:hAnsiTheme="minorEastAsia" w:eastAsiaTheme="minorEastAsia" w:cstheme="minorEastAsia"/>
          <w:b/>
          <w:bCs/>
          <w:color w:val="auto"/>
          <w:sz w:val="2"/>
          <w:szCs w:val="2"/>
          <w:highlight w:val="none"/>
          <w:lang w:val="en-US" w:eastAsia="zh-CN"/>
        </w:rPr>
        <w:t>Y</w:t>
      </w:r>
      <w:r>
        <w:rPr>
          <w:rFonts w:hint="eastAsia" w:asciiTheme="minorEastAsia" w:hAnsiTheme="minorEastAsia" w:eastAsiaTheme="minorEastAsia" w:cstheme="minorEastAsia"/>
          <w:color w:val="auto"/>
          <w:sz w:val="2"/>
          <w:szCs w:val="2"/>
          <w:highlight w:val="none"/>
          <w:u w:val="none" w:color="000000" w:themeColor="text1"/>
          <w:lang w:val="en-US" w:eastAsia="zh-CN"/>
        </w:rPr>
        <w:t>F-FWZHTGZGZ</w:t>
      </w:r>
      <w:sdt>
        <w:sdtPr>
          <w:rPr>
            <w:rFonts w:hint="eastAsia" w:asciiTheme="minorEastAsia" w:hAnsiTheme="minorEastAsia" w:eastAsiaTheme="minorEastAsia" w:cstheme="minorEastAsia"/>
            <w:color w:val="auto"/>
            <w:kern w:val="0"/>
            <w:sz w:val="28"/>
            <w:szCs w:val="28"/>
            <w:highlight w:val="none"/>
            <w:lang w:val="en-US" w:eastAsia="zh-CN" w:bidi="ar-SA"/>
          </w:rPr>
          <w:alias w:val="乙方当事人全称"/>
          <w:tag w:val="乙方当事人全称"/>
          <w:id w:val="147453643"/>
          <w:placeholder>
            <w:docPart w:val="{e67bdade-0cb5-4209-849c-8862edb590c7}"/>
          </w:placeholder>
          <w:text/>
        </w:sdtPr>
        <w:sdtEndPr>
          <w:rPr>
            <w:rFonts w:hint="eastAsia" w:asciiTheme="minorEastAsia" w:hAnsiTheme="minorEastAsia" w:eastAsiaTheme="minorEastAsia" w:cstheme="minorEastAsia"/>
            <w:color w:val="auto"/>
            <w:kern w:val="0"/>
            <w:sz w:val="28"/>
            <w:szCs w:val="28"/>
            <w:highlight w:val="none"/>
            <w:u w:val="single"/>
            <w:lang w:val="en-US" w:eastAsia="zh-CN" w:bidi="ar-SA"/>
          </w:rPr>
        </w:sdtEndPr>
        <w:sdtContent>
          <w:permStart w:id="70" w:edGrp="everyone"/>
          <w:r>
            <w:rPr>
              <w:rFonts w:hint="eastAsia" w:asciiTheme="minorEastAsia" w:hAnsiTheme="minorEastAsia" w:eastAsiaTheme="minorEastAsia" w:cstheme="minorEastAsia"/>
              <w:color w:val="auto"/>
              <w:sz w:val="28"/>
              <w:szCs w:val="28"/>
              <w:highlight w:val="none"/>
              <w:u w:val="single"/>
              <w:lang w:val="en-US" w:eastAsia="zh-CN"/>
            </w:rPr>
            <w:t xml:space="preserve">    </w:t>
          </w:r>
          <w:permEnd w:id="70"/>
        </w:sdtContent>
      </w:sdt>
    </w:p>
    <w:p w14:paraId="39DB64C2">
      <w:pPr>
        <w:keepNext w:val="0"/>
        <w:keepLines w:val="0"/>
        <w:pageBreakBefore w:val="0"/>
        <w:widowControl/>
        <w:kinsoku/>
        <w:wordWrap/>
        <w:overflowPunct/>
        <w:topLinePunct w:val="0"/>
        <w:bidi w:val="0"/>
        <w:adjustRightInd/>
        <w:snapToGrid/>
        <w:spacing w:line="360" w:lineRule="auto"/>
        <w:ind w:left="0" w:leftChars="0" w:right="0" w:rightChars="0" w:firstLine="561"/>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w:t>
      </w:r>
      <w:r>
        <w:rPr>
          <w:rFonts w:hint="eastAsia" w:asciiTheme="minorEastAsia" w:hAnsiTheme="minorEastAsia"/>
          <w:color w:val="auto"/>
          <w:sz w:val="28"/>
          <w:szCs w:val="28"/>
          <w:highlight w:val="none"/>
          <w:lang w:val="en-US" w:eastAsia="zh-CN"/>
        </w:rPr>
        <w:t>（负责人）</w:t>
      </w:r>
      <w:r>
        <w:rPr>
          <w:rFonts w:hint="eastAsia" w:asciiTheme="minorEastAsia" w:hAnsiTheme="minorEastAsia" w:eastAsiaTheme="minorEastAsia" w:cstheme="minorEastAsia"/>
          <w:color w:val="auto"/>
          <w:sz w:val="28"/>
          <w:szCs w:val="28"/>
          <w:highlight w:val="none"/>
        </w:rPr>
        <w:t>或授权代表（签名）：</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
          <w:szCs w:val="2"/>
          <w:highlight w:val="none"/>
          <w:u w:val="none" w:color="000000" w:themeColor="text1"/>
          <w:lang w:val="en-US" w:eastAsia="zh-CN"/>
        </w:rPr>
        <w:t>YF-FWZHTFRZGZ</w:t>
      </w:r>
    </w:p>
    <w:p w14:paraId="2EBF57D8">
      <w:pPr>
        <w:keepNext w:val="0"/>
        <w:keepLines w:val="0"/>
        <w:pageBreakBefore w:val="0"/>
        <w:kinsoku/>
        <w:wordWrap/>
        <w:overflowPunct/>
        <w:topLinePunct w:val="0"/>
        <w:bidi w:val="0"/>
        <w:adjustRightInd/>
        <w:snapToGrid/>
        <w:spacing w:line="360" w:lineRule="auto"/>
        <w:ind w:left="0" w:leftChars="0" w:right="0" w:rightChars="0" w:firstLine="560" w:firstLineChars="200"/>
        <w:rPr>
          <w:rFonts w:hint="eastAsia" w:ascii="宋体" w:hAnsi="宋体"/>
          <w:color w:val="auto"/>
          <w:sz w:val="28"/>
          <w:szCs w:val="28"/>
          <w:highlight w:val="none"/>
        </w:rPr>
      </w:pPr>
      <w:r>
        <w:rPr>
          <w:rFonts w:hint="eastAsia" w:asciiTheme="minorEastAsia" w:hAnsiTheme="minorEastAsia" w:eastAsiaTheme="minorEastAsia" w:cstheme="minorEastAsia"/>
          <w:color w:val="auto"/>
          <w:sz w:val="28"/>
          <w:szCs w:val="28"/>
          <w:highlight w:val="none"/>
        </w:rPr>
        <w:t>签订日期：</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日</w:t>
      </w:r>
      <w:r>
        <w:rPr>
          <w:rFonts w:hint="eastAsia" w:asciiTheme="minorEastAsia" w:hAnsiTheme="minorEastAsia" w:eastAsiaTheme="minorEastAsia" w:cstheme="minorEastAsia"/>
          <w:color w:val="auto"/>
          <w:sz w:val="2"/>
          <w:szCs w:val="2"/>
          <w:highlight w:val="none"/>
          <w:u w:val="none" w:color="000000" w:themeColor="text1"/>
          <w:lang w:val="en-US" w:eastAsia="zh-CN"/>
        </w:rPr>
        <w:t>YF-FWZHTSJZGZ</w:t>
      </w:r>
    </w:p>
    <w:p w14:paraId="0BE09FCC">
      <w:pPr>
        <w:adjustRightInd w:val="0"/>
        <w:snapToGrid w:val="0"/>
        <w:ind w:firstLine="420" w:firstLineChars="200"/>
        <w:rPr>
          <w:color w:val="auto"/>
          <w:szCs w:val="21"/>
          <w:highlight w:val="none"/>
        </w:rPr>
      </w:pPr>
      <w:r>
        <w:rPr>
          <w:color w:val="auto"/>
          <w:szCs w:val="21"/>
          <w:highlight w:val="none"/>
        </w:rPr>
        <w:br w:type="page"/>
      </w:r>
    </w:p>
    <w:p w14:paraId="4A51FE7F">
      <w:pPr>
        <w:pStyle w:val="2"/>
        <w:jc w:val="center"/>
        <w:rPr>
          <w:rFonts w:ascii="Times New Roman" w:hAnsi="Times New Roman"/>
          <w:color w:val="auto"/>
          <w:sz w:val="36"/>
          <w:szCs w:val="36"/>
          <w:highlight w:val="none"/>
        </w:rPr>
      </w:pPr>
      <w:r>
        <w:rPr>
          <w:rFonts w:hint="eastAsia"/>
          <w:color w:val="auto"/>
          <w:sz w:val="36"/>
          <w:szCs w:val="36"/>
          <w:highlight w:val="none"/>
          <w:lang w:val="en-US" w:eastAsia="zh-CN"/>
        </w:rPr>
        <w:t xml:space="preserve">第二节 </w:t>
      </w:r>
      <w:r>
        <w:rPr>
          <w:rFonts w:hint="eastAsia" w:ascii="Times New Roman" w:hAnsi="Times New Roman"/>
          <w:color w:val="auto"/>
          <w:sz w:val="36"/>
          <w:szCs w:val="36"/>
          <w:highlight w:val="none"/>
        </w:rPr>
        <w:t>通用合同条款</w:t>
      </w:r>
      <w:bookmarkEnd w:id="0"/>
    </w:p>
    <w:p w14:paraId="7B405C56">
      <w:pPr>
        <w:pStyle w:val="3"/>
        <w:ind w:firstLine="105"/>
        <w:rPr>
          <w:rFonts w:ascii="Times New Roman" w:hAnsi="Times New Roman"/>
          <w:color w:val="auto"/>
          <w:highlight w:val="none"/>
        </w:rPr>
      </w:pPr>
      <w:bookmarkStart w:id="4" w:name="_Toc31198"/>
      <w:bookmarkStart w:id="5" w:name="_Toc482188546"/>
      <w:r>
        <w:rPr>
          <w:rFonts w:ascii="Times New Roman" w:hAnsi="Times New Roman"/>
          <w:color w:val="auto"/>
          <w:highlight w:val="none"/>
        </w:rPr>
        <w:t xml:space="preserve">1. </w:t>
      </w:r>
      <w:r>
        <w:rPr>
          <w:rFonts w:hint="eastAsia" w:ascii="Times New Roman" w:hAnsi="Times New Roman"/>
          <w:color w:val="auto"/>
          <w:highlight w:val="none"/>
        </w:rPr>
        <w:t>一般约定</w:t>
      </w:r>
      <w:bookmarkEnd w:id="4"/>
      <w:bookmarkEnd w:id="5"/>
    </w:p>
    <w:p w14:paraId="15AC25C5">
      <w:pPr>
        <w:pStyle w:val="4"/>
        <w:spacing w:line="240" w:lineRule="auto"/>
        <w:ind w:firstLine="137"/>
        <w:rPr>
          <w:rFonts w:ascii="Times New Roman"/>
          <w:color w:val="auto"/>
          <w:highlight w:val="none"/>
        </w:rPr>
      </w:pPr>
      <w:bookmarkStart w:id="6" w:name="_Toc5248"/>
      <w:bookmarkStart w:id="7" w:name="_Toc482188547"/>
      <w:r>
        <w:rPr>
          <w:rFonts w:ascii="Times New Roman"/>
          <w:color w:val="auto"/>
          <w:highlight w:val="none"/>
        </w:rPr>
        <w:t xml:space="preserve">1.1 </w:t>
      </w:r>
      <w:r>
        <w:rPr>
          <w:rFonts w:hint="eastAsia" w:ascii="Times New Roman"/>
          <w:color w:val="auto"/>
          <w:highlight w:val="none"/>
        </w:rPr>
        <w:t>词语定义</w:t>
      </w:r>
      <w:bookmarkEnd w:id="6"/>
      <w:bookmarkEnd w:id="7"/>
    </w:p>
    <w:p w14:paraId="20D43F2C">
      <w:pPr>
        <w:spacing w:line="360" w:lineRule="auto"/>
        <w:ind w:firstLine="420" w:firstLineChars="200"/>
        <w:rPr>
          <w:color w:val="auto"/>
          <w:szCs w:val="21"/>
          <w:highlight w:val="none"/>
        </w:rPr>
      </w:pPr>
      <w:r>
        <w:rPr>
          <w:color w:val="auto"/>
          <w:szCs w:val="21"/>
          <w:highlight w:val="none"/>
        </w:rPr>
        <w:t>通用合同条款、专用合同条款中的下列词语应具有本款所赋予的含义。</w:t>
      </w:r>
    </w:p>
    <w:p w14:paraId="542DF0CE">
      <w:pPr>
        <w:spacing w:line="360" w:lineRule="auto"/>
        <w:ind w:firstLine="413" w:firstLineChars="196"/>
        <w:rPr>
          <w:b/>
          <w:color w:val="auto"/>
          <w:highlight w:val="none"/>
        </w:rPr>
      </w:pPr>
      <w:r>
        <w:rPr>
          <w:b/>
          <w:color w:val="auto"/>
          <w:highlight w:val="none"/>
        </w:rPr>
        <w:t>1.1.1 合同</w:t>
      </w:r>
    </w:p>
    <w:p w14:paraId="58745C83">
      <w:pPr>
        <w:spacing w:line="360" w:lineRule="auto"/>
        <w:ind w:firstLine="420" w:firstLineChars="200"/>
        <w:rPr>
          <w:color w:val="auto"/>
          <w:szCs w:val="21"/>
          <w:highlight w:val="none"/>
        </w:rPr>
      </w:pPr>
      <w:r>
        <w:rPr>
          <w:rFonts w:hint="eastAsia"/>
          <w:color w:val="auto"/>
          <w:szCs w:val="21"/>
          <w:highlight w:val="none"/>
        </w:rPr>
        <w:t xml:space="preserve">1.1.1.1 合同文件（或称合同）：指合同协议书、中标通知书、投标函和投标函附录、专用合同条款、通用合同条款、委托人要求、监理报酬清单、监理大纲，以及其他构成合同组成部分的文件。 </w:t>
      </w:r>
    </w:p>
    <w:p w14:paraId="6A0C6096">
      <w:pPr>
        <w:spacing w:line="360" w:lineRule="auto"/>
        <w:ind w:firstLine="420" w:firstLineChars="200"/>
        <w:rPr>
          <w:color w:val="auto"/>
          <w:szCs w:val="21"/>
          <w:highlight w:val="none"/>
        </w:rPr>
      </w:pPr>
      <w:r>
        <w:rPr>
          <w:rFonts w:hint="eastAsia"/>
          <w:color w:val="auto"/>
          <w:szCs w:val="21"/>
          <w:highlight w:val="none"/>
        </w:rPr>
        <w:t xml:space="preserve">1.1.1.2 合同协议书：指委托人和监理人共同签署的合同协议书。 </w:t>
      </w:r>
    </w:p>
    <w:p w14:paraId="42CC8423">
      <w:pPr>
        <w:spacing w:line="360" w:lineRule="auto"/>
        <w:ind w:firstLine="420" w:firstLineChars="200"/>
        <w:rPr>
          <w:color w:val="auto"/>
          <w:szCs w:val="21"/>
          <w:highlight w:val="none"/>
        </w:rPr>
      </w:pPr>
      <w:r>
        <w:rPr>
          <w:rFonts w:hint="eastAsia"/>
          <w:color w:val="auto"/>
          <w:szCs w:val="21"/>
          <w:highlight w:val="none"/>
        </w:rPr>
        <w:t xml:space="preserve">1.1.1.3 中标通知书：指委托人通知监理人中标的函件。 </w:t>
      </w:r>
    </w:p>
    <w:p w14:paraId="6D6F13AB">
      <w:pPr>
        <w:spacing w:line="360" w:lineRule="auto"/>
        <w:ind w:firstLine="420" w:firstLineChars="200"/>
        <w:rPr>
          <w:color w:val="auto"/>
          <w:szCs w:val="21"/>
          <w:highlight w:val="none"/>
        </w:rPr>
      </w:pPr>
      <w:r>
        <w:rPr>
          <w:rFonts w:hint="eastAsia"/>
          <w:color w:val="auto"/>
          <w:szCs w:val="21"/>
          <w:highlight w:val="none"/>
        </w:rPr>
        <w:t xml:space="preserve">1.1.1.4 投标函：指由监理人填写并签署的，名为“投标函”的函件。 </w:t>
      </w:r>
    </w:p>
    <w:p w14:paraId="0D94FF0D">
      <w:pPr>
        <w:spacing w:line="360" w:lineRule="auto"/>
        <w:ind w:firstLine="420" w:firstLineChars="200"/>
        <w:rPr>
          <w:color w:val="auto"/>
          <w:szCs w:val="21"/>
          <w:highlight w:val="none"/>
        </w:rPr>
      </w:pPr>
      <w:r>
        <w:rPr>
          <w:rFonts w:hint="eastAsia"/>
          <w:color w:val="auto"/>
          <w:szCs w:val="21"/>
          <w:highlight w:val="none"/>
        </w:rPr>
        <w:t xml:space="preserve">1.1.1.5 投标函附录：指由监理人填写并签署的、附在投标函后，名为“投标函附录”的函件。 </w:t>
      </w:r>
    </w:p>
    <w:p w14:paraId="4E8E779B">
      <w:pPr>
        <w:spacing w:line="360" w:lineRule="auto"/>
        <w:ind w:firstLine="420" w:firstLineChars="200"/>
        <w:rPr>
          <w:color w:val="auto"/>
          <w:szCs w:val="21"/>
          <w:highlight w:val="none"/>
        </w:rPr>
      </w:pPr>
      <w:r>
        <w:rPr>
          <w:rFonts w:hint="eastAsia"/>
          <w:color w:val="auto"/>
          <w:szCs w:val="21"/>
          <w:highlight w:val="none"/>
        </w:rPr>
        <w:t xml:space="preserve">1.1.1.6 委托人要求：指合同文件中名为“委托人要求”的文件。 </w:t>
      </w:r>
    </w:p>
    <w:p w14:paraId="17BD5E72">
      <w:pPr>
        <w:spacing w:line="360" w:lineRule="auto"/>
        <w:ind w:firstLine="420" w:firstLineChars="200"/>
        <w:rPr>
          <w:color w:val="auto"/>
          <w:szCs w:val="21"/>
          <w:highlight w:val="none"/>
        </w:rPr>
      </w:pPr>
      <w:r>
        <w:rPr>
          <w:rFonts w:hint="eastAsia"/>
          <w:color w:val="auto"/>
          <w:szCs w:val="21"/>
          <w:highlight w:val="none"/>
        </w:rPr>
        <w:t xml:space="preserve">1.1.1.7 监理大纲：指监理人在投标文件中的监理大纲。 </w:t>
      </w:r>
    </w:p>
    <w:p w14:paraId="6A0CAE76">
      <w:pPr>
        <w:spacing w:line="360" w:lineRule="auto"/>
        <w:ind w:firstLine="420" w:firstLineChars="200"/>
        <w:rPr>
          <w:color w:val="auto"/>
          <w:szCs w:val="21"/>
          <w:highlight w:val="none"/>
        </w:rPr>
      </w:pPr>
      <w:r>
        <w:rPr>
          <w:rFonts w:hint="eastAsia"/>
          <w:color w:val="auto"/>
          <w:szCs w:val="21"/>
          <w:highlight w:val="none"/>
        </w:rPr>
        <w:t xml:space="preserve">1.1.1.8 监理报酬清单：指监理人投标文件中的监理报酬清单。 </w:t>
      </w:r>
    </w:p>
    <w:p w14:paraId="71AF0230">
      <w:pPr>
        <w:spacing w:line="360" w:lineRule="auto"/>
        <w:ind w:firstLine="420" w:firstLineChars="200"/>
        <w:rPr>
          <w:color w:val="auto"/>
          <w:szCs w:val="21"/>
          <w:highlight w:val="none"/>
        </w:rPr>
      </w:pPr>
      <w:r>
        <w:rPr>
          <w:rFonts w:hint="eastAsia"/>
          <w:color w:val="auto"/>
          <w:szCs w:val="21"/>
          <w:highlight w:val="none"/>
        </w:rPr>
        <w:t>1.1.1.9 其他合同文件：指经合同双方当事人确认构成合同文件的其他文件。</w:t>
      </w:r>
    </w:p>
    <w:p w14:paraId="5A7A1270">
      <w:pPr>
        <w:spacing w:line="360" w:lineRule="auto"/>
        <w:ind w:firstLine="413" w:firstLineChars="196"/>
        <w:rPr>
          <w:b/>
          <w:color w:val="auto"/>
          <w:highlight w:val="none"/>
        </w:rPr>
      </w:pPr>
      <w:r>
        <w:rPr>
          <w:b/>
          <w:color w:val="auto"/>
          <w:highlight w:val="none"/>
        </w:rPr>
        <w:t>1.1.2 合同当事人和人员</w:t>
      </w:r>
    </w:p>
    <w:p w14:paraId="683B2B63">
      <w:pPr>
        <w:spacing w:line="360" w:lineRule="auto"/>
        <w:ind w:firstLine="420" w:firstLineChars="200"/>
        <w:rPr>
          <w:color w:val="auto"/>
          <w:szCs w:val="21"/>
          <w:highlight w:val="none"/>
        </w:rPr>
      </w:pPr>
      <w:r>
        <w:rPr>
          <w:color w:val="auto"/>
          <w:szCs w:val="21"/>
          <w:highlight w:val="none"/>
        </w:rPr>
        <w:t>1.1.2.1 合同当事人：指委托人和（或）</w:t>
      </w:r>
      <w:r>
        <w:rPr>
          <w:rFonts w:hint="eastAsia"/>
          <w:color w:val="auto"/>
          <w:szCs w:val="21"/>
          <w:highlight w:val="none"/>
        </w:rPr>
        <w:t>监理</w:t>
      </w:r>
      <w:r>
        <w:rPr>
          <w:color w:val="auto"/>
          <w:szCs w:val="21"/>
          <w:highlight w:val="none"/>
        </w:rPr>
        <w:t>人。</w:t>
      </w:r>
    </w:p>
    <w:p w14:paraId="73750D50">
      <w:pPr>
        <w:spacing w:line="360" w:lineRule="auto"/>
        <w:ind w:firstLine="420" w:firstLineChars="200"/>
        <w:rPr>
          <w:color w:val="auto"/>
          <w:szCs w:val="21"/>
          <w:highlight w:val="none"/>
        </w:rPr>
      </w:pPr>
      <w:r>
        <w:rPr>
          <w:color w:val="auto"/>
          <w:szCs w:val="21"/>
          <w:highlight w:val="none"/>
        </w:rPr>
        <w:t>1.1.2.2 委托人：指与</w:t>
      </w:r>
      <w:r>
        <w:rPr>
          <w:rFonts w:hint="eastAsia"/>
          <w:color w:val="auto"/>
          <w:szCs w:val="21"/>
          <w:highlight w:val="none"/>
        </w:rPr>
        <w:t>监理</w:t>
      </w:r>
      <w:r>
        <w:rPr>
          <w:color w:val="auto"/>
          <w:szCs w:val="21"/>
          <w:highlight w:val="none"/>
        </w:rPr>
        <w:t>人签订合同协议书的当事人</w:t>
      </w:r>
      <w:r>
        <w:rPr>
          <w:color w:val="auto"/>
          <w:kern w:val="0"/>
          <w:szCs w:val="21"/>
          <w:highlight w:val="none"/>
        </w:rPr>
        <w:t>，及其</w:t>
      </w:r>
      <w:r>
        <w:rPr>
          <w:color w:val="auto"/>
          <w:kern w:val="0"/>
          <w:szCs w:val="24"/>
          <w:highlight w:val="none"/>
        </w:rPr>
        <w:t>合法继承人</w:t>
      </w:r>
      <w:r>
        <w:rPr>
          <w:color w:val="auto"/>
          <w:szCs w:val="21"/>
          <w:highlight w:val="none"/>
        </w:rPr>
        <w:t>。</w:t>
      </w:r>
    </w:p>
    <w:p w14:paraId="613F0DF1">
      <w:pPr>
        <w:spacing w:line="360" w:lineRule="auto"/>
        <w:ind w:firstLine="420" w:firstLineChars="200"/>
        <w:rPr>
          <w:color w:val="auto"/>
          <w:szCs w:val="21"/>
          <w:highlight w:val="none"/>
        </w:rPr>
      </w:pPr>
      <w:r>
        <w:rPr>
          <w:color w:val="auto"/>
          <w:szCs w:val="21"/>
          <w:highlight w:val="none"/>
        </w:rPr>
        <w:t xml:space="preserve">1.1.2.3 </w:t>
      </w:r>
      <w:r>
        <w:rPr>
          <w:rFonts w:hint="eastAsia"/>
          <w:color w:val="auto"/>
          <w:szCs w:val="21"/>
          <w:highlight w:val="none"/>
        </w:rPr>
        <w:t>监理</w:t>
      </w:r>
      <w:r>
        <w:rPr>
          <w:color w:val="auto"/>
          <w:szCs w:val="21"/>
          <w:highlight w:val="none"/>
        </w:rPr>
        <w:t>人：指与委托人签订合同协议书的当事人</w:t>
      </w:r>
      <w:r>
        <w:rPr>
          <w:color w:val="auto"/>
          <w:kern w:val="0"/>
          <w:szCs w:val="21"/>
          <w:highlight w:val="none"/>
        </w:rPr>
        <w:t>，及其</w:t>
      </w:r>
      <w:r>
        <w:rPr>
          <w:color w:val="auto"/>
          <w:kern w:val="0"/>
          <w:szCs w:val="24"/>
          <w:highlight w:val="none"/>
        </w:rPr>
        <w:t>合法继承人</w:t>
      </w:r>
      <w:r>
        <w:rPr>
          <w:color w:val="auto"/>
          <w:szCs w:val="21"/>
          <w:highlight w:val="none"/>
        </w:rPr>
        <w:t>。</w:t>
      </w:r>
    </w:p>
    <w:p w14:paraId="65D1468D">
      <w:pPr>
        <w:spacing w:line="360" w:lineRule="auto"/>
        <w:ind w:firstLine="420" w:firstLineChars="200"/>
        <w:rPr>
          <w:color w:val="auto"/>
          <w:szCs w:val="21"/>
          <w:highlight w:val="none"/>
        </w:rPr>
      </w:pPr>
      <w:r>
        <w:rPr>
          <w:color w:val="auto"/>
          <w:szCs w:val="21"/>
          <w:highlight w:val="none"/>
        </w:rPr>
        <w:t>1.1.2.4 委托人代表：指由委托人任命，并在授权范围和期限内代表委托人行使权利和履行义务的全权负责人。</w:t>
      </w:r>
    </w:p>
    <w:p w14:paraId="7DF1007A">
      <w:pPr>
        <w:spacing w:line="360" w:lineRule="auto"/>
        <w:ind w:firstLine="420" w:firstLineChars="200"/>
        <w:rPr>
          <w:color w:val="auto"/>
          <w:szCs w:val="21"/>
          <w:highlight w:val="none"/>
        </w:rPr>
      </w:pPr>
      <w:r>
        <w:rPr>
          <w:color w:val="auto"/>
          <w:szCs w:val="21"/>
          <w:highlight w:val="none"/>
        </w:rPr>
        <w:t>1.1.2.5 总监理工程师：指由</w:t>
      </w:r>
      <w:r>
        <w:rPr>
          <w:rFonts w:hint="eastAsia"/>
          <w:color w:val="auto"/>
          <w:szCs w:val="21"/>
          <w:highlight w:val="none"/>
        </w:rPr>
        <w:t>监理</w:t>
      </w:r>
      <w:r>
        <w:rPr>
          <w:color w:val="auto"/>
          <w:szCs w:val="21"/>
          <w:highlight w:val="none"/>
        </w:rPr>
        <w:t>人任命，代表</w:t>
      </w:r>
      <w:r>
        <w:rPr>
          <w:rFonts w:hint="eastAsia"/>
          <w:color w:val="auto"/>
          <w:szCs w:val="21"/>
          <w:highlight w:val="none"/>
        </w:rPr>
        <w:t>监理</w:t>
      </w:r>
      <w:r>
        <w:rPr>
          <w:color w:val="auto"/>
          <w:szCs w:val="21"/>
          <w:highlight w:val="none"/>
        </w:rPr>
        <w:t>人行使权利和履行义务的全权负责人。</w:t>
      </w:r>
    </w:p>
    <w:p w14:paraId="7D03C396">
      <w:pPr>
        <w:spacing w:line="360" w:lineRule="auto"/>
        <w:ind w:firstLine="411" w:firstLineChars="196"/>
        <w:rPr>
          <w:color w:val="auto"/>
          <w:szCs w:val="21"/>
          <w:highlight w:val="none"/>
        </w:rPr>
      </w:pPr>
      <w:r>
        <w:rPr>
          <w:rFonts w:hint="eastAsia"/>
          <w:color w:val="auto"/>
          <w:szCs w:val="21"/>
          <w:highlight w:val="none"/>
        </w:rPr>
        <w:t>1.1.2.6 承包人：指在本工程监理范围内，与委托人签订勘察、设计、施工承包合同的当事人。</w:t>
      </w:r>
    </w:p>
    <w:p w14:paraId="06D3AB7A">
      <w:pPr>
        <w:spacing w:line="360" w:lineRule="auto"/>
        <w:ind w:firstLine="413" w:firstLineChars="196"/>
        <w:rPr>
          <w:b/>
          <w:color w:val="auto"/>
          <w:highlight w:val="none"/>
        </w:rPr>
      </w:pPr>
      <w:r>
        <w:rPr>
          <w:b/>
          <w:color w:val="auto"/>
          <w:highlight w:val="none"/>
        </w:rPr>
        <w:t>1.1.3 工程和</w:t>
      </w:r>
      <w:r>
        <w:rPr>
          <w:rFonts w:hint="eastAsia"/>
          <w:b/>
          <w:bCs/>
          <w:color w:val="auto"/>
          <w:szCs w:val="21"/>
          <w:highlight w:val="none"/>
        </w:rPr>
        <w:t>监理</w:t>
      </w:r>
    </w:p>
    <w:p w14:paraId="44204899">
      <w:pPr>
        <w:spacing w:line="360" w:lineRule="auto"/>
        <w:ind w:firstLine="420" w:firstLineChars="200"/>
        <w:rPr>
          <w:color w:val="auto"/>
          <w:szCs w:val="21"/>
          <w:highlight w:val="none"/>
        </w:rPr>
      </w:pPr>
      <w:r>
        <w:rPr>
          <w:color w:val="auto"/>
          <w:szCs w:val="21"/>
          <w:highlight w:val="none"/>
        </w:rPr>
        <w:t xml:space="preserve">1.1.3.1 工程：指永久工程和（或）临时工程。 </w:t>
      </w:r>
    </w:p>
    <w:p w14:paraId="6093FF95">
      <w:pPr>
        <w:spacing w:line="360" w:lineRule="auto"/>
        <w:ind w:firstLine="420" w:firstLineChars="200"/>
        <w:rPr>
          <w:color w:val="auto"/>
          <w:szCs w:val="21"/>
          <w:highlight w:val="none"/>
        </w:rPr>
      </w:pPr>
      <w:r>
        <w:rPr>
          <w:color w:val="auto"/>
          <w:szCs w:val="21"/>
          <w:highlight w:val="none"/>
        </w:rPr>
        <w:t xml:space="preserve">1.1.3.2 监理服务：指监理人接受委托人的委托，依照法律、规范标准和监理合同等，对建设工程勘察、设计或施工等阶段进行质量控制、进度控制、投资控制、合同管理、信息管理、组织协调和安全监理、环保监理的服务活动。 </w:t>
      </w:r>
    </w:p>
    <w:p w14:paraId="253E4944">
      <w:pPr>
        <w:spacing w:line="360" w:lineRule="auto"/>
        <w:ind w:firstLine="420" w:firstLineChars="200"/>
        <w:rPr>
          <w:color w:val="auto"/>
          <w:szCs w:val="21"/>
          <w:highlight w:val="none"/>
        </w:rPr>
      </w:pPr>
      <w:r>
        <w:rPr>
          <w:color w:val="auto"/>
          <w:szCs w:val="21"/>
          <w:highlight w:val="none"/>
        </w:rPr>
        <w:t xml:space="preserve">1.1.3.3 监理资料：是委托人按合同约定向监理人提供的，用于完成监理范围与内容所需要的资料。 </w:t>
      </w:r>
    </w:p>
    <w:p w14:paraId="483B3E76">
      <w:pPr>
        <w:spacing w:line="360" w:lineRule="auto"/>
        <w:ind w:firstLine="420" w:firstLineChars="200"/>
        <w:rPr>
          <w:color w:val="auto"/>
          <w:highlight w:val="none"/>
        </w:rPr>
      </w:pPr>
      <w:r>
        <w:rPr>
          <w:color w:val="auto"/>
          <w:szCs w:val="21"/>
          <w:highlight w:val="none"/>
        </w:rPr>
        <w:t>1.1.3.4 监理文件：指监理人按合同约定向委托人提交的监理大纲、监理规划、监理实施细则、监理日志、监理报告、工程质量评估报告、事故处理文件、监理工作总结和其他文件等，包括阶段性文件和最终文件，且应当采用合同中双方约定的格式和载体。</w:t>
      </w:r>
    </w:p>
    <w:p w14:paraId="563277FD">
      <w:pPr>
        <w:spacing w:line="360" w:lineRule="auto"/>
        <w:ind w:firstLine="413" w:firstLineChars="196"/>
        <w:rPr>
          <w:b/>
          <w:color w:val="auto"/>
          <w:highlight w:val="none"/>
        </w:rPr>
      </w:pPr>
      <w:r>
        <w:rPr>
          <w:b/>
          <w:color w:val="auto"/>
          <w:highlight w:val="none"/>
        </w:rPr>
        <w:t>1.1.4 日期</w:t>
      </w:r>
    </w:p>
    <w:p w14:paraId="58BD0C93">
      <w:pPr>
        <w:spacing w:line="360" w:lineRule="auto"/>
        <w:ind w:firstLine="420" w:firstLineChars="200"/>
        <w:rPr>
          <w:color w:val="auto"/>
          <w:szCs w:val="21"/>
          <w:highlight w:val="none"/>
        </w:rPr>
      </w:pPr>
      <w:r>
        <w:rPr>
          <w:color w:val="auto"/>
          <w:szCs w:val="21"/>
          <w:highlight w:val="none"/>
        </w:rPr>
        <w:t xml:space="preserve">1.1.4.1 开始监理通知：指委托人按第 6.1 款通知监理人开始监理的函件。 </w:t>
      </w:r>
    </w:p>
    <w:p w14:paraId="31C9DBA5">
      <w:pPr>
        <w:spacing w:line="360" w:lineRule="auto"/>
        <w:ind w:firstLine="420" w:firstLineChars="200"/>
        <w:rPr>
          <w:color w:val="auto"/>
          <w:szCs w:val="21"/>
          <w:highlight w:val="none"/>
        </w:rPr>
      </w:pPr>
      <w:r>
        <w:rPr>
          <w:color w:val="auto"/>
          <w:szCs w:val="21"/>
          <w:highlight w:val="none"/>
        </w:rPr>
        <w:t xml:space="preserve">1.1.4.2 开始监理日期：指委托人按第 6.1 款发出的开始监理通知中写明的开始监理日期。 </w:t>
      </w:r>
    </w:p>
    <w:p w14:paraId="5AE4CDA2">
      <w:pPr>
        <w:spacing w:line="360" w:lineRule="auto"/>
        <w:ind w:firstLine="420" w:firstLineChars="200"/>
        <w:rPr>
          <w:color w:val="auto"/>
          <w:szCs w:val="21"/>
          <w:highlight w:val="none"/>
        </w:rPr>
      </w:pPr>
      <w:r>
        <w:rPr>
          <w:color w:val="auto"/>
          <w:szCs w:val="21"/>
          <w:highlight w:val="none"/>
        </w:rPr>
        <w:t xml:space="preserve">1.1.4.3 监理服务期限：指监理人在投标函中承诺的完成合同监理服务所需的期限，包括按第 6.2 款和第 6.3.2 项约定所作的调整。 </w:t>
      </w:r>
    </w:p>
    <w:p w14:paraId="56C1810D">
      <w:pPr>
        <w:spacing w:line="360" w:lineRule="auto"/>
        <w:ind w:firstLine="420" w:firstLineChars="200"/>
        <w:rPr>
          <w:color w:val="auto"/>
          <w:szCs w:val="21"/>
          <w:highlight w:val="none"/>
        </w:rPr>
      </w:pPr>
      <w:r>
        <w:rPr>
          <w:color w:val="auto"/>
          <w:szCs w:val="21"/>
          <w:highlight w:val="none"/>
        </w:rPr>
        <w:t xml:space="preserve">1.1.4.4 完成监理日期：指第 1.1.4.3 目约定监理服务期限届满时的日期。 </w:t>
      </w:r>
    </w:p>
    <w:p w14:paraId="0AC4C5FC">
      <w:pPr>
        <w:spacing w:line="360" w:lineRule="auto"/>
        <w:ind w:firstLine="420" w:firstLineChars="200"/>
        <w:rPr>
          <w:color w:val="auto"/>
          <w:szCs w:val="21"/>
          <w:highlight w:val="none"/>
        </w:rPr>
      </w:pPr>
      <w:r>
        <w:rPr>
          <w:color w:val="auto"/>
          <w:szCs w:val="21"/>
          <w:highlight w:val="none"/>
        </w:rPr>
        <w:t xml:space="preserve">1.1.4.5 基准日：指投标截止时间前 28 天的日期。 </w:t>
      </w:r>
    </w:p>
    <w:p w14:paraId="23985C4F">
      <w:pPr>
        <w:spacing w:line="360" w:lineRule="auto"/>
        <w:ind w:firstLine="420" w:firstLineChars="200"/>
        <w:rPr>
          <w:color w:val="auto"/>
          <w:szCs w:val="21"/>
          <w:highlight w:val="none"/>
        </w:rPr>
      </w:pPr>
      <w:r>
        <w:rPr>
          <w:color w:val="auto"/>
          <w:szCs w:val="21"/>
          <w:highlight w:val="none"/>
        </w:rPr>
        <w:t>1.1.4.6 天：除特别指明外，指日历天。合同中按天计算时间的，开始当天不计入，从次日开始计算。期限最后一天的截止时间为当天 24:00。</w:t>
      </w:r>
    </w:p>
    <w:p w14:paraId="35E685E6">
      <w:pPr>
        <w:spacing w:line="360" w:lineRule="auto"/>
        <w:ind w:firstLine="413" w:firstLineChars="196"/>
        <w:rPr>
          <w:b/>
          <w:color w:val="auto"/>
          <w:highlight w:val="none"/>
        </w:rPr>
      </w:pPr>
      <w:r>
        <w:rPr>
          <w:b/>
          <w:color w:val="auto"/>
          <w:highlight w:val="none"/>
        </w:rPr>
        <w:t>1.1.5 合同价格和费用</w:t>
      </w:r>
    </w:p>
    <w:p w14:paraId="308308C4">
      <w:pPr>
        <w:spacing w:line="360" w:lineRule="auto"/>
        <w:ind w:firstLine="420" w:firstLineChars="200"/>
        <w:rPr>
          <w:color w:val="auto"/>
          <w:szCs w:val="21"/>
          <w:highlight w:val="none"/>
        </w:rPr>
      </w:pPr>
      <w:r>
        <w:rPr>
          <w:color w:val="auto"/>
          <w:szCs w:val="21"/>
          <w:highlight w:val="none"/>
        </w:rPr>
        <w:t xml:space="preserve">1.1.5.1 签约合同价：指签订合同时合同协议书中写明的监理报酬总金额。 </w:t>
      </w:r>
    </w:p>
    <w:p w14:paraId="063D3F96">
      <w:pPr>
        <w:spacing w:line="360" w:lineRule="auto"/>
        <w:ind w:firstLine="420" w:firstLineChars="200"/>
        <w:rPr>
          <w:color w:val="auto"/>
          <w:szCs w:val="21"/>
          <w:highlight w:val="none"/>
        </w:rPr>
      </w:pPr>
      <w:r>
        <w:rPr>
          <w:color w:val="auto"/>
          <w:szCs w:val="21"/>
          <w:highlight w:val="none"/>
        </w:rPr>
        <w:t xml:space="preserve">1.1.5.2 合同价格：指监理人按合同约定完成了全部监理工作后，委托人应付给监理人的金额，包括在履行合同过程中按合同约定进行的变更和调整。 </w:t>
      </w:r>
    </w:p>
    <w:p w14:paraId="62D101AF">
      <w:pPr>
        <w:spacing w:line="360" w:lineRule="auto"/>
        <w:ind w:firstLine="420" w:firstLineChars="200"/>
        <w:rPr>
          <w:color w:val="auto"/>
          <w:szCs w:val="21"/>
          <w:highlight w:val="none"/>
        </w:rPr>
      </w:pPr>
      <w:r>
        <w:rPr>
          <w:color w:val="auto"/>
          <w:szCs w:val="21"/>
          <w:highlight w:val="none"/>
        </w:rPr>
        <w:t>1.1.5.3 费用：指为履行合同所发生的或将要发生的所有合理开支，包括管理费和应分摊的其他费用，但不包括利润。</w:t>
      </w:r>
    </w:p>
    <w:p w14:paraId="6853EFAD">
      <w:pPr>
        <w:spacing w:line="360" w:lineRule="auto"/>
        <w:ind w:firstLine="413" w:firstLineChars="196"/>
        <w:rPr>
          <w:b/>
          <w:color w:val="auto"/>
          <w:highlight w:val="none"/>
        </w:rPr>
      </w:pPr>
      <w:r>
        <w:rPr>
          <w:b/>
          <w:color w:val="auto"/>
          <w:highlight w:val="none"/>
        </w:rPr>
        <w:t>1.1.6 其他</w:t>
      </w:r>
    </w:p>
    <w:p w14:paraId="0AEC92C3">
      <w:pPr>
        <w:spacing w:line="360" w:lineRule="auto"/>
        <w:ind w:firstLine="420" w:firstLineChars="200"/>
        <w:rPr>
          <w:color w:val="auto"/>
          <w:szCs w:val="21"/>
          <w:highlight w:val="none"/>
        </w:rPr>
      </w:pPr>
      <w:r>
        <w:rPr>
          <w:color w:val="auto"/>
          <w:szCs w:val="21"/>
          <w:highlight w:val="none"/>
        </w:rPr>
        <w:t>1.1.6.1 书面形式：指合同文件、信件和数据电文（包括电报、电传、传真、电子数据交换和电子邮件）等可以有形地表现所载内容的形式。</w:t>
      </w:r>
    </w:p>
    <w:p w14:paraId="0CD66BBA">
      <w:pPr>
        <w:pStyle w:val="4"/>
        <w:spacing w:line="240" w:lineRule="auto"/>
        <w:ind w:firstLine="137"/>
        <w:rPr>
          <w:rFonts w:ascii="Times New Roman"/>
          <w:color w:val="auto"/>
          <w:highlight w:val="none"/>
        </w:rPr>
      </w:pPr>
      <w:bookmarkStart w:id="8" w:name="_Toc31818"/>
      <w:bookmarkStart w:id="9" w:name="_Toc482188548"/>
      <w:r>
        <w:rPr>
          <w:rFonts w:ascii="Times New Roman"/>
          <w:color w:val="auto"/>
          <w:highlight w:val="none"/>
        </w:rPr>
        <w:t xml:space="preserve">1.2 </w:t>
      </w:r>
      <w:r>
        <w:rPr>
          <w:rFonts w:hint="eastAsia" w:ascii="Times New Roman"/>
          <w:color w:val="auto"/>
          <w:highlight w:val="none"/>
        </w:rPr>
        <w:t>语言文字</w:t>
      </w:r>
      <w:bookmarkEnd w:id="8"/>
      <w:bookmarkEnd w:id="9"/>
    </w:p>
    <w:p w14:paraId="1606B634">
      <w:pPr>
        <w:spacing w:line="360" w:lineRule="auto"/>
        <w:ind w:firstLine="420" w:firstLineChars="200"/>
        <w:rPr>
          <w:color w:val="auto"/>
          <w:szCs w:val="21"/>
          <w:highlight w:val="none"/>
        </w:rPr>
      </w:pPr>
      <w:r>
        <w:rPr>
          <w:color w:val="auto"/>
          <w:szCs w:val="21"/>
          <w:highlight w:val="none"/>
        </w:rPr>
        <w:t>合同使用的语言文字为中文。专用术语使用外文的，应附有中文注释。</w:t>
      </w:r>
    </w:p>
    <w:p w14:paraId="5A177495">
      <w:pPr>
        <w:pStyle w:val="4"/>
        <w:spacing w:line="240" w:lineRule="auto"/>
        <w:ind w:firstLine="137"/>
        <w:rPr>
          <w:rFonts w:ascii="Times New Roman"/>
          <w:color w:val="auto"/>
          <w:highlight w:val="none"/>
        </w:rPr>
      </w:pPr>
      <w:bookmarkStart w:id="10" w:name="_Toc17355"/>
      <w:bookmarkStart w:id="11" w:name="_Toc482188549"/>
      <w:r>
        <w:rPr>
          <w:rFonts w:ascii="Times New Roman"/>
          <w:color w:val="auto"/>
          <w:highlight w:val="none"/>
        </w:rPr>
        <w:t xml:space="preserve">1.3 </w:t>
      </w:r>
      <w:r>
        <w:rPr>
          <w:rFonts w:hint="eastAsia" w:ascii="Times New Roman"/>
          <w:color w:val="auto"/>
          <w:highlight w:val="none"/>
        </w:rPr>
        <w:t>适用法律</w:t>
      </w:r>
      <w:bookmarkEnd w:id="10"/>
      <w:bookmarkEnd w:id="11"/>
    </w:p>
    <w:p w14:paraId="79D3959A">
      <w:pPr>
        <w:spacing w:line="360" w:lineRule="auto"/>
        <w:ind w:firstLine="420" w:firstLineChars="200"/>
        <w:rPr>
          <w:color w:val="auto"/>
          <w:szCs w:val="21"/>
          <w:highlight w:val="none"/>
        </w:rPr>
      </w:pPr>
      <w:r>
        <w:rPr>
          <w:color w:val="auto"/>
          <w:szCs w:val="21"/>
          <w:highlight w:val="none"/>
        </w:rPr>
        <w:t>适用于合同的法律包括中华人民共和国法律、行政法规、部门规章，以及工程所在地的地方法规、自治条例、单行条例和地方政府规章。</w:t>
      </w:r>
    </w:p>
    <w:p w14:paraId="3B44FC5B">
      <w:pPr>
        <w:spacing w:line="360" w:lineRule="auto"/>
        <w:ind w:firstLine="420" w:firstLineChars="200"/>
        <w:rPr>
          <w:color w:val="auto"/>
          <w:highlight w:val="none"/>
        </w:rPr>
      </w:pPr>
      <w:r>
        <w:rPr>
          <w:color w:val="auto"/>
          <w:highlight w:val="none"/>
        </w:rPr>
        <w:t>本合同适用的其他规范性文件，可在专用合同条款中约定。</w:t>
      </w:r>
    </w:p>
    <w:p w14:paraId="02F6F503">
      <w:pPr>
        <w:pStyle w:val="4"/>
        <w:spacing w:line="240" w:lineRule="auto"/>
        <w:ind w:firstLine="137"/>
        <w:rPr>
          <w:rFonts w:ascii="Times New Roman"/>
          <w:color w:val="auto"/>
          <w:highlight w:val="none"/>
        </w:rPr>
      </w:pPr>
      <w:bookmarkStart w:id="12" w:name="_Toc482188550"/>
      <w:bookmarkStart w:id="13" w:name="_Toc16095"/>
      <w:r>
        <w:rPr>
          <w:rFonts w:ascii="Times New Roman"/>
          <w:color w:val="auto"/>
          <w:highlight w:val="none"/>
        </w:rPr>
        <w:t xml:space="preserve">1.4 </w:t>
      </w:r>
      <w:r>
        <w:rPr>
          <w:rFonts w:hint="eastAsia" w:ascii="Times New Roman"/>
          <w:color w:val="auto"/>
          <w:highlight w:val="none"/>
        </w:rPr>
        <w:t>合同文件的优先顺序</w:t>
      </w:r>
      <w:bookmarkEnd w:id="12"/>
      <w:bookmarkEnd w:id="13"/>
    </w:p>
    <w:p w14:paraId="576C8C27">
      <w:pPr>
        <w:spacing w:line="360" w:lineRule="auto"/>
        <w:ind w:firstLine="420" w:firstLineChars="200"/>
        <w:rPr>
          <w:color w:val="auto"/>
          <w:szCs w:val="21"/>
          <w:highlight w:val="none"/>
        </w:rPr>
      </w:pPr>
      <w:r>
        <w:rPr>
          <w:color w:val="auto"/>
          <w:szCs w:val="21"/>
          <w:highlight w:val="none"/>
        </w:rPr>
        <w:t>组成合同的各项文件应互相解释，互为说明。除专用合同条款另有约定外，解释合同文件的优先顺序如下：</w:t>
      </w:r>
    </w:p>
    <w:p w14:paraId="6524A135">
      <w:pPr>
        <w:spacing w:line="360" w:lineRule="auto"/>
        <w:ind w:firstLine="420"/>
        <w:rPr>
          <w:color w:val="auto"/>
          <w:highlight w:val="none"/>
        </w:rPr>
      </w:pPr>
      <w:r>
        <w:rPr>
          <w:color w:val="auto"/>
          <w:highlight w:val="none"/>
        </w:rPr>
        <w:t>（1）合同协议书；</w:t>
      </w:r>
    </w:p>
    <w:p w14:paraId="5BA27C42">
      <w:pPr>
        <w:spacing w:line="360" w:lineRule="auto"/>
        <w:ind w:firstLine="420"/>
        <w:rPr>
          <w:color w:val="auto"/>
          <w:highlight w:val="none"/>
        </w:rPr>
      </w:pPr>
      <w:r>
        <w:rPr>
          <w:color w:val="auto"/>
          <w:highlight w:val="none"/>
        </w:rPr>
        <w:t>（2）中标通知书；</w:t>
      </w:r>
    </w:p>
    <w:p w14:paraId="35E53667">
      <w:pPr>
        <w:spacing w:line="360" w:lineRule="auto"/>
        <w:ind w:firstLine="420"/>
        <w:rPr>
          <w:color w:val="auto"/>
          <w:highlight w:val="none"/>
        </w:rPr>
      </w:pPr>
      <w:r>
        <w:rPr>
          <w:color w:val="auto"/>
          <w:highlight w:val="none"/>
        </w:rPr>
        <w:t>（3）投标函及投标函附录；</w:t>
      </w:r>
    </w:p>
    <w:p w14:paraId="64CA1624">
      <w:pPr>
        <w:spacing w:line="360" w:lineRule="auto"/>
        <w:ind w:firstLine="420"/>
        <w:rPr>
          <w:color w:val="auto"/>
          <w:highlight w:val="none"/>
        </w:rPr>
      </w:pPr>
      <w:r>
        <w:rPr>
          <w:color w:val="auto"/>
          <w:highlight w:val="none"/>
        </w:rPr>
        <w:t>（4）专用合同条款；</w:t>
      </w:r>
    </w:p>
    <w:p w14:paraId="29F6854E">
      <w:pPr>
        <w:spacing w:line="360" w:lineRule="auto"/>
        <w:ind w:firstLine="420"/>
        <w:rPr>
          <w:color w:val="auto"/>
          <w:highlight w:val="none"/>
        </w:rPr>
      </w:pPr>
      <w:r>
        <w:rPr>
          <w:color w:val="auto"/>
          <w:highlight w:val="none"/>
        </w:rPr>
        <w:t>（5）通用合同条款；</w:t>
      </w:r>
    </w:p>
    <w:p w14:paraId="739B572F">
      <w:pPr>
        <w:spacing w:line="360" w:lineRule="auto"/>
        <w:ind w:firstLine="420"/>
        <w:rPr>
          <w:color w:val="auto"/>
          <w:highlight w:val="none"/>
        </w:rPr>
      </w:pPr>
      <w:r>
        <w:rPr>
          <w:color w:val="auto"/>
          <w:highlight w:val="none"/>
        </w:rPr>
        <w:t>（6）委托人要求；</w:t>
      </w:r>
    </w:p>
    <w:p w14:paraId="3594A86D">
      <w:pPr>
        <w:spacing w:line="360" w:lineRule="auto"/>
        <w:ind w:firstLine="420"/>
        <w:rPr>
          <w:color w:val="auto"/>
          <w:highlight w:val="none"/>
        </w:rPr>
      </w:pPr>
      <w:r>
        <w:rPr>
          <w:color w:val="auto"/>
          <w:highlight w:val="none"/>
        </w:rPr>
        <w:t>（</w:t>
      </w:r>
      <w:r>
        <w:rPr>
          <w:rFonts w:hint="eastAsia"/>
          <w:color w:val="auto"/>
          <w:highlight w:val="none"/>
        </w:rPr>
        <w:t>7</w:t>
      </w:r>
      <w:r>
        <w:rPr>
          <w:color w:val="auto"/>
          <w:highlight w:val="none"/>
        </w:rPr>
        <w:t>）</w:t>
      </w:r>
      <w:r>
        <w:rPr>
          <w:rFonts w:hint="eastAsia"/>
          <w:color w:val="auto"/>
          <w:highlight w:val="none"/>
        </w:rPr>
        <w:t>监理报酬清单</w:t>
      </w:r>
      <w:r>
        <w:rPr>
          <w:color w:val="auto"/>
          <w:highlight w:val="none"/>
        </w:rPr>
        <w:t>；</w:t>
      </w:r>
    </w:p>
    <w:p w14:paraId="47A23199">
      <w:pPr>
        <w:spacing w:line="360" w:lineRule="auto"/>
        <w:ind w:firstLine="420"/>
        <w:rPr>
          <w:color w:val="auto"/>
          <w:highlight w:val="none"/>
        </w:rPr>
      </w:pPr>
      <w:r>
        <w:rPr>
          <w:color w:val="auto"/>
          <w:highlight w:val="none"/>
        </w:rPr>
        <w:t>（</w:t>
      </w:r>
      <w:r>
        <w:rPr>
          <w:rFonts w:hint="eastAsia"/>
          <w:color w:val="auto"/>
          <w:highlight w:val="none"/>
        </w:rPr>
        <w:t>8</w:t>
      </w:r>
      <w:r>
        <w:rPr>
          <w:color w:val="auto"/>
          <w:highlight w:val="none"/>
        </w:rPr>
        <w:t>）</w:t>
      </w:r>
      <w:r>
        <w:rPr>
          <w:rFonts w:hint="eastAsia"/>
          <w:color w:val="auto"/>
          <w:highlight w:val="none"/>
        </w:rPr>
        <w:t>监理大纲</w:t>
      </w:r>
      <w:r>
        <w:rPr>
          <w:color w:val="auto"/>
          <w:highlight w:val="none"/>
        </w:rPr>
        <w:t>；</w:t>
      </w:r>
    </w:p>
    <w:p w14:paraId="535FEC8D">
      <w:pPr>
        <w:spacing w:line="360" w:lineRule="auto"/>
        <w:ind w:firstLine="420"/>
        <w:rPr>
          <w:color w:val="auto"/>
          <w:szCs w:val="21"/>
          <w:highlight w:val="none"/>
        </w:rPr>
      </w:pPr>
      <w:r>
        <w:rPr>
          <w:color w:val="auto"/>
          <w:highlight w:val="none"/>
        </w:rPr>
        <w:t>（9）其他合同</w:t>
      </w:r>
      <w:r>
        <w:rPr>
          <w:color w:val="auto"/>
          <w:szCs w:val="21"/>
          <w:highlight w:val="none"/>
        </w:rPr>
        <w:t>文件。</w:t>
      </w:r>
    </w:p>
    <w:p w14:paraId="59FDE6B7">
      <w:pPr>
        <w:pStyle w:val="4"/>
        <w:spacing w:line="240" w:lineRule="auto"/>
        <w:ind w:firstLine="137"/>
        <w:rPr>
          <w:rFonts w:ascii="Times New Roman"/>
          <w:color w:val="auto"/>
          <w:highlight w:val="none"/>
        </w:rPr>
      </w:pPr>
      <w:bookmarkStart w:id="14" w:name="_Toc482188551"/>
      <w:bookmarkStart w:id="15" w:name="_Toc11855"/>
      <w:r>
        <w:rPr>
          <w:rFonts w:ascii="Times New Roman"/>
          <w:color w:val="auto"/>
          <w:highlight w:val="none"/>
        </w:rPr>
        <w:t xml:space="preserve">1.5 </w:t>
      </w:r>
      <w:r>
        <w:rPr>
          <w:rFonts w:hint="eastAsia" w:ascii="Times New Roman"/>
          <w:color w:val="auto"/>
          <w:highlight w:val="none"/>
        </w:rPr>
        <w:t>合同协议书</w:t>
      </w:r>
      <w:bookmarkEnd w:id="14"/>
      <w:bookmarkEnd w:id="15"/>
    </w:p>
    <w:p w14:paraId="58532070">
      <w:pPr>
        <w:spacing w:line="360" w:lineRule="auto"/>
        <w:ind w:firstLine="420" w:firstLineChars="200"/>
        <w:rPr>
          <w:color w:val="auto"/>
          <w:szCs w:val="21"/>
          <w:highlight w:val="none"/>
        </w:rPr>
      </w:pPr>
      <w:r>
        <w:rPr>
          <w:rFonts w:hint="eastAsia"/>
          <w:color w:val="auto"/>
          <w:highlight w:val="none"/>
        </w:rPr>
        <w:t>监理</w:t>
      </w:r>
      <w:r>
        <w:rPr>
          <w:color w:val="auto"/>
          <w:szCs w:val="21"/>
          <w:highlight w:val="none"/>
        </w:rPr>
        <w:t>人按中标通知书规定的时间与委托人签订合同协议书。除法律另有规定或合同另有约定外，委托人和</w:t>
      </w:r>
      <w:r>
        <w:rPr>
          <w:rFonts w:hint="eastAsia"/>
          <w:color w:val="auto"/>
          <w:highlight w:val="none"/>
        </w:rPr>
        <w:t>监理</w:t>
      </w:r>
      <w:r>
        <w:rPr>
          <w:color w:val="auto"/>
          <w:szCs w:val="21"/>
          <w:highlight w:val="none"/>
        </w:rPr>
        <w:t>人的法定代表人或其委托代理人在合同协议书上签字并盖单位章后，合同生效。</w:t>
      </w:r>
    </w:p>
    <w:p w14:paraId="318A73D8">
      <w:pPr>
        <w:pStyle w:val="4"/>
        <w:spacing w:line="240" w:lineRule="auto"/>
        <w:ind w:firstLine="137"/>
        <w:rPr>
          <w:rFonts w:ascii="Times New Roman"/>
          <w:color w:val="auto"/>
          <w:highlight w:val="none"/>
        </w:rPr>
      </w:pPr>
      <w:bookmarkStart w:id="16" w:name="_Toc482188552"/>
      <w:bookmarkStart w:id="17" w:name="_Toc32170"/>
      <w:r>
        <w:rPr>
          <w:rFonts w:ascii="Times New Roman"/>
          <w:color w:val="auto"/>
          <w:highlight w:val="none"/>
        </w:rPr>
        <w:t xml:space="preserve">1.6 </w:t>
      </w:r>
      <w:r>
        <w:rPr>
          <w:rFonts w:hint="eastAsia" w:ascii="Times New Roman"/>
          <w:color w:val="auto"/>
          <w:highlight w:val="none"/>
        </w:rPr>
        <w:t>文件的提供和照管</w:t>
      </w:r>
      <w:bookmarkEnd w:id="16"/>
      <w:bookmarkEnd w:id="17"/>
    </w:p>
    <w:p w14:paraId="19ECBF64">
      <w:pPr>
        <w:spacing w:line="360" w:lineRule="auto"/>
        <w:ind w:firstLine="422" w:firstLineChars="200"/>
        <w:rPr>
          <w:b/>
          <w:color w:val="auto"/>
          <w:highlight w:val="none"/>
        </w:rPr>
      </w:pPr>
      <w:r>
        <w:rPr>
          <w:b/>
          <w:color w:val="auto"/>
          <w:highlight w:val="none"/>
        </w:rPr>
        <w:t xml:space="preserve">1.6.1 </w:t>
      </w:r>
      <w:r>
        <w:rPr>
          <w:rFonts w:hint="eastAsia"/>
          <w:b/>
          <w:bCs/>
          <w:color w:val="auto"/>
          <w:highlight w:val="none"/>
        </w:rPr>
        <w:t>监理文件</w:t>
      </w:r>
      <w:r>
        <w:rPr>
          <w:b/>
          <w:color w:val="auto"/>
          <w:highlight w:val="none"/>
        </w:rPr>
        <w:t>的提供</w:t>
      </w:r>
    </w:p>
    <w:p w14:paraId="5AD52108">
      <w:pPr>
        <w:spacing w:line="360" w:lineRule="auto"/>
        <w:ind w:firstLine="420" w:firstLineChars="200"/>
        <w:rPr>
          <w:color w:val="auto"/>
          <w:szCs w:val="21"/>
          <w:highlight w:val="none"/>
        </w:rPr>
      </w:pPr>
      <w:r>
        <w:rPr>
          <w:color w:val="auto"/>
          <w:szCs w:val="21"/>
          <w:highlight w:val="none"/>
        </w:rPr>
        <w:t>除专用合同条款另有约定外，</w:t>
      </w:r>
      <w:r>
        <w:rPr>
          <w:rFonts w:hint="eastAsia"/>
          <w:color w:val="auto"/>
          <w:highlight w:val="none"/>
        </w:rPr>
        <w:t>监理</w:t>
      </w:r>
      <w:r>
        <w:rPr>
          <w:color w:val="auto"/>
          <w:szCs w:val="21"/>
          <w:highlight w:val="none"/>
        </w:rPr>
        <w:t>人应在合理的期限内按照合同约定的数量向委托人提供</w:t>
      </w:r>
      <w:r>
        <w:rPr>
          <w:rFonts w:hint="eastAsia"/>
          <w:color w:val="auto"/>
          <w:highlight w:val="none"/>
        </w:rPr>
        <w:t>监理文件</w:t>
      </w:r>
      <w:r>
        <w:rPr>
          <w:color w:val="auto"/>
          <w:szCs w:val="21"/>
          <w:highlight w:val="none"/>
        </w:rPr>
        <w:t>。合同约定</w:t>
      </w:r>
      <w:r>
        <w:rPr>
          <w:rFonts w:hint="eastAsia"/>
          <w:color w:val="auto"/>
          <w:highlight w:val="none"/>
        </w:rPr>
        <w:t>监理文件</w:t>
      </w:r>
      <w:r>
        <w:rPr>
          <w:color w:val="auto"/>
          <w:szCs w:val="21"/>
          <w:highlight w:val="none"/>
        </w:rPr>
        <w:t>应经委托人批复的，委托人应当在合同约定的期限内批复或提出修改意见。</w:t>
      </w:r>
    </w:p>
    <w:p w14:paraId="38C4DBC2">
      <w:pPr>
        <w:spacing w:line="360" w:lineRule="auto"/>
        <w:ind w:firstLine="422" w:firstLineChars="200"/>
        <w:rPr>
          <w:b/>
          <w:color w:val="auto"/>
          <w:szCs w:val="21"/>
          <w:highlight w:val="none"/>
        </w:rPr>
      </w:pPr>
      <w:r>
        <w:rPr>
          <w:b/>
          <w:color w:val="auto"/>
          <w:highlight w:val="none"/>
        </w:rPr>
        <w:t xml:space="preserve">1.6.2 </w:t>
      </w:r>
      <w:r>
        <w:rPr>
          <w:b/>
          <w:color w:val="auto"/>
          <w:szCs w:val="21"/>
          <w:highlight w:val="none"/>
        </w:rPr>
        <w:t>委托人提供的文件</w:t>
      </w:r>
    </w:p>
    <w:p w14:paraId="7C848E7F">
      <w:pPr>
        <w:spacing w:line="360" w:lineRule="auto"/>
        <w:ind w:firstLine="420" w:firstLineChars="200"/>
        <w:rPr>
          <w:color w:val="auto"/>
          <w:szCs w:val="21"/>
          <w:highlight w:val="none"/>
        </w:rPr>
      </w:pPr>
      <w:r>
        <w:rPr>
          <w:rFonts w:ascii="宋体" w:hAnsi="宋体" w:cs="宋体"/>
          <w:color w:val="auto"/>
          <w:highlight w:val="none"/>
        </w:rPr>
        <w:t xml:space="preserve">按专用合同条款约定由委托人提供的文件，包括规范标准、承包合同、勘察文件、设计文件等，委托人应按约定的数量和期限交给监理人。由于委托人未按时提供文件造成监理服务期限延误的，按第 </w:t>
      </w:r>
      <w:r>
        <w:rPr>
          <w:rFonts w:eastAsia="Times New Roman"/>
          <w:color w:val="auto"/>
          <w:highlight w:val="none"/>
        </w:rPr>
        <w:t xml:space="preserve">6.2 </w:t>
      </w:r>
      <w:r>
        <w:rPr>
          <w:rFonts w:ascii="宋体" w:hAnsi="宋体" w:cs="宋体"/>
          <w:color w:val="auto"/>
          <w:highlight w:val="none"/>
        </w:rPr>
        <w:t>款约定执行。</w:t>
      </w:r>
    </w:p>
    <w:p w14:paraId="1F84C819">
      <w:pPr>
        <w:spacing w:line="360" w:lineRule="auto"/>
        <w:ind w:firstLine="422" w:firstLineChars="200"/>
        <w:rPr>
          <w:b/>
          <w:color w:val="auto"/>
          <w:szCs w:val="21"/>
          <w:highlight w:val="none"/>
        </w:rPr>
      </w:pPr>
      <w:r>
        <w:rPr>
          <w:b/>
          <w:color w:val="auto"/>
          <w:highlight w:val="none"/>
        </w:rPr>
        <w:t xml:space="preserve">1.6.3 </w:t>
      </w:r>
      <w:r>
        <w:rPr>
          <w:b/>
          <w:color w:val="auto"/>
          <w:szCs w:val="21"/>
          <w:highlight w:val="none"/>
        </w:rPr>
        <w:t>文件错误的通知</w:t>
      </w:r>
    </w:p>
    <w:p w14:paraId="7ED5720A">
      <w:pPr>
        <w:spacing w:line="360" w:lineRule="auto"/>
        <w:ind w:firstLine="420" w:firstLineChars="200"/>
        <w:rPr>
          <w:color w:val="auto"/>
          <w:szCs w:val="21"/>
          <w:highlight w:val="none"/>
        </w:rPr>
      </w:pPr>
      <w:r>
        <w:rPr>
          <w:color w:val="auto"/>
          <w:szCs w:val="21"/>
          <w:highlight w:val="none"/>
        </w:rPr>
        <w:t>任何一方当事人发现文件中存在的明显错误或疏忽，均应及时通知对方当事人，并应立即采取适当的措施防止损失扩大。</w:t>
      </w:r>
    </w:p>
    <w:p w14:paraId="5ED95FF5">
      <w:pPr>
        <w:spacing w:line="360" w:lineRule="auto"/>
        <w:ind w:firstLine="422" w:firstLineChars="200"/>
        <w:rPr>
          <w:b/>
          <w:color w:val="auto"/>
          <w:szCs w:val="21"/>
          <w:highlight w:val="none"/>
        </w:rPr>
      </w:pPr>
      <w:r>
        <w:rPr>
          <w:b/>
          <w:color w:val="auto"/>
          <w:highlight w:val="none"/>
        </w:rPr>
        <w:t>1.6.</w:t>
      </w:r>
      <w:r>
        <w:rPr>
          <w:rFonts w:hint="eastAsia"/>
          <w:b/>
          <w:color w:val="auto"/>
          <w:highlight w:val="none"/>
        </w:rPr>
        <w:t>4</w:t>
      </w:r>
      <w:r>
        <w:rPr>
          <w:b/>
          <w:color w:val="auto"/>
          <w:highlight w:val="none"/>
        </w:rPr>
        <w:t xml:space="preserve"> </w:t>
      </w:r>
      <w:r>
        <w:rPr>
          <w:b/>
          <w:color w:val="auto"/>
          <w:szCs w:val="21"/>
          <w:highlight w:val="none"/>
        </w:rPr>
        <w:t>文件的</w:t>
      </w:r>
      <w:r>
        <w:rPr>
          <w:rFonts w:hint="eastAsia"/>
          <w:b/>
          <w:color w:val="auto"/>
          <w:szCs w:val="21"/>
          <w:highlight w:val="none"/>
        </w:rPr>
        <w:t>照管</w:t>
      </w:r>
    </w:p>
    <w:p w14:paraId="0C825483">
      <w:pPr>
        <w:spacing w:line="360" w:lineRule="auto"/>
        <w:ind w:firstLine="420" w:firstLineChars="200"/>
        <w:rPr>
          <w:color w:val="auto"/>
          <w:szCs w:val="21"/>
          <w:highlight w:val="none"/>
        </w:rPr>
      </w:pPr>
      <w:r>
        <w:rPr>
          <w:color w:val="auto"/>
          <w:szCs w:val="21"/>
          <w:highlight w:val="none"/>
        </w:rPr>
        <w:t>监理人应在现场保留一份合同文件、监理文件、委托人要求中的所列文件、以及其他根据合同收发的往来信函，以备委托人和行政管理部门查阅使用。</w:t>
      </w:r>
    </w:p>
    <w:p w14:paraId="723CC3ED">
      <w:pPr>
        <w:pStyle w:val="4"/>
        <w:spacing w:line="240" w:lineRule="auto"/>
        <w:ind w:firstLine="137"/>
        <w:rPr>
          <w:rFonts w:ascii="Times New Roman"/>
          <w:color w:val="auto"/>
          <w:highlight w:val="none"/>
        </w:rPr>
      </w:pPr>
      <w:bookmarkStart w:id="18" w:name="_Toc14214"/>
      <w:bookmarkStart w:id="19" w:name="_Toc482188553"/>
      <w:r>
        <w:rPr>
          <w:rFonts w:ascii="Times New Roman"/>
          <w:color w:val="auto"/>
          <w:highlight w:val="none"/>
        </w:rPr>
        <w:t xml:space="preserve">1.7 </w:t>
      </w:r>
      <w:r>
        <w:rPr>
          <w:rFonts w:hint="eastAsia" w:ascii="Times New Roman"/>
          <w:color w:val="auto"/>
          <w:highlight w:val="none"/>
        </w:rPr>
        <w:t>联络</w:t>
      </w:r>
      <w:bookmarkEnd w:id="18"/>
      <w:bookmarkEnd w:id="19"/>
    </w:p>
    <w:p w14:paraId="2DFF4383">
      <w:pPr>
        <w:spacing w:line="360" w:lineRule="auto"/>
        <w:ind w:firstLine="420" w:firstLineChars="200"/>
        <w:rPr>
          <w:color w:val="auto"/>
          <w:szCs w:val="21"/>
          <w:highlight w:val="none"/>
        </w:rPr>
      </w:pPr>
      <w:r>
        <w:rPr>
          <w:color w:val="auto"/>
          <w:highlight w:val="none"/>
        </w:rPr>
        <w:t>1.7.1</w:t>
      </w:r>
      <w:r>
        <w:rPr>
          <w:color w:val="auto"/>
          <w:szCs w:val="21"/>
          <w:highlight w:val="none"/>
        </w:rPr>
        <w:t xml:space="preserve"> 与合同有关的通知、批准、证明、证书、指示、要求、请求、同意、意见、确定和决定等，均应采用书面形式。</w:t>
      </w:r>
    </w:p>
    <w:p w14:paraId="1C846C66">
      <w:pPr>
        <w:spacing w:line="360" w:lineRule="auto"/>
        <w:ind w:firstLine="420" w:firstLineChars="200"/>
        <w:rPr>
          <w:color w:val="auto"/>
          <w:szCs w:val="21"/>
          <w:highlight w:val="none"/>
        </w:rPr>
      </w:pPr>
      <w:r>
        <w:rPr>
          <w:color w:val="auto"/>
          <w:highlight w:val="none"/>
        </w:rPr>
        <w:t>1.7.2</w:t>
      </w:r>
      <w:r>
        <w:rPr>
          <w:color w:val="auto"/>
          <w:szCs w:val="21"/>
          <w:highlight w:val="none"/>
        </w:rPr>
        <w:t xml:space="preserve"> 上述通知、批准、证明、证书、指示、要求、请求、同意、意见、确定和决定等来往函件，均应在合同约定的期限内送达指定的地点和指定的接收人，并办理签收手续。</w:t>
      </w:r>
    </w:p>
    <w:p w14:paraId="11176C79">
      <w:pPr>
        <w:pStyle w:val="4"/>
        <w:spacing w:line="240" w:lineRule="auto"/>
        <w:ind w:firstLine="137"/>
        <w:rPr>
          <w:rFonts w:ascii="Times New Roman"/>
          <w:color w:val="auto"/>
          <w:highlight w:val="none"/>
        </w:rPr>
      </w:pPr>
      <w:bookmarkStart w:id="20" w:name="_Toc20313"/>
      <w:bookmarkStart w:id="21" w:name="_Toc482188554"/>
      <w:r>
        <w:rPr>
          <w:rFonts w:ascii="Times New Roman"/>
          <w:color w:val="auto"/>
          <w:highlight w:val="none"/>
        </w:rPr>
        <w:t xml:space="preserve">1.8 </w:t>
      </w:r>
      <w:r>
        <w:rPr>
          <w:rFonts w:hint="eastAsia" w:ascii="Times New Roman"/>
          <w:color w:val="auto"/>
          <w:highlight w:val="none"/>
        </w:rPr>
        <w:t>转让</w:t>
      </w:r>
      <w:bookmarkEnd w:id="20"/>
      <w:bookmarkEnd w:id="21"/>
    </w:p>
    <w:p w14:paraId="2D8C9AA3">
      <w:pPr>
        <w:spacing w:line="360" w:lineRule="auto"/>
        <w:ind w:firstLine="420" w:firstLineChars="200"/>
        <w:rPr>
          <w:color w:val="auto"/>
          <w:szCs w:val="21"/>
          <w:highlight w:val="none"/>
        </w:rPr>
      </w:pPr>
      <w:r>
        <w:rPr>
          <w:color w:val="auto"/>
          <w:szCs w:val="21"/>
          <w:highlight w:val="none"/>
        </w:rPr>
        <w:t>除专用合同条款另有约定外，未经对方当事人同意，一方当事人不得将合同权利全部或部分转让给第三人，也不得全部或部分转移合同义务。</w:t>
      </w:r>
    </w:p>
    <w:p w14:paraId="49DB9845">
      <w:pPr>
        <w:pStyle w:val="4"/>
        <w:spacing w:line="240" w:lineRule="auto"/>
        <w:ind w:firstLine="137"/>
        <w:rPr>
          <w:rFonts w:ascii="Times New Roman"/>
          <w:color w:val="auto"/>
          <w:highlight w:val="none"/>
        </w:rPr>
      </w:pPr>
      <w:bookmarkStart w:id="22" w:name="_Toc16410"/>
      <w:bookmarkStart w:id="23" w:name="_Toc482188555"/>
      <w:r>
        <w:rPr>
          <w:rFonts w:ascii="Times New Roman"/>
          <w:color w:val="auto"/>
          <w:highlight w:val="none"/>
        </w:rPr>
        <w:t xml:space="preserve">1.9 </w:t>
      </w:r>
      <w:r>
        <w:rPr>
          <w:rFonts w:hint="eastAsia" w:ascii="Times New Roman"/>
          <w:color w:val="auto"/>
          <w:highlight w:val="none"/>
        </w:rPr>
        <w:t>严禁贿赂</w:t>
      </w:r>
      <w:bookmarkEnd w:id="22"/>
      <w:bookmarkEnd w:id="23"/>
    </w:p>
    <w:p w14:paraId="22582CA3">
      <w:pPr>
        <w:spacing w:line="360" w:lineRule="auto"/>
        <w:ind w:firstLine="420" w:firstLineChars="200"/>
        <w:rPr>
          <w:color w:val="auto"/>
          <w:szCs w:val="21"/>
          <w:highlight w:val="none"/>
        </w:rPr>
      </w:pPr>
      <w:r>
        <w:rPr>
          <w:color w:val="auto"/>
          <w:szCs w:val="21"/>
          <w:highlight w:val="none"/>
        </w:rPr>
        <w:t>合同双方当事人不得以贿赂或变相贿赂的方式，谋取不当利益或损害对方权益。因贿赂造成对方当事人损失的，行为人应当赔偿损失，并承担相应的法律责任。</w:t>
      </w:r>
    </w:p>
    <w:p w14:paraId="246763F2">
      <w:pPr>
        <w:pStyle w:val="4"/>
        <w:spacing w:line="240" w:lineRule="auto"/>
        <w:ind w:firstLine="137"/>
        <w:rPr>
          <w:rFonts w:ascii="Times New Roman"/>
          <w:color w:val="auto"/>
          <w:highlight w:val="none"/>
        </w:rPr>
      </w:pPr>
      <w:bookmarkStart w:id="24" w:name="_Toc482188556"/>
      <w:bookmarkStart w:id="25" w:name="_Toc27610"/>
      <w:r>
        <w:rPr>
          <w:rFonts w:ascii="Times New Roman"/>
          <w:color w:val="auto"/>
          <w:highlight w:val="none"/>
        </w:rPr>
        <w:t xml:space="preserve">1.10 </w:t>
      </w:r>
      <w:r>
        <w:rPr>
          <w:rFonts w:hint="eastAsia" w:ascii="Times New Roman"/>
          <w:color w:val="auto"/>
          <w:highlight w:val="none"/>
        </w:rPr>
        <w:t>知识产权</w:t>
      </w:r>
      <w:bookmarkEnd w:id="24"/>
      <w:bookmarkEnd w:id="25"/>
    </w:p>
    <w:p w14:paraId="290A112F">
      <w:pPr>
        <w:spacing w:line="360" w:lineRule="auto"/>
        <w:ind w:firstLine="420" w:firstLineChars="200"/>
        <w:rPr>
          <w:color w:val="auto"/>
          <w:szCs w:val="21"/>
          <w:highlight w:val="none"/>
        </w:rPr>
      </w:pPr>
      <w:r>
        <w:rPr>
          <w:color w:val="auto"/>
          <w:highlight w:val="none"/>
        </w:rPr>
        <w:t>1.10.1除专用合同条款另有约定外，</w:t>
      </w:r>
      <w:r>
        <w:rPr>
          <w:rFonts w:hint="eastAsia"/>
          <w:color w:val="auto"/>
          <w:szCs w:val="21"/>
          <w:highlight w:val="none"/>
        </w:rPr>
        <w:t>监理</w:t>
      </w:r>
      <w:r>
        <w:rPr>
          <w:color w:val="auto"/>
          <w:szCs w:val="21"/>
          <w:highlight w:val="none"/>
        </w:rPr>
        <w:t>人完成的</w:t>
      </w:r>
      <w:r>
        <w:rPr>
          <w:rFonts w:hint="eastAsia"/>
          <w:color w:val="auto"/>
          <w:szCs w:val="21"/>
          <w:highlight w:val="none"/>
        </w:rPr>
        <w:t>监理</w:t>
      </w:r>
      <w:r>
        <w:rPr>
          <w:color w:val="auto"/>
          <w:szCs w:val="21"/>
          <w:highlight w:val="none"/>
        </w:rPr>
        <w:t>工作成果，除署名权以外的著作权和其他知识产权均归委托人享有。</w:t>
      </w:r>
    </w:p>
    <w:p w14:paraId="0C6BFAC7">
      <w:pPr>
        <w:spacing w:line="360" w:lineRule="auto"/>
        <w:ind w:firstLine="420" w:firstLineChars="200"/>
        <w:rPr>
          <w:color w:val="auto"/>
          <w:szCs w:val="21"/>
          <w:highlight w:val="none"/>
        </w:rPr>
      </w:pPr>
      <w:r>
        <w:rPr>
          <w:color w:val="auto"/>
          <w:highlight w:val="none"/>
        </w:rPr>
        <w:t xml:space="preserve">1.10.2 </w:t>
      </w:r>
      <w:r>
        <w:rPr>
          <w:rFonts w:hint="eastAsia"/>
          <w:color w:val="auto"/>
          <w:szCs w:val="21"/>
          <w:highlight w:val="none"/>
        </w:rPr>
        <w:t>监理</w:t>
      </w:r>
      <w:r>
        <w:rPr>
          <w:color w:val="auto"/>
          <w:szCs w:val="21"/>
          <w:highlight w:val="none"/>
        </w:rPr>
        <w:t>人在从事</w:t>
      </w:r>
      <w:r>
        <w:rPr>
          <w:rFonts w:hint="eastAsia"/>
          <w:color w:val="auto"/>
          <w:szCs w:val="21"/>
          <w:highlight w:val="none"/>
        </w:rPr>
        <w:t>监理</w:t>
      </w:r>
      <w:r>
        <w:rPr>
          <w:color w:val="auto"/>
          <w:szCs w:val="21"/>
          <w:highlight w:val="none"/>
        </w:rPr>
        <w:t>活动时，不得侵犯他人的知识产权。因侵犯专利权或其他知识产权所引起的责任，由</w:t>
      </w:r>
      <w:r>
        <w:rPr>
          <w:rFonts w:hint="eastAsia"/>
          <w:color w:val="auto"/>
          <w:szCs w:val="21"/>
          <w:highlight w:val="none"/>
        </w:rPr>
        <w:t>监理</w:t>
      </w:r>
      <w:r>
        <w:rPr>
          <w:color w:val="auto"/>
          <w:szCs w:val="21"/>
          <w:highlight w:val="none"/>
        </w:rPr>
        <w:t>人自行承担。因委托人提供的</w:t>
      </w:r>
      <w:r>
        <w:rPr>
          <w:rFonts w:hint="eastAsia"/>
          <w:color w:val="auto"/>
          <w:szCs w:val="21"/>
          <w:highlight w:val="none"/>
        </w:rPr>
        <w:t>监理</w:t>
      </w:r>
      <w:r>
        <w:rPr>
          <w:color w:val="auto"/>
          <w:szCs w:val="21"/>
          <w:highlight w:val="none"/>
        </w:rPr>
        <w:t>资料导致侵权的，由委托人承担责任。</w:t>
      </w:r>
    </w:p>
    <w:p w14:paraId="04ED67C7">
      <w:pPr>
        <w:spacing w:line="360" w:lineRule="auto"/>
        <w:ind w:firstLine="420" w:firstLineChars="200"/>
        <w:rPr>
          <w:color w:val="auto"/>
          <w:highlight w:val="none"/>
        </w:rPr>
      </w:pPr>
      <w:r>
        <w:rPr>
          <w:color w:val="auto"/>
          <w:highlight w:val="none"/>
        </w:rPr>
        <w:t xml:space="preserve">1.10.3 </w:t>
      </w:r>
      <w:r>
        <w:rPr>
          <w:rFonts w:hint="eastAsia"/>
          <w:color w:val="auto"/>
          <w:szCs w:val="21"/>
          <w:highlight w:val="none"/>
        </w:rPr>
        <w:t>监理</w:t>
      </w:r>
      <w:r>
        <w:rPr>
          <w:color w:val="auto"/>
          <w:szCs w:val="21"/>
          <w:highlight w:val="none"/>
        </w:rPr>
        <w:t>人在投标文件中采用专利技术、专有技术的，相应的使用费视为已包含在</w:t>
      </w:r>
      <w:r>
        <w:rPr>
          <w:rFonts w:hint="eastAsia"/>
          <w:color w:val="auto"/>
          <w:szCs w:val="21"/>
          <w:highlight w:val="none"/>
        </w:rPr>
        <w:t>投标报价</w:t>
      </w:r>
      <w:r>
        <w:rPr>
          <w:color w:val="auto"/>
          <w:szCs w:val="21"/>
          <w:highlight w:val="none"/>
        </w:rPr>
        <w:t>之中。</w:t>
      </w:r>
    </w:p>
    <w:p w14:paraId="008ABCA7">
      <w:pPr>
        <w:pStyle w:val="4"/>
        <w:spacing w:line="240" w:lineRule="auto"/>
        <w:ind w:firstLine="137"/>
        <w:rPr>
          <w:rFonts w:ascii="Times New Roman"/>
          <w:color w:val="auto"/>
          <w:highlight w:val="none"/>
        </w:rPr>
      </w:pPr>
      <w:bookmarkStart w:id="26" w:name="_Toc482188557"/>
      <w:bookmarkStart w:id="27" w:name="_Toc14979"/>
      <w:r>
        <w:rPr>
          <w:rFonts w:ascii="Times New Roman"/>
          <w:color w:val="auto"/>
          <w:highlight w:val="none"/>
        </w:rPr>
        <w:t xml:space="preserve">1.11 </w:t>
      </w:r>
      <w:r>
        <w:rPr>
          <w:rFonts w:hint="eastAsia" w:ascii="Times New Roman"/>
          <w:color w:val="auto"/>
          <w:highlight w:val="none"/>
        </w:rPr>
        <w:t>文件及信息的保密</w:t>
      </w:r>
      <w:bookmarkEnd w:id="26"/>
      <w:bookmarkEnd w:id="27"/>
    </w:p>
    <w:p w14:paraId="2AAA561A">
      <w:pPr>
        <w:spacing w:line="360" w:lineRule="auto"/>
        <w:ind w:firstLine="420" w:firstLineChars="200"/>
        <w:rPr>
          <w:color w:val="auto"/>
          <w:szCs w:val="21"/>
          <w:highlight w:val="none"/>
        </w:rPr>
      </w:pPr>
      <w:r>
        <w:rPr>
          <w:color w:val="auto"/>
          <w:szCs w:val="21"/>
          <w:highlight w:val="none"/>
        </w:rPr>
        <w:t>未经对方同意，任何一方当事人不得将有关文件、技术秘密、需要保密的资料和信息泄露给他人或公开发表与引用。</w:t>
      </w:r>
    </w:p>
    <w:p w14:paraId="46738D27">
      <w:pPr>
        <w:pStyle w:val="4"/>
        <w:spacing w:line="240" w:lineRule="auto"/>
        <w:ind w:firstLine="137"/>
        <w:rPr>
          <w:rFonts w:ascii="Times New Roman"/>
          <w:color w:val="auto"/>
          <w:highlight w:val="none"/>
        </w:rPr>
      </w:pPr>
      <w:bookmarkStart w:id="28" w:name="_Toc482188558"/>
      <w:bookmarkStart w:id="29" w:name="_Toc13563"/>
      <w:r>
        <w:rPr>
          <w:rFonts w:ascii="Times New Roman"/>
          <w:color w:val="auto"/>
          <w:highlight w:val="none"/>
        </w:rPr>
        <w:t xml:space="preserve">1.12 </w:t>
      </w:r>
      <w:r>
        <w:rPr>
          <w:rFonts w:hint="eastAsia" w:ascii="Times New Roman"/>
          <w:color w:val="auto"/>
          <w:highlight w:val="none"/>
        </w:rPr>
        <w:t>委托人要求</w:t>
      </w:r>
      <w:bookmarkEnd w:id="28"/>
      <w:bookmarkEnd w:id="29"/>
    </w:p>
    <w:p w14:paraId="2D2BC755">
      <w:pPr>
        <w:spacing w:line="360" w:lineRule="auto"/>
        <w:ind w:firstLine="420"/>
        <w:rPr>
          <w:color w:val="auto"/>
          <w:szCs w:val="21"/>
          <w:highlight w:val="none"/>
        </w:rPr>
      </w:pPr>
      <w:r>
        <w:rPr>
          <w:color w:val="auto"/>
          <w:szCs w:val="21"/>
          <w:highlight w:val="none"/>
        </w:rPr>
        <w:t xml:space="preserve">1.12.1 监理人应认真阅读、复核委托人要求，发现错误的，应及时书面通知委托人。无论是否存在错误，委托人均有权修改委托人要求，并在修改后 3 日内通知监理人。除专用合同条款另有约定外，由此导致监理人费用增加和(或)周期延误的，委托人应当相应地增加费用和(或) 延长周期。 </w:t>
      </w:r>
    </w:p>
    <w:p w14:paraId="49935E7A">
      <w:pPr>
        <w:spacing w:line="360" w:lineRule="auto"/>
        <w:ind w:firstLine="420"/>
        <w:rPr>
          <w:color w:val="auto"/>
          <w:szCs w:val="21"/>
          <w:highlight w:val="none"/>
        </w:rPr>
      </w:pPr>
      <w:r>
        <w:rPr>
          <w:color w:val="auto"/>
          <w:szCs w:val="21"/>
          <w:highlight w:val="none"/>
        </w:rPr>
        <w:t xml:space="preserve">1.12.2 如果委托人要求违反法律规定，监理人应在发现后及时书面通知委托人，要求其改正。委托人收到通知书后不予改正或不予答复的，监理人有权拒绝履行合同义务，直至解除合同；由此引起的监理人的全部损失由委托人承担。 </w:t>
      </w:r>
    </w:p>
    <w:p w14:paraId="0F06E496">
      <w:pPr>
        <w:spacing w:line="360" w:lineRule="auto"/>
        <w:ind w:firstLine="420"/>
        <w:rPr>
          <w:color w:val="auto"/>
          <w:szCs w:val="21"/>
          <w:highlight w:val="none"/>
        </w:rPr>
      </w:pPr>
      <w:r>
        <w:rPr>
          <w:color w:val="auto"/>
          <w:szCs w:val="21"/>
          <w:highlight w:val="none"/>
        </w:rPr>
        <w:t>1.12.3 委托人要求采用国外规范和标准进行监理时，应由委托人负责提供该规范和标准的外国文本和中文译本，提供的时间、份数和其他要求在专用合同条款中约定。</w:t>
      </w:r>
    </w:p>
    <w:p w14:paraId="472976AC">
      <w:pPr>
        <w:pStyle w:val="3"/>
        <w:rPr>
          <w:rFonts w:ascii="Times New Roman" w:hAnsi="Times New Roman"/>
          <w:color w:val="auto"/>
          <w:highlight w:val="none"/>
        </w:rPr>
      </w:pPr>
      <w:bookmarkStart w:id="30" w:name="_Toc482188559"/>
      <w:bookmarkStart w:id="31" w:name="_Toc15784"/>
      <w:r>
        <w:rPr>
          <w:rFonts w:ascii="Times New Roman" w:hAnsi="Times New Roman"/>
          <w:color w:val="auto"/>
          <w:highlight w:val="none"/>
        </w:rPr>
        <w:t>2. 委托人义务</w:t>
      </w:r>
      <w:bookmarkEnd w:id="30"/>
      <w:bookmarkEnd w:id="31"/>
    </w:p>
    <w:p w14:paraId="2FEAEE70">
      <w:pPr>
        <w:pStyle w:val="4"/>
        <w:spacing w:line="240" w:lineRule="auto"/>
        <w:ind w:firstLine="137"/>
        <w:rPr>
          <w:rFonts w:ascii="Times New Roman"/>
          <w:color w:val="auto"/>
          <w:highlight w:val="none"/>
        </w:rPr>
      </w:pPr>
      <w:bookmarkStart w:id="32" w:name="_Toc30999"/>
      <w:bookmarkStart w:id="33" w:name="_Toc482188560"/>
      <w:r>
        <w:rPr>
          <w:rFonts w:ascii="Times New Roman"/>
          <w:color w:val="auto"/>
          <w:highlight w:val="none"/>
        </w:rPr>
        <w:t xml:space="preserve">2.1 </w:t>
      </w:r>
      <w:r>
        <w:rPr>
          <w:rFonts w:hint="eastAsia" w:ascii="Times New Roman"/>
          <w:color w:val="auto"/>
          <w:highlight w:val="none"/>
        </w:rPr>
        <w:t>遵守法律</w:t>
      </w:r>
      <w:bookmarkEnd w:id="32"/>
      <w:bookmarkEnd w:id="33"/>
    </w:p>
    <w:p w14:paraId="13B54370">
      <w:pPr>
        <w:spacing w:line="360" w:lineRule="auto"/>
        <w:ind w:firstLine="420" w:firstLineChars="200"/>
        <w:rPr>
          <w:color w:val="auto"/>
          <w:highlight w:val="none"/>
        </w:rPr>
      </w:pPr>
      <w:r>
        <w:rPr>
          <w:color w:val="auto"/>
          <w:szCs w:val="21"/>
          <w:highlight w:val="none"/>
        </w:rPr>
        <w:t>委托人在履行合同过程中应遵守法律，并保证</w:t>
      </w:r>
      <w:r>
        <w:rPr>
          <w:rFonts w:hint="eastAsia"/>
          <w:color w:val="auto"/>
          <w:szCs w:val="21"/>
          <w:highlight w:val="none"/>
        </w:rPr>
        <w:t>监理</w:t>
      </w:r>
      <w:r>
        <w:rPr>
          <w:color w:val="auto"/>
          <w:szCs w:val="21"/>
          <w:highlight w:val="none"/>
        </w:rPr>
        <w:t>人免于承担因委托人违反法律而引起的</w:t>
      </w:r>
      <w:bookmarkStart w:id="34" w:name="_Toc247514049"/>
      <w:bookmarkStart w:id="35" w:name="_Toc300835048"/>
      <w:bookmarkStart w:id="36" w:name="_Toc385942918"/>
      <w:bookmarkStart w:id="37" w:name="_Toc370281722"/>
      <w:bookmarkStart w:id="38" w:name="_Toc247527650"/>
      <w:bookmarkStart w:id="39" w:name="_Toc184635099"/>
      <w:bookmarkStart w:id="40" w:name="_Toc385592087"/>
      <w:r>
        <w:rPr>
          <w:color w:val="auto"/>
          <w:szCs w:val="21"/>
          <w:highlight w:val="none"/>
        </w:rPr>
        <w:t>任何责任。</w:t>
      </w:r>
    </w:p>
    <w:p w14:paraId="115787F5">
      <w:pPr>
        <w:pStyle w:val="4"/>
        <w:spacing w:line="240" w:lineRule="auto"/>
        <w:ind w:firstLine="137"/>
        <w:rPr>
          <w:rFonts w:ascii="Times New Roman"/>
          <w:color w:val="auto"/>
          <w:highlight w:val="none"/>
        </w:rPr>
      </w:pPr>
      <w:bookmarkStart w:id="41" w:name="_Toc19802"/>
      <w:bookmarkStart w:id="42" w:name="_Toc482188561"/>
      <w:r>
        <w:rPr>
          <w:rFonts w:ascii="Times New Roman"/>
          <w:color w:val="auto"/>
          <w:highlight w:val="none"/>
        </w:rPr>
        <w:t>2</w:t>
      </w:r>
      <w:bookmarkEnd w:id="34"/>
      <w:bookmarkEnd w:id="35"/>
      <w:bookmarkEnd w:id="36"/>
      <w:bookmarkEnd w:id="37"/>
      <w:bookmarkEnd w:id="38"/>
      <w:bookmarkEnd w:id="39"/>
      <w:bookmarkEnd w:id="40"/>
      <w:r>
        <w:rPr>
          <w:rFonts w:ascii="Times New Roman"/>
          <w:color w:val="auto"/>
          <w:highlight w:val="none"/>
        </w:rPr>
        <w:t>.2</w:t>
      </w:r>
      <w:bookmarkStart w:id="43" w:name="_Toc247514050"/>
      <w:bookmarkStart w:id="44" w:name="_Toc247527651"/>
      <w:bookmarkStart w:id="45" w:name="_Toc300835049"/>
      <w:bookmarkStart w:id="46" w:name="_Toc385942919"/>
      <w:bookmarkStart w:id="47" w:name="_Toc247514053"/>
      <w:bookmarkStart w:id="48" w:name="_Toc370281723"/>
      <w:bookmarkStart w:id="49" w:name="_Toc247527654"/>
      <w:bookmarkStart w:id="50" w:name="_Toc300835052"/>
      <w:r>
        <w:rPr>
          <w:rFonts w:ascii="Times New Roman"/>
          <w:color w:val="auto"/>
          <w:highlight w:val="none"/>
        </w:rPr>
        <w:t xml:space="preserve"> </w:t>
      </w:r>
      <w:r>
        <w:rPr>
          <w:rFonts w:hint="eastAsia" w:ascii="Times New Roman"/>
          <w:color w:val="auto"/>
          <w:highlight w:val="none"/>
        </w:rPr>
        <w:t>发出开始</w:t>
      </w:r>
      <w:r>
        <w:rPr>
          <w:rFonts w:hint="eastAsia" w:ascii="Times New Roman"/>
          <w:color w:val="auto"/>
          <w:szCs w:val="21"/>
          <w:highlight w:val="none"/>
        </w:rPr>
        <w:t>监理</w:t>
      </w:r>
      <w:r>
        <w:rPr>
          <w:rFonts w:hint="eastAsia" w:ascii="Times New Roman"/>
          <w:color w:val="auto"/>
          <w:highlight w:val="none"/>
        </w:rPr>
        <w:t>通</w:t>
      </w:r>
      <w:bookmarkEnd w:id="43"/>
      <w:bookmarkEnd w:id="44"/>
      <w:bookmarkEnd w:id="45"/>
      <w:r>
        <w:rPr>
          <w:rFonts w:hint="eastAsia" w:ascii="Times New Roman"/>
          <w:color w:val="auto"/>
          <w:highlight w:val="none"/>
        </w:rPr>
        <w:t>知</w:t>
      </w:r>
      <w:bookmarkEnd w:id="41"/>
      <w:bookmarkEnd w:id="42"/>
    </w:p>
    <w:p w14:paraId="69A8DCF7">
      <w:pPr>
        <w:spacing w:line="360" w:lineRule="auto"/>
        <w:ind w:firstLine="420" w:firstLineChars="200"/>
        <w:rPr>
          <w:color w:val="auto"/>
          <w:szCs w:val="21"/>
          <w:highlight w:val="none"/>
        </w:rPr>
      </w:pPr>
      <w:r>
        <w:rPr>
          <w:color w:val="auto"/>
          <w:szCs w:val="21"/>
          <w:highlight w:val="none"/>
        </w:rPr>
        <w:t>委托人应按第</w:t>
      </w:r>
      <w:r>
        <w:rPr>
          <w:rFonts w:hint="eastAsia"/>
          <w:color w:val="auto"/>
          <w:szCs w:val="21"/>
          <w:highlight w:val="none"/>
        </w:rPr>
        <w:t>6</w:t>
      </w:r>
      <w:r>
        <w:rPr>
          <w:color w:val="auto"/>
          <w:szCs w:val="21"/>
          <w:highlight w:val="none"/>
        </w:rPr>
        <w:t>.1款的约定向</w:t>
      </w:r>
      <w:r>
        <w:rPr>
          <w:rFonts w:hint="eastAsia"/>
          <w:color w:val="auto"/>
          <w:szCs w:val="21"/>
          <w:highlight w:val="none"/>
        </w:rPr>
        <w:t>监理</w:t>
      </w:r>
      <w:r>
        <w:rPr>
          <w:color w:val="auto"/>
          <w:szCs w:val="21"/>
          <w:highlight w:val="none"/>
        </w:rPr>
        <w:t>人发出开始</w:t>
      </w:r>
      <w:r>
        <w:rPr>
          <w:rFonts w:hint="eastAsia"/>
          <w:color w:val="auto"/>
          <w:szCs w:val="21"/>
          <w:highlight w:val="none"/>
        </w:rPr>
        <w:t>监理</w:t>
      </w:r>
      <w:r>
        <w:rPr>
          <w:color w:val="auto"/>
          <w:szCs w:val="21"/>
          <w:highlight w:val="none"/>
        </w:rPr>
        <w:t>通知。</w:t>
      </w:r>
    </w:p>
    <w:p w14:paraId="45C0AE02">
      <w:pPr>
        <w:spacing w:line="360" w:lineRule="auto"/>
        <w:ind w:firstLine="420" w:firstLineChars="200"/>
        <w:rPr>
          <w:color w:val="auto"/>
          <w:szCs w:val="21"/>
          <w:highlight w:val="none"/>
        </w:rPr>
      </w:pPr>
      <w:r>
        <w:rPr>
          <w:rFonts w:ascii="宋体" w:hAnsi="宋体" w:cs="宋体"/>
          <w:color w:val="auto"/>
          <w:highlight w:val="none"/>
        </w:rPr>
        <w:t>除专用合同条款另有约定外，委托人应为监理人的现场人员，在施工期间提供办公房间、办公桌椅、互联网接口、冷暖设施、生活设施、进出现场交通服务和其他便利条件。</w:t>
      </w:r>
    </w:p>
    <w:p w14:paraId="21442D4B">
      <w:pPr>
        <w:pStyle w:val="4"/>
        <w:spacing w:line="240" w:lineRule="auto"/>
        <w:ind w:firstLine="137"/>
        <w:rPr>
          <w:rFonts w:ascii="Times New Roman"/>
          <w:color w:val="auto"/>
          <w:highlight w:val="none"/>
        </w:rPr>
      </w:pPr>
      <w:bookmarkStart w:id="51" w:name="_Toc26639"/>
      <w:bookmarkStart w:id="52" w:name="_Toc482188562"/>
      <w:r>
        <w:rPr>
          <w:rFonts w:ascii="Times New Roman"/>
          <w:color w:val="auto"/>
          <w:highlight w:val="none"/>
        </w:rPr>
        <w:t>2.</w:t>
      </w:r>
      <w:bookmarkStart w:id="53" w:name="_Toc247514052"/>
      <w:bookmarkStart w:id="54" w:name="_Toc300835051"/>
      <w:bookmarkStart w:id="55" w:name="_Toc247527653"/>
      <w:r>
        <w:rPr>
          <w:rFonts w:ascii="Times New Roman"/>
          <w:color w:val="auto"/>
          <w:highlight w:val="none"/>
        </w:rPr>
        <w:t xml:space="preserve">3 </w:t>
      </w:r>
      <w:r>
        <w:rPr>
          <w:rFonts w:hint="eastAsia" w:ascii="Times New Roman"/>
          <w:color w:val="auto"/>
          <w:highlight w:val="none"/>
        </w:rPr>
        <w:t>办理证件</w:t>
      </w:r>
      <w:bookmarkEnd w:id="53"/>
      <w:bookmarkEnd w:id="54"/>
      <w:bookmarkEnd w:id="55"/>
      <w:r>
        <w:rPr>
          <w:rFonts w:hint="eastAsia" w:ascii="Times New Roman"/>
          <w:color w:val="auto"/>
          <w:highlight w:val="none"/>
        </w:rPr>
        <w:t>和批件</w:t>
      </w:r>
      <w:bookmarkEnd w:id="51"/>
      <w:bookmarkEnd w:id="52"/>
    </w:p>
    <w:p w14:paraId="522A72CA">
      <w:pPr>
        <w:spacing w:line="360" w:lineRule="auto"/>
        <w:ind w:firstLine="420" w:firstLineChars="200"/>
        <w:rPr>
          <w:color w:val="auto"/>
          <w:szCs w:val="21"/>
          <w:highlight w:val="none"/>
        </w:rPr>
      </w:pPr>
      <w:r>
        <w:rPr>
          <w:color w:val="auto"/>
          <w:szCs w:val="21"/>
          <w:highlight w:val="none"/>
        </w:rPr>
        <w:t>法律规定和（或）合同约定由委托人负责办理的工程建设项目必须履行的各类审批、核准或备案手续，委托人应当按时办理，</w:t>
      </w:r>
      <w:r>
        <w:rPr>
          <w:rFonts w:hint="eastAsia"/>
          <w:color w:val="auto"/>
          <w:szCs w:val="21"/>
          <w:highlight w:val="none"/>
        </w:rPr>
        <w:t>监理</w:t>
      </w:r>
      <w:r>
        <w:rPr>
          <w:color w:val="auto"/>
          <w:szCs w:val="21"/>
          <w:highlight w:val="none"/>
        </w:rPr>
        <w:t>人应给予必要的协助。</w:t>
      </w:r>
    </w:p>
    <w:p w14:paraId="67C43319">
      <w:pPr>
        <w:spacing w:line="360" w:lineRule="auto"/>
        <w:ind w:firstLine="420" w:firstLineChars="200"/>
        <w:rPr>
          <w:color w:val="auto"/>
          <w:szCs w:val="21"/>
          <w:highlight w:val="none"/>
        </w:rPr>
      </w:pPr>
      <w:r>
        <w:rPr>
          <w:color w:val="auto"/>
          <w:szCs w:val="21"/>
          <w:highlight w:val="none"/>
        </w:rPr>
        <w:t>法律规定和（或）合同约定由</w:t>
      </w:r>
      <w:r>
        <w:rPr>
          <w:rFonts w:hint="eastAsia"/>
          <w:color w:val="auto"/>
          <w:szCs w:val="21"/>
          <w:highlight w:val="none"/>
        </w:rPr>
        <w:t>监理</w:t>
      </w:r>
      <w:r>
        <w:rPr>
          <w:color w:val="auto"/>
          <w:szCs w:val="21"/>
          <w:highlight w:val="none"/>
        </w:rPr>
        <w:t>人负责办理的</w:t>
      </w:r>
      <w:r>
        <w:rPr>
          <w:rFonts w:hint="eastAsia"/>
          <w:color w:val="auto"/>
          <w:szCs w:val="21"/>
          <w:highlight w:val="none"/>
        </w:rPr>
        <w:t>监理</w:t>
      </w:r>
      <w:r>
        <w:rPr>
          <w:color w:val="auto"/>
          <w:szCs w:val="21"/>
          <w:highlight w:val="none"/>
        </w:rPr>
        <w:t>所需的证件和批件，委托人应给予必要的协助。</w:t>
      </w:r>
    </w:p>
    <w:p w14:paraId="39D7D89C">
      <w:pPr>
        <w:pStyle w:val="4"/>
        <w:spacing w:line="240" w:lineRule="auto"/>
        <w:ind w:firstLine="137"/>
        <w:rPr>
          <w:rFonts w:ascii="Times New Roman"/>
          <w:color w:val="auto"/>
          <w:highlight w:val="none"/>
        </w:rPr>
      </w:pPr>
      <w:bookmarkStart w:id="56" w:name="_Toc4073"/>
      <w:bookmarkStart w:id="57" w:name="_Toc482188563"/>
      <w:r>
        <w:rPr>
          <w:rFonts w:ascii="Times New Roman"/>
          <w:color w:val="auto"/>
          <w:highlight w:val="none"/>
        </w:rPr>
        <w:t xml:space="preserve">2.4 </w:t>
      </w:r>
      <w:r>
        <w:rPr>
          <w:rFonts w:hint="eastAsia" w:ascii="Times New Roman"/>
          <w:color w:val="auto"/>
          <w:highlight w:val="none"/>
        </w:rPr>
        <w:t>支付合同价款</w:t>
      </w:r>
      <w:bookmarkEnd w:id="56"/>
      <w:bookmarkEnd w:id="57"/>
    </w:p>
    <w:p w14:paraId="2AD1418B">
      <w:pPr>
        <w:spacing w:line="360" w:lineRule="auto"/>
        <w:ind w:firstLine="420" w:firstLineChars="200"/>
        <w:rPr>
          <w:color w:val="auto"/>
          <w:szCs w:val="21"/>
          <w:highlight w:val="none"/>
        </w:rPr>
      </w:pPr>
      <w:r>
        <w:rPr>
          <w:color w:val="auto"/>
          <w:szCs w:val="21"/>
          <w:highlight w:val="none"/>
        </w:rPr>
        <w:t>委托人应按合同约定向</w:t>
      </w:r>
      <w:r>
        <w:rPr>
          <w:rFonts w:hint="eastAsia"/>
          <w:color w:val="auto"/>
          <w:szCs w:val="21"/>
          <w:highlight w:val="none"/>
        </w:rPr>
        <w:t>监理</w:t>
      </w:r>
      <w:r>
        <w:rPr>
          <w:color w:val="auto"/>
          <w:szCs w:val="21"/>
          <w:highlight w:val="none"/>
        </w:rPr>
        <w:t>人及时支付合同价款。</w:t>
      </w:r>
    </w:p>
    <w:p w14:paraId="5E04C8D1">
      <w:pPr>
        <w:pStyle w:val="4"/>
        <w:spacing w:line="240" w:lineRule="auto"/>
        <w:ind w:firstLine="137"/>
        <w:rPr>
          <w:rFonts w:ascii="Times New Roman"/>
          <w:color w:val="auto"/>
          <w:highlight w:val="none"/>
        </w:rPr>
      </w:pPr>
      <w:bookmarkStart w:id="58" w:name="_Toc474833987"/>
      <w:bookmarkStart w:id="59" w:name="_Toc482188564"/>
      <w:bookmarkStart w:id="60" w:name="_Toc13597"/>
      <w:r>
        <w:rPr>
          <w:rFonts w:ascii="Times New Roman"/>
          <w:color w:val="auto"/>
          <w:highlight w:val="none"/>
        </w:rPr>
        <w:t xml:space="preserve">2.5 </w:t>
      </w:r>
      <w:r>
        <w:rPr>
          <w:rFonts w:hint="eastAsia" w:ascii="Times New Roman"/>
          <w:color w:val="auto"/>
          <w:highlight w:val="none"/>
        </w:rPr>
        <w:t>提供</w:t>
      </w:r>
      <w:r>
        <w:rPr>
          <w:rFonts w:hint="eastAsia" w:ascii="Times New Roman"/>
          <w:color w:val="auto"/>
          <w:szCs w:val="21"/>
          <w:highlight w:val="none"/>
        </w:rPr>
        <w:t>监理</w:t>
      </w:r>
      <w:r>
        <w:rPr>
          <w:rFonts w:hint="eastAsia" w:ascii="Times New Roman"/>
          <w:color w:val="auto"/>
          <w:highlight w:val="none"/>
        </w:rPr>
        <w:t>资料</w:t>
      </w:r>
      <w:bookmarkEnd w:id="58"/>
      <w:bookmarkEnd w:id="59"/>
      <w:bookmarkEnd w:id="60"/>
    </w:p>
    <w:p w14:paraId="05B5BF2E">
      <w:pPr>
        <w:spacing w:line="360" w:lineRule="auto"/>
        <w:ind w:firstLine="420" w:firstLineChars="200"/>
        <w:rPr>
          <w:color w:val="auto"/>
          <w:szCs w:val="21"/>
          <w:highlight w:val="none"/>
        </w:rPr>
      </w:pPr>
      <w:r>
        <w:rPr>
          <w:color w:val="auto"/>
          <w:szCs w:val="21"/>
          <w:highlight w:val="none"/>
        </w:rPr>
        <w:t>委托人应按第1.6.2项的约定向</w:t>
      </w:r>
      <w:r>
        <w:rPr>
          <w:rFonts w:hint="eastAsia"/>
          <w:color w:val="auto"/>
          <w:szCs w:val="21"/>
          <w:highlight w:val="none"/>
        </w:rPr>
        <w:t>监理</w:t>
      </w:r>
      <w:r>
        <w:rPr>
          <w:color w:val="auto"/>
          <w:szCs w:val="21"/>
          <w:highlight w:val="none"/>
        </w:rPr>
        <w:t>人提供</w:t>
      </w:r>
      <w:r>
        <w:rPr>
          <w:rFonts w:hint="eastAsia"/>
          <w:color w:val="auto"/>
          <w:szCs w:val="21"/>
          <w:highlight w:val="none"/>
        </w:rPr>
        <w:t>监理</w:t>
      </w:r>
      <w:r>
        <w:rPr>
          <w:color w:val="auto"/>
          <w:szCs w:val="21"/>
          <w:highlight w:val="none"/>
        </w:rPr>
        <w:t>资料。</w:t>
      </w:r>
    </w:p>
    <w:bookmarkEnd w:id="46"/>
    <w:bookmarkEnd w:id="47"/>
    <w:bookmarkEnd w:id="48"/>
    <w:bookmarkEnd w:id="49"/>
    <w:bookmarkEnd w:id="50"/>
    <w:p w14:paraId="0B8A576D">
      <w:pPr>
        <w:pStyle w:val="4"/>
        <w:spacing w:line="240" w:lineRule="auto"/>
        <w:ind w:firstLine="137"/>
        <w:rPr>
          <w:rFonts w:ascii="Times New Roman"/>
          <w:color w:val="auto"/>
          <w:highlight w:val="none"/>
        </w:rPr>
      </w:pPr>
      <w:bookmarkStart w:id="61" w:name="_Toc8486"/>
      <w:bookmarkStart w:id="62" w:name="_Toc482188565"/>
      <w:r>
        <w:rPr>
          <w:rFonts w:ascii="Times New Roman"/>
          <w:color w:val="auto"/>
          <w:highlight w:val="none"/>
        </w:rPr>
        <w:t xml:space="preserve">2.6 </w:t>
      </w:r>
      <w:r>
        <w:rPr>
          <w:rFonts w:hint="eastAsia" w:ascii="Times New Roman"/>
          <w:color w:val="auto"/>
          <w:highlight w:val="none"/>
        </w:rPr>
        <w:t>其他义务</w:t>
      </w:r>
      <w:bookmarkEnd w:id="61"/>
      <w:bookmarkEnd w:id="62"/>
    </w:p>
    <w:p w14:paraId="6CB81809">
      <w:pPr>
        <w:spacing w:line="360" w:lineRule="auto"/>
        <w:ind w:firstLine="420" w:firstLineChars="200"/>
        <w:rPr>
          <w:color w:val="auto"/>
          <w:szCs w:val="21"/>
          <w:highlight w:val="none"/>
        </w:rPr>
      </w:pPr>
      <w:r>
        <w:rPr>
          <w:color w:val="auto"/>
          <w:szCs w:val="21"/>
          <w:highlight w:val="none"/>
        </w:rPr>
        <w:t>委托人应履行合同约定的其他义务</w:t>
      </w:r>
      <w:bookmarkStart w:id="63" w:name="_Toc385942924"/>
      <w:bookmarkStart w:id="64" w:name="_Toc370281728"/>
      <w:r>
        <w:rPr>
          <w:color w:val="auto"/>
          <w:szCs w:val="21"/>
          <w:highlight w:val="none"/>
        </w:rPr>
        <w:t>。</w:t>
      </w:r>
    </w:p>
    <w:p w14:paraId="3FF7A2B2">
      <w:pPr>
        <w:pStyle w:val="3"/>
        <w:rPr>
          <w:rFonts w:ascii="Times New Roman" w:hAnsi="Times New Roman"/>
          <w:color w:val="auto"/>
          <w:highlight w:val="none"/>
        </w:rPr>
      </w:pPr>
      <w:bookmarkStart w:id="65" w:name="_Toc482188566"/>
      <w:bookmarkStart w:id="66" w:name="_Toc29774"/>
      <w:r>
        <w:rPr>
          <w:rFonts w:ascii="Times New Roman" w:hAnsi="Times New Roman"/>
          <w:color w:val="auto"/>
          <w:highlight w:val="none"/>
        </w:rPr>
        <w:t>3. 委托人管</w:t>
      </w:r>
      <w:bookmarkEnd w:id="63"/>
      <w:bookmarkEnd w:id="64"/>
      <w:r>
        <w:rPr>
          <w:rFonts w:ascii="Times New Roman" w:hAnsi="Times New Roman"/>
          <w:color w:val="auto"/>
          <w:highlight w:val="none"/>
        </w:rPr>
        <w:t>理</w:t>
      </w:r>
      <w:bookmarkEnd w:id="65"/>
      <w:bookmarkEnd w:id="66"/>
    </w:p>
    <w:p w14:paraId="39B42373">
      <w:pPr>
        <w:pStyle w:val="4"/>
        <w:spacing w:line="240" w:lineRule="auto"/>
        <w:ind w:firstLine="137"/>
        <w:rPr>
          <w:rFonts w:ascii="Times New Roman"/>
          <w:color w:val="auto"/>
          <w:highlight w:val="none"/>
        </w:rPr>
      </w:pPr>
      <w:bookmarkStart w:id="67" w:name="_Toc30335"/>
      <w:bookmarkStart w:id="68" w:name="_Toc482188567"/>
      <w:r>
        <w:rPr>
          <w:rFonts w:ascii="Times New Roman"/>
          <w:color w:val="auto"/>
          <w:highlight w:val="none"/>
        </w:rPr>
        <w:t xml:space="preserve">3.1 </w:t>
      </w:r>
      <w:r>
        <w:rPr>
          <w:rFonts w:hint="eastAsia" w:ascii="Times New Roman"/>
          <w:color w:val="auto"/>
          <w:highlight w:val="none"/>
        </w:rPr>
        <w:t>委托人代表</w:t>
      </w:r>
      <w:bookmarkEnd w:id="67"/>
      <w:bookmarkEnd w:id="68"/>
    </w:p>
    <w:p w14:paraId="1314E849">
      <w:pPr>
        <w:spacing w:line="360" w:lineRule="auto"/>
        <w:ind w:firstLine="420" w:firstLineChars="200"/>
        <w:rPr>
          <w:color w:val="auto"/>
          <w:highlight w:val="none"/>
        </w:rPr>
      </w:pPr>
      <w:r>
        <w:rPr>
          <w:color w:val="auto"/>
          <w:highlight w:val="none"/>
        </w:rPr>
        <w:t>3.1.1除专用合同条款</w:t>
      </w:r>
      <w:bookmarkStart w:id="69" w:name="_Toc247527658"/>
      <w:bookmarkStart w:id="70" w:name="_Toc370281729"/>
      <w:bookmarkStart w:id="71" w:name="_Toc385942925"/>
      <w:bookmarkStart w:id="72" w:name="_Toc247514057"/>
      <w:bookmarkStart w:id="73" w:name="_Toc300835055"/>
      <w:r>
        <w:rPr>
          <w:color w:val="auto"/>
          <w:highlight w:val="none"/>
        </w:rPr>
        <w:t>另有约定外，</w:t>
      </w:r>
      <w:bookmarkEnd w:id="69"/>
      <w:bookmarkEnd w:id="70"/>
      <w:bookmarkEnd w:id="71"/>
      <w:bookmarkEnd w:id="72"/>
      <w:bookmarkEnd w:id="73"/>
      <w:r>
        <w:rPr>
          <w:color w:val="auto"/>
          <w:highlight w:val="none"/>
        </w:rPr>
        <w:t>委托人应在合同签订后14天内，将委托人代</w:t>
      </w:r>
      <w:bookmarkStart w:id="74" w:name="_Toc184635100"/>
      <w:bookmarkStart w:id="75" w:name="_Toc247527659"/>
      <w:bookmarkStart w:id="76" w:name="_Toc300835056"/>
      <w:bookmarkStart w:id="77" w:name="_Toc247514058"/>
      <w:r>
        <w:rPr>
          <w:color w:val="auto"/>
          <w:highlight w:val="none"/>
        </w:rPr>
        <w:t>表的姓名、职</w:t>
      </w:r>
      <w:bookmarkEnd w:id="74"/>
      <w:bookmarkEnd w:id="75"/>
      <w:bookmarkEnd w:id="76"/>
      <w:bookmarkEnd w:id="77"/>
      <w:r>
        <w:rPr>
          <w:color w:val="auto"/>
          <w:highlight w:val="none"/>
        </w:rPr>
        <w:t>务、联</w:t>
      </w:r>
      <w:bookmarkStart w:id="78" w:name="_Toc351203511"/>
      <w:r>
        <w:rPr>
          <w:color w:val="auto"/>
          <w:highlight w:val="none"/>
        </w:rPr>
        <w:t>系方式、授权范围和</w:t>
      </w:r>
      <w:bookmarkEnd w:id="78"/>
      <w:r>
        <w:rPr>
          <w:color w:val="auto"/>
          <w:highlight w:val="none"/>
        </w:rPr>
        <w:t>授权期限书面通知</w:t>
      </w:r>
      <w:r>
        <w:rPr>
          <w:rFonts w:hint="eastAsia"/>
          <w:color w:val="auto"/>
          <w:szCs w:val="21"/>
          <w:highlight w:val="none"/>
        </w:rPr>
        <w:t>监理</w:t>
      </w:r>
      <w:r>
        <w:rPr>
          <w:color w:val="auto"/>
          <w:highlight w:val="none"/>
        </w:rPr>
        <w:t>人，由委托人代表在其授权范围和授权期限内，代表委托人行使权利、履行义务和处理合同履行中的具体事宜。委托人代表在授权范围内的行为由委托人承担法律责任。</w:t>
      </w:r>
    </w:p>
    <w:p w14:paraId="26D868ED">
      <w:pPr>
        <w:spacing w:line="360" w:lineRule="auto"/>
        <w:ind w:firstLine="420" w:firstLineChars="200"/>
        <w:rPr>
          <w:color w:val="auto"/>
          <w:highlight w:val="none"/>
        </w:rPr>
      </w:pPr>
      <w:r>
        <w:rPr>
          <w:color w:val="auto"/>
          <w:highlight w:val="none"/>
        </w:rPr>
        <w:t>3.1.2委托人代表违反法律法规、违背职业道德守则或者不按合同约定履行职责及义务，导致合同无法继续正常履行的，</w:t>
      </w:r>
      <w:r>
        <w:rPr>
          <w:rFonts w:hint="eastAsia"/>
          <w:color w:val="auto"/>
          <w:szCs w:val="21"/>
          <w:highlight w:val="none"/>
        </w:rPr>
        <w:t>监理</w:t>
      </w:r>
      <w:r>
        <w:rPr>
          <w:color w:val="auto"/>
          <w:highlight w:val="none"/>
        </w:rPr>
        <w:t>人有权通知委托人更换委托人代表。委托人收到通知后7天内，应当核实完毕并将处理结果通知</w:t>
      </w:r>
      <w:r>
        <w:rPr>
          <w:rFonts w:hint="eastAsia"/>
          <w:color w:val="auto"/>
          <w:szCs w:val="21"/>
          <w:highlight w:val="none"/>
        </w:rPr>
        <w:t>监理</w:t>
      </w:r>
      <w:r>
        <w:rPr>
          <w:color w:val="auto"/>
          <w:highlight w:val="none"/>
        </w:rPr>
        <w:t>人。</w:t>
      </w:r>
    </w:p>
    <w:p w14:paraId="5C1525B7">
      <w:pPr>
        <w:spacing w:line="360" w:lineRule="auto"/>
        <w:ind w:firstLine="420" w:firstLineChars="200"/>
        <w:rPr>
          <w:color w:val="auto"/>
          <w:highlight w:val="none"/>
        </w:rPr>
      </w:pPr>
      <w:r>
        <w:rPr>
          <w:color w:val="auto"/>
          <w:highlight w:val="none"/>
        </w:rPr>
        <w:t>3.1.3 委托人更换委托人代表的，应提前14天将更换人员的姓名、职务、联系方式、授权范围和授权期限书面通知</w:t>
      </w:r>
      <w:r>
        <w:rPr>
          <w:rFonts w:hint="eastAsia"/>
          <w:color w:val="auto"/>
          <w:szCs w:val="21"/>
          <w:highlight w:val="none"/>
        </w:rPr>
        <w:t>监理</w:t>
      </w:r>
      <w:r>
        <w:rPr>
          <w:color w:val="auto"/>
          <w:highlight w:val="none"/>
        </w:rPr>
        <w:t>人。</w:t>
      </w:r>
      <w:r>
        <w:rPr>
          <w:rFonts w:ascii="宋体" w:hAnsi="宋体" w:cs="宋体"/>
          <w:color w:val="auto"/>
          <w:highlight w:val="none"/>
        </w:rPr>
        <w:t xml:space="preserve">委托人代表超过 </w:t>
      </w:r>
      <w:r>
        <w:rPr>
          <w:rFonts w:eastAsia="Times New Roman"/>
          <w:color w:val="auto"/>
          <w:highlight w:val="none"/>
        </w:rPr>
        <w:t xml:space="preserve">2 </w:t>
      </w:r>
      <w:r>
        <w:rPr>
          <w:rFonts w:ascii="宋体" w:hAnsi="宋体" w:cs="宋体"/>
          <w:color w:val="auto"/>
          <w:highlight w:val="none"/>
        </w:rPr>
        <w:t>天不能履行职责的，应委派代表代行其职责，并通知监理人。</w:t>
      </w:r>
    </w:p>
    <w:p w14:paraId="7ED42198">
      <w:pPr>
        <w:pStyle w:val="4"/>
        <w:spacing w:line="240" w:lineRule="auto"/>
        <w:ind w:firstLine="137"/>
        <w:rPr>
          <w:rFonts w:ascii="Times New Roman"/>
          <w:color w:val="auto"/>
          <w:highlight w:val="none"/>
        </w:rPr>
      </w:pPr>
      <w:bookmarkStart w:id="79" w:name="_Toc482188569"/>
      <w:bookmarkStart w:id="80" w:name="_Toc30875"/>
      <w:r>
        <w:rPr>
          <w:rFonts w:ascii="Times New Roman"/>
          <w:color w:val="auto"/>
          <w:highlight w:val="none"/>
        </w:rPr>
        <w:t>3.</w:t>
      </w:r>
      <w:r>
        <w:rPr>
          <w:rFonts w:hint="eastAsia" w:ascii="Times New Roman"/>
          <w:color w:val="auto"/>
          <w:highlight w:val="none"/>
        </w:rPr>
        <w:t>2</w:t>
      </w:r>
      <w:r>
        <w:rPr>
          <w:rFonts w:ascii="Times New Roman"/>
          <w:color w:val="auto"/>
          <w:highlight w:val="none"/>
        </w:rPr>
        <w:t xml:space="preserve"> </w:t>
      </w:r>
      <w:r>
        <w:rPr>
          <w:rFonts w:hint="eastAsia" w:ascii="Times New Roman"/>
          <w:color w:val="auto"/>
          <w:highlight w:val="none"/>
        </w:rPr>
        <w:t>委托人的指示</w:t>
      </w:r>
      <w:bookmarkEnd w:id="79"/>
      <w:bookmarkEnd w:id="80"/>
    </w:p>
    <w:p w14:paraId="2CE74717">
      <w:pPr>
        <w:spacing w:line="360" w:lineRule="auto"/>
        <w:ind w:firstLine="420"/>
        <w:rPr>
          <w:color w:val="auto"/>
          <w:highlight w:val="none"/>
        </w:rPr>
      </w:pPr>
      <w:r>
        <w:rPr>
          <w:color w:val="auto"/>
          <w:highlight w:val="none"/>
        </w:rPr>
        <w:t xml:space="preserve">3.2.1 委托人应按合同约定向监理人发出指示，委托人的指示应盖有委托人单位章，并由委托人代表签字确认。 </w:t>
      </w:r>
    </w:p>
    <w:p w14:paraId="5836E0B8">
      <w:pPr>
        <w:spacing w:line="360" w:lineRule="auto"/>
        <w:ind w:firstLine="420"/>
        <w:rPr>
          <w:color w:val="auto"/>
          <w:highlight w:val="none"/>
        </w:rPr>
      </w:pPr>
      <w:r>
        <w:rPr>
          <w:color w:val="auto"/>
          <w:highlight w:val="none"/>
        </w:rPr>
        <w:t xml:space="preserve">3.2.2 监理人收到委托人作出的指示后应遵照执行。指示构成变更的，应按第 8 条执行。 </w:t>
      </w:r>
    </w:p>
    <w:p w14:paraId="2321A54C">
      <w:pPr>
        <w:spacing w:line="360" w:lineRule="auto"/>
        <w:ind w:firstLine="420"/>
        <w:rPr>
          <w:color w:val="auto"/>
          <w:highlight w:val="none"/>
        </w:rPr>
      </w:pPr>
      <w:r>
        <w:rPr>
          <w:color w:val="auto"/>
          <w:highlight w:val="none"/>
        </w:rPr>
        <w:t xml:space="preserve">3.2.3 在紧急情况下，委托人代表或其授权人员可以当场签发临时书面指示，监理人应遵照执行。委托人代表应在临时书面指示发出后 24 小时内发出书面确认函，逾期未发出书面确认函的，该临时书面指示应被视为委托人的正式指示。 </w:t>
      </w:r>
    </w:p>
    <w:p w14:paraId="234B5C43">
      <w:pPr>
        <w:spacing w:line="360" w:lineRule="auto"/>
        <w:ind w:firstLine="420"/>
        <w:rPr>
          <w:color w:val="auto"/>
          <w:szCs w:val="21"/>
          <w:highlight w:val="none"/>
        </w:rPr>
      </w:pPr>
      <w:r>
        <w:rPr>
          <w:color w:val="auto"/>
          <w:highlight w:val="none"/>
        </w:rPr>
        <w:t>3.2.4 由于委托人未能按合同约定发出指示、指示延误或指示错误而导致监理人费用增加和（或）周期延误的，委托人应承担由此增加的费用和（或）周期延误。</w:t>
      </w:r>
    </w:p>
    <w:p w14:paraId="09230A85">
      <w:pPr>
        <w:pStyle w:val="4"/>
        <w:spacing w:line="240" w:lineRule="auto"/>
        <w:ind w:firstLine="137"/>
        <w:rPr>
          <w:rFonts w:ascii="Times New Roman"/>
          <w:color w:val="auto"/>
          <w:highlight w:val="none"/>
        </w:rPr>
      </w:pPr>
      <w:bookmarkStart w:id="81" w:name="_Toc9517"/>
      <w:bookmarkStart w:id="82" w:name="_Toc482188570"/>
      <w:r>
        <w:rPr>
          <w:rFonts w:ascii="Times New Roman"/>
          <w:color w:val="auto"/>
          <w:highlight w:val="none"/>
        </w:rPr>
        <w:t>3.</w:t>
      </w:r>
      <w:r>
        <w:rPr>
          <w:rFonts w:hint="eastAsia" w:ascii="Times New Roman"/>
          <w:color w:val="auto"/>
          <w:highlight w:val="none"/>
        </w:rPr>
        <w:t>3</w:t>
      </w:r>
      <w:r>
        <w:rPr>
          <w:rFonts w:ascii="Times New Roman"/>
          <w:color w:val="auto"/>
          <w:highlight w:val="none"/>
        </w:rPr>
        <w:t xml:space="preserve"> </w:t>
      </w:r>
      <w:r>
        <w:rPr>
          <w:rFonts w:hint="eastAsia" w:ascii="Times New Roman"/>
          <w:color w:val="auto"/>
          <w:highlight w:val="none"/>
        </w:rPr>
        <w:t>决定或答复</w:t>
      </w:r>
      <w:bookmarkEnd w:id="81"/>
      <w:bookmarkEnd w:id="82"/>
    </w:p>
    <w:p w14:paraId="0F379551">
      <w:pPr>
        <w:spacing w:line="360" w:lineRule="auto"/>
        <w:ind w:firstLine="420" w:firstLineChars="200"/>
        <w:rPr>
          <w:color w:val="auto"/>
          <w:szCs w:val="21"/>
          <w:highlight w:val="none"/>
        </w:rPr>
      </w:pPr>
      <w:bookmarkStart w:id="83" w:name="_Toc370281730"/>
      <w:bookmarkStart w:id="84" w:name="_Toc385942926"/>
      <w:bookmarkStart w:id="85" w:name="_Toc247527665"/>
      <w:bookmarkStart w:id="86" w:name="_Toc247514064"/>
      <w:bookmarkStart w:id="87" w:name="_Toc300835062"/>
      <w:bookmarkStart w:id="88" w:name="_Toc385592088"/>
      <w:bookmarkStart w:id="89" w:name="_Toc184635101"/>
      <w:r>
        <w:rPr>
          <w:color w:val="auto"/>
          <w:szCs w:val="21"/>
          <w:highlight w:val="none"/>
        </w:rPr>
        <w:t xml:space="preserve">3.3.1 委托人在法律允许的范围内有权对监理人的监理工作和/或监理文件作出处理决定，监理人应按照委托人的决定执行，涉及监理服务期限或监理报酬等问题按第 8 条的约定处理。 </w:t>
      </w:r>
    </w:p>
    <w:p w14:paraId="3E2E50F3">
      <w:pPr>
        <w:spacing w:line="360" w:lineRule="auto"/>
        <w:ind w:firstLine="420" w:firstLineChars="200"/>
        <w:rPr>
          <w:color w:val="auto"/>
          <w:szCs w:val="21"/>
          <w:highlight w:val="none"/>
        </w:rPr>
      </w:pPr>
      <w:r>
        <w:rPr>
          <w:color w:val="auto"/>
          <w:szCs w:val="21"/>
          <w:highlight w:val="none"/>
        </w:rPr>
        <w:t>3.3.2 委托人应在专用合同条款约定的时间之内，对监理人书面提出的事项作出书面答复；逾期没有做出答复的，视为已获得委托人的批准。</w:t>
      </w:r>
    </w:p>
    <w:p w14:paraId="100B5CEA">
      <w:pPr>
        <w:pStyle w:val="3"/>
        <w:rPr>
          <w:rFonts w:ascii="Times New Roman" w:hAnsi="Times New Roman"/>
          <w:color w:val="auto"/>
          <w:highlight w:val="none"/>
        </w:rPr>
      </w:pPr>
      <w:bookmarkStart w:id="90" w:name="_Toc24569"/>
      <w:bookmarkStart w:id="91" w:name="_Toc482188571"/>
      <w:r>
        <w:rPr>
          <w:rFonts w:ascii="Times New Roman" w:hAnsi="Times New Roman"/>
          <w:color w:val="auto"/>
          <w:highlight w:val="none"/>
        </w:rPr>
        <w:t xml:space="preserve">4. </w:t>
      </w:r>
      <w:r>
        <w:rPr>
          <w:rFonts w:hint="eastAsia" w:ascii="Times New Roman" w:hAnsi="Times New Roman"/>
          <w:color w:val="auto"/>
          <w:szCs w:val="21"/>
          <w:highlight w:val="none"/>
        </w:rPr>
        <w:t>监理</w:t>
      </w:r>
      <w:r>
        <w:rPr>
          <w:rFonts w:ascii="Times New Roman" w:hAnsi="Times New Roman"/>
          <w:color w:val="auto"/>
          <w:highlight w:val="none"/>
        </w:rPr>
        <w:t>人义务</w:t>
      </w:r>
      <w:bookmarkEnd w:id="90"/>
      <w:bookmarkEnd w:id="91"/>
    </w:p>
    <w:p w14:paraId="35419B5A">
      <w:pPr>
        <w:pStyle w:val="4"/>
        <w:spacing w:line="240" w:lineRule="auto"/>
        <w:ind w:firstLine="137"/>
        <w:rPr>
          <w:rFonts w:ascii="Times New Roman"/>
          <w:color w:val="auto"/>
          <w:highlight w:val="none"/>
        </w:rPr>
      </w:pPr>
      <w:bookmarkStart w:id="92" w:name="_Toc8830"/>
      <w:bookmarkStart w:id="93" w:name="_Toc482188572"/>
      <w:r>
        <w:rPr>
          <w:rFonts w:ascii="Times New Roman"/>
          <w:color w:val="auto"/>
          <w:highlight w:val="none"/>
        </w:rPr>
        <w:t xml:space="preserve">4.1 </w:t>
      </w:r>
      <w:r>
        <w:rPr>
          <w:rFonts w:hint="eastAsia" w:ascii="Times New Roman"/>
          <w:color w:val="auto"/>
          <w:szCs w:val="21"/>
          <w:highlight w:val="none"/>
        </w:rPr>
        <w:t>监理</w:t>
      </w:r>
      <w:r>
        <w:rPr>
          <w:rFonts w:hint="eastAsia" w:ascii="Times New Roman"/>
          <w:color w:val="auto"/>
          <w:highlight w:val="none"/>
        </w:rPr>
        <w:t>人的一般义务</w:t>
      </w:r>
      <w:bookmarkEnd w:id="92"/>
      <w:bookmarkEnd w:id="93"/>
    </w:p>
    <w:p w14:paraId="3867CB82">
      <w:pPr>
        <w:spacing w:line="360" w:lineRule="auto"/>
        <w:ind w:firstLine="422" w:firstLineChars="200"/>
        <w:rPr>
          <w:b/>
          <w:color w:val="auto"/>
          <w:szCs w:val="21"/>
          <w:highlight w:val="none"/>
        </w:rPr>
      </w:pPr>
      <w:r>
        <w:rPr>
          <w:b/>
          <w:color w:val="auto"/>
          <w:highlight w:val="none"/>
        </w:rPr>
        <w:t xml:space="preserve">4.1.1 </w:t>
      </w:r>
      <w:r>
        <w:rPr>
          <w:b/>
          <w:color w:val="auto"/>
          <w:szCs w:val="21"/>
          <w:highlight w:val="none"/>
        </w:rPr>
        <w:t>遵守法律</w:t>
      </w:r>
    </w:p>
    <w:p w14:paraId="2CF73AE9">
      <w:pPr>
        <w:spacing w:line="360" w:lineRule="auto"/>
        <w:ind w:firstLine="420" w:firstLineChars="200"/>
        <w:rPr>
          <w:color w:val="auto"/>
          <w:szCs w:val="21"/>
          <w:highlight w:val="none"/>
        </w:rPr>
      </w:pPr>
      <w:r>
        <w:rPr>
          <w:rFonts w:hint="eastAsia"/>
          <w:color w:val="auto"/>
          <w:szCs w:val="21"/>
          <w:highlight w:val="none"/>
        </w:rPr>
        <w:t>监理</w:t>
      </w:r>
      <w:r>
        <w:rPr>
          <w:color w:val="auto"/>
          <w:szCs w:val="21"/>
          <w:highlight w:val="none"/>
        </w:rPr>
        <w:t>人在履行合同过程中应遵守法律，并保证委托人免于承担因</w:t>
      </w:r>
      <w:bookmarkEnd w:id="83"/>
      <w:bookmarkEnd w:id="84"/>
      <w:bookmarkEnd w:id="85"/>
      <w:bookmarkEnd w:id="86"/>
      <w:bookmarkEnd w:id="87"/>
      <w:bookmarkEnd w:id="88"/>
      <w:bookmarkEnd w:id="89"/>
      <w:r>
        <w:rPr>
          <w:rFonts w:hint="eastAsia"/>
          <w:color w:val="auto"/>
          <w:szCs w:val="21"/>
          <w:highlight w:val="none"/>
        </w:rPr>
        <w:t>监理</w:t>
      </w:r>
      <w:r>
        <w:rPr>
          <w:color w:val="auto"/>
          <w:szCs w:val="21"/>
          <w:highlight w:val="none"/>
        </w:rPr>
        <w:t>人</w:t>
      </w:r>
      <w:bookmarkStart w:id="94" w:name="_Toc300835063"/>
      <w:bookmarkStart w:id="95" w:name="_Toc385942927"/>
      <w:bookmarkStart w:id="96" w:name="_Toc370281731"/>
      <w:bookmarkStart w:id="97" w:name="_Toc247527666"/>
      <w:bookmarkStart w:id="98" w:name="_Toc247514065"/>
      <w:r>
        <w:rPr>
          <w:color w:val="auto"/>
          <w:szCs w:val="21"/>
          <w:highlight w:val="none"/>
        </w:rPr>
        <w:t>违反法律而引起的任何责任。</w:t>
      </w:r>
    </w:p>
    <w:bookmarkEnd w:id="94"/>
    <w:bookmarkEnd w:id="95"/>
    <w:bookmarkEnd w:id="96"/>
    <w:bookmarkEnd w:id="97"/>
    <w:bookmarkEnd w:id="98"/>
    <w:p w14:paraId="6ADD90C6">
      <w:pPr>
        <w:spacing w:line="360" w:lineRule="auto"/>
        <w:ind w:firstLine="422" w:firstLineChars="200"/>
        <w:rPr>
          <w:b/>
          <w:color w:val="auto"/>
          <w:szCs w:val="21"/>
          <w:highlight w:val="none"/>
        </w:rPr>
      </w:pPr>
      <w:r>
        <w:rPr>
          <w:b/>
          <w:color w:val="auto"/>
          <w:highlight w:val="none"/>
        </w:rPr>
        <w:t xml:space="preserve">4.1.2 </w:t>
      </w:r>
      <w:r>
        <w:rPr>
          <w:b/>
          <w:color w:val="auto"/>
          <w:szCs w:val="21"/>
          <w:highlight w:val="none"/>
        </w:rPr>
        <w:t>依法纳税</w:t>
      </w:r>
    </w:p>
    <w:p w14:paraId="657BA3CB">
      <w:pPr>
        <w:spacing w:line="360" w:lineRule="auto"/>
        <w:ind w:firstLine="420" w:firstLineChars="200"/>
        <w:rPr>
          <w:color w:val="auto"/>
          <w:szCs w:val="21"/>
          <w:highlight w:val="none"/>
        </w:rPr>
      </w:pPr>
      <w:r>
        <w:rPr>
          <w:rFonts w:hint="eastAsia"/>
          <w:color w:val="auto"/>
          <w:szCs w:val="21"/>
          <w:highlight w:val="none"/>
        </w:rPr>
        <w:t>监理</w:t>
      </w:r>
      <w:r>
        <w:rPr>
          <w:color w:val="auto"/>
          <w:szCs w:val="21"/>
          <w:highlight w:val="none"/>
        </w:rPr>
        <w:t>人应按有关法律规定纳税，应缴纳的税金（含增值税）包括在合同价格之中。</w:t>
      </w:r>
    </w:p>
    <w:p w14:paraId="041A7C5E">
      <w:pPr>
        <w:spacing w:line="360" w:lineRule="auto"/>
        <w:ind w:firstLine="422" w:firstLineChars="200"/>
        <w:rPr>
          <w:b/>
          <w:color w:val="auto"/>
          <w:szCs w:val="21"/>
          <w:highlight w:val="none"/>
        </w:rPr>
      </w:pPr>
      <w:r>
        <w:rPr>
          <w:b/>
          <w:color w:val="auto"/>
          <w:highlight w:val="none"/>
        </w:rPr>
        <w:t xml:space="preserve">4.1.3 </w:t>
      </w:r>
      <w:r>
        <w:rPr>
          <w:b/>
          <w:color w:val="auto"/>
          <w:szCs w:val="21"/>
          <w:highlight w:val="none"/>
        </w:rPr>
        <w:t>完成全部</w:t>
      </w:r>
      <w:r>
        <w:rPr>
          <w:rFonts w:hint="eastAsia"/>
          <w:b/>
          <w:color w:val="auto"/>
          <w:szCs w:val="21"/>
          <w:highlight w:val="none"/>
        </w:rPr>
        <w:t>监理</w:t>
      </w:r>
      <w:r>
        <w:rPr>
          <w:b/>
          <w:color w:val="auto"/>
          <w:szCs w:val="21"/>
          <w:highlight w:val="none"/>
        </w:rPr>
        <w:t>工作</w:t>
      </w:r>
    </w:p>
    <w:p w14:paraId="40FB867C">
      <w:pPr>
        <w:spacing w:line="360" w:lineRule="auto"/>
        <w:ind w:firstLine="420" w:firstLineChars="200"/>
        <w:rPr>
          <w:color w:val="auto"/>
          <w:szCs w:val="21"/>
          <w:highlight w:val="none"/>
        </w:rPr>
      </w:pPr>
      <w:r>
        <w:rPr>
          <w:color w:val="auto"/>
          <w:szCs w:val="21"/>
          <w:highlight w:val="none"/>
        </w:rPr>
        <w:t>监理人应按合同约定以及委托人要求，完成合同约定的全部工作，并对工作中的任何缺陷进行整改，使其满足合同约定的目的。</w:t>
      </w:r>
    </w:p>
    <w:p w14:paraId="5B1534FB">
      <w:pPr>
        <w:spacing w:line="360" w:lineRule="auto"/>
        <w:ind w:firstLine="422" w:firstLineChars="200"/>
        <w:rPr>
          <w:b/>
          <w:color w:val="auto"/>
          <w:szCs w:val="21"/>
          <w:highlight w:val="none"/>
        </w:rPr>
      </w:pPr>
      <w:r>
        <w:rPr>
          <w:b/>
          <w:color w:val="auto"/>
          <w:highlight w:val="none"/>
        </w:rPr>
        <w:t>4.1.</w:t>
      </w:r>
      <w:r>
        <w:rPr>
          <w:rFonts w:hint="eastAsia"/>
          <w:b/>
          <w:color w:val="auto"/>
          <w:highlight w:val="none"/>
        </w:rPr>
        <w:t>4</w:t>
      </w:r>
      <w:r>
        <w:rPr>
          <w:b/>
          <w:color w:val="auto"/>
          <w:highlight w:val="none"/>
        </w:rPr>
        <w:t xml:space="preserve"> </w:t>
      </w:r>
      <w:r>
        <w:rPr>
          <w:b/>
          <w:color w:val="auto"/>
          <w:szCs w:val="21"/>
          <w:highlight w:val="none"/>
        </w:rPr>
        <w:t>其他义务</w:t>
      </w:r>
    </w:p>
    <w:p w14:paraId="0A2B4465">
      <w:pPr>
        <w:spacing w:line="360" w:lineRule="auto"/>
        <w:ind w:firstLine="420" w:firstLineChars="200"/>
        <w:rPr>
          <w:color w:val="auto"/>
          <w:highlight w:val="none"/>
        </w:rPr>
      </w:pPr>
      <w:r>
        <w:rPr>
          <w:rFonts w:hint="eastAsia"/>
          <w:color w:val="auto"/>
          <w:szCs w:val="21"/>
          <w:highlight w:val="none"/>
        </w:rPr>
        <w:t>监理</w:t>
      </w:r>
      <w:r>
        <w:rPr>
          <w:color w:val="auto"/>
          <w:szCs w:val="21"/>
          <w:highlight w:val="none"/>
        </w:rPr>
        <w:t>人应履行合同约定的其他义务。</w:t>
      </w:r>
    </w:p>
    <w:p w14:paraId="5623E55E">
      <w:pPr>
        <w:pStyle w:val="4"/>
        <w:spacing w:line="240" w:lineRule="auto"/>
        <w:ind w:firstLine="137"/>
        <w:rPr>
          <w:rFonts w:ascii="Times New Roman"/>
          <w:color w:val="auto"/>
          <w:highlight w:val="none"/>
        </w:rPr>
      </w:pPr>
      <w:bookmarkStart w:id="99" w:name="_Toc382920065"/>
      <w:bookmarkStart w:id="100" w:name="_Toc485303383"/>
      <w:bookmarkStart w:id="101" w:name="_Toc9444"/>
      <w:bookmarkStart w:id="102" w:name="_Toc13239"/>
      <w:bookmarkStart w:id="103" w:name="_Toc482188573"/>
      <w:bookmarkStart w:id="104" w:name="_Toc300835075"/>
      <w:bookmarkStart w:id="105" w:name="_Toc247514076"/>
      <w:bookmarkStart w:id="106" w:name="_Toc247527677"/>
      <w:bookmarkStart w:id="107" w:name="_Toc300835076"/>
      <w:r>
        <w:rPr>
          <w:rFonts w:ascii="Times New Roman"/>
          <w:color w:val="auto"/>
          <w:highlight w:val="none"/>
        </w:rPr>
        <w:t xml:space="preserve">4.2 </w:t>
      </w:r>
      <w:r>
        <w:rPr>
          <w:rFonts w:hint="eastAsia" w:ascii="Times New Roman"/>
          <w:color w:val="auto"/>
          <w:highlight w:val="none"/>
        </w:rPr>
        <w:t>履约保证金</w:t>
      </w:r>
      <w:bookmarkEnd w:id="99"/>
      <w:bookmarkEnd w:id="100"/>
      <w:bookmarkEnd w:id="101"/>
      <w:bookmarkEnd w:id="102"/>
    </w:p>
    <w:p w14:paraId="62541DCA">
      <w:pPr>
        <w:spacing w:line="360" w:lineRule="auto"/>
        <w:ind w:firstLine="420" w:firstLineChars="200"/>
        <w:rPr>
          <w:color w:val="auto"/>
          <w:szCs w:val="21"/>
          <w:highlight w:val="none"/>
        </w:rPr>
      </w:pPr>
      <w:r>
        <w:rPr>
          <w:rFonts w:hint="eastAsia" w:ascii="宋体" w:hAnsi="宋体" w:cs="宋体"/>
          <w:color w:val="auto"/>
          <w:highlight w:val="none"/>
        </w:rPr>
        <w:t>监理人在合同签订后28日内按照合同价的</w:t>
      </w:r>
      <w:r>
        <w:rPr>
          <w:rFonts w:hint="eastAsia" w:ascii="宋体" w:hAnsi="宋体" w:cs="宋体"/>
          <w:color w:val="auto"/>
          <w:highlight w:val="none"/>
          <w:u w:val="single"/>
        </w:rPr>
        <w:t>10%</w:t>
      </w:r>
      <w:r>
        <w:rPr>
          <w:rFonts w:hint="eastAsia" w:ascii="宋体" w:hAnsi="宋体" w:cs="宋体"/>
          <w:color w:val="auto"/>
          <w:highlight w:val="none"/>
        </w:rPr>
        <w:t>向发包人提交履约担保。履约担保形式：</w:t>
      </w:r>
      <w:r>
        <w:rPr>
          <w:rFonts w:hint="eastAsia" w:ascii="宋体" w:hAnsi="宋体" w:cs="宋体"/>
          <w:color w:val="auto"/>
          <w:highlight w:val="none"/>
          <w:u w:val="single"/>
        </w:rPr>
        <w:t>保函、保险。</w:t>
      </w:r>
      <w:r>
        <w:rPr>
          <w:rFonts w:hint="eastAsia" w:ascii="宋体" w:hAnsi="宋体" w:cs="宋体"/>
          <w:color w:val="auto"/>
          <w:highlight w:val="none"/>
        </w:rPr>
        <w:t>如果监理人不履行合同约定的义务或其履行不符合合同的约定，委托人有权扣划相应金额的履约保证金。</w:t>
      </w:r>
    </w:p>
    <w:bookmarkEnd w:id="103"/>
    <w:p w14:paraId="3D369F85">
      <w:pPr>
        <w:pStyle w:val="4"/>
        <w:spacing w:line="240" w:lineRule="auto"/>
        <w:ind w:firstLine="137"/>
        <w:rPr>
          <w:rFonts w:ascii="Times New Roman"/>
          <w:color w:val="auto"/>
          <w:highlight w:val="none"/>
        </w:rPr>
      </w:pPr>
      <w:bookmarkStart w:id="108" w:name="_Toc6083"/>
      <w:bookmarkStart w:id="109" w:name="_Toc482188574"/>
      <w:r>
        <w:rPr>
          <w:rFonts w:ascii="Times New Roman"/>
          <w:color w:val="auto"/>
          <w:highlight w:val="none"/>
        </w:rPr>
        <w:t>4.</w:t>
      </w:r>
      <w:r>
        <w:rPr>
          <w:rFonts w:hint="eastAsia" w:ascii="Times New Roman"/>
          <w:color w:val="auto"/>
          <w:highlight w:val="none"/>
        </w:rPr>
        <w:t>3</w:t>
      </w:r>
      <w:r>
        <w:rPr>
          <w:rFonts w:ascii="Times New Roman"/>
          <w:color w:val="auto"/>
          <w:highlight w:val="none"/>
        </w:rPr>
        <w:t xml:space="preserve"> </w:t>
      </w:r>
      <w:r>
        <w:rPr>
          <w:rFonts w:hint="eastAsia" w:ascii="Times New Roman"/>
          <w:color w:val="auto"/>
          <w:highlight w:val="none"/>
        </w:rPr>
        <w:t>联合体</w:t>
      </w:r>
      <w:bookmarkEnd w:id="108"/>
      <w:bookmarkEnd w:id="109"/>
    </w:p>
    <w:p w14:paraId="7C1C2F57">
      <w:pPr>
        <w:spacing w:line="360" w:lineRule="auto"/>
        <w:ind w:firstLine="420" w:firstLineChars="200"/>
        <w:rPr>
          <w:color w:val="auto"/>
          <w:highlight w:val="none"/>
        </w:rPr>
      </w:pPr>
      <w:r>
        <w:rPr>
          <w:color w:val="auto"/>
          <w:highlight w:val="none"/>
        </w:rPr>
        <w:t xml:space="preserve">4.3.1 联合体各方应共同与委托人签订合同。联合体各方应为履行合同承担连带责任。 </w:t>
      </w:r>
    </w:p>
    <w:p w14:paraId="38E00146">
      <w:pPr>
        <w:spacing w:line="360" w:lineRule="auto"/>
        <w:ind w:firstLine="420" w:firstLineChars="200"/>
        <w:rPr>
          <w:color w:val="auto"/>
          <w:highlight w:val="none"/>
        </w:rPr>
      </w:pPr>
      <w:r>
        <w:rPr>
          <w:color w:val="auto"/>
          <w:highlight w:val="none"/>
        </w:rPr>
        <w:t xml:space="preserve">4.3.2 联合体协议经委托人确认后作为合同附件。在履行合同过程中，未经委托人同意，不得修改联合体协议。 </w:t>
      </w:r>
    </w:p>
    <w:p w14:paraId="4CE27A8E">
      <w:pPr>
        <w:spacing w:line="360" w:lineRule="auto"/>
        <w:ind w:firstLine="420" w:firstLineChars="200"/>
        <w:rPr>
          <w:color w:val="auto"/>
          <w:szCs w:val="21"/>
          <w:highlight w:val="none"/>
        </w:rPr>
      </w:pPr>
      <w:r>
        <w:rPr>
          <w:color w:val="auto"/>
          <w:highlight w:val="none"/>
        </w:rPr>
        <w:t>4.3.3 联合体牵头人或联合体授权的代表负责与委托人联系，并接受指示，负责组织联合体各成员全面履行合同。</w:t>
      </w:r>
    </w:p>
    <w:p w14:paraId="5A7969D1">
      <w:pPr>
        <w:pStyle w:val="4"/>
        <w:spacing w:line="240" w:lineRule="auto"/>
        <w:ind w:firstLine="137"/>
        <w:rPr>
          <w:rFonts w:ascii="Times New Roman"/>
          <w:color w:val="auto"/>
          <w:highlight w:val="none"/>
        </w:rPr>
      </w:pPr>
      <w:bookmarkStart w:id="110" w:name="_Toc482188575"/>
      <w:bookmarkStart w:id="111" w:name="_Toc2341"/>
      <w:r>
        <w:rPr>
          <w:rFonts w:ascii="Times New Roman"/>
          <w:color w:val="auto"/>
          <w:highlight w:val="none"/>
        </w:rPr>
        <w:t>4.</w:t>
      </w:r>
      <w:r>
        <w:rPr>
          <w:rFonts w:hint="eastAsia" w:ascii="Times New Roman"/>
          <w:color w:val="auto"/>
          <w:highlight w:val="none"/>
        </w:rPr>
        <w:t>4</w:t>
      </w:r>
      <w:r>
        <w:rPr>
          <w:rFonts w:ascii="Times New Roman"/>
          <w:color w:val="auto"/>
          <w:highlight w:val="none"/>
        </w:rPr>
        <w:t xml:space="preserve"> </w:t>
      </w:r>
      <w:r>
        <w:rPr>
          <w:rFonts w:hint="eastAsia" w:ascii="Times New Roman"/>
          <w:color w:val="auto"/>
          <w:highlight w:val="none"/>
        </w:rPr>
        <w:t>总监理工程师</w:t>
      </w:r>
      <w:bookmarkEnd w:id="110"/>
      <w:bookmarkEnd w:id="111"/>
    </w:p>
    <w:p w14:paraId="5D5CA3B6">
      <w:pPr>
        <w:spacing w:line="360" w:lineRule="auto"/>
        <w:ind w:firstLine="420" w:firstLineChars="200"/>
        <w:rPr>
          <w:color w:val="auto"/>
          <w:highlight w:val="none"/>
        </w:rPr>
      </w:pPr>
      <w:bookmarkStart w:id="112" w:name="_Toc482188576"/>
      <w:r>
        <w:rPr>
          <w:color w:val="auto"/>
          <w:highlight w:val="none"/>
        </w:rPr>
        <w:t>4.4.1 监理人应按合同协议书的约定指派总监理工程师，并在约定的期限内到职。监理人更换总监理工程师应事先征得委托人同意，并应在更换 14 天前将拟更换的总监理工程师的姓名和详细资料提交委托人。总监理工程师</w:t>
      </w:r>
      <w:r>
        <w:rPr>
          <w:rFonts w:hint="eastAsia"/>
          <w:color w:val="auto"/>
          <w:highlight w:val="none"/>
          <w:lang w:val="en-US" w:eastAsia="zh-CN"/>
        </w:rPr>
        <w:t>超过</w:t>
      </w:r>
      <w:r>
        <w:rPr>
          <w:color w:val="auto"/>
          <w:highlight w:val="none"/>
        </w:rPr>
        <w:t xml:space="preserve">2 天不能履行职责的，应事先征得委托人同意，并委派代表代行其职责。 </w:t>
      </w:r>
    </w:p>
    <w:p w14:paraId="6CF9DFD8">
      <w:pPr>
        <w:spacing w:line="360" w:lineRule="auto"/>
        <w:ind w:firstLine="420" w:firstLineChars="200"/>
        <w:rPr>
          <w:color w:val="auto"/>
          <w:highlight w:val="none"/>
        </w:rPr>
      </w:pPr>
      <w:r>
        <w:rPr>
          <w:color w:val="auto"/>
          <w:highlight w:val="none"/>
        </w:rPr>
        <w:t xml:space="preserve">4.4.2 总监理工程师应按合同约定以及委托人要求，负责组织合同工作的实施。在情况紧急且无法与委托人取得联系时，可采取保证工程和人员生命财产安全的紧急措施，并在采取措施后 24 小时内向委托人提交书面报告。 </w:t>
      </w:r>
    </w:p>
    <w:p w14:paraId="17D5E5F6">
      <w:pPr>
        <w:spacing w:line="360" w:lineRule="auto"/>
        <w:ind w:firstLine="420" w:firstLineChars="200"/>
        <w:rPr>
          <w:color w:val="auto"/>
          <w:highlight w:val="none"/>
        </w:rPr>
      </w:pPr>
      <w:r>
        <w:rPr>
          <w:color w:val="auto"/>
          <w:highlight w:val="none"/>
        </w:rPr>
        <w:t xml:space="preserve">4.4.3 监理人为履行合同发出的一切函件均应盖有监理人单位章或由监理人授权的项目机构章，并由监理人的总监理工程师签字确认。 </w:t>
      </w:r>
    </w:p>
    <w:p w14:paraId="38766BA6">
      <w:pPr>
        <w:spacing w:line="360" w:lineRule="auto"/>
        <w:ind w:firstLine="420" w:firstLineChars="200"/>
        <w:rPr>
          <w:color w:val="auto"/>
          <w:szCs w:val="21"/>
          <w:highlight w:val="none"/>
        </w:rPr>
      </w:pPr>
      <w:r>
        <w:rPr>
          <w:color w:val="auto"/>
          <w:highlight w:val="none"/>
        </w:rPr>
        <w:t>4.4.4 按照专用合同条款约定，总监理工程师可以授权其下属人员履行其某项职责，但事先应将这些人员的姓名和授权范围书面通知委托人和承包人。</w:t>
      </w:r>
    </w:p>
    <w:p w14:paraId="23E96465">
      <w:pPr>
        <w:pStyle w:val="4"/>
        <w:spacing w:line="240" w:lineRule="auto"/>
        <w:ind w:firstLine="137"/>
        <w:rPr>
          <w:rFonts w:ascii="Times New Roman"/>
          <w:color w:val="auto"/>
          <w:highlight w:val="none"/>
        </w:rPr>
      </w:pPr>
      <w:bookmarkStart w:id="113" w:name="_Toc28272"/>
      <w:r>
        <w:rPr>
          <w:rFonts w:ascii="Times New Roman"/>
          <w:color w:val="auto"/>
          <w:highlight w:val="none"/>
        </w:rPr>
        <w:t>4.</w:t>
      </w:r>
      <w:r>
        <w:rPr>
          <w:rFonts w:hint="eastAsia" w:ascii="Times New Roman"/>
          <w:color w:val="auto"/>
          <w:highlight w:val="none"/>
        </w:rPr>
        <w:t>5</w:t>
      </w:r>
      <w:r>
        <w:rPr>
          <w:rFonts w:ascii="Times New Roman"/>
          <w:color w:val="auto"/>
          <w:highlight w:val="none"/>
        </w:rPr>
        <w:t xml:space="preserve"> </w:t>
      </w:r>
      <w:r>
        <w:rPr>
          <w:rFonts w:hint="eastAsia" w:ascii="Times New Roman"/>
          <w:color w:val="auto"/>
          <w:szCs w:val="21"/>
          <w:highlight w:val="none"/>
        </w:rPr>
        <w:t>监理</w:t>
      </w:r>
      <w:r>
        <w:rPr>
          <w:rFonts w:hint="eastAsia" w:ascii="Times New Roman"/>
          <w:color w:val="auto"/>
          <w:highlight w:val="none"/>
        </w:rPr>
        <w:t>人员的管理</w:t>
      </w:r>
      <w:bookmarkEnd w:id="112"/>
      <w:bookmarkEnd w:id="113"/>
    </w:p>
    <w:p w14:paraId="69AFCB91">
      <w:pPr>
        <w:spacing w:line="360" w:lineRule="auto"/>
        <w:ind w:firstLine="420" w:firstLineChars="200"/>
        <w:rPr>
          <w:color w:val="auto"/>
          <w:highlight w:val="none"/>
        </w:rPr>
      </w:pPr>
      <w:r>
        <w:rPr>
          <w:color w:val="auto"/>
          <w:highlight w:val="none"/>
        </w:rPr>
        <w:t xml:space="preserve">4.5.1 </w:t>
      </w:r>
      <w:r>
        <w:rPr>
          <w:rFonts w:hint="eastAsia"/>
          <w:color w:val="auto"/>
          <w:highlight w:val="none"/>
        </w:rPr>
        <w:t>监理人应在接到开始监理通知之日起 7 天内，向委托人提交监理项目机构以及人员安排的报告，其内容应包括项目机构设置、主要监理人员的名单及资格条件</w:t>
      </w:r>
      <w:r>
        <w:rPr>
          <w:color w:val="auto"/>
          <w:highlight w:val="none"/>
        </w:rPr>
        <w:t xml:space="preserve">。主要监理人员应相对稳定，更换主要监理人员的，应取得委托人的同意,并向委托人提交继任人员的资格、管理经验等资料。总监理工程师的更换，应按照本章第 4.4.1 项规定执行。 </w:t>
      </w:r>
    </w:p>
    <w:p w14:paraId="619DBFFE">
      <w:pPr>
        <w:spacing w:line="360" w:lineRule="auto"/>
        <w:ind w:firstLine="420" w:firstLineChars="200"/>
        <w:rPr>
          <w:color w:val="auto"/>
          <w:highlight w:val="none"/>
        </w:rPr>
      </w:pPr>
      <w:r>
        <w:rPr>
          <w:color w:val="auto"/>
          <w:highlight w:val="none"/>
        </w:rPr>
        <w:t xml:space="preserve">4.5.2 除专用合同条款另有约定外，主要监理人员包括总监理工程师、专业监理工程师等；其他人员包括各专业的监理员、资料员等。 </w:t>
      </w:r>
    </w:p>
    <w:p w14:paraId="5B5EC75D">
      <w:pPr>
        <w:spacing w:line="360" w:lineRule="auto"/>
        <w:ind w:firstLine="420" w:firstLineChars="200"/>
        <w:rPr>
          <w:color w:val="auto"/>
          <w:highlight w:val="none"/>
        </w:rPr>
      </w:pPr>
      <w:r>
        <w:rPr>
          <w:color w:val="auto"/>
          <w:highlight w:val="none"/>
        </w:rPr>
        <w:t xml:space="preserve">4.5.3 监理人应保证其主要监理人员在合同期限内的任何时候，都能按时参加委托人组织的工作会议。 </w:t>
      </w:r>
    </w:p>
    <w:p w14:paraId="7A3E7BF8">
      <w:pPr>
        <w:spacing w:line="360" w:lineRule="auto"/>
        <w:ind w:firstLine="420" w:firstLineChars="200"/>
        <w:rPr>
          <w:color w:val="auto"/>
          <w:szCs w:val="21"/>
          <w:highlight w:val="none"/>
        </w:rPr>
      </w:pPr>
      <w:r>
        <w:rPr>
          <w:color w:val="auto"/>
          <w:highlight w:val="none"/>
        </w:rPr>
        <w:t>4.5.4 国家规定应当持证上岗的工作人员均应持有相应的资格证明，委托人有权随时检查。委托人认为有必要时，可以进行现场考核。</w:t>
      </w:r>
    </w:p>
    <w:p w14:paraId="47E57120">
      <w:pPr>
        <w:pStyle w:val="4"/>
        <w:spacing w:line="240" w:lineRule="auto"/>
        <w:ind w:firstLine="137"/>
        <w:rPr>
          <w:rFonts w:ascii="Times New Roman"/>
          <w:color w:val="auto"/>
          <w:highlight w:val="none"/>
        </w:rPr>
      </w:pPr>
      <w:bookmarkStart w:id="114" w:name="_Toc482188577"/>
      <w:bookmarkStart w:id="115" w:name="_Toc3047"/>
      <w:r>
        <w:rPr>
          <w:rFonts w:ascii="Times New Roman"/>
          <w:color w:val="auto"/>
          <w:highlight w:val="none"/>
        </w:rPr>
        <w:t>4.</w:t>
      </w:r>
      <w:r>
        <w:rPr>
          <w:rFonts w:hint="eastAsia" w:ascii="Times New Roman"/>
          <w:color w:val="auto"/>
          <w:highlight w:val="none"/>
        </w:rPr>
        <w:t>6</w:t>
      </w:r>
      <w:r>
        <w:rPr>
          <w:rFonts w:ascii="Times New Roman"/>
          <w:color w:val="auto"/>
          <w:highlight w:val="none"/>
        </w:rPr>
        <w:t xml:space="preserve"> </w:t>
      </w:r>
      <w:r>
        <w:rPr>
          <w:rFonts w:hint="eastAsia" w:ascii="Times New Roman"/>
          <w:color w:val="auto"/>
          <w:highlight w:val="none"/>
        </w:rPr>
        <w:t>撤换总监理工程师和其他人员</w:t>
      </w:r>
      <w:bookmarkEnd w:id="114"/>
      <w:bookmarkEnd w:id="115"/>
    </w:p>
    <w:p w14:paraId="1CDA1B60">
      <w:pPr>
        <w:spacing w:line="360" w:lineRule="auto"/>
        <w:ind w:firstLine="420" w:firstLineChars="200"/>
        <w:rPr>
          <w:color w:val="auto"/>
          <w:szCs w:val="21"/>
          <w:highlight w:val="none"/>
        </w:rPr>
      </w:pPr>
      <w:r>
        <w:rPr>
          <w:rFonts w:hint="eastAsia"/>
          <w:color w:val="auto"/>
          <w:szCs w:val="21"/>
          <w:highlight w:val="none"/>
        </w:rPr>
        <w:t>监理人应对其总监理工程师和其他人员进行有效管理。委托人要求撤换不能胜任本职工作、行为不端或玩忽职守的总监理工程师和其他人员的，监理人应予以撤换。</w:t>
      </w:r>
    </w:p>
    <w:p w14:paraId="4EF193B8">
      <w:pPr>
        <w:pStyle w:val="4"/>
        <w:spacing w:line="240" w:lineRule="auto"/>
        <w:ind w:firstLine="137"/>
        <w:rPr>
          <w:rFonts w:ascii="Times New Roman"/>
          <w:color w:val="auto"/>
          <w:highlight w:val="none"/>
        </w:rPr>
      </w:pPr>
      <w:bookmarkStart w:id="116" w:name="_Toc482188578"/>
      <w:bookmarkStart w:id="117" w:name="_Toc7787"/>
      <w:r>
        <w:rPr>
          <w:rFonts w:ascii="Times New Roman"/>
          <w:color w:val="auto"/>
          <w:highlight w:val="none"/>
        </w:rPr>
        <w:t>4.</w:t>
      </w:r>
      <w:r>
        <w:rPr>
          <w:rFonts w:hint="eastAsia" w:ascii="Times New Roman"/>
          <w:color w:val="auto"/>
          <w:highlight w:val="none"/>
        </w:rPr>
        <w:t>7</w:t>
      </w:r>
      <w:r>
        <w:rPr>
          <w:rFonts w:ascii="Times New Roman"/>
          <w:color w:val="auto"/>
          <w:highlight w:val="none"/>
        </w:rPr>
        <w:t xml:space="preserve"> </w:t>
      </w:r>
      <w:r>
        <w:rPr>
          <w:rFonts w:hint="eastAsia" w:ascii="Times New Roman"/>
          <w:color w:val="auto"/>
          <w:highlight w:val="none"/>
        </w:rPr>
        <w:t>保障人员的合法权益</w:t>
      </w:r>
      <w:bookmarkEnd w:id="116"/>
      <w:bookmarkEnd w:id="117"/>
    </w:p>
    <w:p w14:paraId="05A5819E">
      <w:pPr>
        <w:spacing w:line="360" w:lineRule="auto"/>
        <w:ind w:firstLine="420" w:firstLineChars="200"/>
        <w:rPr>
          <w:color w:val="auto"/>
          <w:highlight w:val="none"/>
        </w:rPr>
      </w:pPr>
      <w:r>
        <w:rPr>
          <w:color w:val="auto"/>
          <w:highlight w:val="none"/>
        </w:rPr>
        <w:t xml:space="preserve">4.7.1 监理人应与其雇佣的人员签订劳动合同，并按时发放工资。 </w:t>
      </w:r>
    </w:p>
    <w:p w14:paraId="082D4562">
      <w:pPr>
        <w:spacing w:line="360" w:lineRule="auto"/>
        <w:ind w:firstLine="420" w:firstLineChars="200"/>
        <w:rPr>
          <w:color w:val="auto"/>
          <w:highlight w:val="none"/>
        </w:rPr>
      </w:pPr>
      <w:r>
        <w:rPr>
          <w:color w:val="auto"/>
          <w:highlight w:val="none"/>
        </w:rPr>
        <w:t xml:space="preserve">4.7.2 监理人应按劳动法的规定安排工作时间，保证其雇佣人员享有休息和休假的权利。因监理需要占用休假日或延长工作时间的，应不超过法律规定的限度，并按法律规定给予补休或付酬。 </w:t>
      </w:r>
    </w:p>
    <w:p w14:paraId="16F2AFB8">
      <w:pPr>
        <w:spacing w:line="360" w:lineRule="auto"/>
        <w:ind w:firstLine="420" w:firstLineChars="200"/>
        <w:rPr>
          <w:color w:val="auto"/>
          <w:szCs w:val="21"/>
          <w:highlight w:val="none"/>
        </w:rPr>
      </w:pPr>
      <w:r>
        <w:rPr>
          <w:color w:val="auto"/>
          <w:highlight w:val="none"/>
        </w:rPr>
        <w:t>4.7.3 监理人应按有关法律规定和合同约定，为其雇佣人员办理保险。</w:t>
      </w:r>
    </w:p>
    <w:p w14:paraId="597316ED">
      <w:pPr>
        <w:pStyle w:val="4"/>
        <w:spacing w:line="240" w:lineRule="auto"/>
        <w:ind w:firstLine="137"/>
        <w:rPr>
          <w:rFonts w:ascii="Times New Roman"/>
          <w:color w:val="auto"/>
          <w:highlight w:val="none"/>
        </w:rPr>
      </w:pPr>
      <w:bookmarkStart w:id="118" w:name="_Toc27991"/>
      <w:bookmarkStart w:id="119" w:name="_Toc482188579"/>
      <w:r>
        <w:rPr>
          <w:rFonts w:ascii="Times New Roman"/>
          <w:color w:val="auto"/>
          <w:highlight w:val="none"/>
        </w:rPr>
        <w:t>4.</w:t>
      </w:r>
      <w:r>
        <w:rPr>
          <w:rFonts w:hint="eastAsia" w:ascii="Times New Roman"/>
          <w:color w:val="auto"/>
          <w:highlight w:val="none"/>
        </w:rPr>
        <w:t>8</w:t>
      </w:r>
      <w:r>
        <w:rPr>
          <w:rFonts w:ascii="Times New Roman"/>
          <w:color w:val="auto"/>
          <w:highlight w:val="none"/>
        </w:rPr>
        <w:t xml:space="preserve"> </w:t>
      </w:r>
      <w:r>
        <w:rPr>
          <w:rFonts w:hint="eastAsia" w:ascii="Times New Roman"/>
          <w:color w:val="auto"/>
          <w:highlight w:val="none"/>
        </w:rPr>
        <w:t>合同价款应专款专用</w:t>
      </w:r>
      <w:bookmarkEnd w:id="118"/>
      <w:bookmarkEnd w:id="119"/>
    </w:p>
    <w:p w14:paraId="18E4D5C1">
      <w:pPr>
        <w:spacing w:line="360" w:lineRule="auto"/>
        <w:ind w:firstLine="420" w:firstLineChars="200"/>
        <w:rPr>
          <w:color w:val="auto"/>
          <w:szCs w:val="21"/>
          <w:highlight w:val="none"/>
        </w:rPr>
      </w:pPr>
      <w:r>
        <w:rPr>
          <w:color w:val="auto"/>
          <w:szCs w:val="21"/>
          <w:highlight w:val="none"/>
        </w:rPr>
        <w:t>委托人按合同约定支付给</w:t>
      </w:r>
      <w:r>
        <w:rPr>
          <w:rFonts w:hint="eastAsia"/>
          <w:color w:val="auto"/>
          <w:szCs w:val="21"/>
          <w:highlight w:val="none"/>
        </w:rPr>
        <w:t>监理</w:t>
      </w:r>
      <w:r>
        <w:rPr>
          <w:color w:val="auto"/>
          <w:szCs w:val="21"/>
          <w:highlight w:val="none"/>
        </w:rPr>
        <w:t>人的各项价款，应专用于合同</w:t>
      </w:r>
      <w:r>
        <w:rPr>
          <w:rFonts w:hint="eastAsia"/>
          <w:color w:val="auto"/>
          <w:szCs w:val="21"/>
          <w:highlight w:val="none"/>
        </w:rPr>
        <w:t>监理</w:t>
      </w:r>
      <w:r>
        <w:rPr>
          <w:color w:val="auto"/>
          <w:szCs w:val="21"/>
          <w:highlight w:val="none"/>
        </w:rPr>
        <w:t>工作。</w:t>
      </w:r>
    </w:p>
    <w:bookmarkEnd w:id="104"/>
    <w:bookmarkEnd w:id="105"/>
    <w:bookmarkEnd w:id="106"/>
    <w:p w14:paraId="32F53CFA">
      <w:pPr>
        <w:pStyle w:val="3"/>
        <w:rPr>
          <w:rFonts w:ascii="Times New Roman" w:hAnsi="Times New Roman"/>
          <w:color w:val="auto"/>
          <w:highlight w:val="none"/>
        </w:rPr>
      </w:pPr>
      <w:bookmarkStart w:id="120" w:name="_Toc482188580"/>
      <w:bookmarkStart w:id="121" w:name="_Toc22429"/>
      <w:r>
        <w:rPr>
          <w:rFonts w:ascii="Times New Roman" w:hAnsi="Times New Roman"/>
          <w:color w:val="auto"/>
          <w:highlight w:val="none"/>
        </w:rPr>
        <w:t xml:space="preserve">5. </w:t>
      </w:r>
      <w:r>
        <w:rPr>
          <w:rFonts w:hint="eastAsia" w:ascii="Times New Roman" w:hAnsi="Times New Roman"/>
          <w:color w:val="auto"/>
          <w:szCs w:val="21"/>
          <w:highlight w:val="none"/>
        </w:rPr>
        <w:t>监理</w:t>
      </w:r>
      <w:r>
        <w:rPr>
          <w:rFonts w:ascii="Times New Roman" w:hAnsi="Times New Roman"/>
          <w:color w:val="auto"/>
          <w:highlight w:val="none"/>
        </w:rPr>
        <w:t>要求</w:t>
      </w:r>
      <w:bookmarkEnd w:id="120"/>
      <w:bookmarkEnd w:id="121"/>
    </w:p>
    <w:p w14:paraId="5EA7EA92">
      <w:pPr>
        <w:pStyle w:val="4"/>
        <w:spacing w:line="240" w:lineRule="auto"/>
        <w:ind w:firstLine="137"/>
        <w:rPr>
          <w:rFonts w:ascii="Times New Roman"/>
          <w:color w:val="auto"/>
          <w:highlight w:val="none"/>
        </w:rPr>
      </w:pPr>
      <w:bookmarkStart w:id="122" w:name="_Toc5217"/>
      <w:bookmarkStart w:id="123" w:name="_Toc482188581"/>
      <w:r>
        <w:rPr>
          <w:rFonts w:ascii="Times New Roman"/>
          <w:color w:val="auto"/>
          <w:highlight w:val="none"/>
        </w:rPr>
        <w:t>5.1监理范围</w:t>
      </w:r>
      <w:bookmarkEnd w:id="122"/>
      <w:bookmarkEnd w:id="123"/>
    </w:p>
    <w:p w14:paraId="0F177241">
      <w:pPr>
        <w:spacing w:line="360" w:lineRule="auto"/>
        <w:ind w:firstLine="420" w:firstLineChars="200"/>
        <w:rPr>
          <w:color w:val="auto"/>
          <w:szCs w:val="21"/>
          <w:highlight w:val="none"/>
        </w:rPr>
      </w:pPr>
      <w:r>
        <w:rPr>
          <w:color w:val="auto"/>
          <w:szCs w:val="21"/>
          <w:highlight w:val="none"/>
        </w:rPr>
        <w:t xml:space="preserve">5.1.1 本合同的监理范围包括工程范围、阶段范围和工作范围，具体监理范围应当根据三者之间的关联内容进行确定。 </w:t>
      </w:r>
    </w:p>
    <w:p w14:paraId="083B7B17">
      <w:pPr>
        <w:spacing w:line="360" w:lineRule="auto"/>
        <w:ind w:firstLine="420" w:firstLineChars="200"/>
        <w:rPr>
          <w:color w:val="auto"/>
          <w:szCs w:val="21"/>
          <w:highlight w:val="none"/>
        </w:rPr>
      </w:pPr>
      <w:r>
        <w:rPr>
          <w:color w:val="auto"/>
          <w:szCs w:val="21"/>
          <w:highlight w:val="none"/>
        </w:rPr>
        <w:t xml:space="preserve">5.1.2 工程范围指所监理工程的建设内容，具体范围在专用合同条款中约定。 </w:t>
      </w:r>
    </w:p>
    <w:p w14:paraId="53E2226A">
      <w:pPr>
        <w:spacing w:line="360" w:lineRule="auto"/>
        <w:ind w:firstLine="420" w:firstLineChars="200"/>
        <w:rPr>
          <w:color w:val="auto"/>
          <w:szCs w:val="21"/>
          <w:highlight w:val="none"/>
        </w:rPr>
      </w:pPr>
      <w:r>
        <w:rPr>
          <w:color w:val="auto"/>
          <w:szCs w:val="21"/>
          <w:highlight w:val="none"/>
        </w:rPr>
        <w:t xml:space="preserve">5.1.3 阶段范围指工程建设程序中的勘察阶段、设计阶段、施工阶段、缺陷责任期及保修阶段中的一个或者多个阶段，具体范围在专用合同条款中约定。 </w:t>
      </w:r>
    </w:p>
    <w:p w14:paraId="00AF335C">
      <w:pPr>
        <w:spacing w:line="360" w:lineRule="auto"/>
        <w:ind w:firstLine="420" w:firstLineChars="200"/>
        <w:rPr>
          <w:color w:val="auto"/>
          <w:szCs w:val="21"/>
          <w:highlight w:val="none"/>
        </w:rPr>
      </w:pPr>
      <w:r>
        <w:rPr>
          <w:color w:val="auto"/>
          <w:szCs w:val="21"/>
          <w:highlight w:val="none"/>
        </w:rPr>
        <w:t>5.1.4 工作范围指监理工作中的质量控制、进度控制、投资控制、合同管理、信息管理、组织协调和安全监理、环保监理中的一项或者多项工作，具体范围在专用合同条款中约定。</w:t>
      </w:r>
    </w:p>
    <w:p w14:paraId="28E865E7">
      <w:pPr>
        <w:pStyle w:val="4"/>
        <w:spacing w:line="240" w:lineRule="auto"/>
        <w:ind w:firstLine="137"/>
        <w:rPr>
          <w:rFonts w:ascii="Times New Roman"/>
          <w:color w:val="auto"/>
          <w:highlight w:val="none"/>
        </w:rPr>
      </w:pPr>
      <w:bookmarkStart w:id="124" w:name="_Toc10560"/>
      <w:bookmarkStart w:id="125" w:name="_Toc482188582"/>
      <w:r>
        <w:rPr>
          <w:rFonts w:ascii="Times New Roman"/>
          <w:color w:val="auto"/>
          <w:highlight w:val="none"/>
        </w:rPr>
        <w:t xml:space="preserve">5.2 </w:t>
      </w:r>
      <w:r>
        <w:rPr>
          <w:rFonts w:hint="eastAsia" w:ascii="Times New Roman"/>
          <w:color w:val="auto"/>
          <w:szCs w:val="21"/>
          <w:highlight w:val="none"/>
        </w:rPr>
        <w:t>监理</w:t>
      </w:r>
      <w:r>
        <w:rPr>
          <w:rFonts w:hint="eastAsia" w:ascii="Times New Roman"/>
          <w:color w:val="auto"/>
          <w:highlight w:val="none"/>
        </w:rPr>
        <w:t>依据</w:t>
      </w:r>
      <w:bookmarkEnd w:id="124"/>
      <w:bookmarkEnd w:id="125"/>
    </w:p>
    <w:p w14:paraId="02212725">
      <w:pPr>
        <w:spacing w:line="360" w:lineRule="auto"/>
        <w:ind w:firstLine="420" w:firstLineChars="200"/>
        <w:rPr>
          <w:color w:val="auto"/>
          <w:szCs w:val="21"/>
          <w:highlight w:val="none"/>
        </w:rPr>
      </w:pPr>
      <w:r>
        <w:rPr>
          <w:color w:val="auto"/>
          <w:szCs w:val="21"/>
          <w:highlight w:val="none"/>
        </w:rPr>
        <w:t>除专用合同条款另有约定外，本工程的</w:t>
      </w:r>
      <w:r>
        <w:rPr>
          <w:rFonts w:hint="eastAsia"/>
          <w:color w:val="auto"/>
          <w:szCs w:val="21"/>
          <w:highlight w:val="none"/>
        </w:rPr>
        <w:t>监理</w:t>
      </w:r>
      <w:r>
        <w:rPr>
          <w:color w:val="auto"/>
          <w:szCs w:val="21"/>
          <w:highlight w:val="none"/>
        </w:rPr>
        <w:t>依据如下：</w:t>
      </w:r>
    </w:p>
    <w:p w14:paraId="2EEE47F9">
      <w:pPr>
        <w:spacing w:line="360" w:lineRule="auto"/>
        <w:ind w:firstLine="420" w:firstLineChars="200"/>
        <w:rPr>
          <w:color w:val="auto"/>
          <w:szCs w:val="21"/>
          <w:highlight w:val="none"/>
        </w:rPr>
      </w:pPr>
      <w:r>
        <w:rPr>
          <w:color w:val="auto"/>
          <w:szCs w:val="21"/>
          <w:highlight w:val="none"/>
        </w:rPr>
        <w:t>（1）适用的法律、行政法规及部门规章；</w:t>
      </w:r>
    </w:p>
    <w:p w14:paraId="36354425">
      <w:pPr>
        <w:spacing w:line="360" w:lineRule="auto"/>
        <w:ind w:firstLine="420" w:firstLineChars="200"/>
        <w:rPr>
          <w:color w:val="auto"/>
          <w:szCs w:val="21"/>
          <w:highlight w:val="none"/>
        </w:rPr>
      </w:pPr>
      <w:r>
        <w:rPr>
          <w:color w:val="auto"/>
          <w:szCs w:val="21"/>
          <w:highlight w:val="none"/>
        </w:rPr>
        <w:t>（2）与工程有关的规范、标准、规程；</w:t>
      </w:r>
    </w:p>
    <w:p w14:paraId="52BA930A">
      <w:pPr>
        <w:spacing w:line="360" w:lineRule="auto"/>
        <w:ind w:firstLine="420" w:firstLineChars="200"/>
        <w:rPr>
          <w:color w:val="auto"/>
          <w:szCs w:val="21"/>
          <w:highlight w:val="none"/>
        </w:rPr>
      </w:pPr>
      <w:r>
        <w:rPr>
          <w:color w:val="auto"/>
          <w:szCs w:val="21"/>
          <w:highlight w:val="none"/>
        </w:rPr>
        <w:t>（3）</w:t>
      </w:r>
      <w:r>
        <w:rPr>
          <w:rFonts w:ascii="宋体" w:hAnsi="宋体" w:cs="宋体"/>
          <w:color w:val="auto"/>
          <w:highlight w:val="none"/>
        </w:rPr>
        <w:t>工程勘察文件、设计文件及其他文件</w:t>
      </w:r>
      <w:r>
        <w:rPr>
          <w:color w:val="auto"/>
          <w:szCs w:val="21"/>
          <w:highlight w:val="none"/>
        </w:rPr>
        <w:t>；</w:t>
      </w:r>
    </w:p>
    <w:p w14:paraId="40C7968D">
      <w:pPr>
        <w:spacing w:line="360" w:lineRule="auto"/>
        <w:ind w:firstLine="420" w:firstLineChars="200"/>
        <w:rPr>
          <w:color w:val="auto"/>
          <w:szCs w:val="21"/>
          <w:highlight w:val="none"/>
        </w:rPr>
      </w:pPr>
      <w:r>
        <w:rPr>
          <w:color w:val="auto"/>
          <w:szCs w:val="21"/>
          <w:highlight w:val="none"/>
        </w:rPr>
        <w:t>（4）</w:t>
      </w:r>
      <w:r>
        <w:rPr>
          <w:rFonts w:ascii="宋体" w:hAnsi="宋体" w:cs="宋体"/>
          <w:color w:val="auto"/>
          <w:highlight w:val="none"/>
        </w:rPr>
        <w:t>本工程监理的委托合同及补充合同</w:t>
      </w:r>
      <w:r>
        <w:rPr>
          <w:color w:val="auto"/>
          <w:szCs w:val="21"/>
          <w:highlight w:val="none"/>
        </w:rPr>
        <w:t>；</w:t>
      </w:r>
    </w:p>
    <w:p w14:paraId="637305B6">
      <w:pPr>
        <w:spacing w:line="360" w:lineRule="auto"/>
        <w:ind w:firstLine="420" w:firstLineChars="200"/>
        <w:rPr>
          <w:color w:val="auto"/>
          <w:szCs w:val="21"/>
          <w:highlight w:val="none"/>
        </w:rPr>
      </w:pPr>
      <w:r>
        <w:rPr>
          <w:color w:val="auto"/>
          <w:szCs w:val="21"/>
          <w:highlight w:val="none"/>
        </w:rPr>
        <w:t>（5）</w:t>
      </w:r>
      <w:r>
        <w:rPr>
          <w:rFonts w:ascii="宋体" w:hAnsi="宋体" w:cs="宋体"/>
          <w:color w:val="auto"/>
          <w:highlight w:val="none"/>
        </w:rPr>
        <w:t>委托人签订的勘察、设计和施工承包合同</w:t>
      </w:r>
      <w:r>
        <w:rPr>
          <w:color w:val="auto"/>
          <w:szCs w:val="21"/>
          <w:highlight w:val="none"/>
        </w:rPr>
        <w:t>；</w:t>
      </w:r>
    </w:p>
    <w:p w14:paraId="62C98BA2">
      <w:pPr>
        <w:spacing w:line="360" w:lineRule="auto"/>
        <w:ind w:firstLine="420" w:firstLineChars="200"/>
        <w:rPr>
          <w:color w:val="auto"/>
          <w:szCs w:val="21"/>
          <w:highlight w:val="none"/>
        </w:rPr>
      </w:pPr>
      <w:r>
        <w:rPr>
          <w:color w:val="auto"/>
          <w:szCs w:val="21"/>
          <w:highlight w:val="none"/>
        </w:rPr>
        <w:t>（6）合同履行中与</w:t>
      </w:r>
      <w:r>
        <w:rPr>
          <w:rFonts w:hint="eastAsia"/>
          <w:color w:val="auto"/>
          <w:szCs w:val="21"/>
          <w:highlight w:val="none"/>
        </w:rPr>
        <w:t>监理</w:t>
      </w:r>
      <w:r>
        <w:rPr>
          <w:color w:val="auto"/>
          <w:szCs w:val="21"/>
          <w:highlight w:val="none"/>
        </w:rPr>
        <w:t>服务有关的来往函件；</w:t>
      </w:r>
    </w:p>
    <w:p w14:paraId="365749E9">
      <w:pPr>
        <w:spacing w:line="360" w:lineRule="auto"/>
        <w:ind w:firstLine="420" w:firstLineChars="200"/>
        <w:rPr>
          <w:color w:val="auto"/>
          <w:szCs w:val="21"/>
          <w:highlight w:val="none"/>
        </w:rPr>
      </w:pPr>
      <w:r>
        <w:rPr>
          <w:color w:val="auto"/>
          <w:szCs w:val="21"/>
          <w:highlight w:val="none"/>
        </w:rPr>
        <w:t>（7）其他</w:t>
      </w:r>
      <w:r>
        <w:rPr>
          <w:rFonts w:hint="eastAsia"/>
          <w:color w:val="auto"/>
          <w:szCs w:val="21"/>
          <w:highlight w:val="none"/>
        </w:rPr>
        <w:t>监理</w:t>
      </w:r>
      <w:r>
        <w:rPr>
          <w:color w:val="auto"/>
          <w:szCs w:val="21"/>
          <w:highlight w:val="none"/>
        </w:rPr>
        <w:t>依据。</w:t>
      </w:r>
    </w:p>
    <w:p w14:paraId="43D7D18F">
      <w:pPr>
        <w:pStyle w:val="4"/>
        <w:spacing w:line="240" w:lineRule="auto"/>
        <w:ind w:firstLine="137"/>
        <w:rPr>
          <w:rFonts w:ascii="Times New Roman"/>
          <w:color w:val="auto"/>
          <w:highlight w:val="none"/>
        </w:rPr>
      </w:pPr>
      <w:bookmarkStart w:id="126" w:name="_Toc482188583"/>
      <w:bookmarkStart w:id="127" w:name="_Toc3920"/>
      <w:r>
        <w:rPr>
          <w:rFonts w:ascii="Times New Roman"/>
          <w:color w:val="auto"/>
          <w:highlight w:val="none"/>
        </w:rPr>
        <w:t xml:space="preserve">5.3 </w:t>
      </w:r>
      <w:r>
        <w:rPr>
          <w:rFonts w:hint="eastAsia" w:ascii="Times New Roman"/>
          <w:color w:val="auto"/>
          <w:szCs w:val="21"/>
          <w:highlight w:val="none"/>
        </w:rPr>
        <w:t>监理</w:t>
      </w:r>
      <w:bookmarkEnd w:id="126"/>
      <w:r>
        <w:rPr>
          <w:rFonts w:hint="eastAsia" w:ascii="Times New Roman"/>
          <w:color w:val="auto"/>
          <w:highlight w:val="none"/>
        </w:rPr>
        <w:t>内容</w:t>
      </w:r>
      <w:bookmarkEnd w:id="127"/>
    </w:p>
    <w:p w14:paraId="2A9A5338">
      <w:pPr>
        <w:spacing w:line="360" w:lineRule="auto"/>
        <w:ind w:firstLine="420" w:firstLineChars="200"/>
        <w:rPr>
          <w:color w:val="auto"/>
          <w:szCs w:val="21"/>
          <w:highlight w:val="none"/>
        </w:rPr>
      </w:pPr>
      <w:bookmarkStart w:id="128" w:name="_Toc482188584"/>
      <w:r>
        <w:rPr>
          <w:rFonts w:hint="eastAsia"/>
          <w:color w:val="auto"/>
          <w:szCs w:val="21"/>
          <w:highlight w:val="none"/>
        </w:rPr>
        <w:t xml:space="preserve">除专用条件另有约定外，监理工作内容包括： </w:t>
      </w:r>
    </w:p>
    <w:p w14:paraId="2C8B3CAC">
      <w:pPr>
        <w:spacing w:line="360" w:lineRule="auto"/>
        <w:ind w:firstLine="420" w:firstLineChars="200"/>
        <w:rPr>
          <w:color w:val="auto"/>
          <w:szCs w:val="21"/>
          <w:highlight w:val="none"/>
        </w:rPr>
      </w:pPr>
      <w:r>
        <w:rPr>
          <w:rFonts w:hint="eastAsia"/>
          <w:color w:val="auto"/>
          <w:szCs w:val="21"/>
          <w:highlight w:val="none"/>
        </w:rPr>
        <w:t xml:space="preserve">（1）收到工程设计文件后编制监理规划，并在第一次工地会议 7 天前报委托人。根据有关规定和监理工作需要，编制监理实施细则； </w:t>
      </w:r>
    </w:p>
    <w:p w14:paraId="4BEE0B57">
      <w:pPr>
        <w:spacing w:line="360" w:lineRule="auto"/>
        <w:ind w:firstLine="420" w:firstLineChars="200"/>
        <w:rPr>
          <w:color w:val="auto"/>
          <w:szCs w:val="21"/>
          <w:highlight w:val="none"/>
        </w:rPr>
      </w:pPr>
      <w:r>
        <w:rPr>
          <w:rFonts w:hint="eastAsia"/>
          <w:color w:val="auto"/>
          <w:szCs w:val="21"/>
          <w:highlight w:val="none"/>
        </w:rPr>
        <w:t xml:space="preserve">（2）熟悉工程设计文件，并参加由委托人主持的图纸会审和设计交底会议； </w:t>
      </w:r>
    </w:p>
    <w:p w14:paraId="427B330F">
      <w:pPr>
        <w:spacing w:line="360" w:lineRule="auto"/>
        <w:ind w:firstLine="420" w:firstLineChars="200"/>
        <w:rPr>
          <w:color w:val="auto"/>
          <w:szCs w:val="21"/>
          <w:highlight w:val="none"/>
        </w:rPr>
      </w:pPr>
      <w:r>
        <w:rPr>
          <w:rFonts w:hint="eastAsia"/>
          <w:color w:val="auto"/>
          <w:szCs w:val="21"/>
          <w:highlight w:val="none"/>
        </w:rPr>
        <w:t xml:space="preserve">（3）参加由委托人主持的第一次工地会议；主持监理例会并根据工程需要主持或参加专题会议； </w:t>
      </w:r>
    </w:p>
    <w:p w14:paraId="557E7BE1">
      <w:pPr>
        <w:spacing w:line="360" w:lineRule="auto"/>
        <w:ind w:firstLine="420" w:firstLineChars="200"/>
        <w:rPr>
          <w:color w:val="auto"/>
          <w:szCs w:val="21"/>
          <w:highlight w:val="none"/>
        </w:rPr>
      </w:pPr>
      <w:r>
        <w:rPr>
          <w:rFonts w:hint="eastAsia"/>
          <w:color w:val="auto"/>
          <w:szCs w:val="21"/>
          <w:highlight w:val="none"/>
        </w:rPr>
        <w:t xml:space="preserve">（4）审查施工承包人提交的施工组织设计，重点审查其中的质量安全技术措施、专项施工方案与工程建设强制性标准的符合性； </w:t>
      </w:r>
    </w:p>
    <w:p w14:paraId="3881FEAE">
      <w:pPr>
        <w:spacing w:line="360" w:lineRule="auto"/>
        <w:ind w:firstLine="420" w:firstLineChars="200"/>
        <w:rPr>
          <w:color w:val="auto"/>
          <w:szCs w:val="21"/>
          <w:highlight w:val="none"/>
        </w:rPr>
      </w:pPr>
      <w:r>
        <w:rPr>
          <w:rFonts w:hint="eastAsia"/>
          <w:color w:val="auto"/>
          <w:szCs w:val="21"/>
          <w:highlight w:val="none"/>
        </w:rPr>
        <w:t xml:space="preserve">（5）检查施工承包人工程质量、安全生产管理制度及组织机构和人员资格； </w:t>
      </w:r>
    </w:p>
    <w:p w14:paraId="3D307443">
      <w:pPr>
        <w:spacing w:line="360" w:lineRule="auto"/>
        <w:ind w:firstLine="420" w:firstLineChars="200"/>
        <w:rPr>
          <w:color w:val="auto"/>
          <w:szCs w:val="21"/>
          <w:highlight w:val="none"/>
        </w:rPr>
      </w:pPr>
      <w:r>
        <w:rPr>
          <w:rFonts w:hint="eastAsia"/>
          <w:color w:val="auto"/>
          <w:szCs w:val="21"/>
          <w:highlight w:val="none"/>
        </w:rPr>
        <w:t xml:space="preserve">（6）检查施工承包人专职安全生产管理人员的配备情况； </w:t>
      </w:r>
    </w:p>
    <w:p w14:paraId="5DC1B838">
      <w:pPr>
        <w:spacing w:line="360" w:lineRule="auto"/>
        <w:ind w:firstLine="420" w:firstLineChars="200"/>
        <w:rPr>
          <w:color w:val="auto"/>
          <w:szCs w:val="21"/>
          <w:highlight w:val="none"/>
        </w:rPr>
      </w:pPr>
      <w:r>
        <w:rPr>
          <w:rFonts w:hint="eastAsia"/>
          <w:color w:val="auto"/>
          <w:szCs w:val="21"/>
          <w:highlight w:val="none"/>
        </w:rPr>
        <w:t xml:space="preserve">（7）审查施工承包人提交的施工进度计划，核查承包人对施工进度计划的调整； </w:t>
      </w:r>
    </w:p>
    <w:p w14:paraId="6AAB85B2">
      <w:pPr>
        <w:spacing w:line="360" w:lineRule="auto"/>
        <w:ind w:firstLine="420" w:firstLineChars="200"/>
        <w:rPr>
          <w:color w:val="auto"/>
          <w:szCs w:val="21"/>
          <w:highlight w:val="none"/>
        </w:rPr>
      </w:pPr>
      <w:r>
        <w:rPr>
          <w:rFonts w:hint="eastAsia"/>
          <w:color w:val="auto"/>
          <w:szCs w:val="21"/>
          <w:highlight w:val="none"/>
        </w:rPr>
        <w:t xml:space="preserve">（8）检查施工承包人的试验室； </w:t>
      </w:r>
    </w:p>
    <w:p w14:paraId="2B11B187">
      <w:pPr>
        <w:spacing w:line="360" w:lineRule="auto"/>
        <w:ind w:firstLine="420" w:firstLineChars="200"/>
        <w:rPr>
          <w:color w:val="auto"/>
          <w:szCs w:val="21"/>
          <w:highlight w:val="none"/>
        </w:rPr>
      </w:pPr>
      <w:r>
        <w:rPr>
          <w:rFonts w:hint="eastAsia"/>
          <w:color w:val="auto"/>
          <w:szCs w:val="21"/>
          <w:highlight w:val="none"/>
        </w:rPr>
        <w:t xml:space="preserve">（9）审核施工分包人资质条件； </w:t>
      </w:r>
    </w:p>
    <w:p w14:paraId="08305128">
      <w:pPr>
        <w:spacing w:line="360" w:lineRule="auto"/>
        <w:ind w:firstLine="420" w:firstLineChars="200"/>
        <w:rPr>
          <w:color w:val="auto"/>
          <w:szCs w:val="21"/>
          <w:highlight w:val="none"/>
        </w:rPr>
      </w:pPr>
      <w:r>
        <w:rPr>
          <w:rFonts w:hint="eastAsia"/>
          <w:color w:val="auto"/>
          <w:szCs w:val="21"/>
          <w:highlight w:val="none"/>
        </w:rPr>
        <w:t xml:space="preserve">（10）查验施工承包人的施工测量放线成果； </w:t>
      </w:r>
    </w:p>
    <w:p w14:paraId="308EBF74">
      <w:pPr>
        <w:spacing w:line="360" w:lineRule="auto"/>
        <w:ind w:firstLine="420" w:firstLineChars="200"/>
        <w:rPr>
          <w:color w:val="auto"/>
          <w:szCs w:val="21"/>
          <w:highlight w:val="none"/>
        </w:rPr>
      </w:pPr>
      <w:r>
        <w:rPr>
          <w:rFonts w:hint="eastAsia"/>
          <w:color w:val="auto"/>
          <w:szCs w:val="21"/>
          <w:highlight w:val="none"/>
        </w:rPr>
        <w:t xml:space="preserve">（11）审查工程开工条件，对条件具备的签发开工令； </w:t>
      </w:r>
    </w:p>
    <w:p w14:paraId="6BF4DC11">
      <w:pPr>
        <w:spacing w:line="360" w:lineRule="auto"/>
        <w:ind w:firstLine="420" w:firstLineChars="200"/>
        <w:rPr>
          <w:color w:val="auto"/>
          <w:szCs w:val="21"/>
          <w:highlight w:val="none"/>
        </w:rPr>
      </w:pPr>
      <w:r>
        <w:rPr>
          <w:rFonts w:hint="eastAsia"/>
          <w:color w:val="auto"/>
          <w:szCs w:val="21"/>
          <w:highlight w:val="none"/>
        </w:rPr>
        <w:t xml:space="preserve">（12）审查施工承包人报送的工程材料、构配件、设备质量证明文件的有效性和符合性，并按规定对用于工程的材料采取平行检验或见证取样方式进行抽检； </w:t>
      </w:r>
    </w:p>
    <w:p w14:paraId="173612BC">
      <w:pPr>
        <w:spacing w:line="360" w:lineRule="auto"/>
        <w:ind w:firstLine="420" w:firstLineChars="200"/>
        <w:rPr>
          <w:color w:val="auto"/>
          <w:szCs w:val="21"/>
          <w:highlight w:val="none"/>
        </w:rPr>
      </w:pPr>
      <w:r>
        <w:rPr>
          <w:rFonts w:hint="eastAsia"/>
          <w:color w:val="auto"/>
          <w:szCs w:val="21"/>
          <w:highlight w:val="none"/>
        </w:rPr>
        <w:t xml:space="preserve">（13）审核施工承包人提交的工程款支付申请，签发或出具工程款支付证书，并报委托人审核、批准； </w:t>
      </w:r>
    </w:p>
    <w:p w14:paraId="23665549">
      <w:pPr>
        <w:spacing w:line="360" w:lineRule="auto"/>
        <w:ind w:firstLine="420" w:firstLineChars="200"/>
        <w:rPr>
          <w:color w:val="auto"/>
          <w:szCs w:val="21"/>
          <w:highlight w:val="none"/>
        </w:rPr>
      </w:pPr>
      <w:r>
        <w:rPr>
          <w:rFonts w:hint="eastAsia"/>
          <w:color w:val="auto"/>
          <w:szCs w:val="21"/>
          <w:highlight w:val="none"/>
        </w:rPr>
        <w:t xml:space="preserve">（14）在巡视、旁站和检验过程中，发现工程质量、施工安全存在事故隐患的，要求施工承包人整改并报委托人； </w:t>
      </w:r>
    </w:p>
    <w:p w14:paraId="147620FC">
      <w:pPr>
        <w:spacing w:line="360" w:lineRule="auto"/>
        <w:ind w:firstLine="420" w:firstLineChars="200"/>
        <w:rPr>
          <w:color w:val="auto"/>
          <w:szCs w:val="21"/>
          <w:highlight w:val="none"/>
        </w:rPr>
      </w:pPr>
      <w:r>
        <w:rPr>
          <w:rFonts w:hint="eastAsia"/>
          <w:color w:val="auto"/>
          <w:szCs w:val="21"/>
          <w:highlight w:val="none"/>
        </w:rPr>
        <w:t xml:space="preserve">（15）经委托人同意，签发工程暂停令和复工令； </w:t>
      </w:r>
    </w:p>
    <w:p w14:paraId="0C825BE7">
      <w:pPr>
        <w:spacing w:line="360" w:lineRule="auto"/>
        <w:ind w:firstLine="420" w:firstLineChars="200"/>
        <w:rPr>
          <w:color w:val="auto"/>
          <w:szCs w:val="21"/>
          <w:highlight w:val="none"/>
        </w:rPr>
      </w:pPr>
      <w:r>
        <w:rPr>
          <w:rFonts w:hint="eastAsia"/>
          <w:color w:val="auto"/>
          <w:szCs w:val="21"/>
          <w:highlight w:val="none"/>
        </w:rPr>
        <w:t xml:space="preserve">（16）审查施工承包人提交的采用新材料、新工艺、新技术、新设备的论证材料及相关验收标准； </w:t>
      </w:r>
    </w:p>
    <w:p w14:paraId="43FA23CA">
      <w:pPr>
        <w:spacing w:line="360" w:lineRule="auto"/>
        <w:ind w:firstLine="420" w:firstLineChars="200"/>
        <w:rPr>
          <w:color w:val="auto"/>
          <w:szCs w:val="21"/>
          <w:highlight w:val="none"/>
        </w:rPr>
      </w:pPr>
      <w:r>
        <w:rPr>
          <w:rFonts w:hint="eastAsia"/>
          <w:color w:val="auto"/>
          <w:szCs w:val="21"/>
          <w:highlight w:val="none"/>
        </w:rPr>
        <w:t xml:space="preserve">（17）验收隐蔽工程、分部分项工程； </w:t>
      </w:r>
    </w:p>
    <w:p w14:paraId="26B2E4CF">
      <w:pPr>
        <w:spacing w:line="360" w:lineRule="auto"/>
        <w:ind w:firstLine="420" w:firstLineChars="200"/>
        <w:rPr>
          <w:color w:val="auto"/>
          <w:szCs w:val="21"/>
          <w:highlight w:val="none"/>
        </w:rPr>
      </w:pPr>
      <w:r>
        <w:rPr>
          <w:rFonts w:hint="eastAsia"/>
          <w:color w:val="auto"/>
          <w:szCs w:val="21"/>
          <w:highlight w:val="none"/>
        </w:rPr>
        <w:t xml:space="preserve">（18）审查施工承包人提交的工程变更申请，协调处理施工进度调整、费用索赔、合同争议等事项； </w:t>
      </w:r>
    </w:p>
    <w:p w14:paraId="3F11E0BD">
      <w:pPr>
        <w:spacing w:line="360" w:lineRule="auto"/>
        <w:ind w:firstLine="420" w:firstLineChars="200"/>
        <w:rPr>
          <w:color w:val="auto"/>
          <w:szCs w:val="21"/>
          <w:highlight w:val="none"/>
        </w:rPr>
      </w:pPr>
      <w:r>
        <w:rPr>
          <w:rFonts w:hint="eastAsia"/>
          <w:color w:val="auto"/>
          <w:szCs w:val="21"/>
          <w:highlight w:val="none"/>
        </w:rPr>
        <w:t xml:space="preserve">（19）审查施工承包人提交的竣工验收申请，编写工程质量评估报告； </w:t>
      </w:r>
    </w:p>
    <w:p w14:paraId="4258DFEB">
      <w:pPr>
        <w:spacing w:line="360" w:lineRule="auto"/>
        <w:ind w:firstLine="420" w:firstLineChars="200"/>
        <w:rPr>
          <w:color w:val="auto"/>
          <w:szCs w:val="21"/>
          <w:highlight w:val="none"/>
        </w:rPr>
      </w:pPr>
      <w:r>
        <w:rPr>
          <w:rFonts w:hint="eastAsia"/>
          <w:color w:val="auto"/>
          <w:szCs w:val="21"/>
          <w:highlight w:val="none"/>
        </w:rPr>
        <w:t xml:space="preserve">（20）参加工程竣工验收，签署竣工验收意见； </w:t>
      </w:r>
    </w:p>
    <w:p w14:paraId="0B2D1A06">
      <w:pPr>
        <w:spacing w:line="360" w:lineRule="auto"/>
        <w:ind w:firstLine="420" w:firstLineChars="200"/>
        <w:rPr>
          <w:color w:val="auto"/>
          <w:szCs w:val="21"/>
          <w:highlight w:val="none"/>
        </w:rPr>
      </w:pPr>
      <w:r>
        <w:rPr>
          <w:rFonts w:hint="eastAsia"/>
          <w:color w:val="auto"/>
          <w:szCs w:val="21"/>
          <w:highlight w:val="none"/>
        </w:rPr>
        <w:t>（21）审查施工承包人提交的竣工结算申请并报委托人；</w:t>
      </w:r>
    </w:p>
    <w:p w14:paraId="0BC47618">
      <w:pPr>
        <w:spacing w:line="360" w:lineRule="auto"/>
        <w:ind w:firstLine="420" w:firstLineChars="200"/>
        <w:rPr>
          <w:color w:val="auto"/>
          <w:szCs w:val="21"/>
          <w:highlight w:val="none"/>
        </w:rPr>
      </w:pPr>
      <w:r>
        <w:rPr>
          <w:rFonts w:hint="eastAsia"/>
          <w:color w:val="auto"/>
          <w:szCs w:val="21"/>
          <w:highlight w:val="none"/>
        </w:rPr>
        <w:t>（22）编制、整理工程监理归档文件并报委托人。</w:t>
      </w:r>
    </w:p>
    <w:p w14:paraId="06F625DA">
      <w:pPr>
        <w:pStyle w:val="4"/>
        <w:spacing w:line="240" w:lineRule="auto"/>
        <w:ind w:firstLine="137"/>
        <w:rPr>
          <w:rFonts w:ascii="Times New Roman"/>
          <w:color w:val="auto"/>
          <w:highlight w:val="none"/>
        </w:rPr>
      </w:pPr>
      <w:bookmarkStart w:id="129" w:name="_Toc493082662"/>
      <w:bookmarkStart w:id="130" w:name="_Toc7305"/>
      <w:r>
        <w:rPr>
          <w:rFonts w:ascii="Times New Roman"/>
          <w:color w:val="auto"/>
          <w:highlight w:val="none"/>
        </w:rPr>
        <w:t xml:space="preserve">5.4 </w:t>
      </w:r>
      <w:r>
        <w:rPr>
          <w:rFonts w:hint="eastAsia" w:ascii="Times New Roman"/>
          <w:color w:val="auto"/>
          <w:highlight w:val="none"/>
        </w:rPr>
        <w:t>监理</w:t>
      </w:r>
      <w:r>
        <w:rPr>
          <w:rFonts w:ascii="Times New Roman"/>
          <w:color w:val="auto"/>
          <w:highlight w:val="none"/>
        </w:rPr>
        <w:t>要求</w:t>
      </w:r>
      <w:bookmarkEnd w:id="129"/>
      <w:bookmarkEnd w:id="130"/>
    </w:p>
    <w:p w14:paraId="673DE391">
      <w:pPr>
        <w:spacing w:line="360" w:lineRule="auto"/>
        <w:ind w:firstLine="420" w:firstLineChars="200"/>
        <w:rPr>
          <w:color w:val="auto"/>
          <w:szCs w:val="21"/>
          <w:highlight w:val="none"/>
        </w:rPr>
      </w:pPr>
      <w:r>
        <w:rPr>
          <w:color w:val="auto"/>
          <w:szCs w:val="21"/>
          <w:highlight w:val="none"/>
        </w:rPr>
        <w:t xml:space="preserve">5.4.1 监理文件的编制应符合法律、规范标准的强制性规定和委托人要求，相关的监理依据应当完整准确，文件内容和相应数据应当真实可靠。 </w:t>
      </w:r>
    </w:p>
    <w:p w14:paraId="19DA544E">
      <w:pPr>
        <w:spacing w:line="360" w:lineRule="auto"/>
        <w:ind w:firstLine="420" w:firstLineChars="200"/>
        <w:rPr>
          <w:color w:val="auto"/>
          <w:szCs w:val="21"/>
          <w:highlight w:val="none"/>
        </w:rPr>
      </w:pPr>
      <w:r>
        <w:rPr>
          <w:color w:val="auto"/>
          <w:szCs w:val="21"/>
          <w:highlight w:val="none"/>
        </w:rPr>
        <w:t xml:space="preserve">5.4.2 监理文件的深度应满足本阶段相应监理工作的规定要求，满足委托人的下步工作需要，并应符合国家和行业现行规定。 </w:t>
      </w:r>
    </w:p>
    <w:p w14:paraId="79F1A041">
      <w:pPr>
        <w:spacing w:line="360" w:lineRule="auto"/>
        <w:ind w:firstLine="420" w:firstLineChars="200"/>
        <w:rPr>
          <w:color w:val="auto"/>
          <w:highlight w:val="none"/>
        </w:rPr>
      </w:pPr>
      <w:r>
        <w:rPr>
          <w:color w:val="auto"/>
          <w:szCs w:val="21"/>
          <w:highlight w:val="none"/>
        </w:rPr>
        <w:t>5.4.3 本工程监理文件的具体类别、编制要求、编制内容、提交时间和份数等，在专用合同条款中约定。</w:t>
      </w:r>
    </w:p>
    <w:bookmarkEnd w:id="107"/>
    <w:bookmarkEnd w:id="128"/>
    <w:p w14:paraId="7C529632">
      <w:pPr>
        <w:pStyle w:val="3"/>
        <w:rPr>
          <w:rFonts w:ascii="Times New Roman" w:hAnsi="Times New Roman"/>
          <w:color w:val="auto"/>
          <w:highlight w:val="none"/>
        </w:rPr>
      </w:pPr>
      <w:bookmarkStart w:id="131" w:name="_Toc482188591"/>
      <w:bookmarkStart w:id="132" w:name="_Toc28241"/>
      <w:r>
        <w:rPr>
          <w:rFonts w:ascii="Times New Roman" w:hAnsi="Times New Roman"/>
          <w:color w:val="auto"/>
          <w:highlight w:val="none"/>
        </w:rPr>
        <w:t>6. 开始</w:t>
      </w:r>
      <w:r>
        <w:rPr>
          <w:rFonts w:hint="eastAsia" w:ascii="Times New Roman" w:hAnsi="Times New Roman"/>
          <w:color w:val="auto"/>
          <w:highlight w:val="none"/>
        </w:rPr>
        <w:t>监理</w:t>
      </w:r>
      <w:r>
        <w:rPr>
          <w:rFonts w:ascii="Times New Roman" w:hAnsi="Times New Roman"/>
          <w:color w:val="auto"/>
          <w:highlight w:val="none"/>
        </w:rPr>
        <w:t>和完成</w:t>
      </w:r>
      <w:bookmarkEnd w:id="131"/>
      <w:r>
        <w:rPr>
          <w:rFonts w:hint="eastAsia" w:ascii="Times New Roman" w:hAnsi="Times New Roman"/>
          <w:color w:val="auto"/>
          <w:highlight w:val="none"/>
        </w:rPr>
        <w:t>监理</w:t>
      </w:r>
      <w:bookmarkEnd w:id="132"/>
    </w:p>
    <w:p w14:paraId="4107F4A8">
      <w:pPr>
        <w:pStyle w:val="4"/>
        <w:spacing w:line="240" w:lineRule="auto"/>
        <w:ind w:firstLine="137"/>
        <w:rPr>
          <w:rFonts w:ascii="Times New Roman"/>
          <w:color w:val="auto"/>
          <w:highlight w:val="none"/>
        </w:rPr>
      </w:pPr>
      <w:bookmarkStart w:id="133" w:name="_Toc482188592"/>
      <w:bookmarkStart w:id="134" w:name="_Toc9619"/>
      <w:r>
        <w:rPr>
          <w:rFonts w:ascii="Times New Roman"/>
          <w:color w:val="auto"/>
          <w:highlight w:val="none"/>
        </w:rPr>
        <w:t xml:space="preserve">6.1 </w:t>
      </w:r>
      <w:r>
        <w:rPr>
          <w:rFonts w:hint="eastAsia" w:ascii="Times New Roman"/>
          <w:color w:val="auto"/>
          <w:highlight w:val="none"/>
        </w:rPr>
        <w:t>开始</w:t>
      </w:r>
      <w:bookmarkEnd w:id="133"/>
      <w:r>
        <w:rPr>
          <w:rFonts w:hint="eastAsia" w:ascii="Times New Roman"/>
          <w:color w:val="auto"/>
          <w:highlight w:val="none"/>
        </w:rPr>
        <w:t>监理</w:t>
      </w:r>
      <w:bookmarkEnd w:id="134"/>
    </w:p>
    <w:p w14:paraId="3F3C3075">
      <w:pPr>
        <w:spacing w:line="360" w:lineRule="auto"/>
        <w:ind w:firstLine="420" w:firstLineChars="200"/>
        <w:rPr>
          <w:color w:val="auto"/>
          <w:szCs w:val="21"/>
          <w:highlight w:val="none"/>
        </w:rPr>
      </w:pPr>
      <w:bookmarkStart w:id="135" w:name="_Toc247527718"/>
      <w:bookmarkStart w:id="136" w:name="_Toc247514117"/>
      <w:bookmarkStart w:id="137" w:name="_Toc300835120"/>
      <w:r>
        <w:rPr>
          <w:color w:val="auto"/>
          <w:szCs w:val="21"/>
          <w:highlight w:val="none"/>
        </w:rPr>
        <w:t xml:space="preserve">6.1.1 符合专用合同条款约定的开始监理条件的，委托人应提前 7 天向监理人发出开始监理通知。监理服务期限自开始监理通知中载明的开始监理日期起计算。 </w:t>
      </w:r>
    </w:p>
    <w:p w14:paraId="5BD82363">
      <w:pPr>
        <w:spacing w:line="360" w:lineRule="auto"/>
        <w:ind w:firstLine="420" w:firstLineChars="200"/>
        <w:rPr>
          <w:color w:val="auto"/>
          <w:szCs w:val="21"/>
          <w:highlight w:val="none"/>
        </w:rPr>
      </w:pPr>
      <w:r>
        <w:rPr>
          <w:color w:val="auto"/>
          <w:szCs w:val="21"/>
          <w:highlight w:val="none"/>
        </w:rPr>
        <w:t>6.1.2 除专用合同条款另有约定外，因委托人原因造成合同签订之日起 90 天内未能发出开始监理通知的，监理人有权提出价格调整要求，或者解除合同。委托人应当承担由此增加的费用和（或）周期延误。</w:t>
      </w:r>
    </w:p>
    <w:p w14:paraId="40992C79">
      <w:pPr>
        <w:pStyle w:val="4"/>
        <w:spacing w:line="240" w:lineRule="auto"/>
        <w:ind w:firstLine="137"/>
        <w:rPr>
          <w:rFonts w:ascii="Times New Roman"/>
          <w:color w:val="auto"/>
          <w:highlight w:val="none"/>
        </w:rPr>
      </w:pPr>
      <w:bookmarkStart w:id="138" w:name="_Toc482188593"/>
      <w:bookmarkStart w:id="139" w:name="_Toc28458"/>
      <w:r>
        <w:rPr>
          <w:rFonts w:ascii="Times New Roman"/>
          <w:color w:val="auto"/>
          <w:highlight w:val="none"/>
        </w:rPr>
        <w:t xml:space="preserve">6.2 </w:t>
      </w:r>
      <w:r>
        <w:rPr>
          <w:rFonts w:hint="eastAsia" w:ascii="Times New Roman"/>
          <w:color w:val="auto"/>
          <w:highlight w:val="none"/>
        </w:rPr>
        <w:t>监理周期延误</w:t>
      </w:r>
      <w:bookmarkEnd w:id="138"/>
      <w:bookmarkEnd w:id="139"/>
    </w:p>
    <w:bookmarkEnd w:id="135"/>
    <w:bookmarkEnd w:id="136"/>
    <w:bookmarkEnd w:id="137"/>
    <w:p w14:paraId="3498CD5F">
      <w:pPr>
        <w:spacing w:line="360" w:lineRule="auto"/>
        <w:ind w:firstLine="420" w:firstLineChars="200"/>
        <w:rPr>
          <w:color w:val="auto"/>
          <w:szCs w:val="21"/>
          <w:highlight w:val="none"/>
        </w:rPr>
      </w:pPr>
      <w:r>
        <w:rPr>
          <w:color w:val="auto"/>
          <w:szCs w:val="21"/>
          <w:highlight w:val="none"/>
        </w:rPr>
        <w:t xml:space="preserve">在履行合同过程中，由于下列原因造成监理服务期限延误的，委托人应当延长监理服务期限并增加监理报酬，具体方法在专用合同条款中约定。 </w:t>
      </w:r>
    </w:p>
    <w:p w14:paraId="1CCBBA81">
      <w:pPr>
        <w:spacing w:line="360" w:lineRule="auto"/>
        <w:ind w:firstLine="420" w:firstLineChars="200"/>
        <w:rPr>
          <w:color w:val="auto"/>
          <w:szCs w:val="21"/>
          <w:highlight w:val="none"/>
        </w:rPr>
      </w:pPr>
      <w:r>
        <w:rPr>
          <w:rFonts w:hint="eastAsia"/>
          <w:color w:val="auto"/>
          <w:szCs w:val="21"/>
          <w:highlight w:val="none"/>
        </w:rPr>
        <w:t>（1）</w:t>
      </w:r>
      <w:r>
        <w:rPr>
          <w:rFonts w:hint="eastAsia"/>
          <w:color w:val="auto"/>
          <w:szCs w:val="21"/>
          <w:highlight w:val="none"/>
          <w:lang w:val="en-US" w:eastAsia="zh-CN"/>
        </w:rPr>
        <w:t>非因监理人原因造成</w:t>
      </w:r>
      <w:r>
        <w:rPr>
          <w:color w:val="auto"/>
          <w:szCs w:val="21"/>
          <w:highlight w:val="none"/>
        </w:rPr>
        <w:t xml:space="preserve">合同变更； </w:t>
      </w:r>
    </w:p>
    <w:p w14:paraId="5DBF43CC">
      <w:pPr>
        <w:spacing w:line="360" w:lineRule="auto"/>
        <w:ind w:firstLine="420" w:firstLineChars="200"/>
        <w:rPr>
          <w:color w:val="auto"/>
          <w:szCs w:val="21"/>
          <w:highlight w:val="none"/>
        </w:rPr>
      </w:pPr>
      <w:r>
        <w:rPr>
          <w:rFonts w:hint="eastAsia"/>
          <w:color w:val="auto"/>
          <w:szCs w:val="21"/>
          <w:highlight w:val="none"/>
        </w:rPr>
        <w:t>（2）</w:t>
      </w:r>
      <w:r>
        <w:rPr>
          <w:color w:val="auto"/>
          <w:szCs w:val="21"/>
          <w:highlight w:val="none"/>
        </w:rPr>
        <w:t xml:space="preserve">因委托人原因导致的监理工作暂停；  </w:t>
      </w:r>
    </w:p>
    <w:p w14:paraId="04BD3041">
      <w:pPr>
        <w:spacing w:line="360" w:lineRule="auto"/>
        <w:ind w:firstLine="420" w:firstLineChars="200"/>
        <w:rPr>
          <w:color w:val="auto"/>
          <w:szCs w:val="21"/>
          <w:highlight w:val="none"/>
        </w:rPr>
      </w:pPr>
      <w:r>
        <w:rPr>
          <w:rFonts w:hint="eastAsia"/>
          <w:color w:val="auto"/>
          <w:szCs w:val="21"/>
          <w:highlight w:val="none"/>
        </w:rPr>
        <w:t>（3）</w:t>
      </w:r>
      <w:r>
        <w:rPr>
          <w:color w:val="auto"/>
          <w:szCs w:val="21"/>
          <w:highlight w:val="none"/>
        </w:rPr>
        <w:t xml:space="preserve">未按合同约定及时支付监理报酬； </w:t>
      </w:r>
    </w:p>
    <w:p w14:paraId="2694B540">
      <w:pPr>
        <w:spacing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 xml:space="preserve">未及时履行合同约定的相关义务； </w:t>
      </w:r>
    </w:p>
    <w:p w14:paraId="56C3C94D">
      <w:pPr>
        <w:spacing w:line="360" w:lineRule="auto"/>
        <w:ind w:firstLine="420" w:firstLineChars="200"/>
        <w:rPr>
          <w:color w:val="auto"/>
          <w:szCs w:val="21"/>
          <w:highlight w:val="none"/>
        </w:rPr>
      </w:pPr>
      <w:r>
        <w:rPr>
          <w:rFonts w:hint="eastAsia"/>
          <w:color w:val="auto"/>
          <w:szCs w:val="21"/>
          <w:highlight w:val="none"/>
        </w:rPr>
        <w:t>（5）</w:t>
      </w:r>
      <w:r>
        <w:rPr>
          <w:color w:val="auto"/>
          <w:szCs w:val="21"/>
          <w:highlight w:val="none"/>
        </w:rPr>
        <w:t xml:space="preserve">由于承包人延误、行政管理造成的监理服务期延误； </w:t>
      </w:r>
    </w:p>
    <w:p w14:paraId="4F623EE7">
      <w:pPr>
        <w:spacing w:line="360" w:lineRule="auto"/>
        <w:ind w:firstLine="420" w:firstLineChars="200"/>
        <w:rPr>
          <w:color w:val="auto"/>
          <w:szCs w:val="21"/>
          <w:highlight w:val="none"/>
        </w:rPr>
      </w:pPr>
      <w:r>
        <w:rPr>
          <w:rFonts w:hint="eastAsia"/>
          <w:color w:val="auto"/>
          <w:szCs w:val="21"/>
          <w:highlight w:val="none"/>
        </w:rPr>
        <w:t>（6）</w:t>
      </w:r>
      <w:r>
        <w:rPr>
          <w:color w:val="auto"/>
          <w:szCs w:val="21"/>
          <w:highlight w:val="none"/>
        </w:rPr>
        <w:t>造成监理服务期限延误的其他原因。</w:t>
      </w:r>
    </w:p>
    <w:p w14:paraId="6BF11CB6">
      <w:pPr>
        <w:pStyle w:val="4"/>
        <w:spacing w:line="240" w:lineRule="auto"/>
        <w:ind w:firstLine="137"/>
        <w:rPr>
          <w:rFonts w:ascii="Times New Roman"/>
          <w:color w:val="auto"/>
          <w:highlight w:val="none"/>
        </w:rPr>
      </w:pPr>
      <w:bookmarkStart w:id="140" w:name="_Toc482188597"/>
      <w:bookmarkStart w:id="141" w:name="_Toc9405"/>
      <w:r>
        <w:rPr>
          <w:rFonts w:ascii="Times New Roman"/>
          <w:color w:val="auto"/>
          <w:highlight w:val="none"/>
        </w:rPr>
        <w:t>6.</w:t>
      </w:r>
      <w:r>
        <w:rPr>
          <w:rFonts w:hint="eastAsia" w:ascii="Times New Roman"/>
          <w:color w:val="auto"/>
          <w:highlight w:val="none"/>
        </w:rPr>
        <w:t>3</w:t>
      </w:r>
      <w:r>
        <w:rPr>
          <w:rFonts w:ascii="Times New Roman"/>
          <w:color w:val="auto"/>
          <w:highlight w:val="none"/>
        </w:rPr>
        <w:t xml:space="preserve"> </w:t>
      </w:r>
      <w:r>
        <w:rPr>
          <w:rFonts w:hint="eastAsia" w:ascii="Times New Roman"/>
          <w:color w:val="auto"/>
          <w:highlight w:val="none"/>
        </w:rPr>
        <w:t>完成</w:t>
      </w:r>
      <w:bookmarkEnd w:id="140"/>
      <w:r>
        <w:rPr>
          <w:rFonts w:hint="eastAsia" w:ascii="Times New Roman"/>
          <w:color w:val="auto"/>
          <w:szCs w:val="21"/>
          <w:highlight w:val="none"/>
        </w:rPr>
        <w:t>监理</w:t>
      </w:r>
      <w:bookmarkEnd w:id="141"/>
      <w:r>
        <w:rPr>
          <w:rFonts w:ascii="Times New Roman"/>
          <w:color w:val="auto"/>
          <w:highlight w:val="none"/>
        </w:rPr>
        <w:t xml:space="preserve"> </w:t>
      </w:r>
    </w:p>
    <w:p w14:paraId="3D22FBC0">
      <w:pPr>
        <w:spacing w:line="360" w:lineRule="auto"/>
        <w:ind w:firstLine="420" w:firstLineChars="200"/>
        <w:rPr>
          <w:color w:val="auto"/>
          <w:highlight w:val="none"/>
        </w:rPr>
      </w:pPr>
      <w:r>
        <w:rPr>
          <w:color w:val="auto"/>
          <w:highlight w:val="none"/>
        </w:rPr>
        <w:t xml:space="preserve">6.3.1 监理人应当根据法律、规范标准、合同约定和委托人要求实施和完成监理，并编制和移交监理文件。 </w:t>
      </w:r>
    </w:p>
    <w:p w14:paraId="596D001C">
      <w:pPr>
        <w:spacing w:line="360" w:lineRule="auto"/>
        <w:ind w:firstLine="420" w:firstLineChars="200"/>
        <w:rPr>
          <w:color w:val="auto"/>
          <w:highlight w:val="none"/>
        </w:rPr>
      </w:pPr>
      <w:r>
        <w:rPr>
          <w:color w:val="auto"/>
          <w:highlight w:val="none"/>
        </w:rPr>
        <w:t xml:space="preserve">6.3.2 根据委托人要求或者基于专业能力判断，监理人认为能够提前完成监理的，可向委托人递交一份提前完成监理建议书，包括实施方案、提前时间、监理报酬变动等内容。除专用合同条款另有约定之外，委托人接受建议书的，不因提前完成监理而减少监理报酬；增加监理报酬的，所增费用由委托人承担。 </w:t>
      </w:r>
    </w:p>
    <w:p w14:paraId="317AADFB">
      <w:pPr>
        <w:spacing w:line="360" w:lineRule="auto"/>
        <w:ind w:firstLine="420" w:firstLineChars="200"/>
        <w:rPr>
          <w:color w:val="auto"/>
          <w:highlight w:val="none"/>
        </w:rPr>
      </w:pPr>
      <w:r>
        <w:rPr>
          <w:color w:val="auto"/>
          <w:highlight w:val="none"/>
        </w:rPr>
        <w:t xml:space="preserve">6.3.3 缺陷修复监理指缺陷责任期间，监理人对承包人修复质量缺陷进行的监理。缺陷修复监理的责任由监理人负责。 </w:t>
      </w:r>
    </w:p>
    <w:p w14:paraId="5DC4410C">
      <w:pPr>
        <w:spacing w:line="360" w:lineRule="auto"/>
        <w:ind w:firstLine="420" w:firstLineChars="200"/>
        <w:rPr>
          <w:color w:val="auto"/>
          <w:highlight w:val="none"/>
        </w:rPr>
      </w:pPr>
      <w:r>
        <w:rPr>
          <w:color w:val="auto"/>
          <w:highlight w:val="none"/>
        </w:rPr>
        <w:t xml:space="preserve">6.3.4 委托人应当及时接收监理人提交的监理文件。如无正当理由拒收的，视为委托人已经接收监理文件。接收监理文件时，委托人应向监理人出具文件签收凭证，凭证内容包括文件名称、文件内容、文件形式、份数、提交和接收日期、提交人与接收人的亲笔签名等。 </w:t>
      </w:r>
    </w:p>
    <w:p w14:paraId="2764ECCB">
      <w:pPr>
        <w:spacing w:line="360" w:lineRule="auto"/>
        <w:ind w:firstLine="420" w:firstLineChars="200"/>
        <w:rPr>
          <w:color w:val="auto"/>
          <w:highlight w:val="none"/>
        </w:rPr>
      </w:pPr>
      <w:r>
        <w:rPr>
          <w:color w:val="auto"/>
          <w:highlight w:val="none"/>
        </w:rPr>
        <w:t>6.3.5 除专用合同条款另有约定外，监理文件包括纸质文件和电子文件两种形式，两者若有不一致时，应以纸质文件为准。纸质文件应当加盖单位章和总监理工程师的注册执业印章，具体份数、纸幅、装订格式等要求，应在专用合同条款中约定；电子文件应使用光盘和 U 盘分别贮存。</w:t>
      </w:r>
    </w:p>
    <w:p w14:paraId="35176C94">
      <w:pPr>
        <w:pStyle w:val="3"/>
        <w:rPr>
          <w:rFonts w:ascii="Times New Roman" w:hAnsi="Times New Roman"/>
          <w:color w:val="auto"/>
          <w:highlight w:val="none"/>
        </w:rPr>
      </w:pPr>
      <w:bookmarkStart w:id="142" w:name="_Toc27565"/>
      <w:bookmarkStart w:id="143" w:name="_Toc482188607"/>
      <w:bookmarkStart w:id="144" w:name="_Toc247527728"/>
      <w:bookmarkStart w:id="145" w:name="_Toc247514127"/>
      <w:bookmarkStart w:id="146" w:name="_Toc184635110"/>
      <w:r>
        <w:rPr>
          <w:rFonts w:hint="eastAsia" w:ascii="Times New Roman" w:hAnsi="Times New Roman"/>
          <w:color w:val="auto"/>
          <w:highlight w:val="none"/>
        </w:rPr>
        <w:t>7</w:t>
      </w:r>
      <w:r>
        <w:rPr>
          <w:rFonts w:ascii="Times New Roman" w:hAnsi="Times New Roman"/>
          <w:color w:val="auto"/>
          <w:highlight w:val="none"/>
        </w:rPr>
        <w:t>. 监理责任与保险</w:t>
      </w:r>
      <w:bookmarkEnd w:id="142"/>
      <w:bookmarkEnd w:id="143"/>
    </w:p>
    <w:bookmarkEnd w:id="144"/>
    <w:bookmarkEnd w:id="145"/>
    <w:bookmarkEnd w:id="146"/>
    <w:p w14:paraId="538430E3">
      <w:pPr>
        <w:pStyle w:val="4"/>
        <w:spacing w:line="240" w:lineRule="auto"/>
        <w:ind w:firstLine="137"/>
        <w:rPr>
          <w:rFonts w:ascii="Times New Roman"/>
          <w:color w:val="auto"/>
          <w:highlight w:val="none"/>
        </w:rPr>
      </w:pPr>
      <w:bookmarkStart w:id="147" w:name="_Toc482188610"/>
      <w:bookmarkStart w:id="148" w:name="_Toc17366"/>
      <w:r>
        <w:rPr>
          <w:rFonts w:hint="eastAsia" w:ascii="Times New Roman"/>
          <w:color w:val="auto"/>
          <w:highlight w:val="none"/>
        </w:rPr>
        <w:t>7</w:t>
      </w:r>
      <w:r>
        <w:rPr>
          <w:rFonts w:ascii="Times New Roman"/>
          <w:color w:val="auto"/>
          <w:highlight w:val="none"/>
        </w:rPr>
        <w:t>.</w:t>
      </w:r>
      <w:r>
        <w:rPr>
          <w:rFonts w:hint="eastAsia" w:ascii="Times New Roman"/>
          <w:color w:val="auto"/>
          <w:highlight w:val="none"/>
        </w:rPr>
        <w:t>1</w:t>
      </w:r>
      <w:r>
        <w:rPr>
          <w:rFonts w:ascii="Times New Roman"/>
          <w:color w:val="auto"/>
          <w:highlight w:val="none"/>
        </w:rPr>
        <w:t xml:space="preserve"> 监理</w:t>
      </w:r>
      <w:r>
        <w:rPr>
          <w:rFonts w:hint="eastAsia" w:ascii="Times New Roman"/>
          <w:color w:val="auto"/>
          <w:highlight w:val="none"/>
        </w:rPr>
        <w:t>责任主体</w:t>
      </w:r>
      <w:bookmarkEnd w:id="147"/>
      <w:bookmarkEnd w:id="148"/>
    </w:p>
    <w:p w14:paraId="14E350B8">
      <w:pPr>
        <w:spacing w:line="360" w:lineRule="auto"/>
        <w:ind w:firstLine="420" w:firstLineChars="200"/>
        <w:rPr>
          <w:color w:val="auto"/>
          <w:highlight w:val="none"/>
        </w:rPr>
      </w:pPr>
      <w:r>
        <w:rPr>
          <w:color w:val="auto"/>
          <w:highlight w:val="none"/>
        </w:rPr>
        <w:t xml:space="preserve">7.1.1 监理人应运用一切合理的专业技术、知识技能和项目经验，按照职业道德准则和行业公认标准尽其全部职责，勤勉、谨慎、公正地履行其在本合同项下的责任和义务。 </w:t>
      </w:r>
    </w:p>
    <w:p w14:paraId="51013418">
      <w:pPr>
        <w:spacing w:line="360" w:lineRule="auto"/>
        <w:ind w:firstLine="420" w:firstLineChars="200"/>
        <w:rPr>
          <w:color w:val="auto"/>
          <w:highlight w:val="none"/>
        </w:rPr>
      </w:pPr>
      <w:r>
        <w:rPr>
          <w:color w:val="auto"/>
          <w:highlight w:val="none"/>
        </w:rPr>
        <w:t xml:space="preserve">7.1.2 监理责任为监理单位项目负责人终身责任制。总监理工程师应当按照法律法规、有关技术标准、设计文件和工程承包合同进行监理，对施工质量承担监理责任。 </w:t>
      </w:r>
    </w:p>
    <w:p w14:paraId="6A52C0C4">
      <w:pPr>
        <w:spacing w:line="360" w:lineRule="auto"/>
        <w:ind w:firstLine="420" w:firstLineChars="200"/>
        <w:rPr>
          <w:color w:val="auto"/>
          <w:highlight w:val="none"/>
        </w:rPr>
      </w:pPr>
      <w:r>
        <w:rPr>
          <w:color w:val="auto"/>
          <w:highlight w:val="none"/>
        </w:rPr>
        <w:t>7.1.3 总监理工程师应当在办理工程质量监督手续前签署工程质量终身责任承诺书，连同法定代表人出具的授权书，报工程质量监督机构备案。</w:t>
      </w:r>
    </w:p>
    <w:p w14:paraId="49F2FB48">
      <w:pPr>
        <w:pStyle w:val="4"/>
        <w:spacing w:line="240" w:lineRule="auto"/>
        <w:ind w:firstLine="137"/>
        <w:rPr>
          <w:rFonts w:ascii="Times New Roman"/>
          <w:color w:val="auto"/>
          <w:highlight w:val="none"/>
        </w:rPr>
      </w:pPr>
      <w:bookmarkStart w:id="149" w:name="_Toc482188611"/>
      <w:bookmarkStart w:id="150" w:name="_Toc18596"/>
      <w:r>
        <w:rPr>
          <w:rFonts w:hint="eastAsia" w:ascii="Times New Roman"/>
          <w:color w:val="auto"/>
          <w:highlight w:val="none"/>
        </w:rPr>
        <w:t>7</w:t>
      </w:r>
      <w:r>
        <w:rPr>
          <w:rFonts w:ascii="Times New Roman"/>
          <w:color w:val="auto"/>
          <w:highlight w:val="none"/>
        </w:rPr>
        <w:t>.</w:t>
      </w:r>
      <w:r>
        <w:rPr>
          <w:rFonts w:hint="eastAsia" w:ascii="Times New Roman"/>
          <w:color w:val="auto"/>
          <w:highlight w:val="none"/>
        </w:rPr>
        <w:t>2</w:t>
      </w:r>
      <w:r>
        <w:rPr>
          <w:rFonts w:ascii="Times New Roman"/>
          <w:color w:val="auto"/>
          <w:highlight w:val="none"/>
        </w:rPr>
        <w:t xml:space="preserve"> </w:t>
      </w:r>
      <w:r>
        <w:rPr>
          <w:rFonts w:hint="eastAsia" w:ascii="Times New Roman"/>
          <w:color w:val="auto"/>
          <w:highlight w:val="none"/>
        </w:rPr>
        <w:t>监理责任保险</w:t>
      </w:r>
      <w:bookmarkEnd w:id="149"/>
      <w:bookmarkEnd w:id="150"/>
    </w:p>
    <w:p w14:paraId="60E8C49F">
      <w:pPr>
        <w:spacing w:line="360" w:lineRule="auto"/>
        <w:ind w:firstLine="420" w:firstLineChars="200"/>
        <w:rPr>
          <w:color w:val="auto"/>
          <w:szCs w:val="21"/>
          <w:highlight w:val="none"/>
        </w:rPr>
      </w:pPr>
      <w:r>
        <w:rPr>
          <w:color w:val="auto"/>
          <w:highlight w:val="none"/>
        </w:rPr>
        <w:t>除专用合同条款另有约定外，建议监理人根据工程情况对监理责任进行保险，并在合同履行期间保持足额、有效。</w:t>
      </w:r>
    </w:p>
    <w:p w14:paraId="4A3EC985">
      <w:pPr>
        <w:pStyle w:val="3"/>
        <w:rPr>
          <w:rFonts w:ascii="Times New Roman" w:hAnsi="Times New Roman"/>
          <w:color w:val="auto"/>
          <w:highlight w:val="none"/>
        </w:rPr>
      </w:pPr>
      <w:bookmarkStart w:id="151" w:name="_Toc482188615"/>
      <w:bookmarkStart w:id="152" w:name="_Toc5578"/>
      <w:r>
        <w:rPr>
          <w:rFonts w:hint="eastAsia" w:ascii="Times New Roman" w:hAnsi="Times New Roman"/>
          <w:color w:val="auto"/>
          <w:highlight w:val="none"/>
        </w:rPr>
        <w:t>8</w:t>
      </w:r>
      <w:r>
        <w:rPr>
          <w:rFonts w:ascii="Times New Roman" w:hAnsi="Times New Roman"/>
          <w:color w:val="auto"/>
          <w:highlight w:val="none"/>
        </w:rPr>
        <w:t>. 合同变更</w:t>
      </w:r>
      <w:bookmarkEnd w:id="151"/>
      <w:bookmarkEnd w:id="152"/>
    </w:p>
    <w:p w14:paraId="08639452">
      <w:pPr>
        <w:pStyle w:val="4"/>
        <w:spacing w:line="240" w:lineRule="auto"/>
        <w:ind w:firstLine="137"/>
        <w:rPr>
          <w:rFonts w:ascii="Times New Roman"/>
          <w:color w:val="auto"/>
          <w:highlight w:val="none"/>
        </w:rPr>
      </w:pPr>
      <w:bookmarkStart w:id="153" w:name="_Toc467651025"/>
      <w:bookmarkStart w:id="154" w:name="_Toc20819"/>
      <w:bookmarkStart w:id="155" w:name="_Toc482188616"/>
      <w:r>
        <w:rPr>
          <w:rFonts w:hint="eastAsia" w:ascii="Times New Roman"/>
          <w:color w:val="auto"/>
          <w:highlight w:val="none"/>
        </w:rPr>
        <w:t>8</w:t>
      </w:r>
      <w:r>
        <w:rPr>
          <w:rFonts w:ascii="Times New Roman"/>
          <w:color w:val="auto"/>
          <w:highlight w:val="none"/>
        </w:rPr>
        <w:t xml:space="preserve">.1 </w:t>
      </w:r>
      <w:r>
        <w:rPr>
          <w:rFonts w:hint="eastAsia" w:ascii="Times New Roman"/>
          <w:color w:val="auto"/>
          <w:highlight w:val="none"/>
        </w:rPr>
        <w:t>变更情形</w:t>
      </w:r>
      <w:bookmarkEnd w:id="153"/>
      <w:bookmarkEnd w:id="154"/>
      <w:bookmarkEnd w:id="155"/>
    </w:p>
    <w:p w14:paraId="623B9933">
      <w:pPr>
        <w:spacing w:line="360" w:lineRule="auto"/>
        <w:ind w:firstLine="420" w:firstLineChars="200"/>
        <w:rPr>
          <w:color w:val="auto"/>
          <w:szCs w:val="21"/>
          <w:highlight w:val="none"/>
        </w:rPr>
      </w:pPr>
      <w:r>
        <w:rPr>
          <w:color w:val="auto"/>
          <w:szCs w:val="21"/>
          <w:highlight w:val="none"/>
        </w:rPr>
        <w:t xml:space="preserve">8.1.1 合同履行中发生下述情形时，合同一方均可向对方提出变更请求，经双方协商一致后进行变更，监理服务期限和监理报酬的调整方法在专用合同条款中约定。 </w:t>
      </w:r>
    </w:p>
    <w:p w14:paraId="6F6991B7">
      <w:pPr>
        <w:spacing w:line="360" w:lineRule="auto"/>
        <w:ind w:firstLine="420" w:firstLineChars="200"/>
        <w:rPr>
          <w:color w:val="auto"/>
          <w:szCs w:val="21"/>
          <w:highlight w:val="none"/>
        </w:rPr>
      </w:pPr>
      <w:r>
        <w:rPr>
          <w:rFonts w:hint="eastAsia"/>
          <w:color w:val="auto"/>
          <w:szCs w:val="21"/>
          <w:highlight w:val="none"/>
        </w:rPr>
        <w:t>（1）</w:t>
      </w:r>
      <w:r>
        <w:rPr>
          <w:color w:val="auto"/>
          <w:szCs w:val="21"/>
          <w:highlight w:val="none"/>
        </w:rPr>
        <w:t xml:space="preserve">监理范围发生变化； </w:t>
      </w:r>
    </w:p>
    <w:p w14:paraId="58F580DD">
      <w:pPr>
        <w:spacing w:line="360" w:lineRule="auto"/>
        <w:ind w:firstLine="420" w:firstLineChars="200"/>
        <w:rPr>
          <w:color w:val="auto"/>
          <w:szCs w:val="21"/>
          <w:highlight w:val="none"/>
        </w:rPr>
      </w:pPr>
      <w:r>
        <w:rPr>
          <w:rFonts w:hint="eastAsia"/>
          <w:color w:val="auto"/>
          <w:szCs w:val="21"/>
          <w:highlight w:val="none"/>
        </w:rPr>
        <w:t>（2）</w:t>
      </w:r>
      <w:r>
        <w:rPr>
          <w:color w:val="auto"/>
          <w:szCs w:val="21"/>
          <w:highlight w:val="none"/>
        </w:rPr>
        <w:t>除不可抗力外，非监理人的原因引起的周期延误；</w:t>
      </w:r>
    </w:p>
    <w:p w14:paraId="5CF6F485">
      <w:pPr>
        <w:spacing w:line="360" w:lineRule="auto"/>
        <w:ind w:firstLine="420" w:firstLineChars="200"/>
        <w:rPr>
          <w:color w:val="auto"/>
          <w:szCs w:val="21"/>
          <w:highlight w:val="none"/>
        </w:rPr>
      </w:pPr>
      <w:r>
        <w:rPr>
          <w:color w:val="auto"/>
          <w:szCs w:val="21"/>
          <w:highlight w:val="none"/>
        </w:rPr>
        <w:t xml:space="preserve">（3）非监理人的原因，对工程同一部分重复进行监理； </w:t>
      </w:r>
    </w:p>
    <w:p w14:paraId="2B5DCB90">
      <w:pPr>
        <w:spacing w:line="360" w:lineRule="auto"/>
        <w:ind w:firstLine="420" w:firstLineChars="200"/>
        <w:rPr>
          <w:color w:val="auto"/>
          <w:szCs w:val="21"/>
          <w:highlight w:val="none"/>
        </w:rPr>
      </w:pPr>
      <w:r>
        <w:rPr>
          <w:color w:val="auto"/>
          <w:szCs w:val="21"/>
          <w:highlight w:val="none"/>
        </w:rPr>
        <w:t xml:space="preserve">（4）非监理人的原因，对工程暂停监理及恢复监理。 </w:t>
      </w:r>
    </w:p>
    <w:p w14:paraId="492C892F">
      <w:pPr>
        <w:spacing w:line="360" w:lineRule="auto"/>
        <w:ind w:firstLine="420" w:firstLineChars="200"/>
        <w:rPr>
          <w:color w:val="auto"/>
          <w:szCs w:val="21"/>
          <w:highlight w:val="none"/>
        </w:rPr>
      </w:pPr>
      <w:r>
        <w:rPr>
          <w:color w:val="auto"/>
          <w:szCs w:val="21"/>
          <w:highlight w:val="none"/>
        </w:rPr>
        <w:t>8.1.2 基准日后，因颁布新的或修订原有法律、法规、规范和标准等引发合同变更情形的，按照上述约定进行调整。</w:t>
      </w:r>
    </w:p>
    <w:p w14:paraId="60D8FBA6">
      <w:pPr>
        <w:pStyle w:val="4"/>
        <w:spacing w:line="240" w:lineRule="auto"/>
        <w:ind w:firstLine="137"/>
        <w:rPr>
          <w:rFonts w:ascii="Times New Roman"/>
          <w:color w:val="auto"/>
          <w:highlight w:val="none"/>
        </w:rPr>
      </w:pPr>
      <w:bookmarkStart w:id="156" w:name="_Toc467651026"/>
      <w:bookmarkStart w:id="157" w:name="_Toc21688"/>
      <w:bookmarkStart w:id="158" w:name="_Toc482188617"/>
      <w:r>
        <w:rPr>
          <w:rFonts w:hint="eastAsia" w:ascii="Times New Roman"/>
          <w:color w:val="auto"/>
          <w:highlight w:val="none"/>
        </w:rPr>
        <w:t>8</w:t>
      </w:r>
      <w:r>
        <w:rPr>
          <w:rFonts w:ascii="Times New Roman"/>
          <w:color w:val="auto"/>
          <w:highlight w:val="none"/>
        </w:rPr>
        <w:t xml:space="preserve">.2 </w:t>
      </w:r>
      <w:r>
        <w:rPr>
          <w:rFonts w:hint="eastAsia" w:ascii="Times New Roman"/>
          <w:color w:val="auto"/>
          <w:highlight w:val="none"/>
        </w:rPr>
        <w:t>合理化建议</w:t>
      </w:r>
      <w:bookmarkEnd w:id="156"/>
      <w:bookmarkEnd w:id="157"/>
      <w:bookmarkEnd w:id="158"/>
    </w:p>
    <w:p w14:paraId="6171443B">
      <w:pPr>
        <w:spacing w:line="360" w:lineRule="auto"/>
        <w:ind w:firstLine="420" w:firstLineChars="200"/>
        <w:rPr>
          <w:color w:val="auto"/>
          <w:highlight w:val="none"/>
        </w:rPr>
      </w:pPr>
      <w:r>
        <w:rPr>
          <w:color w:val="auto"/>
          <w:highlight w:val="none"/>
        </w:rPr>
        <w:t xml:space="preserve">8.2.1 合同履行中，监理人可对委托人要求提出合理化建议。合理化建议应以书面形式提交委托人，被委托人采纳并构成变更的，执行第 8.1 款约定。 </w:t>
      </w:r>
    </w:p>
    <w:p w14:paraId="3BFA57D8">
      <w:pPr>
        <w:spacing w:line="360" w:lineRule="auto"/>
        <w:ind w:firstLine="420" w:firstLineChars="200"/>
        <w:rPr>
          <w:color w:val="auto"/>
          <w:szCs w:val="21"/>
          <w:highlight w:val="none"/>
        </w:rPr>
      </w:pPr>
      <w:r>
        <w:rPr>
          <w:color w:val="auto"/>
          <w:highlight w:val="none"/>
        </w:rPr>
        <w:t>8.2.2 监理人提出的合理化建议降低了工程投资、缩短了施工期限或者提高了工程经济效益的，委托人应按专用合同条款中的约定给予奖励。</w:t>
      </w:r>
    </w:p>
    <w:p w14:paraId="205BD8EA">
      <w:pPr>
        <w:pStyle w:val="3"/>
        <w:rPr>
          <w:rFonts w:ascii="Times New Roman" w:hAnsi="Times New Roman"/>
          <w:color w:val="auto"/>
          <w:highlight w:val="none"/>
        </w:rPr>
      </w:pPr>
      <w:bookmarkStart w:id="159" w:name="_Toc3003"/>
      <w:bookmarkStart w:id="160" w:name="_Toc482188618"/>
      <w:r>
        <w:rPr>
          <w:rFonts w:hint="eastAsia" w:ascii="Times New Roman" w:hAnsi="Times New Roman"/>
          <w:color w:val="auto"/>
          <w:highlight w:val="none"/>
        </w:rPr>
        <w:t>9</w:t>
      </w:r>
      <w:r>
        <w:rPr>
          <w:rFonts w:ascii="Times New Roman" w:hAnsi="Times New Roman"/>
          <w:color w:val="auto"/>
          <w:highlight w:val="none"/>
        </w:rPr>
        <w:t>. 合同价格与支付</w:t>
      </w:r>
      <w:bookmarkEnd w:id="159"/>
      <w:bookmarkEnd w:id="160"/>
    </w:p>
    <w:p w14:paraId="3CC82A20">
      <w:pPr>
        <w:pStyle w:val="4"/>
        <w:spacing w:line="240" w:lineRule="auto"/>
        <w:ind w:firstLine="137"/>
        <w:rPr>
          <w:rFonts w:ascii="Times New Roman"/>
          <w:color w:val="auto"/>
          <w:highlight w:val="none"/>
        </w:rPr>
      </w:pPr>
      <w:bookmarkStart w:id="161" w:name="_Toc14732"/>
      <w:bookmarkStart w:id="162" w:name="_Toc482188619"/>
      <w:r>
        <w:rPr>
          <w:rFonts w:hint="eastAsia" w:ascii="Times New Roman"/>
          <w:color w:val="auto"/>
          <w:highlight w:val="none"/>
        </w:rPr>
        <w:t>9</w:t>
      </w:r>
      <w:r>
        <w:rPr>
          <w:rFonts w:ascii="Times New Roman"/>
          <w:color w:val="auto"/>
          <w:highlight w:val="none"/>
        </w:rPr>
        <w:t xml:space="preserve">.1 </w:t>
      </w:r>
      <w:r>
        <w:rPr>
          <w:rFonts w:hint="eastAsia" w:ascii="Times New Roman"/>
          <w:color w:val="auto"/>
          <w:highlight w:val="none"/>
        </w:rPr>
        <w:t>合同价格</w:t>
      </w:r>
      <w:bookmarkEnd w:id="161"/>
      <w:bookmarkEnd w:id="162"/>
    </w:p>
    <w:p w14:paraId="1673C83C">
      <w:pPr>
        <w:spacing w:line="360" w:lineRule="auto"/>
        <w:ind w:firstLine="420" w:firstLineChars="200"/>
        <w:rPr>
          <w:color w:val="auto"/>
          <w:highlight w:val="none"/>
        </w:rPr>
      </w:pPr>
      <w:r>
        <w:rPr>
          <w:color w:val="auto"/>
          <w:highlight w:val="none"/>
        </w:rPr>
        <w:t xml:space="preserve">9.1.1 本合同的价款确定方式、调整方式和风险范围划分，在专用合同条款中约定。 </w:t>
      </w:r>
    </w:p>
    <w:p w14:paraId="1B64873C">
      <w:pPr>
        <w:spacing w:line="360" w:lineRule="auto"/>
        <w:ind w:firstLine="420" w:firstLineChars="200"/>
        <w:rPr>
          <w:color w:val="auto"/>
          <w:highlight w:val="none"/>
        </w:rPr>
      </w:pPr>
      <w:r>
        <w:rPr>
          <w:color w:val="auto"/>
          <w:highlight w:val="none"/>
        </w:rPr>
        <w:t xml:space="preserve">9.1.2 除专用合同条款另有约定外，合同价格应当包括收集资料、踏勘现场、制订纲要、实施监理、编制监理文件等全部费用和国家规定的增值税税金。 </w:t>
      </w:r>
    </w:p>
    <w:p w14:paraId="57412C84">
      <w:pPr>
        <w:spacing w:line="360" w:lineRule="auto"/>
        <w:ind w:firstLine="420" w:firstLineChars="200"/>
        <w:rPr>
          <w:color w:val="auto"/>
          <w:szCs w:val="21"/>
          <w:highlight w:val="none"/>
        </w:rPr>
      </w:pPr>
      <w:r>
        <w:rPr>
          <w:color w:val="auto"/>
          <w:highlight w:val="none"/>
        </w:rPr>
        <w:t>9.1.3 委托人要求监理人进行外出考察、试验检测、专项咨询或专家评审时，相应费用不含在合同价格之中，由委托人另行支付。</w:t>
      </w:r>
    </w:p>
    <w:p w14:paraId="0D39FFC4">
      <w:pPr>
        <w:pStyle w:val="4"/>
        <w:spacing w:line="240" w:lineRule="auto"/>
        <w:ind w:firstLine="137"/>
        <w:rPr>
          <w:rFonts w:ascii="Times New Roman"/>
          <w:color w:val="auto"/>
          <w:highlight w:val="none"/>
        </w:rPr>
      </w:pPr>
      <w:bookmarkStart w:id="163" w:name="_Toc482188620"/>
      <w:bookmarkStart w:id="164" w:name="_Toc13378"/>
      <w:r>
        <w:rPr>
          <w:rFonts w:hint="eastAsia" w:ascii="Times New Roman"/>
          <w:color w:val="auto"/>
          <w:highlight w:val="none"/>
        </w:rPr>
        <w:t>9</w:t>
      </w:r>
      <w:r>
        <w:rPr>
          <w:rFonts w:ascii="Times New Roman"/>
          <w:color w:val="auto"/>
          <w:highlight w:val="none"/>
        </w:rPr>
        <w:t>.2</w:t>
      </w:r>
      <w:bookmarkEnd w:id="163"/>
      <w:r>
        <w:rPr>
          <w:rFonts w:hint="eastAsia" w:ascii="Times New Roman"/>
          <w:color w:val="auto"/>
          <w:highlight w:val="none"/>
        </w:rPr>
        <w:t>预付款</w:t>
      </w:r>
      <w:bookmarkEnd w:id="164"/>
    </w:p>
    <w:p w14:paraId="0DB95317">
      <w:pPr>
        <w:spacing w:line="360" w:lineRule="auto"/>
        <w:ind w:firstLine="420" w:firstLineChars="200"/>
        <w:rPr>
          <w:color w:val="auto"/>
          <w:highlight w:val="none"/>
        </w:rPr>
      </w:pPr>
      <w:r>
        <w:rPr>
          <w:color w:val="auto"/>
          <w:highlight w:val="none"/>
        </w:rPr>
        <w:t xml:space="preserve">9.2.1 预付款应专用于本工程的监理。预付款的额度、支付方式及抵扣方式在专用合同条款中约定。 </w:t>
      </w:r>
    </w:p>
    <w:p w14:paraId="0D2E8CEE">
      <w:pPr>
        <w:spacing w:line="360" w:lineRule="auto"/>
        <w:ind w:firstLine="420" w:firstLineChars="200"/>
        <w:rPr>
          <w:color w:val="auto"/>
          <w:szCs w:val="21"/>
          <w:highlight w:val="none"/>
        </w:rPr>
      </w:pPr>
      <w:r>
        <w:rPr>
          <w:color w:val="auto"/>
          <w:highlight w:val="none"/>
        </w:rPr>
        <w:t>9.2.2 委托人应在收到预付款支付申请后 28 天内，将预付款支付给监理人；监理人应当提供等额的增值税发票。</w:t>
      </w:r>
    </w:p>
    <w:p w14:paraId="35D70F89">
      <w:pPr>
        <w:pStyle w:val="4"/>
        <w:spacing w:line="240" w:lineRule="auto"/>
        <w:ind w:firstLine="137"/>
        <w:rPr>
          <w:rFonts w:ascii="Times New Roman"/>
          <w:color w:val="auto"/>
          <w:highlight w:val="none"/>
        </w:rPr>
      </w:pPr>
      <w:bookmarkStart w:id="165" w:name="_Toc482188621"/>
      <w:bookmarkStart w:id="166" w:name="_Toc467651035"/>
      <w:bookmarkStart w:id="167" w:name="_Toc402"/>
      <w:r>
        <w:rPr>
          <w:rFonts w:hint="eastAsia" w:ascii="Times New Roman"/>
          <w:color w:val="auto"/>
          <w:highlight w:val="none"/>
        </w:rPr>
        <w:t>9</w:t>
      </w:r>
      <w:r>
        <w:rPr>
          <w:rFonts w:ascii="Times New Roman"/>
          <w:color w:val="auto"/>
          <w:highlight w:val="none"/>
        </w:rPr>
        <w:t xml:space="preserve">.3 </w:t>
      </w:r>
      <w:r>
        <w:rPr>
          <w:rFonts w:hint="eastAsia" w:ascii="Times New Roman"/>
          <w:color w:val="auto"/>
          <w:highlight w:val="none"/>
        </w:rPr>
        <w:t>中期支付</w:t>
      </w:r>
      <w:bookmarkEnd w:id="165"/>
      <w:bookmarkEnd w:id="166"/>
      <w:bookmarkEnd w:id="167"/>
    </w:p>
    <w:p w14:paraId="3052EA2D">
      <w:pPr>
        <w:spacing w:line="360" w:lineRule="auto"/>
        <w:ind w:firstLine="420" w:firstLineChars="200"/>
        <w:rPr>
          <w:color w:val="auto"/>
          <w:highlight w:val="none"/>
        </w:rPr>
      </w:pPr>
      <w:r>
        <w:rPr>
          <w:color w:val="auto"/>
          <w:highlight w:val="none"/>
        </w:rPr>
        <w:t xml:space="preserve">9.3.1 监理人应按委托人批准或专用合同条款约定的格式及份数，向委托人提交中期支付申请，并附相应的支持性证明文件。 </w:t>
      </w:r>
    </w:p>
    <w:p w14:paraId="670463A0">
      <w:pPr>
        <w:spacing w:line="360" w:lineRule="auto"/>
        <w:ind w:firstLine="420" w:firstLineChars="200"/>
        <w:rPr>
          <w:color w:val="auto"/>
          <w:highlight w:val="none"/>
        </w:rPr>
      </w:pPr>
      <w:r>
        <w:rPr>
          <w:color w:val="auto"/>
          <w:highlight w:val="none"/>
        </w:rPr>
        <w:t xml:space="preserve">9.3.2 委托人应在收到中期支付申请后的 28 天内，将应付款项支付给监理人；监理人应当提供等额的增值税发票。委托人未能在前述时间内完成审批或不予答复的，视为委托人同意中期支付申请。委托人不按期支付的，按专用合同条款的约定支付逾期付款违约金。 </w:t>
      </w:r>
    </w:p>
    <w:p w14:paraId="75342FB9">
      <w:pPr>
        <w:spacing w:line="360" w:lineRule="auto"/>
        <w:ind w:firstLine="420" w:firstLineChars="200"/>
        <w:rPr>
          <w:color w:val="auto"/>
          <w:szCs w:val="21"/>
          <w:highlight w:val="none"/>
        </w:rPr>
      </w:pPr>
      <w:r>
        <w:rPr>
          <w:color w:val="auto"/>
          <w:highlight w:val="none"/>
        </w:rPr>
        <w:t>9.3.3 中期支付涉及政府投资资金的，按照国库集中支付等国家相关规定和专用合同条款的约定执行。</w:t>
      </w:r>
    </w:p>
    <w:p w14:paraId="3C839B77">
      <w:pPr>
        <w:pStyle w:val="4"/>
        <w:spacing w:line="240" w:lineRule="auto"/>
        <w:ind w:firstLine="137"/>
        <w:rPr>
          <w:rFonts w:ascii="Times New Roman"/>
          <w:color w:val="auto"/>
          <w:highlight w:val="none"/>
        </w:rPr>
      </w:pPr>
      <w:bookmarkStart w:id="168" w:name="_Toc17274"/>
      <w:bookmarkStart w:id="169" w:name="_Toc467651036"/>
      <w:bookmarkStart w:id="170" w:name="_Toc482188622"/>
      <w:r>
        <w:rPr>
          <w:rFonts w:hint="eastAsia" w:ascii="Times New Roman"/>
          <w:color w:val="auto"/>
          <w:highlight w:val="none"/>
        </w:rPr>
        <w:t>9</w:t>
      </w:r>
      <w:r>
        <w:rPr>
          <w:rFonts w:ascii="Times New Roman"/>
          <w:color w:val="auto"/>
          <w:highlight w:val="none"/>
        </w:rPr>
        <w:t xml:space="preserve">.4 </w:t>
      </w:r>
      <w:r>
        <w:rPr>
          <w:rFonts w:hint="eastAsia" w:ascii="Times New Roman"/>
          <w:color w:val="auto"/>
          <w:highlight w:val="none"/>
        </w:rPr>
        <w:t>费用结算</w:t>
      </w:r>
      <w:bookmarkEnd w:id="168"/>
      <w:bookmarkEnd w:id="169"/>
      <w:bookmarkEnd w:id="170"/>
    </w:p>
    <w:p w14:paraId="1C9D6686">
      <w:pPr>
        <w:spacing w:line="360" w:lineRule="auto"/>
        <w:ind w:firstLine="420" w:firstLineChars="200"/>
        <w:rPr>
          <w:color w:val="auto"/>
          <w:highlight w:val="none"/>
        </w:rPr>
      </w:pPr>
      <w:r>
        <w:rPr>
          <w:color w:val="auto"/>
          <w:highlight w:val="none"/>
        </w:rPr>
        <w:t xml:space="preserve">9.4.1 合同工作完成后，监理人可按专用合同条款约定的份数和期限，向委托人提交监理费用结算申请，并提供相关证明材料。 </w:t>
      </w:r>
    </w:p>
    <w:p w14:paraId="001FD6E4">
      <w:pPr>
        <w:spacing w:line="360" w:lineRule="auto"/>
        <w:ind w:firstLine="420" w:firstLineChars="200"/>
        <w:rPr>
          <w:color w:val="auto"/>
          <w:highlight w:val="none"/>
        </w:rPr>
      </w:pPr>
      <w:r>
        <w:rPr>
          <w:color w:val="auto"/>
          <w:highlight w:val="none"/>
        </w:rPr>
        <w:t xml:space="preserve">9.4.2 委托人应在收到费用结算申请后的 28 天内，将应付款项支付给监理人；监理人应当提供等额的增值税发票。委托人未能在前述时间内完成审批或不予答复的，视为委托人同意费用结算申请。委托人不按期支付的，按专用合同条款的约定支付逾期付款违约金。 </w:t>
      </w:r>
    </w:p>
    <w:p w14:paraId="3C38FE57">
      <w:pPr>
        <w:spacing w:line="360" w:lineRule="auto"/>
        <w:ind w:firstLine="420" w:firstLineChars="200"/>
        <w:rPr>
          <w:color w:val="auto"/>
          <w:highlight w:val="none"/>
        </w:rPr>
      </w:pPr>
      <w:r>
        <w:rPr>
          <w:color w:val="auto"/>
          <w:highlight w:val="none"/>
        </w:rPr>
        <w:t xml:space="preserve">9.4.3 委托人对费用结算申请内容有异议的，有权要求监理人进行修正和提供补充资料，由监理人重新提交。监理人对此有异议的，按第 12 条的约定执行。 </w:t>
      </w:r>
    </w:p>
    <w:p w14:paraId="3927CD44">
      <w:pPr>
        <w:spacing w:line="360" w:lineRule="auto"/>
        <w:ind w:firstLine="420" w:firstLineChars="200"/>
        <w:rPr>
          <w:color w:val="auto"/>
          <w:szCs w:val="21"/>
          <w:highlight w:val="none"/>
        </w:rPr>
      </w:pPr>
      <w:r>
        <w:rPr>
          <w:color w:val="auto"/>
          <w:highlight w:val="none"/>
        </w:rPr>
        <w:t>9.4.4 最终结清付款涉及政府投资资金的，按第 9.3.3 项的约定执行。</w:t>
      </w:r>
    </w:p>
    <w:p w14:paraId="425260B6">
      <w:pPr>
        <w:pStyle w:val="3"/>
        <w:rPr>
          <w:rFonts w:ascii="Times New Roman" w:hAnsi="Times New Roman"/>
          <w:color w:val="auto"/>
          <w:highlight w:val="none"/>
        </w:rPr>
      </w:pPr>
      <w:bookmarkStart w:id="171" w:name="_Toc482188623"/>
      <w:bookmarkStart w:id="172" w:name="_Toc6572"/>
      <w:r>
        <w:rPr>
          <w:rFonts w:ascii="Times New Roman" w:hAnsi="Times New Roman"/>
          <w:color w:val="auto"/>
          <w:highlight w:val="none"/>
        </w:rPr>
        <w:t>1</w:t>
      </w:r>
      <w:r>
        <w:rPr>
          <w:rFonts w:hint="eastAsia" w:ascii="Times New Roman" w:hAnsi="Times New Roman"/>
          <w:color w:val="auto"/>
          <w:highlight w:val="none"/>
        </w:rPr>
        <w:t>0</w:t>
      </w:r>
      <w:r>
        <w:rPr>
          <w:rFonts w:ascii="Times New Roman" w:hAnsi="Times New Roman"/>
          <w:color w:val="auto"/>
          <w:highlight w:val="none"/>
        </w:rPr>
        <w:t>. 不可抗力</w:t>
      </w:r>
      <w:bookmarkEnd w:id="171"/>
      <w:bookmarkEnd w:id="172"/>
    </w:p>
    <w:p w14:paraId="6190D084">
      <w:pPr>
        <w:pStyle w:val="4"/>
        <w:spacing w:line="240" w:lineRule="auto"/>
        <w:ind w:firstLine="137"/>
        <w:rPr>
          <w:rFonts w:ascii="Times New Roman"/>
          <w:color w:val="auto"/>
          <w:highlight w:val="none"/>
        </w:rPr>
      </w:pPr>
      <w:bookmarkStart w:id="173" w:name="_Toc14090"/>
      <w:bookmarkStart w:id="174" w:name="_Toc482188624"/>
      <w:r>
        <w:rPr>
          <w:rFonts w:ascii="Times New Roman"/>
          <w:color w:val="auto"/>
          <w:highlight w:val="none"/>
        </w:rPr>
        <w:t>1</w:t>
      </w:r>
      <w:r>
        <w:rPr>
          <w:rFonts w:hint="eastAsia" w:ascii="Times New Roman"/>
          <w:color w:val="auto"/>
          <w:highlight w:val="none"/>
        </w:rPr>
        <w:t>0</w:t>
      </w:r>
      <w:r>
        <w:rPr>
          <w:rFonts w:ascii="Times New Roman"/>
          <w:color w:val="auto"/>
          <w:highlight w:val="none"/>
        </w:rPr>
        <w:t xml:space="preserve">.1 </w:t>
      </w:r>
      <w:r>
        <w:rPr>
          <w:rFonts w:hint="eastAsia" w:ascii="Times New Roman"/>
          <w:color w:val="auto"/>
          <w:highlight w:val="none"/>
        </w:rPr>
        <w:t>不可抗力的确认</w:t>
      </w:r>
      <w:bookmarkEnd w:id="173"/>
      <w:bookmarkEnd w:id="174"/>
    </w:p>
    <w:p w14:paraId="715B4F28">
      <w:pPr>
        <w:spacing w:line="360" w:lineRule="auto"/>
        <w:ind w:firstLine="420" w:firstLineChars="200"/>
        <w:rPr>
          <w:color w:val="auto"/>
          <w:highlight w:val="none"/>
        </w:rPr>
      </w:pPr>
      <w:r>
        <w:rPr>
          <w:color w:val="auto"/>
          <w:highlight w:val="none"/>
        </w:rPr>
        <w:t xml:space="preserve">10.1.1 不可抗力是指监理人和委托人在订立合同时不可预见，在履行合同过程中不可避免发生并不能克服的自然灾害和社会性突发事件，如地震、海啸、瘟疫、水灾、骚乱、暴动、战争和专用合同条款约定的其他情形。 </w:t>
      </w:r>
    </w:p>
    <w:p w14:paraId="2232B013">
      <w:pPr>
        <w:spacing w:line="360" w:lineRule="auto"/>
        <w:ind w:firstLine="420" w:firstLineChars="200"/>
        <w:rPr>
          <w:color w:val="auto"/>
          <w:szCs w:val="21"/>
          <w:highlight w:val="none"/>
        </w:rPr>
      </w:pPr>
      <w:r>
        <w:rPr>
          <w:color w:val="auto"/>
          <w:highlight w:val="none"/>
        </w:rPr>
        <w:t>10.1.2 不可抗力发生后，委托人和监理人应及时认真统计所造成的损失，收集不可抗力造成损失的证据。合同双方对是否属于不可抗力或其损失的意见不一致的，由合同双方协商确定。</w:t>
      </w:r>
    </w:p>
    <w:p w14:paraId="3A073D8C">
      <w:pPr>
        <w:pStyle w:val="4"/>
        <w:spacing w:line="240" w:lineRule="auto"/>
        <w:ind w:firstLine="137"/>
        <w:rPr>
          <w:rFonts w:ascii="Times New Roman"/>
          <w:color w:val="auto"/>
          <w:highlight w:val="none"/>
        </w:rPr>
      </w:pPr>
      <w:bookmarkStart w:id="175" w:name="_Toc482188625"/>
      <w:bookmarkStart w:id="176" w:name="_Toc25602"/>
      <w:r>
        <w:rPr>
          <w:rFonts w:ascii="Times New Roman"/>
          <w:color w:val="auto"/>
          <w:highlight w:val="none"/>
        </w:rPr>
        <w:t>1</w:t>
      </w:r>
      <w:r>
        <w:rPr>
          <w:rFonts w:hint="eastAsia" w:ascii="Times New Roman"/>
          <w:color w:val="auto"/>
          <w:highlight w:val="none"/>
        </w:rPr>
        <w:t>0</w:t>
      </w:r>
      <w:r>
        <w:rPr>
          <w:rFonts w:ascii="Times New Roman"/>
          <w:color w:val="auto"/>
          <w:highlight w:val="none"/>
        </w:rPr>
        <w:t xml:space="preserve">.2 </w:t>
      </w:r>
      <w:r>
        <w:rPr>
          <w:rFonts w:hint="eastAsia" w:ascii="Times New Roman"/>
          <w:color w:val="auto"/>
          <w:highlight w:val="none"/>
        </w:rPr>
        <w:t>不可抗力的通知</w:t>
      </w:r>
      <w:bookmarkEnd w:id="175"/>
      <w:bookmarkEnd w:id="176"/>
    </w:p>
    <w:p w14:paraId="6139D942">
      <w:pPr>
        <w:spacing w:line="360" w:lineRule="auto"/>
        <w:ind w:firstLine="420" w:firstLineChars="200"/>
        <w:rPr>
          <w:color w:val="auto"/>
          <w:highlight w:val="none"/>
        </w:rPr>
      </w:pPr>
      <w:r>
        <w:rPr>
          <w:color w:val="auto"/>
          <w:highlight w:val="none"/>
        </w:rPr>
        <w:t xml:space="preserve">10.2.1 合同一方当事人遇到不可抗力事件，使其履行合同义务受到阻碍时，应立即通知合同另一方当事人，书面说明不可抗力和受阻碍的详细情况，并提供必要的证明。 </w:t>
      </w:r>
    </w:p>
    <w:p w14:paraId="07072DD9">
      <w:pPr>
        <w:spacing w:line="360" w:lineRule="auto"/>
        <w:ind w:firstLine="420" w:firstLineChars="200"/>
        <w:rPr>
          <w:color w:val="auto"/>
          <w:szCs w:val="21"/>
          <w:highlight w:val="none"/>
        </w:rPr>
      </w:pPr>
      <w:r>
        <w:rPr>
          <w:color w:val="auto"/>
          <w:highlight w:val="none"/>
        </w:rPr>
        <w:t>10.2.2 如不可抗力持续发生，合同一方当事人应及时向合同另一方当事人提交中间报告，说明不可抗力和履行合同受阻的情况，并于不可抗力事件结束后 28 天内提交最终报告及有关资料。</w:t>
      </w:r>
    </w:p>
    <w:p w14:paraId="2546E592">
      <w:pPr>
        <w:pStyle w:val="4"/>
        <w:spacing w:line="240" w:lineRule="auto"/>
        <w:ind w:firstLine="137"/>
        <w:rPr>
          <w:rFonts w:ascii="Times New Roman"/>
          <w:color w:val="auto"/>
          <w:highlight w:val="none"/>
        </w:rPr>
      </w:pPr>
      <w:bookmarkStart w:id="177" w:name="_Toc24338"/>
      <w:bookmarkStart w:id="178" w:name="_Toc482188626"/>
      <w:r>
        <w:rPr>
          <w:rFonts w:ascii="Times New Roman"/>
          <w:color w:val="auto"/>
          <w:highlight w:val="none"/>
        </w:rPr>
        <w:t>1</w:t>
      </w:r>
      <w:r>
        <w:rPr>
          <w:rFonts w:hint="eastAsia" w:ascii="Times New Roman"/>
          <w:color w:val="auto"/>
          <w:highlight w:val="none"/>
        </w:rPr>
        <w:t>0</w:t>
      </w:r>
      <w:r>
        <w:rPr>
          <w:rFonts w:ascii="Times New Roman"/>
          <w:color w:val="auto"/>
          <w:highlight w:val="none"/>
        </w:rPr>
        <w:t xml:space="preserve">.3 </w:t>
      </w:r>
      <w:r>
        <w:rPr>
          <w:rFonts w:hint="eastAsia" w:ascii="Times New Roman"/>
          <w:color w:val="auto"/>
          <w:highlight w:val="none"/>
        </w:rPr>
        <w:t>不可抗力后果及其处理</w:t>
      </w:r>
      <w:bookmarkEnd w:id="177"/>
      <w:bookmarkEnd w:id="178"/>
    </w:p>
    <w:p w14:paraId="3BDF285E">
      <w:pPr>
        <w:spacing w:line="360" w:lineRule="auto"/>
        <w:ind w:firstLine="420" w:firstLineChars="200"/>
        <w:rPr>
          <w:color w:val="auto"/>
          <w:szCs w:val="21"/>
          <w:highlight w:val="none"/>
        </w:rPr>
      </w:pPr>
      <w:r>
        <w:rPr>
          <w:color w:val="auto"/>
          <w:szCs w:val="21"/>
          <w:highlight w:val="none"/>
        </w:rPr>
        <w:t xml:space="preserve">10.3.1 不可抗力引起的后果及其损失，应由合同当事人依据法律规定各自承担。不可抗力发生前已完成的监理工作，应当按照合同约定进行支付。 </w:t>
      </w:r>
    </w:p>
    <w:p w14:paraId="509BA188">
      <w:pPr>
        <w:spacing w:line="360" w:lineRule="auto"/>
        <w:ind w:firstLine="420" w:firstLineChars="200"/>
        <w:rPr>
          <w:color w:val="auto"/>
          <w:szCs w:val="21"/>
          <w:highlight w:val="none"/>
        </w:rPr>
      </w:pPr>
      <w:r>
        <w:rPr>
          <w:color w:val="auto"/>
          <w:szCs w:val="21"/>
          <w:highlight w:val="none"/>
        </w:rPr>
        <w:t xml:space="preserve">10.3.2 不可抗力发生后，合同当事人应当采取有效措施避免损失进一步扩大，如未采取有效措施致使损失扩大的，应当自行承担扩大部分的损失。 </w:t>
      </w:r>
    </w:p>
    <w:p w14:paraId="51A55A21">
      <w:pPr>
        <w:spacing w:line="360" w:lineRule="auto"/>
        <w:ind w:firstLine="420" w:firstLineChars="200"/>
        <w:rPr>
          <w:color w:val="auto"/>
          <w:szCs w:val="21"/>
          <w:highlight w:val="none"/>
        </w:rPr>
      </w:pPr>
      <w:r>
        <w:rPr>
          <w:color w:val="auto"/>
          <w:szCs w:val="21"/>
          <w:highlight w:val="none"/>
        </w:rPr>
        <w:t>10.3.3 因一方当事人迟延履行合同义务，致使迟延履行期间遭遇不可抗力的，应由该当事人承担全部损失。</w:t>
      </w:r>
    </w:p>
    <w:p w14:paraId="41AB32E7">
      <w:pPr>
        <w:pStyle w:val="3"/>
        <w:rPr>
          <w:rFonts w:ascii="Times New Roman" w:hAnsi="Times New Roman"/>
          <w:color w:val="auto"/>
          <w:highlight w:val="none"/>
        </w:rPr>
      </w:pPr>
      <w:bookmarkStart w:id="179" w:name="_Toc29800"/>
      <w:bookmarkStart w:id="180" w:name="_Toc482188627"/>
      <w:r>
        <w:rPr>
          <w:rFonts w:ascii="Times New Roman" w:hAnsi="Times New Roman"/>
          <w:color w:val="auto"/>
          <w:highlight w:val="none"/>
        </w:rPr>
        <w:t>1</w:t>
      </w:r>
      <w:r>
        <w:rPr>
          <w:rFonts w:hint="eastAsia" w:ascii="Times New Roman" w:hAnsi="Times New Roman"/>
          <w:color w:val="auto"/>
          <w:highlight w:val="none"/>
        </w:rPr>
        <w:t>1</w:t>
      </w:r>
      <w:r>
        <w:rPr>
          <w:rFonts w:ascii="Times New Roman" w:hAnsi="Times New Roman"/>
          <w:color w:val="auto"/>
          <w:highlight w:val="none"/>
        </w:rPr>
        <w:t>. 违约</w:t>
      </w:r>
      <w:bookmarkEnd w:id="179"/>
      <w:bookmarkEnd w:id="180"/>
    </w:p>
    <w:p w14:paraId="122A259B">
      <w:pPr>
        <w:pStyle w:val="4"/>
        <w:spacing w:line="240" w:lineRule="auto"/>
        <w:ind w:firstLine="137"/>
        <w:rPr>
          <w:rFonts w:ascii="Times New Roman"/>
          <w:color w:val="auto"/>
          <w:highlight w:val="none"/>
        </w:rPr>
      </w:pPr>
      <w:bookmarkStart w:id="181" w:name="_Toc15233"/>
      <w:bookmarkStart w:id="182" w:name="_Toc482188628"/>
      <w:r>
        <w:rPr>
          <w:rFonts w:ascii="Times New Roman"/>
          <w:color w:val="auto"/>
          <w:highlight w:val="none"/>
        </w:rPr>
        <w:t>1</w:t>
      </w:r>
      <w:r>
        <w:rPr>
          <w:rFonts w:hint="eastAsia" w:ascii="Times New Roman"/>
          <w:color w:val="auto"/>
          <w:highlight w:val="none"/>
        </w:rPr>
        <w:t>1</w:t>
      </w:r>
      <w:r>
        <w:rPr>
          <w:rFonts w:ascii="Times New Roman"/>
          <w:color w:val="auto"/>
          <w:highlight w:val="none"/>
        </w:rPr>
        <w:t xml:space="preserve">.1 </w:t>
      </w:r>
      <w:r>
        <w:rPr>
          <w:rFonts w:hint="eastAsia" w:ascii="Times New Roman"/>
          <w:color w:val="auto"/>
          <w:highlight w:val="none"/>
        </w:rPr>
        <w:t>监理人违约</w:t>
      </w:r>
      <w:bookmarkEnd w:id="181"/>
      <w:bookmarkEnd w:id="182"/>
    </w:p>
    <w:p w14:paraId="1C57B1CA">
      <w:pPr>
        <w:spacing w:line="360" w:lineRule="auto"/>
        <w:ind w:firstLine="420" w:firstLineChars="200"/>
        <w:rPr>
          <w:color w:val="auto"/>
          <w:highlight w:val="none"/>
        </w:rPr>
      </w:pPr>
      <w:r>
        <w:rPr>
          <w:color w:val="auto"/>
          <w:highlight w:val="none"/>
        </w:rPr>
        <w:t xml:space="preserve">11.1.1 合同履行中发生下列情况之一的，属监理人违约： </w:t>
      </w:r>
    </w:p>
    <w:p w14:paraId="69252C39">
      <w:pPr>
        <w:spacing w:line="360" w:lineRule="auto"/>
        <w:ind w:firstLine="420" w:firstLineChars="200"/>
        <w:rPr>
          <w:color w:val="auto"/>
          <w:szCs w:val="21"/>
          <w:highlight w:val="none"/>
        </w:rPr>
      </w:pPr>
      <w:r>
        <w:rPr>
          <w:rFonts w:hint="eastAsia"/>
          <w:color w:val="auto"/>
          <w:szCs w:val="21"/>
          <w:highlight w:val="none"/>
        </w:rPr>
        <w:t>（1）</w:t>
      </w:r>
      <w:r>
        <w:rPr>
          <w:color w:val="auto"/>
          <w:szCs w:val="21"/>
          <w:highlight w:val="none"/>
        </w:rPr>
        <w:t xml:space="preserve">监理文件不符合规范标准以及合同约定； </w:t>
      </w:r>
    </w:p>
    <w:p w14:paraId="00EB15D2">
      <w:pPr>
        <w:spacing w:line="360" w:lineRule="auto"/>
        <w:ind w:firstLine="420" w:firstLineChars="200"/>
        <w:rPr>
          <w:color w:val="auto"/>
          <w:szCs w:val="21"/>
          <w:highlight w:val="none"/>
        </w:rPr>
      </w:pPr>
      <w:r>
        <w:rPr>
          <w:rFonts w:hint="eastAsia"/>
          <w:color w:val="auto"/>
          <w:szCs w:val="21"/>
          <w:highlight w:val="none"/>
        </w:rPr>
        <w:t>（2）</w:t>
      </w:r>
      <w:r>
        <w:rPr>
          <w:color w:val="auto"/>
          <w:szCs w:val="21"/>
          <w:highlight w:val="none"/>
        </w:rPr>
        <w:t xml:space="preserve">监理人转让监理工作； </w:t>
      </w:r>
    </w:p>
    <w:p w14:paraId="46308809">
      <w:pPr>
        <w:spacing w:line="360" w:lineRule="auto"/>
        <w:ind w:firstLine="420" w:firstLineChars="200"/>
        <w:rPr>
          <w:color w:val="auto"/>
          <w:szCs w:val="21"/>
          <w:highlight w:val="none"/>
        </w:rPr>
      </w:pPr>
      <w:r>
        <w:rPr>
          <w:rFonts w:hint="eastAsia"/>
          <w:color w:val="auto"/>
          <w:szCs w:val="21"/>
          <w:highlight w:val="none"/>
        </w:rPr>
        <w:t>（3）</w:t>
      </w:r>
      <w:r>
        <w:rPr>
          <w:color w:val="auto"/>
          <w:szCs w:val="21"/>
          <w:highlight w:val="none"/>
        </w:rPr>
        <w:t xml:space="preserve">监理人未按合同约定实施监理； </w:t>
      </w:r>
    </w:p>
    <w:p w14:paraId="7E22BB0C">
      <w:pPr>
        <w:spacing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 xml:space="preserve">监理人无法履行或停止履行合同； </w:t>
      </w:r>
    </w:p>
    <w:p w14:paraId="70754A4E">
      <w:pPr>
        <w:spacing w:line="360" w:lineRule="auto"/>
        <w:ind w:firstLine="420" w:firstLineChars="200"/>
        <w:rPr>
          <w:color w:val="auto"/>
          <w:szCs w:val="21"/>
          <w:highlight w:val="none"/>
        </w:rPr>
      </w:pPr>
      <w:r>
        <w:rPr>
          <w:rFonts w:hint="eastAsia"/>
          <w:color w:val="auto"/>
          <w:szCs w:val="21"/>
          <w:highlight w:val="none"/>
        </w:rPr>
        <w:t>（5）</w:t>
      </w:r>
      <w:r>
        <w:rPr>
          <w:color w:val="auto"/>
          <w:szCs w:val="21"/>
          <w:highlight w:val="none"/>
        </w:rPr>
        <w:t xml:space="preserve">监理人不履行合同约定的其他义务。 </w:t>
      </w:r>
    </w:p>
    <w:p w14:paraId="5D6EE10D">
      <w:pPr>
        <w:spacing w:line="360" w:lineRule="auto"/>
        <w:ind w:firstLine="420" w:firstLineChars="200"/>
        <w:rPr>
          <w:color w:val="auto"/>
          <w:highlight w:val="none"/>
        </w:rPr>
      </w:pPr>
      <w:r>
        <w:rPr>
          <w:color w:val="auto"/>
          <w:highlight w:val="none"/>
        </w:rPr>
        <w:t>11.1.2 监理人发生违约情况时，委托人可向监理人发出整改通知，要求其在限定期限内纠正；逾期仍不纠正的，委托人有权解除合同并向监理人发出解除合同通知。监理人应当承担由于违约所造成的费用增加、周期延误和委托人损失等。</w:t>
      </w:r>
    </w:p>
    <w:p w14:paraId="2D7A6913">
      <w:pPr>
        <w:pStyle w:val="4"/>
        <w:spacing w:line="240" w:lineRule="auto"/>
        <w:ind w:firstLine="137"/>
        <w:rPr>
          <w:rFonts w:ascii="Times New Roman"/>
          <w:color w:val="auto"/>
          <w:highlight w:val="none"/>
        </w:rPr>
      </w:pPr>
      <w:bookmarkStart w:id="183" w:name="_Toc16597"/>
      <w:bookmarkStart w:id="184" w:name="_Toc482188629"/>
      <w:r>
        <w:rPr>
          <w:rFonts w:ascii="Times New Roman"/>
          <w:color w:val="auto"/>
          <w:highlight w:val="none"/>
        </w:rPr>
        <w:t>1</w:t>
      </w:r>
      <w:r>
        <w:rPr>
          <w:rFonts w:hint="eastAsia" w:ascii="Times New Roman"/>
          <w:color w:val="auto"/>
          <w:highlight w:val="none"/>
        </w:rPr>
        <w:t>1</w:t>
      </w:r>
      <w:r>
        <w:rPr>
          <w:rFonts w:ascii="Times New Roman"/>
          <w:color w:val="auto"/>
          <w:highlight w:val="none"/>
        </w:rPr>
        <w:t xml:space="preserve">.2 </w:t>
      </w:r>
      <w:r>
        <w:rPr>
          <w:rFonts w:hint="eastAsia" w:ascii="Times New Roman"/>
          <w:color w:val="auto"/>
          <w:highlight w:val="none"/>
        </w:rPr>
        <w:t>委托人违约</w:t>
      </w:r>
      <w:bookmarkEnd w:id="183"/>
      <w:bookmarkEnd w:id="184"/>
    </w:p>
    <w:p w14:paraId="47F1E209">
      <w:pPr>
        <w:spacing w:line="360" w:lineRule="auto"/>
        <w:ind w:firstLine="420" w:firstLineChars="200"/>
        <w:rPr>
          <w:color w:val="auto"/>
          <w:highlight w:val="none"/>
        </w:rPr>
      </w:pPr>
      <w:r>
        <w:rPr>
          <w:color w:val="auto"/>
          <w:highlight w:val="none"/>
        </w:rPr>
        <w:t>1</w:t>
      </w:r>
      <w:r>
        <w:rPr>
          <w:rFonts w:hint="eastAsia"/>
          <w:color w:val="auto"/>
          <w:highlight w:val="none"/>
        </w:rPr>
        <w:t>1</w:t>
      </w:r>
      <w:r>
        <w:rPr>
          <w:color w:val="auto"/>
          <w:highlight w:val="none"/>
        </w:rPr>
        <w:t>.2.1 合同履行中发生下列情况之一的，属委托人违约：</w:t>
      </w:r>
    </w:p>
    <w:p w14:paraId="0DD6A999">
      <w:pPr>
        <w:spacing w:line="360" w:lineRule="auto"/>
        <w:ind w:firstLine="420" w:firstLineChars="200"/>
        <w:rPr>
          <w:color w:val="auto"/>
          <w:highlight w:val="none"/>
        </w:rPr>
      </w:pPr>
      <w:r>
        <w:rPr>
          <w:color w:val="auto"/>
          <w:highlight w:val="none"/>
        </w:rPr>
        <w:t xml:space="preserve">（1）委托人未按合同约定支付监理报酬； </w:t>
      </w:r>
    </w:p>
    <w:p w14:paraId="2E8915E8">
      <w:pPr>
        <w:spacing w:line="360" w:lineRule="auto"/>
        <w:ind w:firstLine="420" w:firstLineChars="200"/>
        <w:rPr>
          <w:color w:val="auto"/>
          <w:highlight w:val="none"/>
        </w:rPr>
      </w:pPr>
      <w:r>
        <w:rPr>
          <w:color w:val="auto"/>
          <w:highlight w:val="none"/>
        </w:rPr>
        <w:t>（</w:t>
      </w:r>
      <w:r>
        <w:rPr>
          <w:rFonts w:hint="eastAsia"/>
          <w:color w:val="auto"/>
          <w:highlight w:val="none"/>
        </w:rPr>
        <w:t>2</w:t>
      </w:r>
      <w:r>
        <w:rPr>
          <w:color w:val="auto"/>
          <w:highlight w:val="none"/>
        </w:rPr>
        <w:t xml:space="preserve">）委托人原因造成监理停止； </w:t>
      </w:r>
    </w:p>
    <w:p w14:paraId="012DAF5B">
      <w:pPr>
        <w:spacing w:line="360" w:lineRule="auto"/>
        <w:ind w:firstLine="420" w:firstLineChars="200"/>
        <w:rPr>
          <w:color w:val="auto"/>
          <w:highlight w:val="none"/>
        </w:rPr>
      </w:pPr>
      <w:r>
        <w:rPr>
          <w:color w:val="auto"/>
          <w:highlight w:val="none"/>
        </w:rPr>
        <w:t>（</w:t>
      </w:r>
      <w:r>
        <w:rPr>
          <w:rFonts w:hint="default"/>
          <w:color w:val="auto"/>
          <w:highlight w:val="none"/>
          <w:lang w:val="en-US"/>
        </w:rPr>
        <w:t>3</w:t>
      </w:r>
      <w:r>
        <w:rPr>
          <w:color w:val="auto"/>
          <w:highlight w:val="none"/>
        </w:rPr>
        <w:t xml:space="preserve">）委托人无法履行或停止履行合同； </w:t>
      </w:r>
    </w:p>
    <w:p w14:paraId="6CA10D4D">
      <w:pPr>
        <w:spacing w:line="360" w:lineRule="auto"/>
        <w:ind w:firstLine="420" w:firstLineChars="200"/>
        <w:rPr>
          <w:color w:val="auto"/>
          <w:highlight w:val="none"/>
        </w:rPr>
      </w:pPr>
      <w:r>
        <w:rPr>
          <w:color w:val="auto"/>
          <w:highlight w:val="none"/>
        </w:rPr>
        <w:t>（</w:t>
      </w:r>
      <w:r>
        <w:rPr>
          <w:rFonts w:hint="default"/>
          <w:color w:val="auto"/>
          <w:highlight w:val="none"/>
          <w:lang w:val="en-US"/>
        </w:rPr>
        <w:t>4</w:t>
      </w:r>
      <w:r>
        <w:rPr>
          <w:color w:val="auto"/>
          <w:highlight w:val="none"/>
        </w:rPr>
        <w:t xml:space="preserve">）委托人不履行合同约定的其他义务。 </w:t>
      </w:r>
    </w:p>
    <w:p w14:paraId="21B61400">
      <w:pPr>
        <w:spacing w:line="360" w:lineRule="auto"/>
        <w:ind w:firstLine="420" w:firstLineChars="200"/>
        <w:rPr>
          <w:color w:val="auto"/>
          <w:szCs w:val="21"/>
          <w:highlight w:val="none"/>
        </w:rPr>
      </w:pPr>
      <w:r>
        <w:rPr>
          <w:color w:val="auto"/>
          <w:highlight w:val="none"/>
        </w:rPr>
        <w:t>11.2.2 委托人发生违约情况时，监理人可向委托人发出暂停监理通知，要求其在限定期限内纠正；逾期仍不纠正的，监理人有权解除合同并向委托人发出解除合同通知。委托人应当承担由于违约所造成的费用增加、周期延误和监理人损失等。</w:t>
      </w:r>
    </w:p>
    <w:p w14:paraId="4C95E1C5">
      <w:pPr>
        <w:pStyle w:val="4"/>
        <w:spacing w:line="240" w:lineRule="auto"/>
        <w:ind w:firstLine="137"/>
        <w:rPr>
          <w:rFonts w:ascii="Times New Roman"/>
          <w:color w:val="auto"/>
          <w:highlight w:val="none"/>
        </w:rPr>
      </w:pPr>
      <w:bookmarkStart w:id="185" w:name="_Toc4397"/>
      <w:bookmarkStart w:id="186" w:name="_Toc482188630"/>
      <w:r>
        <w:rPr>
          <w:rFonts w:ascii="Times New Roman"/>
          <w:color w:val="auto"/>
          <w:highlight w:val="none"/>
        </w:rPr>
        <w:t>1</w:t>
      </w:r>
      <w:r>
        <w:rPr>
          <w:rFonts w:hint="eastAsia" w:ascii="Times New Roman"/>
          <w:color w:val="auto"/>
          <w:highlight w:val="none"/>
        </w:rPr>
        <w:t>1</w:t>
      </w:r>
      <w:r>
        <w:rPr>
          <w:rFonts w:ascii="Times New Roman"/>
          <w:color w:val="auto"/>
          <w:highlight w:val="none"/>
        </w:rPr>
        <w:t xml:space="preserve">.3 </w:t>
      </w:r>
      <w:r>
        <w:rPr>
          <w:rFonts w:hint="eastAsia" w:ascii="Times New Roman"/>
          <w:color w:val="auto"/>
          <w:highlight w:val="none"/>
        </w:rPr>
        <w:t>第三人造成的违约</w:t>
      </w:r>
      <w:bookmarkEnd w:id="185"/>
      <w:bookmarkEnd w:id="186"/>
    </w:p>
    <w:p w14:paraId="0F773CC1">
      <w:pPr>
        <w:spacing w:line="360" w:lineRule="auto"/>
        <w:ind w:firstLine="420" w:firstLineChars="200"/>
        <w:rPr>
          <w:color w:val="auto"/>
          <w:szCs w:val="21"/>
          <w:highlight w:val="none"/>
        </w:rPr>
      </w:pPr>
      <w:r>
        <w:rPr>
          <w:color w:val="auto"/>
          <w:szCs w:val="21"/>
          <w:highlight w:val="none"/>
        </w:rPr>
        <w:t>在履行合同过程中，一方当事人因第三人的原因造成违约的，应当向对方当事人承担违约责任。一方当事人和第三人之间的纠纷，依照法律规定或者按照约定解决。</w:t>
      </w:r>
    </w:p>
    <w:p w14:paraId="3C7598B7">
      <w:pPr>
        <w:pStyle w:val="3"/>
        <w:rPr>
          <w:rFonts w:ascii="Times New Roman" w:hAnsi="Times New Roman"/>
          <w:color w:val="auto"/>
          <w:highlight w:val="none"/>
        </w:rPr>
      </w:pPr>
      <w:bookmarkStart w:id="187" w:name="_Toc482188631"/>
      <w:bookmarkStart w:id="188" w:name="_Toc28311"/>
      <w:r>
        <w:rPr>
          <w:rFonts w:ascii="Times New Roman" w:hAnsi="Times New Roman"/>
          <w:color w:val="auto"/>
          <w:highlight w:val="none"/>
        </w:rPr>
        <w:t>1</w:t>
      </w:r>
      <w:r>
        <w:rPr>
          <w:rFonts w:hint="eastAsia" w:ascii="Times New Roman" w:hAnsi="Times New Roman"/>
          <w:color w:val="auto"/>
          <w:highlight w:val="none"/>
        </w:rPr>
        <w:t>2</w:t>
      </w:r>
      <w:r>
        <w:rPr>
          <w:rFonts w:ascii="Times New Roman" w:hAnsi="Times New Roman"/>
          <w:color w:val="auto"/>
          <w:highlight w:val="none"/>
        </w:rPr>
        <w:t>. 争议的解决</w:t>
      </w:r>
      <w:bookmarkEnd w:id="187"/>
      <w:bookmarkEnd w:id="188"/>
    </w:p>
    <w:p w14:paraId="6B72EDDD">
      <w:pPr>
        <w:spacing w:line="360" w:lineRule="auto"/>
        <w:ind w:firstLine="420" w:firstLineChars="200"/>
        <w:rPr>
          <w:color w:val="auto"/>
          <w:szCs w:val="21"/>
          <w:highlight w:val="none"/>
        </w:rPr>
      </w:pPr>
      <w:r>
        <w:rPr>
          <w:rFonts w:hint="eastAsia"/>
          <w:color w:val="auto"/>
          <w:szCs w:val="21"/>
          <w:highlight w:val="none"/>
        </w:rPr>
        <w:t>本合同在履行过程中发生争议的，应友好</w:t>
      </w:r>
      <w:r>
        <w:rPr>
          <w:rFonts w:hint="eastAsia"/>
          <w:color w:val="auto"/>
          <w:szCs w:val="21"/>
          <w:highlight w:val="none"/>
          <w:lang w:val="zh-CN"/>
        </w:rPr>
        <w:t>协商解决；不能协商解决的，</w:t>
      </w:r>
      <w:r>
        <w:rPr>
          <w:rFonts w:hint="eastAsia"/>
          <w:color w:val="auto"/>
          <w:szCs w:val="21"/>
          <w:highlight w:val="none"/>
          <w:lang w:val="en-US" w:eastAsia="zh-CN"/>
        </w:rPr>
        <w:t>向工程所在地</w:t>
      </w:r>
      <w:r>
        <w:rPr>
          <w:rFonts w:hint="eastAsia"/>
          <w:color w:val="auto"/>
          <w:szCs w:val="21"/>
          <w:highlight w:val="none"/>
          <w:lang w:val="zh-CN"/>
        </w:rPr>
        <w:t>人民法院起诉。</w:t>
      </w:r>
    </w:p>
    <w:p w14:paraId="05D5C0B9">
      <w:pPr>
        <w:spacing w:line="360" w:lineRule="auto"/>
        <w:ind w:firstLine="420" w:firstLineChars="200"/>
        <w:rPr>
          <w:color w:val="auto"/>
          <w:szCs w:val="21"/>
          <w:highlight w:val="none"/>
        </w:rPr>
      </w:pPr>
      <w:r>
        <w:rPr>
          <w:rFonts w:hint="eastAsia"/>
          <w:color w:val="auto"/>
          <w:szCs w:val="21"/>
          <w:highlight w:val="none"/>
        </w:rPr>
        <w:t>在诉讼期间，本合同不涉及争议部分的条款仍须履行。</w:t>
      </w:r>
    </w:p>
    <w:p w14:paraId="7C3BE8BB">
      <w:pPr>
        <w:widowControl/>
        <w:jc w:val="left"/>
        <w:rPr>
          <w:rFonts w:eastAsia="黑体"/>
          <w:b/>
          <w:bCs/>
          <w:color w:val="auto"/>
          <w:sz w:val="32"/>
          <w:szCs w:val="32"/>
          <w:highlight w:val="none"/>
        </w:rPr>
      </w:pPr>
      <w:r>
        <w:rPr>
          <w:color w:val="auto"/>
          <w:highlight w:val="none"/>
        </w:rPr>
        <w:br w:type="page"/>
      </w:r>
    </w:p>
    <w:p w14:paraId="1E15897A">
      <w:pPr>
        <w:pStyle w:val="2"/>
        <w:ind w:firstLine="723" w:firstLineChars="200"/>
        <w:jc w:val="center"/>
        <w:rPr>
          <w:rFonts w:ascii="Times New Roman" w:hAnsi="Times New Roman"/>
          <w:color w:val="auto"/>
          <w:sz w:val="36"/>
          <w:szCs w:val="36"/>
          <w:highlight w:val="none"/>
        </w:rPr>
      </w:pPr>
      <w:bookmarkStart w:id="189" w:name="_Toc23736"/>
      <w:bookmarkStart w:id="190" w:name="_Toc144974826"/>
      <w:bookmarkStart w:id="191" w:name="_Toc152042546"/>
      <w:bookmarkStart w:id="192" w:name="_Toc152045767"/>
      <w:bookmarkStart w:id="193" w:name="_Toc179632785"/>
      <w:bookmarkStart w:id="194" w:name="_Toc152045610"/>
      <w:bookmarkStart w:id="195" w:name="_Toc247527798"/>
      <w:bookmarkStart w:id="196" w:name="_Toc184635122"/>
      <w:bookmarkStart w:id="197" w:name="_Toc300835199"/>
      <w:bookmarkStart w:id="198" w:name="_Toc152042388"/>
      <w:bookmarkStart w:id="199" w:name="_Toc247514197"/>
      <w:bookmarkStart w:id="200" w:name="_Toc144974578"/>
      <w:r>
        <w:rPr>
          <w:rFonts w:ascii="Times New Roman" w:hAnsi="Times New Roman"/>
          <w:color w:val="auto"/>
          <w:sz w:val="36"/>
          <w:szCs w:val="36"/>
          <w:highlight w:val="none"/>
        </w:rPr>
        <w:t>第</w:t>
      </w:r>
      <w:r>
        <w:rPr>
          <w:rFonts w:hint="eastAsia"/>
          <w:color w:val="auto"/>
          <w:sz w:val="36"/>
          <w:szCs w:val="36"/>
          <w:highlight w:val="none"/>
          <w:lang w:val="en-US" w:eastAsia="zh-CN"/>
        </w:rPr>
        <w:t>三</w:t>
      </w:r>
      <w:r>
        <w:rPr>
          <w:rFonts w:ascii="Times New Roman" w:hAnsi="Times New Roman"/>
          <w:color w:val="auto"/>
          <w:sz w:val="36"/>
          <w:szCs w:val="36"/>
          <w:highlight w:val="none"/>
        </w:rPr>
        <w:t>节</w:t>
      </w:r>
      <w:r>
        <w:rPr>
          <w:rFonts w:hint="eastAsia"/>
          <w:color w:val="auto"/>
          <w:sz w:val="36"/>
          <w:szCs w:val="36"/>
          <w:highlight w:val="none"/>
          <w:lang w:val="en-US" w:eastAsia="zh-CN"/>
        </w:rPr>
        <w:t xml:space="preserve"> </w:t>
      </w:r>
      <w:r>
        <w:rPr>
          <w:rFonts w:ascii="Times New Roman" w:hAnsi="Times New Roman"/>
          <w:color w:val="auto"/>
          <w:sz w:val="36"/>
          <w:szCs w:val="36"/>
          <w:highlight w:val="none"/>
        </w:rPr>
        <w:t>专用合同条款</w:t>
      </w:r>
      <w:bookmarkEnd w:id="189"/>
    </w:p>
    <w:p w14:paraId="5BCA8442">
      <w:pPr>
        <w:pStyle w:val="3"/>
        <w:ind w:firstLine="105"/>
        <w:rPr>
          <w:rFonts w:ascii="Times New Roman" w:hAnsi="Times New Roman"/>
          <w:color w:val="auto"/>
          <w:highlight w:val="none"/>
        </w:rPr>
      </w:pPr>
      <w:bookmarkStart w:id="201" w:name="_Toc27179"/>
      <w:r>
        <w:rPr>
          <w:rFonts w:ascii="Times New Roman" w:hAnsi="Times New Roman"/>
          <w:color w:val="auto"/>
          <w:highlight w:val="none"/>
        </w:rPr>
        <w:t xml:space="preserve">1. </w:t>
      </w:r>
      <w:r>
        <w:rPr>
          <w:rFonts w:hint="eastAsia" w:ascii="Times New Roman" w:hAnsi="Times New Roman"/>
          <w:color w:val="auto"/>
          <w:highlight w:val="none"/>
        </w:rPr>
        <w:t>一般约定</w:t>
      </w:r>
      <w:bookmarkEnd w:id="201"/>
    </w:p>
    <w:p w14:paraId="23CF9ABA">
      <w:pPr>
        <w:pStyle w:val="4"/>
        <w:spacing w:line="240" w:lineRule="auto"/>
        <w:ind w:firstLine="137"/>
        <w:rPr>
          <w:rFonts w:ascii="Times New Roman"/>
          <w:color w:val="auto"/>
          <w:highlight w:val="none"/>
        </w:rPr>
      </w:pPr>
      <w:bookmarkStart w:id="202" w:name="_Toc14720"/>
      <w:r>
        <w:rPr>
          <w:rFonts w:ascii="Times New Roman"/>
          <w:color w:val="auto"/>
          <w:highlight w:val="none"/>
        </w:rPr>
        <w:t xml:space="preserve">1.1 </w:t>
      </w:r>
      <w:r>
        <w:rPr>
          <w:rFonts w:hint="eastAsia" w:ascii="Times New Roman"/>
          <w:color w:val="auto"/>
          <w:highlight w:val="none"/>
        </w:rPr>
        <w:t>词语定义</w:t>
      </w:r>
      <w:bookmarkEnd w:id="202"/>
    </w:p>
    <w:p w14:paraId="61BABB2A">
      <w:pPr>
        <w:spacing w:line="360" w:lineRule="auto"/>
        <w:ind w:firstLine="420" w:firstLineChars="200"/>
        <w:rPr>
          <w:color w:val="auto"/>
          <w:highlight w:val="none"/>
        </w:rPr>
      </w:pPr>
      <w:r>
        <w:rPr>
          <w:rFonts w:hint="eastAsia"/>
          <w:color w:val="auto"/>
          <w:highlight w:val="none"/>
        </w:rPr>
        <w:t>增加以下内容到第1.1款：</w:t>
      </w:r>
    </w:p>
    <w:p w14:paraId="7AF4C0C0">
      <w:pPr>
        <w:spacing w:line="360" w:lineRule="auto"/>
        <w:ind w:firstLine="420" w:firstLineChars="200"/>
        <w:rPr>
          <w:color w:val="auto"/>
          <w:szCs w:val="21"/>
          <w:highlight w:val="none"/>
        </w:rPr>
      </w:pPr>
      <w:r>
        <w:rPr>
          <w:color w:val="auto"/>
          <w:highlight w:val="none"/>
        </w:rPr>
        <w:t>1.1.1.9</w:t>
      </w:r>
      <w:r>
        <w:rPr>
          <w:color w:val="auto"/>
          <w:szCs w:val="21"/>
          <w:highlight w:val="none"/>
        </w:rPr>
        <w:t xml:space="preserve"> 其他合同文件</w:t>
      </w:r>
      <w:r>
        <w:rPr>
          <w:rFonts w:hint="eastAsia"/>
          <w:color w:val="auto"/>
          <w:szCs w:val="21"/>
          <w:highlight w:val="none"/>
        </w:rPr>
        <w:t>包括：</w:t>
      </w:r>
      <w:permStart w:id="71" w:edGrp="everyone"/>
      <w:r>
        <w:rPr>
          <w:rFonts w:hint="eastAsia"/>
          <w:color w:val="auto"/>
          <w:szCs w:val="21"/>
          <w:highlight w:val="none"/>
          <w:u w:val="single"/>
        </w:rPr>
        <w:t xml:space="preserve">      </w:t>
      </w:r>
      <w:r>
        <w:rPr>
          <w:rFonts w:hint="eastAsia"/>
          <w:color w:val="auto"/>
          <w:szCs w:val="21"/>
          <w:highlight w:val="none"/>
          <w:u w:val="single"/>
          <w:lang w:val="en-US" w:eastAsia="zh-CN"/>
        </w:rPr>
        <w:t>/</w:t>
      </w:r>
      <w:r>
        <w:rPr>
          <w:rFonts w:hint="eastAsia"/>
          <w:color w:val="auto"/>
          <w:szCs w:val="21"/>
          <w:highlight w:val="none"/>
          <w:u w:val="single"/>
        </w:rPr>
        <w:t xml:space="preserve">      </w:t>
      </w:r>
      <w:r>
        <w:rPr>
          <w:color w:val="auto"/>
          <w:szCs w:val="21"/>
          <w:highlight w:val="none"/>
        </w:rPr>
        <w:t>。</w:t>
      </w:r>
      <w:permEnd w:id="71"/>
    </w:p>
    <w:p w14:paraId="440E9991">
      <w:pPr>
        <w:spacing w:line="360" w:lineRule="auto"/>
        <w:ind w:firstLine="420" w:firstLineChars="200"/>
        <w:rPr>
          <w:color w:val="auto"/>
          <w:highlight w:val="none"/>
        </w:rPr>
      </w:pPr>
      <w:r>
        <w:rPr>
          <w:color w:val="auto"/>
          <w:highlight w:val="none"/>
        </w:rPr>
        <w:t>1.1.2.</w:t>
      </w:r>
      <w:r>
        <w:rPr>
          <w:rFonts w:hint="eastAsia"/>
          <w:color w:val="auto"/>
          <w:highlight w:val="none"/>
        </w:rPr>
        <w:t>7 项目建设单位</w:t>
      </w:r>
      <w:r>
        <w:rPr>
          <w:color w:val="auto"/>
          <w:highlight w:val="none"/>
        </w:rPr>
        <w:t>：</w:t>
      </w:r>
      <w:r>
        <w:rPr>
          <w:rFonts w:hint="eastAsia"/>
          <w:color w:val="auto"/>
          <w:highlight w:val="none"/>
        </w:rPr>
        <w:t>由委托人委托执行本项目的单位，本项目的建设单位为</w:t>
      </w:r>
      <w:permStart w:id="72" w:edGrp="everyone"/>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highlight w:val="none"/>
        </w:rPr>
        <w:t>，</w:t>
      </w:r>
      <w:permEnd w:id="72"/>
      <w:r>
        <w:rPr>
          <w:color w:val="auto"/>
          <w:highlight w:val="none"/>
        </w:rPr>
        <w:t>执行委托人的权利和义务。</w:t>
      </w:r>
    </w:p>
    <w:p w14:paraId="18616F5A">
      <w:pPr>
        <w:spacing w:line="360" w:lineRule="auto"/>
        <w:ind w:firstLine="420" w:firstLineChars="200"/>
        <w:rPr>
          <w:rFonts w:hAnsi="宋体"/>
          <w:color w:val="auto"/>
          <w:szCs w:val="21"/>
          <w:highlight w:val="none"/>
        </w:rPr>
      </w:pPr>
      <w:r>
        <w:rPr>
          <w:color w:val="auto"/>
          <w:szCs w:val="21"/>
          <w:highlight w:val="none"/>
        </w:rPr>
        <w:t>1.1.2.</w:t>
      </w:r>
      <w:r>
        <w:rPr>
          <w:rFonts w:hint="eastAsia"/>
          <w:color w:val="auto"/>
          <w:szCs w:val="21"/>
          <w:highlight w:val="none"/>
        </w:rPr>
        <w:t xml:space="preserve">8 </w:t>
      </w:r>
      <w:r>
        <w:rPr>
          <w:rFonts w:hint="eastAsia" w:hAnsi="宋体"/>
          <w:color w:val="auto"/>
          <w:szCs w:val="21"/>
          <w:highlight w:val="none"/>
        </w:rPr>
        <w:t>业主项目部：是项目委托人或项目建设单位基建管理的基层组织，代表委托人开展项目过程管理各项具体工作，对项目建设管理负直接责任。</w:t>
      </w:r>
    </w:p>
    <w:p w14:paraId="708DCFA3">
      <w:pPr>
        <w:spacing w:line="360" w:lineRule="auto"/>
        <w:ind w:firstLine="420" w:firstLineChars="200"/>
        <w:rPr>
          <w:color w:val="auto"/>
          <w:highlight w:val="none"/>
        </w:rPr>
      </w:pPr>
      <w:r>
        <w:rPr>
          <w:color w:val="auto"/>
          <w:highlight w:val="none"/>
        </w:rPr>
        <w:t>1.</w:t>
      </w:r>
      <w:r>
        <w:rPr>
          <w:rFonts w:hint="eastAsia"/>
          <w:color w:val="auto"/>
          <w:highlight w:val="none"/>
        </w:rPr>
        <w:t>1.2.9 监理项目部：指监理人派驻建设工程项目施工现场负责履行建设工程监理合同的组织机构。</w:t>
      </w:r>
    </w:p>
    <w:p w14:paraId="51FFD822">
      <w:pPr>
        <w:spacing w:line="360" w:lineRule="auto"/>
        <w:ind w:firstLine="420" w:firstLineChars="200"/>
        <w:rPr>
          <w:color w:val="auto"/>
          <w:highlight w:val="none"/>
        </w:rPr>
      </w:pPr>
      <w:r>
        <w:rPr>
          <w:color w:val="auto"/>
          <w:highlight w:val="none"/>
        </w:rPr>
        <w:t>1.</w:t>
      </w:r>
      <w:r>
        <w:rPr>
          <w:rFonts w:hint="eastAsia"/>
          <w:color w:val="auto"/>
          <w:highlight w:val="none"/>
        </w:rPr>
        <w:t>1.2.10 施工项目部：指施工承包人</w:t>
      </w:r>
      <w:r>
        <w:rPr>
          <w:color w:val="auto"/>
          <w:highlight w:val="none"/>
        </w:rPr>
        <w:t>派驻建设工程项目</w:t>
      </w:r>
      <w:r>
        <w:rPr>
          <w:rFonts w:hint="eastAsia"/>
          <w:color w:val="auto"/>
          <w:highlight w:val="none"/>
        </w:rPr>
        <w:t>施工现场</w:t>
      </w:r>
      <w:r>
        <w:rPr>
          <w:color w:val="auto"/>
          <w:highlight w:val="none"/>
        </w:rPr>
        <w:t>负责履行</w:t>
      </w:r>
      <w:r>
        <w:rPr>
          <w:rFonts w:hint="eastAsia"/>
          <w:color w:val="auto"/>
          <w:highlight w:val="none"/>
        </w:rPr>
        <w:t>建设工程承包合同</w:t>
      </w:r>
      <w:r>
        <w:rPr>
          <w:color w:val="auto"/>
          <w:highlight w:val="none"/>
        </w:rPr>
        <w:t>的组织机构</w:t>
      </w:r>
      <w:r>
        <w:rPr>
          <w:rFonts w:hint="eastAsia"/>
          <w:color w:val="auto"/>
          <w:highlight w:val="none"/>
        </w:rPr>
        <w:t>。</w:t>
      </w:r>
    </w:p>
    <w:p w14:paraId="414565ED">
      <w:pPr>
        <w:spacing w:line="360" w:lineRule="auto"/>
        <w:ind w:firstLine="420" w:firstLineChars="200"/>
        <w:rPr>
          <w:color w:val="auto"/>
          <w:highlight w:val="none"/>
        </w:rPr>
      </w:pPr>
      <w:r>
        <w:rPr>
          <w:rFonts w:hint="eastAsia"/>
          <w:color w:val="auto"/>
          <w:highlight w:val="none"/>
        </w:rPr>
        <w:t>1.1.2.11 参建单位：指为委托人提供施工承包、勘察设计承包、建设监理和造价咨询等服务的单位，包括施工承包人、专业承包商、勘察设计人、监理人等。</w:t>
      </w:r>
    </w:p>
    <w:p w14:paraId="413EF81E">
      <w:pPr>
        <w:spacing w:line="360" w:lineRule="auto"/>
        <w:ind w:firstLine="420" w:firstLineChars="200"/>
        <w:rPr>
          <w:color w:val="auto"/>
          <w:highlight w:val="none"/>
          <w:lang w:val="zh-CN"/>
        </w:rPr>
      </w:pPr>
      <w:r>
        <w:rPr>
          <w:rFonts w:hint="eastAsia"/>
          <w:color w:val="auto"/>
          <w:highlight w:val="none"/>
        </w:rPr>
        <w:t xml:space="preserve">1.1.6.2 </w:t>
      </w:r>
      <w:r>
        <w:rPr>
          <w:rFonts w:hint="eastAsia"/>
          <w:color w:val="auto"/>
          <w:highlight w:val="none"/>
          <w:lang w:val="zh-CN"/>
        </w:rPr>
        <w:t>工程质量监督：指政府质监机构（电力工程质监站、电力质监中心、电力质监中心总站）按规定对工程进行的质量监督活动。</w:t>
      </w:r>
    </w:p>
    <w:p w14:paraId="0F42906C">
      <w:pPr>
        <w:spacing w:line="360" w:lineRule="auto"/>
        <w:ind w:firstLine="420" w:firstLineChars="200"/>
        <w:rPr>
          <w:color w:val="auto"/>
          <w:highlight w:val="none"/>
        </w:rPr>
      </w:pPr>
      <w:r>
        <w:rPr>
          <w:rFonts w:hint="eastAsia"/>
          <w:color w:val="auto"/>
          <w:highlight w:val="none"/>
        </w:rPr>
        <w:t>1.1.6.3 三控两管一协调：对建设工程质量、进度、造价进行控制，对合同信息进行管理，对工程建设相关方的关系进行协调，同时还要依据《建设工程安全生产管理条例》等法规、政策，履行建设工程安全生产管理的法定职责。</w:t>
      </w:r>
    </w:p>
    <w:p w14:paraId="64238754">
      <w:pPr>
        <w:spacing w:line="360" w:lineRule="auto"/>
        <w:ind w:firstLine="420" w:firstLineChars="200"/>
        <w:rPr>
          <w:color w:val="auto"/>
          <w:highlight w:val="none"/>
        </w:rPr>
      </w:pPr>
      <w:r>
        <w:rPr>
          <w:rFonts w:hint="eastAsia"/>
          <w:color w:val="auto"/>
          <w:highlight w:val="none"/>
        </w:rPr>
        <w:t>1.1.6.4 全过程：指勘察设计、施工准备（含三通一平）、施工、竣工结算、缺陷责任期、达标投产创优。</w:t>
      </w:r>
    </w:p>
    <w:p w14:paraId="50C0FEF5">
      <w:pPr>
        <w:pStyle w:val="4"/>
        <w:spacing w:line="240" w:lineRule="auto"/>
        <w:ind w:firstLine="137"/>
        <w:rPr>
          <w:rFonts w:ascii="Times New Roman"/>
          <w:color w:val="auto"/>
          <w:highlight w:val="none"/>
        </w:rPr>
      </w:pPr>
      <w:bookmarkStart w:id="203" w:name="_Toc9959"/>
      <w:r>
        <w:rPr>
          <w:rFonts w:ascii="Times New Roman"/>
          <w:color w:val="auto"/>
          <w:highlight w:val="none"/>
        </w:rPr>
        <w:t xml:space="preserve">1.3 </w:t>
      </w:r>
      <w:r>
        <w:rPr>
          <w:rFonts w:hint="eastAsia" w:ascii="Times New Roman"/>
          <w:color w:val="auto"/>
          <w:highlight w:val="none"/>
        </w:rPr>
        <w:t>适用法律</w:t>
      </w:r>
      <w:bookmarkEnd w:id="203"/>
    </w:p>
    <w:p w14:paraId="150DEB83">
      <w:pPr>
        <w:spacing w:line="360" w:lineRule="auto"/>
        <w:ind w:firstLine="420" w:firstLineChars="200"/>
        <w:rPr>
          <w:color w:val="auto"/>
          <w:highlight w:val="none"/>
        </w:rPr>
      </w:pPr>
      <w:r>
        <w:rPr>
          <w:rFonts w:hint="eastAsia"/>
          <w:color w:val="auto"/>
          <w:highlight w:val="none"/>
        </w:rPr>
        <w:t>增加以下内容到第1.3款：</w:t>
      </w:r>
    </w:p>
    <w:p w14:paraId="182FA5D3">
      <w:pPr>
        <w:spacing w:line="360" w:lineRule="auto"/>
        <w:ind w:firstLine="420" w:firstLineChars="200"/>
        <w:rPr>
          <w:color w:val="auto"/>
          <w:szCs w:val="21"/>
          <w:highlight w:val="none"/>
        </w:rPr>
      </w:pPr>
      <w:r>
        <w:rPr>
          <w:color w:val="auto"/>
          <w:highlight w:val="none"/>
        </w:rPr>
        <w:t>本合同适用的其他规范性文件：</w:t>
      </w:r>
      <w:permStart w:id="73" w:edGrp="everyone"/>
      <w:r>
        <w:rPr>
          <w:rFonts w:hint="eastAsia"/>
          <w:color w:val="auto"/>
          <w:szCs w:val="21"/>
          <w:highlight w:val="none"/>
          <w:u w:val="single"/>
        </w:rPr>
        <w:t xml:space="preserve">      </w:t>
      </w:r>
      <w:r>
        <w:rPr>
          <w:rFonts w:hint="eastAsia"/>
          <w:color w:val="auto"/>
          <w:szCs w:val="21"/>
          <w:highlight w:val="none"/>
          <w:u w:val="single"/>
          <w:lang w:val="en-US" w:eastAsia="zh-CN"/>
        </w:rPr>
        <w:t>/</w:t>
      </w:r>
      <w:r>
        <w:rPr>
          <w:rFonts w:hint="eastAsia"/>
          <w:color w:val="auto"/>
          <w:szCs w:val="21"/>
          <w:highlight w:val="none"/>
          <w:u w:val="single"/>
        </w:rPr>
        <w:t xml:space="preserve">      </w:t>
      </w:r>
      <w:permEnd w:id="73"/>
      <w:r>
        <w:rPr>
          <w:color w:val="auto"/>
          <w:szCs w:val="21"/>
          <w:highlight w:val="none"/>
        </w:rPr>
        <w:t>。</w:t>
      </w:r>
    </w:p>
    <w:p w14:paraId="768BF488">
      <w:pPr>
        <w:pStyle w:val="4"/>
        <w:spacing w:line="240" w:lineRule="auto"/>
        <w:ind w:firstLine="137"/>
        <w:rPr>
          <w:rFonts w:ascii="Times New Roman"/>
          <w:color w:val="auto"/>
          <w:highlight w:val="none"/>
        </w:rPr>
      </w:pPr>
      <w:bookmarkStart w:id="204" w:name="_Toc17709"/>
      <w:r>
        <w:rPr>
          <w:rFonts w:ascii="Times New Roman"/>
          <w:color w:val="auto"/>
          <w:highlight w:val="none"/>
        </w:rPr>
        <w:t xml:space="preserve">1.4 </w:t>
      </w:r>
      <w:r>
        <w:rPr>
          <w:rFonts w:hint="eastAsia" w:ascii="Times New Roman"/>
          <w:color w:val="auto"/>
          <w:highlight w:val="none"/>
        </w:rPr>
        <w:t>合同文件的优先顺序</w:t>
      </w:r>
      <w:bookmarkEnd w:id="204"/>
    </w:p>
    <w:p w14:paraId="7919717D">
      <w:pPr>
        <w:spacing w:line="360" w:lineRule="auto"/>
        <w:ind w:firstLine="420" w:firstLineChars="200"/>
        <w:rPr>
          <w:color w:val="auto"/>
          <w:highlight w:val="none"/>
        </w:rPr>
      </w:pPr>
      <w:r>
        <w:rPr>
          <w:rFonts w:hint="eastAsia"/>
          <w:color w:val="auto"/>
          <w:highlight w:val="none"/>
        </w:rPr>
        <w:t>替换以下内容到第1.4款：</w:t>
      </w:r>
    </w:p>
    <w:p w14:paraId="48BDB956">
      <w:pPr>
        <w:spacing w:line="360" w:lineRule="auto"/>
        <w:ind w:firstLine="420" w:firstLineChars="200"/>
        <w:rPr>
          <w:color w:val="auto"/>
          <w:szCs w:val="21"/>
          <w:highlight w:val="none"/>
        </w:rPr>
      </w:pPr>
      <w:r>
        <w:rPr>
          <w:color w:val="auto"/>
          <w:szCs w:val="21"/>
          <w:highlight w:val="none"/>
        </w:rPr>
        <w:t>组成合同的各项文件应互相解释，互为说明。解释合同文件的优先顺序如下：</w:t>
      </w:r>
    </w:p>
    <w:p w14:paraId="5AE4E4CC">
      <w:pPr>
        <w:spacing w:line="360" w:lineRule="auto"/>
        <w:ind w:firstLine="420"/>
        <w:rPr>
          <w:color w:val="auto"/>
          <w:highlight w:val="none"/>
        </w:rPr>
      </w:pPr>
      <w:r>
        <w:rPr>
          <w:color w:val="auto"/>
          <w:highlight w:val="none"/>
        </w:rPr>
        <w:t>（1）合同协议书；</w:t>
      </w:r>
    </w:p>
    <w:p w14:paraId="76D309C2">
      <w:pPr>
        <w:spacing w:line="360" w:lineRule="auto"/>
        <w:ind w:firstLine="420"/>
        <w:rPr>
          <w:color w:val="auto"/>
          <w:highlight w:val="none"/>
        </w:rPr>
      </w:pPr>
      <w:r>
        <w:rPr>
          <w:color w:val="auto"/>
          <w:highlight w:val="none"/>
        </w:rPr>
        <w:t>（2）中标通知书；</w:t>
      </w:r>
    </w:p>
    <w:p w14:paraId="11F8548D">
      <w:pPr>
        <w:spacing w:line="360" w:lineRule="auto"/>
        <w:ind w:firstLine="420"/>
        <w:rPr>
          <w:color w:val="auto"/>
          <w:highlight w:val="none"/>
        </w:rPr>
      </w:pPr>
      <w:r>
        <w:rPr>
          <w:color w:val="auto"/>
          <w:highlight w:val="none"/>
        </w:rPr>
        <w:t>（3）专用合同条款</w:t>
      </w:r>
      <w:r>
        <w:rPr>
          <w:rFonts w:hint="eastAsia"/>
          <w:color w:val="auto"/>
          <w:highlight w:val="none"/>
        </w:rPr>
        <w:t>及合同附件</w:t>
      </w:r>
      <w:r>
        <w:rPr>
          <w:color w:val="auto"/>
          <w:highlight w:val="none"/>
        </w:rPr>
        <w:t>；</w:t>
      </w:r>
    </w:p>
    <w:p w14:paraId="46CA6743">
      <w:pPr>
        <w:spacing w:line="360" w:lineRule="auto"/>
        <w:ind w:firstLine="420"/>
        <w:rPr>
          <w:color w:val="auto"/>
          <w:highlight w:val="none"/>
        </w:rPr>
      </w:pPr>
      <w:r>
        <w:rPr>
          <w:color w:val="auto"/>
          <w:highlight w:val="none"/>
        </w:rPr>
        <w:t>（4）通用合同条款；</w:t>
      </w:r>
    </w:p>
    <w:p w14:paraId="0F15D0A0">
      <w:pPr>
        <w:spacing w:line="360" w:lineRule="auto"/>
        <w:ind w:firstLine="420"/>
        <w:rPr>
          <w:color w:val="auto"/>
          <w:highlight w:val="none"/>
        </w:rPr>
      </w:pPr>
      <w:r>
        <w:rPr>
          <w:color w:val="auto"/>
          <w:highlight w:val="none"/>
        </w:rPr>
        <w:t>（5）</w:t>
      </w:r>
      <w:r>
        <w:rPr>
          <w:rFonts w:hint="eastAsia"/>
          <w:color w:val="auto"/>
          <w:highlight w:val="none"/>
        </w:rPr>
        <w:t>招标文件（含答疑及澄清）；</w:t>
      </w:r>
    </w:p>
    <w:p w14:paraId="6BDAA02B">
      <w:pPr>
        <w:spacing w:line="360" w:lineRule="auto"/>
        <w:ind w:firstLine="420"/>
        <w:rPr>
          <w:color w:val="auto"/>
          <w:highlight w:val="none"/>
        </w:rPr>
      </w:pPr>
      <w:r>
        <w:rPr>
          <w:color w:val="auto"/>
          <w:highlight w:val="none"/>
        </w:rPr>
        <w:t>（6）投标函及</w:t>
      </w:r>
      <w:r>
        <w:rPr>
          <w:rFonts w:hint="eastAsia"/>
          <w:color w:val="auto"/>
          <w:highlight w:val="none"/>
        </w:rPr>
        <w:t>投标</w:t>
      </w:r>
      <w:r>
        <w:rPr>
          <w:rFonts w:hint="eastAsia"/>
          <w:color w:val="auto"/>
          <w:highlight w:val="none"/>
          <w:lang w:val="en-US" w:eastAsia="zh-CN"/>
        </w:rPr>
        <w:t>文件</w:t>
      </w:r>
      <w:r>
        <w:rPr>
          <w:rFonts w:hint="eastAsia"/>
          <w:color w:val="auto"/>
          <w:highlight w:val="none"/>
        </w:rPr>
        <w:t>（含澄清）</w:t>
      </w:r>
      <w:r>
        <w:rPr>
          <w:color w:val="auto"/>
          <w:highlight w:val="none"/>
        </w:rPr>
        <w:t>；</w:t>
      </w:r>
    </w:p>
    <w:p w14:paraId="6DE450D1">
      <w:pPr>
        <w:spacing w:line="360" w:lineRule="auto"/>
        <w:ind w:firstLine="420"/>
        <w:rPr>
          <w:color w:val="auto"/>
          <w:highlight w:val="none"/>
        </w:rPr>
      </w:pPr>
      <w:r>
        <w:rPr>
          <w:rFonts w:hint="eastAsia"/>
          <w:color w:val="auto"/>
          <w:highlight w:val="none"/>
        </w:rPr>
        <w:t>（7）</w:t>
      </w:r>
      <w:r>
        <w:rPr>
          <w:color w:val="auto"/>
          <w:highlight w:val="none"/>
        </w:rPr>
        <w:t>委托人要求；</w:t>
      </w:r>
    </w:p>
    <w:p w14:paraId="2208B37B">
      <w:pPr>
        <w:spacing w:line="360" w:lineRule="auto"/>
        <w:ind w:firstLine="420"/>
        <w:rPr>
          <w:color w:val="auto"/>
          <w:highlight w:val="none"/>
        </w:rPr>
      </w:pPr>
      <w:r>
        <w:rPr>
          <w:color w:val="auto"/>
          <w:highlight w:val="none"/>
        </w:rPr>
        <w:t>（</w:t>
      </w:r>
      <w:r>
        <w:rPr>
          <w:rFonts w:hint="eastAsia"/>
          <w:color w:val="auto"/>
          <w:highlight w:val="none"/>
        </w:rPr>
        <w:t>8</w:t>
      </w:r>
      <w:r>
        <w:rPr>
          <w:color w:val="auto"/>
          <w:highlight w:val="none"/>
        </w:rPr>
        <w:t>）</w:t>
      </w:r>
      <w:r>
        <w:rPr>
          <w:rFonts w:hint="eastAsia"/>
          <w:color w:val="auto"/>
          <w:highlight w:val="none"/>
        </w:rPr>
        <w:t>图纸；</w:t>
      </w:r>
    </w:p>
    <w:p w14:paraId="3E1EBCF7">
      <w:pPr>
        <w:spacing w:line="360" w:lineRule="auto"/>
        <w:ind w:firstLine="420"/>
        <w:rPr>
          <w:color w:val="auto"/>
          <w:szCs w:val="21"/>
          <w:highlight w:val="none"/>
        </w:rPr>
      </w:pPr>
      <w:r>
        <w:rPr>
          <w:color w:val="auto"/>
          <w:highlight w:val="none"/>
        </w:rPr>
        <w:t>（</w:t>
      </w:r>
      <w:r>
        <w:rPr>
          <w:rFonts w:hint="eastAsia"/>
          <w:color w:val="auto"/>
          <w:highlight w:val="none"/>
          <w:lang w:val="en-US" w:eastAsia="zh-CN"/>
        </w:rPr>
        <w:t>9</w:t>
      </w:r>
      <w:r>
        <w:rPr>
          <w:color w:val="auto"/>
          <w:highlight w:val="none"/>
        </w:rPr>
        <w:t>）其他合同</w:t>
      </w:r>
      <w:r>
        <w:rPr>
          <w:color w:val="auto"/>
          <w:szCs w:val="21"/>
          <w:highlight w:val="none"/>
        </w:rPr>
        <w:t>文件。</w:t>
      </w:r>
    </w:p>
    <w:p w14:paraId="2EABE1D8">
      <w:pPr>
        <w:pStyle w:val="4"/>
        <w:spacing w:line="240" w:lineRule="auto"/>
        <w:ind w:firstLine="137"/>
        <w:rPr>
          <w:rFonts w:ascii="Times New Roman"/>
          <w:color w:val="auto"/>
          <w:highlight w:val="none"/>
        </w:rPr>
      </w:pPr>
      <w:bookmarkStart w:id="205" w:name="_Toc3285"/>
      <w:r>
        <w:rPr>
          <w:rFonts w:ascii="Times New Roman"/>
          <w:color w:val="auto"/>
          <w:highlight w:val="none"/>
        </w:rPr>
        <w:t xml:space="preserve">1.6 </w:t>
      </w:r>
      <w:r>
        <w:rPr>
          <w:rFonts w:hint="eastAsia" w:ascii="Times New Roman"/>
          <w:color w:val="auto"/>
          <w:highlight w:val="none"/>
        </w:rPr>
        <w:t>文件的提供和照管</w:t>
      </w:r>
      <w:bookmarkEnd w:id="205"/>
    </w:p>
    <w:p w14:paraId="0CC3E059">
      <w:pPr>
        <w:spacing w:line="360" w:lineRule="auto"/>
        <w:ind w:firstLine="422" w:firstLineChars="200"/>
        <w:rPr>
          <w:b/>
          <w:color w:val="auto"/>
          <w:highlight w:val="none"/>
        </w:rPr>
      </w:pPr>
      <w:r>
        <w:rPr>
          <w:rFonts w:hint="eastAsia"/>
          <w:b/>
          <w:color w:val="auto"/>
          <w:highlight w:val="none"/>
        </w:rPr>
        <w:t>1.6.1 监理文件的提供</w:t>
      </w:r>
    </w:p>
    <w:p w14:paraId="2F81DB16">
      <w:pPr>
        <w:spacing w:line="360" w:lineRule="auto"/>
        <w:ind w:firstLine="420" w:firstLineChars="200"/>
        <w:rPr>
          <w:color w:val="auto"/>
          <w:highlight w:val="none"/>
        </w:rPr>
      </w:pPr>
      <w:r>
        <w:rPr>
          <w:rFonts w:hint="eastAsia"/>
          <w:color w:val="auto"/>
          <w:highlight w:val="none"/>
        </w:rPr>
        <w:t>增加以下内容到第1.6.1款：</w:t>
      </w:r>
    </w:p>
    <w:p w14:paraId="0FECA371">
      <w:pPr>
        <w:spacing w:line="360" w:lineRule="auto"/>
        <w:ind w:firstLine="420" w:firstLineChars="200"/>
        <w:rPr>
          <w:color w:val="auto"/>
          <w:szCs w:val="21"/>
          <w:highlight w:val="none"/>
        </w:rPr>
      </w:pPr>
      <w:r>
        <w:rPr>
          <w:rFonts w:hint="eastAsia"/>
          <w:color w:val="auto"/>
          <w:szCs w:val="21"/>
          <w:highlight w:val="none"/>
        </w:rPr>
        <w:t>监理文件的提供执行</w:t>
      </w:r>
      <w:permStart w:id="74" w:edGrp="everyone"/>
      <w:r>
        <w:rPr>
          <w:rFonts w:hint="eastAsia"/>
          <w:color w:val="auto"/>
          <w:szCs w:val="21"/>
          <w:highlight w:val="none"/>
        </w:rPr>
        <w:t>“合同附件格式”附件</w:t>
      </w:r>
      <w:r>
        <w:rPr>
          <w:rFonts w:hint="eastAsia"/>
          <w:color w:val="auto"/>
          <w:szCs w:val="21"/>
          <w:highlight w:val="none"/>
          <w:lang w:val="en-US" w:eastAsia="zh-CN"/>
        </w:rPr>
        <w:t>一</w:t>
      </w:r>
      <w:r>
        <w:rPr>
          <w:rFonts w:hint="eastAsia" w:ascii="宋体" w:hAnsi="宋体" w:cs="仿宋_GB2312"/>
          <w:color w:val="auto"/>
          <w:kern w:val="0"/>
          <w:szCs w:val="21"/>
          <w:highlight w:val="none"/>
        </w:rPr>
        <w:t>。</w:t>
      </w:r>
    </w:p>
    <w:permEnd w:id="74"/>
    <w:p w14:paraId="03EED563">
      <w:pPr>
        <w:spacing w:line="360" w:lineRule="auto"/>
        <w:ind w:firstLine="422" w:firstLineChars="200"/>
        <w:rPr>
          <w:b/>
          <w:color w:val="auto"/>
          <w:szCs w:val="21"/>
          <w:highlight w:val="none"/>
        </w:rPr>
      </w:pPr>
      <w:r>
        <w:rPr>
          <w:b/>
          <w:color w:val="auto"/>
          <w:highlight w:val="none"/>
        </w:rPr>
        <w:t xml:space="preserve">1.6.2 </w:t>
      </w:r>
      <w:r>
        <w:rPr>
          <w:b/>
          <w:color w:val="auto"/>
          <w:szCs w:val="21"/>
          <w:highlight w:val="none"/>
        </w:rPr>
        <w:t>委托人提供的文件</w:t>
      </w:r>
    </w:p>
    <w:p w14:paraId="753536B5">
      <w:pPr>
        <w:spacing w:line="360" w:lineRule="auto"/>
        <w:ind w:firstLine="420" w:firstLineChars="200"/>
        <w:rPr>
          <w:color w:val="auto"/>
          <w:szCs w:val="21"/>
          <w:highlight w:val="none"/>
        </w:rPr>
      </w:pPr>
      <w:r>
        <w:rPr>
          <w:rFonts w:hint="eastAsia"/>
          <w:color w:val="auto"/>
          <w:highlight w:val="none"/>
        </w:rPr>
        <w:t>增加以下内容到第1.6.2款：</w:t>
      </w:r>
    </w:p>
    <w:p w14:paraId="516E69C8">
      <w:pPr>
        <w:spacing w:line="360" w:lineRule="auto"/>
        <w:ind w:firstLine="420" w:firstLineChars="200"/>
        <w:rPr>
          <w:color w:val="auto"/>
          <w:szCs w:val="21"/>
          <w:highlight w:val="none"/>
        </w:rPr>
      </w:pPr>
      <w:r>
        <w:rPr>
          <w:rFonts w:hint="eastAsia"/>
          <w:color w:val="auto"/>
          <w:szCs w:val="21"/>
          <w:highlight w:val="none"/>
        </w:rPr>
        <w:t>委托人向监理人提供开展监理工作所需的有关基础资料的数量和期限：</w:t>
      </w:r>
      <w:permStart w:id="75" w:edGrp="everyone"/>
      <w:r>
        <w:rPr>
          <w:rFonts w:hint="eastAsia"/>
          <w:color w:val="auto"/>
          <w:szCs w:val="21"/>
          <w:highlight w:val="none"/>
          <w:u w:val="single"/>
        </w:rPr>
        <w:t xml:space="preserve"> 监理工作范围内属于委托人与相关方的承包合同、勘察文件、设计文件、物资及设备技术协议、规划测量放线册，1份，开展监理工作前7天内 </w:t>
      </w:r>
      <w:r>
        <w:rPr>
          <w:rFonts w:hint="eastAsia"/>
          <w:color w:val="auto"/>
          <w:szCs w:val="21"/>
          <w:highlight w:val="none"/>
        </w:rPr>
        <w:t>。</w:t>
      </w:r>
    </w:p>
    <w:permEnd w:id="75"/>
    <w:p w14:paraId="3E94D138">
      <w:pPr>
        <w:pStyle w:val="4"/>
        <w:spacing w:line="240" w:lineRule="auto"/>
        <w:ind w:firstLine="137"/>
        <w:rPr>
          <w:rFonts w:ascii="Times New Roman"/>
          <w:color w:val="auto"/>
          <w:highlight w:val="none"/>
        </w:rPr>
      </w:pPr>
      <w:bookmarkStart w:id="206" w:name="_Toc3231"/>
      <w:r>
        <w:rPr>
          <w:rFonts w:ascii="Times New Roman"/>
          <w:color w:val="auto"/>
          <w:highlight w:val="none"/>
        </w:rPr>
        <w:t xml:space="preserve">1.7 </w:t>
      </w:r>
      <w:r>
        <w:rPr>
          <w:rFonts w:hint="eastAsia" w:ascii="Times New Roman"/>
          <w:color w:val="auto"/>
          <w:highlight w:val="none"/>
        </w:rPr>
        <w:t>联络</w:t>
      </w:r>
      <w:bookmarkEnd w:id="206"/>
    </w:p>
    <w:p w14:paraId="4283381E">
      <w:pPr>
        <w:spacing w:line="360" w:lineRule="auto"/>
        <w:ind w:firstLine="420" w:firstLineChars="200"/>
        <w:rPr>
          <w:color w:val="auto"/>
          <w:highlight w:val="none"/>
        </w:rPr>
      </w:pPr>
      <w:r>
        <w:rPr>
          <w:rFonts w:hint="eastAsia"/>
          <w:color w:val="auto"/>
          <w:highlight w:val="none"/>
        </w:rPr>
        <w:t>增加以下内容到第1.7款：</w:t>
      </w:r>
    </w:p>
    <w:p w14:paraId="696097B0">
      <w:pPr>
        <w:spacing w:line="360" w:lineRule="auto"/>
        <w:ind w:firstLine="420" w:firstLineChars="200"/>
        <w:rPr>
          <w:color w:val="auto"/>
          <w:szCs w:val="21"/>
          <w:highlight w:val="none"/>
          <w:lang w:val="zh-CN"/>
        </w:rPr>
      </w:pPr>
      <w:r>
        <w:rPr>
          <w:color w:val="auto"/>
          <w:szCs w:val="21"/>
          <w:highlight w:val="none"/>
          <w:lang w:val="zh-CN"/>
        </w:rPr>
        <w:t>1.</w:t>
      </w:r>
      <w:r>
        <w:rPr>
          <w:rFonts w:hint="eastAsia"/>
          <w:color w:val="auto"/>
          <w:szCs w:val="21"/>
          <w:highlight w:val="none"/>
          <w:lang w:val="zh-CN"/>
        </w:rPr>
        <w:t>7</w:t>
      </w:r>
      <w:r>
        <w:rPr>
          <w:color w:val="auto"/>
          <w:szCs w:val="21"/>
          <w:highlight w:val="none"/>
          <w:lang w:val="zh-CN"/>
        </w:rPr>
        <w:t>.</w:t>
      </w:r>
      <w:r>
        <w:rPr>
          <w:rFonts w:hint="eastAsia"/>
          <w:color w:val="auto"/>
          <w:szCs w:val="21"/>
          <w:highlight w:val="none"/>
          <w:lang w:val="zh-CN"/>
        </w:rPr>
        <w:t xml:space="preserve">2 </w:t>
      </w:r>
      <w:r>
        <w:rPr>
          <w:color w:val="auto"/>
          <w:szCs w:val="21"/>
          <w:highlight w:val="none"/>
          <w:lang w:val="zh-CN"/>
        </w:rPr>
        <w:t>委托人和</w:t>
      </w:r>
      <w:r>
        <w:rPr>
          <w:rFonts w:hint="eastAsia"/>
          <w:color w:val="auto"/>
          <w:szCs w:val="21"/>
          <w:highlight w:val="none"/>
          <w:lang w:val="zh-CN"/>
        </w:rPr>
        <w:t>监理</w:t>
      </w:r>
      <w:r>
        <w:rPr>
          <w:color w:val="auto"/>
          <w:szCs w:val="21"/>
          <w:highlight w:val="none"/>
          <w:lang w:val="zh-CN"/>
        </w:rPr>
        <w:t>人应当在</w:t>
      </w:r>
      <w:permStart w:id="76" w:edGrp="everyone"/>
      <w:r>
        <w:rPr>
          <w:rFonts w:hint="eastAsia"/>
          <w:color w:val="auto"/>
          <w:szCs w:val="21"/>
          <w:highlight w:val="none"/>
          <w:u w:val="single"/>
          <w:lang w:val="zh-CN"/>
        </w:rPr>
        <w:t xml:space="preserve"> </w:t>
      </w:r>
      <w:r>
        <w:rPr>
          <w:rFonts w:hint="eastAsia"/>
          <w:color w:val="auto"/>
          <w:szCs w:val="21"/>
          <w:highlight w:val="none"/>
          <w:u w:val="single"/>
          <w:lang w:val="en-US" w:eastAsia="zh-CN"/>
        </w:rPr>
        <w:t>7</w:t>
      </w:r>
      <w:r>
        <w:rPr>
          <w:rFonts w:hint="eastAsia"/>
          <w:color w:val="auto"/>
          <w:szCs w:val="21"/>
          <w:highlight w:val="none"/>
          <w:u w:val="single"/>
          <w:lang w:val="zh-CN"/>
        </w:rPr>
        <w:t xml:space="preserve"> </w:t>
      </w:r>
      <w:r>
        <w:rPr>
          <w:color w:val="auto"/>
          <w:szCs w:val="21"/>
          <w:highlight w:val="none"/>
          <w:lang w:val="zh-CN"/>
        </w:rPr>
        <w:t>天</w:t>
      </w:r>
      <w:permEnd w:id="76"/>
      <w:r>
        <w:rPr>
          <w:color w:val="auto"/>
          <w:szCs w:val="21"/>
          <w:highlight w:val="none"/>
          <w:lang w:val="zh-CN"/>
        </w:rPr>
        <w:t>内将与合同有关的通知、批准、证明、证书、指示、指令、要求、请求、同意、意见、确定和决定等</w:t>
      </w:r>
      <w:r>
        <w:rPr>
          <w:color w:val="auto"/>
          <w:szCs w:val="21"/>
          <w:highlight w:val="none"/>
        </w:rPr>
        <w:t>来往函件</w:t>
      </w:r>
      <w:r>
        <w:rPr>
          <w:color w:val="auto"/>
          <w:szCs w:val="21"/>
          <w:highlight w:val="none"/>
          <w:lang w:val="zh-CN"/>
        </w:rPr>
        <w:t>送达</w:t>
      </w:r>
      <w:r>
        <w:rPr>
          <w:color w:val="auto"/>
          <w:szCs w:val="21"/>
          <w:highlight w:val="none"/>
        </w:rPr>
        <w:t>指定的地点和指定的接收人，并办理签收手续。</w:t>
      </w:r>
    </w:p>
    <w:p w14:paraId="0364FDEB">
      <w:pPr>
        <w:spacing w:line="360" w:lineRule="auto"/>
        <w:ind w:firstLine="420" w:firstLineChars="200"/>
        <w:rPr>
          <w:color w:val="auto"/>
          <w:szCs w:val="21"/>
          <w:highlight w:val="none"/>
          <w:lang w:val="zh-CN"/>
        </w:rPr>
      </w:pPr>
      <w:permStart w:id="77" w:edGrp="everyone"/>
      <w:r>
        <w:rPr>
          <w:rFonts w:hint="eastAsia"/>
          <w:color w:val="auto"/>
          <w:szCs w:val="21"/>
          <w:highlight w:val="none"/>
          <w:lang w:val="zh-CN"/>
        </w:rPr>
        <w:t>（1）</w:t>
      </w:r>
      <w:r>
        <w:rPr>
          <w:color w:val="auto"/>
          <w:szCs w:val="21"/>
          <w:highlight w:val="none"/>
          <w:lang w:val="zh-CN"/>
        </w:rPr>
        <w:t>委托人指定的</w:t>
      </w:r>
      <w:r>
        <w:rPr>
          <w:rFonts w:hint="eastAsia"/>
          <w:color w:val="auto"/>
          <w:szCs w:val="21"/>
          <w:highlight w:val="none"/>
          <w:lang w:val="zh-CN"/>
        </w:rPr>
        <w:t>来往函件</w:t>
      </w:r>
      <w:r>
        <w:rPr>
          <w:color w:val="auto"/>
          <w:szCs w:val="21"/>
          <w:highlight w:val="none"/>
          <w:lang w:val="zh-CN"/>
        </w:rPr>
        <w:t>接收地点：</w:t>
      </w:r>
      <w:r>
        <w:rPr>
          <w:rFonts w:hint="eastAsia"/>
          <w:color w:val="auto"/>
          <w:szCs w:val="21"/>
          <w:highlight w:val="none"/>
          <w:u w:val="single"/>
        </w:rPr>
        <w:t xml:space="preserve">            </w:t>
      </w:r>
      <w:r>
        <w:rPr>
          <w:color w:val="auto"/>
          <w:szCs w:val="21"/>
          <w:highlight w:val="none"/>
          <w:lang w:val="zh-CN"/>
        </w:rPr>
        <w:t>；</w:t>
      </w:r>
    </w:p>
    <w:p w14:paraId="178ED783">
      <w:pPr>
        <w:spacing w:line="360" w:lineRule="auto"/>
        <w:ind w:firstLine="420" w:firstLineChars="200"/>
        <w:rPr>
          <w:color w:val="auto"/>
          <w:szCs w:val="21"/>
          <w:highlight w:val="none"/>
          <w:lang w:val="zh-CN"/>
        </w:rPr>
      </w:pPr>
      <w:r>
        <w:rPr>
          <w:rFonts w:hint="eastAsia"/>
          <w:color w:val="auto"/>
          <w:szCs w:val="21"/>
          <w:highlight w:val="none"/>
          <w:lang w:val="zh-CN"/>
        </w:rPr>
        <w:t>（2）</w:t>
      </w:r>
      <w:r>
        <w:rPr>
          <w:color w:val="auto"/>
          <w:szCs w:val="21"/>
          <w:highlight w:val="none"/>
          <w:lang w:val="zh-CN"/>
        </w:rPr>
        <w:t>委托人指定的</w:t>
      </w:r>
      <w:r>
        <w:rPr>
          <w:rFonts w:hint="eastAsia"/>
          <w:color w:val="auto"/>
          <w:szCs w:val="21"/>
          <w:highlight w:val="none"/>
          <w:lang w:val="zh-CN"/>
        </w:rPr>
        <w:t>来往函件</w:t>
      </w:r>
      <w:r>
        <w:rPr>
          <w:color w:val="auto"/>
          <w:szCs w:val="21"/>
          <w:highlight w:val="none"/>
          <w:lang w:val="zh-CN"/>
        </w:rPr>
        <w:t>接收人：</w:t>
      </w:r>
      <w:r>
        <w:rPr>
          <w:rFonts w:hint="eastAsia"/>
          <w:color w:val="auto"/>
          <w:szCs w:val="21"/>
          <w:highlight w:val="none"/>
          <w:u w:val="single"/>
        </w:rPr>
        <w:t xml:space="preserve">            </w:t>
      </w:r>
      <w:r>
        <w:rPr>
          <w:rFonts w:hint="eastAsia"/>
          <w:color w:val="auto"/>
          <w:szCs w:val="21"/>
          <w:highlight w:val="none"/>
          <w:lang w:val="zh-CN"/>
        </w:rPr>
        <w:t>；</w:t>
      </w:r>
    </w:p>
    <w:p w14:paraId="09A71B50">
      <w:pPr>
        <w:spacing w:line="360" w:lineRule="auto"/>
        <w:ind w:firstLine="420" w:firstLineChars="200"/>
        <w:rPr>
          <w:color w:val="auto"/>
          <w:szCs w:val="21"/>
          <w:highlight w:val="none"/>
          <w:lang w:val="zh-CN"/>
        </w:rPr>
      </w:pPr>
      <w:r>
        <w:rPr>
          <w:rFonts w:hint="eastAsia"/>
          <w:color w:val="auto"/>
          <w:szCs w:val="21"/>
          <w:highlight w:val="none"/>
          <w:lang w:val="zh-CN"/>
        </w:rPr>
        <w:t>（3）委托人指定</w:t>
      </w:r>
      <w:r>
        <w:rPr>
          <w:color w:val="auto"/>
          <w:szCs w:val="21"/>
          <w:highlight w:val="none"/>
          <w:lang w:val="zh-CN"/>
        </w:rPr>
        <w:t>的</w:t>
      </w:r>
      <w:r>
        <w:rPr>
          <w:rFonts w:hint="eastAsia"/>
          <w:color w:val="auto"/>
          <w:szCs w:val="21"/>
          <w:highlight w:val="none"/>
          <w:lang w:val="zh-CN"/>
        </w:rPr>
        <w:t>来往函件接收电子邮箱：</w:t>
      </w:r>
      <w:r>
        <w:rPr>
          <w:rFonts w:hint="eastAsia"/>
          <w:color w:val="auto"/>
          <w:szCs w:val="21"/>
          <w:highlight w:val="none"/>
          <w:u w:val="single"/>
        </w:rPr>
        <w:t xml:space="preserve">            </w:t>
      </w:r>
      <w:r>
        <w:rPr>
          <w:rFonts w:hint="eastAsia"/>
          <w:color w:val="auto"/>
          <w:szCs w:val="21"/>
          <w:highlight w:val="none"/>
          <w:lang w:val="zh-CN"/>
        </w:rPr>
        <w:t>；</w:t>
      </w:r>
    </w:p>
    <w:p w14:paraId="68D7EA4F">
      <w:pPr>
        <w:spacing w:line="360" w:lineRule="auto"/>
        <w:ind w:firstLine="420" w:firstLineChars="200"/>
        <w:rPr>
          <w:color w:val="auto"/>
          <w:szCs w:val="21"/>
          <w:highlight w:val="none"/>
          <w:lang w:val="zh-CN"/>
        </w:rPr>
      </w:pPr>
      <w:r>
        <w:rPr>
          <w:rFonts w:hint="eastAsia"/>
          <w:color w:val="auto"/>
          <w:szCs w:val="21"/>
          <w:highlight w:val="none"/>
          <w:lang w:val="zh-CN"/>
        </w:rPr>
        <w:t>（4）监理</w:t>
      </w:r>
      <w:r>
        <w:rPr>
          <w:color w:val="auto"/>
          <w:szCs w:val="21"/>
          <w:highlight w:val="none"/>
          <w:lang w:val="zh-CN"/>
        </w:rPr>
        <w:t>人的</w:t>
      </w:r>
      <w:r>
        <w:rPr>
          <w:rFonts w:hint="eastAsia"/>
          <w:color w:val="auto"/>
          <w:szCs w:val="21"/>
          <w:highlight w:val="none"/>
          <w:lang w:val="zh-CN"/>
        </w:rPr>
        <w:t>来往函件接收</w:t>
      </w:r>
      <w:r>
        <w:rPr>
          <w:color w:val="auto"/>
          <w:szCs w:val="21"/>
          <w:highlight w:val="none"/>
          <w:lang w:val="zh-CN"/>
        </w:rPr>
        <w:t>地点：</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color w:val="auto"/>
          <w:szCs w:val="21"/>
          <w:highlight w:val="none"/>
          <w:lang w:val="zh-CN"/>
        </w:rPr>
        <w:t>；</w:t>
      </w:r>
    </w:p>
    <w:p w14:paraId="650C1F29">
      <w:pPr>
        <w:spacing w:line="360" w:lineRule="auto"/>
        <w:ind w:firstLine="420" w:firstLineChars="200"/>
        <w:rPr>
          <w:color w:val="auto"/>
          <w:szCs w:val="21"/>
          <w:highlight w:val="none"/>
          <w:lang w:val="zh-CN"/>
        </w:rPr>
      </w:pPr>
      <w:r>
        <w:rPr>
          <w:rFonts w:hint="eastAsia"/>
          <w:color w:val="auto"/>
          <w:szCs w:val="21"/>
          <w:highlight w:val="none"/>
          <w:lang w:val="zh-CN"/>
        </w:rPr>
        <w:t>（5）监理</w:t>
      </w:r>
      <w:r>
        <w:rPr>
          <w:color w:val="auto"/>
          <w:szCs w:val="21"/>
          <w:highlight w:val="none"/>
          <w:lang w:val="zh-CN"/>
        </w:rPr>
        <w:t>人的</w:t>
      </w:r>
      <w:r>
        <w:rPr>
          <w:rFonts w:hint="eastAsia"/>
          <w:color w:val="auto"/>
          <w:szCs w:val="21"/>
          <w:highlight w:val="none"/>
          <w:lang w:val="zh-CN"/>
        </w:rPr>
        <w:t>来往函件</w:t>
      </w:r>
      <w:r>
        <w:rPr>
          <w:color w:val="auto"/>
          <w:szCs w:val="21"/>
          <w:highlight w:val="none"/>
          <w:lang w:val="zh-CN"/>
        </w:rPr>
        <w:t>接收人：</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lang w:val="zh-CN"/>
        </w:rPr>
        <w:t>；</w:t>
      </w:r>
    </w:p>
    <w:p w14:paraId="378C3613">
      <w:pPr>
        <w:spacing w:line="360" w:lineRule="auto"/>
        <w:ind w:firstLine="420" w:firstLineChars="200"/>
        <w:rPr>
          <w:color w:val="auto"/>
          <w:szCs w:val="21"/>
          <w:highlight w:val="none"/>
          <w:lang w:val="zh-CN"/>
        </w:rPr>
      </w:pPr>
      <w:r>
        <w:rPr>
          <w:rFonts w:hint="eastAsia"/>
          <w:color w:val="auto"/>
          <w:szCs w:val="21"/>
          <w:highlight w:val="none"/>
          <w:lang w:val="zh-CN"/>
        </w:rPr>
        <w:t>（6）监理</w:t>
      </w:r>
      <w:r>
        <w:rPr>
          <w:color w:val="auto"/>
          <w:szCs w:val="21"/>
          <w:highlight w:val="none"/>
          <w:lang w:val="zh-CN"/>
        </w:rPr>
        <w:t>人的</w:t>
      </w:r>
      <w:r>
        <w:rPr>
          <w:rFonts w:hint="eastAsia"/>
          <w:color w:val="auto"/>
          <w:szCs w:val="21"/>
          <w:highlight w:val="none"/>
          <w:lang w:val="zh-CN"/>
        </w:rPr>
        <w:t>来往函件接收电子邮箱：</w:t>
      </w:r>
      <w:r>
        <w:rPr>
          <w:rFonts w:hint="eastAsia"/>
          <w:color w:val="auto"/>
          <w:szCs w:val="21"/>
          <w:highlight w:val="none"/>
          <w:u w:val="single"/>
        </w:rPr>
        <w:t xml:space="preserve">       </w:t>
      </w:r>
      <w:r>
        <w:rPr>
          <w:rFonts w:hint="eastAsia"/>
          <w:color w:val="auto"/>
          <w:szCs w:val="21"/>
          <w:highlight w:val="none"/>
          <w:u w:val="single"/>
          <w:lang w:val="en-US" w:eastAsia="zh-CN"/>
        </w:rPr>
        <w:t>/</w:t>
      </w:r>
      <w:r>
        <w:rPr>
          <w:rFonts w:hint="eastAsia"/>
          <w:color w:val="auto"/>
          <w:szCs w:val="21"/>
          <w:highlight w:val="none"/>
          <w:u w:val="single"/>
        </w:rPr>
        <w:t xml:space="preserve">     </w:t>
      </w:r>
      <w:r>
        <w:rPr>
          <w:color w:val="auto"/>
          <w:szCs w:val="21"/>
          <w:highlight w:val="none"/>
          <w:lang w:val="zh-CN"/>
        </w:rPr>
        <w:t>。</w:t>
      </w:r>
    </w:p>
    <w:permEnd w:id="77"/>
    <w:p w14:paraId="4DB54056">
      <w:pPr>
        <w:pStyle w:val="4"/>
        <w:spacing w:line="240" w:lineRule="auto"/>
        <w:ind w:firstLine="137"/>
        <w:rPr>
          <w:rFonts w:ascii="Times New Roman"/>
          <w:color w:val="auto"/>
          <w:highlight w:val="none"/>
        </w:rPr>
      </w:pPr>
      <w:bookmarkStart w:id="207" w:name="_Toc3690"/>
      <w:r>
        <w:rPr>
          <w:rFonts w:ascii="Times New Roman"/>
          <w:color w:val="auto"/>
          <w:highlight w:val="none"/>
        </w:rPr>
        <w:t xml:space="preserve">1.10 </w:t>
      </w:r>
      <w:r>
        <w:rPr>
          <w:rFonts w:hint="eastAsia" w:ascii="Times New Roman"/>
          <w:color w:val="auto"/>
          <w:highlight w:val="none"/>
        </w:rPr>
        <w:t>知识产权</w:t>
      </w:r>
      <w:bookmarkEnd w:id="207"/>
    </w:p>
    <w:p w14:paraId="4EB5A980">
      <w:pPr>
        <w:spacing w:line="360" w:lineRule="auto"/>
        <w:ind w:firstLine="420" w:firstLineChars="200"/>
        <w:rPr>
          <w:color w:val="auto"/>
          <w:highlight w:val="none"/>
        </w:rPr>
      </w:pPr>
      <w:r>
        <w:rPr>
          <w:rFonts w:hint="eastAsia"/>
          <w:color w:val="auto"/>
          <w:highlight w:val="none"/>
        </w:rPr>
        <w:t>增加以下内容到第1.10.1款：</w:t>
      </w:r>
    </w:p>
    <w:p w14:paraId="613337C8">
      <w:pPr>
        <w:spacing w:line="360" w:lineRule="auto"/>
        <w:ind w:firstLine="420" w:firstLineChars="200"/>
        <w:rPr>
          <w:color w:val="auto"/>
          <w:szCs w:val="21"/>
          <w:highlight w:val="none"/>
          <w:lang w:val="zh-CN"/>
        </w:rPr>
      </w:pPr>
      <w:r>
        <w:rPr>
          <w:rFonts w:hint="eastAsia"/>
          <w:color w:val="auto"/>
          <w:szCs w:val="21"/>
          <w:highlight w:val="none"/>
        </w:rPr>
        <w:t>关于监理</w:t>
      </w:r>
      <w:r>
        <w:rPr>
          <w:color w:val="auto"/>
          <w:szCs w:val="21"/>
          <w:highlight w:val="none"/>
        </w:rPr>
        <w:t>人</w:t>
      </w:r>
      <w:r>
        <w:rPr>
          <w:rFonts w:hint="eastAsia"/>
          <w:color w:val="auto"/>
          <w:szCs w:val="21"/>
          <w:highlight w:val="none"/>
        </w:rPr>
        <w:t>完成的监理</w:t>
      </w:r>
      <w:r>
        <w:rPr>
          <w:color w:val="auto"/>
          <w:szCs w:val="21"/>
          <w:highlight w:val="none"/>
        </w:rPr>
        <w:t>工作成果</w:t>
      </w:r>
      <w:r>
        <w:rPr>
          <w:color w:val="auto"/>
          <w:highlight w:val="none"/>
          <w:lang w:val="zh-CN"/>
        </w:rPr>
        <w:t>的著作权</w:t>
      </w:r>
      <w:r>
        <w:rPr>
          <w:color w:val="auto"/>
          <w:szCs w:val="21"/>
          <w:highlight w:val="none"/>
        </w:rPr>
        <w:t>和其他知识产权</w:t>
      </w:r>
      <w:r>
        <w:rPr>
          <w:color w:val="auto"/>
          <w:highlight w:val="none"/>
          <w:lang w:val="zh-CN"/>
        </w:rPr>
        <w:t>的归属</w:t>
      </w:r>
      <w:r>
        <w:rPr>
          <w:rFonts w:hint="eastAsia"/>
          <w:color w:val="auto"/>
          <w:highlight w:val="none"/>
          <w:lang w:val="zh-CN"/>
        </w:rPr>
        <w:t>：</w:t>
      </w:r>
      <w:sdt>
        <w:sdtPr>
          <w:rPr>
            <w:rFonts w:hint="eastAsia" w:ascii="宋体" w:hAnsi="宋体" w:eastAsia="宋体" w:cs="宋体"/>
            <w:color w:val="auto"/>
            <w:kern w:val="2"/>
            <w:sz w:val="21"/>
            <w:szCs w:val="21"/>
            <w:highlight w:val="none"/>
            <w:lang w:val="zh-CN" w:eastAsia="zh-CN" w:bidi="ar-SA"/>
          </w:rPr>
          <w:alias w:val="知识产权原则上应约定归属我方"/>
          <w:tag w:val="知识产权归属"/>
          <w:id w:val="147474868"/>
          <w:placeholder>
            <w:docPart w:val="{dcceeadb-813a-40b8-a68d-70c98998da50}"/>
          </w:placeholder>
          <w:text w:multiLine="1"/>
        </w:sdtPr>
        <w:sdtEndPr>
          <w:rPr>
            <w:rFonts w:hint="eastAsia" w:ascii="Times New Roman" w:hAnsi="Times New Roman" w:eastAsia="宋体" w:cs="Times New Roman"/>
            <w:color w:val="auto"/>
            <w:kern w:val="2"/>
            <w:sz w:val="28"/>
            <w:szCs w:val="28"/>
            <w:highlight w:val="none"/>
            <w:u w:val="single"/>
            <w:lang w:val="en-US" w:eastAsia="zh-CN" w:bidi="ar-SA"/>
          </w:rPr>
        </w:sdtEndPr>
        <w:sdtContent>
          <w:permStart w:id="78" w:edGrp="everyone"/>
          <w:r>
            <w:rPr>
              <w:rFonts w:hint="eastAsia" w:ascii="宋体" w:hAnsi="宋体" w:eastAsia="宋体" w:cs="宋体"/>
              <w:color w:val="auto"/>
              <w:sz w:val="21"/>
              <w:szCs w:val="21"/>
              <w:highlight w:val="none"/>
              <w:u w:val="single"/>
            </w:rPr>
            <w:t xml:space="preserve"> </w:t>
          </w:r>
          <w:r>
            <w:rPr>
              <w:rFonts w:hint="eastAsia"/>
              <w:color w:val="auto"/>
              <w:szCs w:val="21"/>
              <w:highlight w:val="none"/>
              <w:u w:val="single"/>
              <w:lang w:val="en-US" w:eastAsia="zh-CN"/>
            </w:rPr>
            <w:t>委托人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permEnd w:id="78"/>
        </w:sdtContent>
      </w:sdt>
    </w:p>
    <w:p w14:paraId="1F2232CA">
      <w:pPr>
        <w:spacing w:line="360" w:lineRule="auto"/>
        <w:ind w:firstLine="420" w:firstLineChars="200"/>
        <w:rPr>
          <w:color w:val="auto"/>
          <w:szCs w:val="21"/>
          <w:highlight w:val="none"/>
          <w:lang w:val="zh-CN"/>
        </w:rPr>
      </w:pPr>
      <w:r>
        <w:rPr>
          <w:rFonts w:hint="eastAsia"/>
          <w:color w:val="auto"/>
          <w:szCs w:val="21"/>
          <w:highlight w:val="none"/>
        </w:rPr>
        <w:t>关于监理</w:t>
      </w:r>
      <w:r>
        <w:rPr>
          <w:color w:val="auto"/>
          <w:szCs w:val="21"/>
          <w:highlight w:val="none"/>
        </w:rPr>
        <w:t>人</w:t>
      </w:r>
      <w:r>
        <w:rPr>
          <w:rFonts w:hint="eastAsia"/>
          <w:color w:val="auto"/>
          <w:szCs w:val="21"/>
          <w:highlight w:val="none"/>
        </w:rPr>
        <w:t>完成的监理</w:t>
      </w:r>
      <w:r>
        <w:rPr>
          <w:color w:val="auto"/>
          <w:szCs w:val="21"/>
          <w:highlight w:val="none"/>
        </w:rPr>
        <w:t>工作成果</w:t>
      </w:r>
      <w:r>
        <w:rPr>
          <w:color w:val="auto"/>
          <w:highlight w:val="none"/>
          <w:lang w:val="zh-CN"/>
        </w:rPr>
        <w:t>的使用限制的要求</w:t>
      </w:r>
      <w:r>
        <w:rPr>
          <w:rFonts w:hint="eastAsia"/>
          <w:color w:val="auto"/>
          <w:highlight w:val="none"/>
          <w:lang w:val="zh-CN"/>
        </w:rPr>
        <w:t>：</w:t>
      </w:r>
      <w:permStart w:id="79" w:edGrp="everyone"/>
      <w:r>
        <w:rPr>
          <w:rFonts w:hint="eastAsia"/>
          <w:color w:val="auto"/>
          <w:szCs w:val="21"/>
          <w:highlight w:val="none"/>
          <w:u w:val="single"/>
        </w:rPr>
        <w:t xml:space="preserve">       </w:t>
      </w:r>
      <w:r>
        <w:rPr>
          <w:rFonts w:hint="eastAsia"/>
          <w:color w:val="auto"/>
          <w:szCs w:val="21"/>
          <w:highlight w:val="none"/>
          <w:u w:val="single"/>
          <w:lang w:val="en-US" w:eastAsia="zh-CN"/>
        </w:rPr>
        <w:t>/</w:t>
      </w:r>
      <w:r>
        <w:rPr>
          <w:rFonts w:hint="eastAsia"/>
          <w:color w:val="auto"/>
          <w:szCs w:val="21"/>
          <w:highlight w:val="none"/>
          <w:u w:val="single"/>
        </w:rPr>
        <w:t xml:space="preserve">     </w:t>
      </w:r>
      <w:r>
        <w:rPr>
          <w:color w:val="auto"/>
          <w:szCs w:val="21"/>
          <w:highlight w:val="none"/>
          <w:lang w:val="zh-CN"/>
        </w:rPr>
        <w:t>。</w:t>
      </w:r>
      <w:permEnd w:id="79"/>
    </w:p>
    <w:p w14:paraId="001D4C91">
      <w:pPr>
        <w:spacing w:line="360" w:lineRule="auto"/>
        <w:ind w:firstLine="420" w:firstLineChars="200"/>
        <w:rPr>
          <w:color w:val="auto"/>
          <w:szCs w:val="21"/>
          <w:highlight w:val="none"/>
        </w:rPr>
      </w:pPr>
      <w:bookmarkStart w:id="208" w:name="_Toc13634"/>
      <w:r>
        <w:rPr>
          <w:rFonts w:hint="eastAsia" w:hAnsi="宋体" w:cs="宋体"/>
          <w:color w:val="auto"/>
          <w:kern w:val="0"/>
          <w:szCs w:val="21"/>
          <w:highlight w:val="none"/>
          <w:lang w:val="zh-CN"/>
        </w:rPr>
        <w:t>经委托人的批准，监理人可单独或与他人联合出版与工程和服务有关的材料，出版应符合保密规定。</w:t>
      </w:r>
    </w:p>
    <w:p w14:paraId="607FAA7E">
      <w:pPr>
        <w:pStyle w:val="4"/>
        <w:spacing w:line="240" w:lineRule="auto"/>
        <w:ind w:firstLine="137"/>
        <w:rPr>
          <w:rFonts w:ascii="Times New Roman"/>
          <w:color w:val="auto"/>
          <w:highlight w:val="none"/>
        </w:rPr>
      </w:pPr>
      <w:r>
        <w:rPr>
          <w:rFonts w:ascii="Times New Roman"/>
          <w:color w:val="auto"/>
          <w:highlight w:val="none"/>
        </w:rPr>
        <w:t xml:space="preserve">1.12 </w:t>
      </w:r>
      <w:r>
        <w:rPr>
          <w:rFonts w:hint="eastAsia" w:ascii="Times New Roman"/>
          <w:color w:val="auto"/>
          <w:highlight w:val="none"/>
        </w:rPr>
        <w:t>委托人要求</w:t>
      </w:r>
      <w:bookmarkEnd w:id="208"/>
    </w:p>
    <w:p w14:paraId="1A161C79">
      <w:pPr>
        <w:spacing w:line="360" w:lineRule="auto"/>
        <w:ind w:firstLine="420" w:firstLineChars="200"/>
        <w:rPr>
          <w:color w:val="auto"/>
          <w:highlight w:val="none"/>
        </w:rPr>
      </w:pPr>
      <w:r>
        <w:rPr>
          <w:rFonts w:hint="eastAsia"/>
          <w:color w:val="auto"/>
          <w:highlight w:val="none"/>
        </w:rPr>
        <w:t>替换以下内容到第1.12.1款：</w:t>
      </w:r>
    </w:p>
    <w:p w14:paraId="477A341D">
      <w:pPr>
        <w:spacing w:line="360" w:lineRule="auto"/>
        <w:ind w:firstLine="420"/>
        <w:rPr>
          <w:color w:val="auto"/>
          <w:szCs w:val="21"/>
          <w:highlight w:val="none"/>
        </w:rPr>
      </w:pPr>
      <w:r>
        <w:rPr>
          <w:rFonts w:hint="eastAsia"/>
          <w:color w:val="auto"/>
          <w:szCs w:val="21"/>
          <w:highlight w:val="none"/>
        </w:rPr>
        <w:t>1.12.1 监理</w:t>
      </w:r>
      <w:r>
        <w:rPr>
          <w:color w:val="auto"/>
          <w:szCs w:val="21"/>
          <w:highlight w:val="none"/>
        </w:rPr>
        <w:t>人应认真阅读、复核委托人要求，</w:t>
      </w:r>
      <w:r>
        <w:rPr>
          <w:color w:val="auto"/>
          <w:highlight w:val="none"/>
        </w:rPr>
        <w:t>发现错误的，应及时书面通知委托人。无论是否存在错误，委托人均有权修改委托人要求，并在修改后3日内通知</w:t>
      </w:r>
      <w:r>
        <w:rPr>
          <w:rFonts w:hint="eastAsia"/>
          <w:color w:val="auto"/>
          <w:szCs w:val="21"/>
          <w:highlight w:val="none"/>
        </w:rPr>
        <w:t>监理</w:t>
      </w:r>
      <w:r>
        <w:rPr>
          <w:color w:val="auto"/>
          <w:highlight w:val="none"/>
        </w:rPr>
        <w:t>人。由此</w:t>
      </w:r>
      <w:r>
        <w:rPr>
          <w:color w:val="auto"/>
          <w:szCs w:val="21"/>
          <w:highlight w:val="none"/>
        </w:rPr>
        <w:t>导致</w:t>
      </w:r>
      <w:r>
        <w:rPr>
          <w:rFonts w:hint="eastAsia"/>
          <w:color w:val="auto"/>
          <w:szCs w:val="21"/>
          <w:highlight w:val="none"/>
        </w:rPr>
        <w:t>监理</w:t>
      </w:r>
      <w:r>
        <w:rPr>
          <w:color w:val="auto"/>
          <w:szCs w:val="21"/>
          <w:highlight w:val="none"/>
        </w:rPr>
        <w:t>人费用增加和(或)周期延误的，</w:t>
      </w:r>
      <w:r>
        <w:rPr>
          <w:rFonts w:hint="eastAsia"/>
          <w:color w:val="auto"/>
          <w:szCs w:val="21"/>
          <w:highlight w:val="none"/>
        </w:rPr>
        <w:t>按第8条执行</w:t>
      </w:r>
      <w:r>
        <w:rPr>
          <w:color w:val="auto"/>
          <w:szCs w:val="21"/>
          <w:highlight w:val="none"/>
        </w:rPr>
        <w:t>。</w:t>
      </w:r>
    </w:p>
    <w:p w14:paraId="73AC3C37">
      <w:pPr>
        <w:spacing w:line="360" w:lineRule="auto"/>
        <w:ind w:firstLine="420" w:firstLineChars="200"/>
        <w:rPr>
          <w:color w:val="auto"/>
          <w:highlight w:val="none"/>
        </w:rPr>
      </w:pPr>
      <w:r>
        <w:rPr>
          <w:rFonts w:hint="eastAsia"/>
          <w:color w:val="auto"/>
          <w:highlight w:val="none"/>
        </w:rPr>
        <w:t>增加以下内容到第1.12.3款：</w:t>
      </w:r>
    </w:p>
    <w:p w14:paraId="600900D5">
      <w:pPr>
        <w:spacing w:line="360" w:lineRule="auto"/>
        <w:ind w:firstLine="420" w:firstLineChars="200"/>
        <w:rPr>
          <w:color w:val="auto"/>
          <w:szCs w:val="21"/>
          <w:highlight w:val="none"/>
        </w:rPr>
      </w:pPr>
      <w:r>
        <w:rPr>
          <w:rFonts w:hint="eastAsia"/>
          <w:color w:val="auto"/>
          <w:szCs w:val="21"/>
          <w:highlight w:val="none"/>
        </w:rPr>
        <w:t>1.12.3 委托人要求采用国外规范和标准的名称：</w:t>
      </w:r>
      <w:permStart w:id="80" w:edGrp="everyone"/>
      <w:r>
        <w:rPr>
          <w:rFonts w:hint="eastAsia"/>
          <w:color w:val="auto"/>
          <w:szCs w:val="21"/>
          <w:highlight w:val="none"/>
          <w:u w:val="single"/>
        </w:rPr>
        <w:t xml:space="preserve">      </w:t>
      </w:r>
      <w:r>
        <w:rPr>
          <w:rFonts w:hint="eastAsia"/>
          <w:color w:val="auto"/>
          <w:szCs w:val="21"/>
          <w:highlight w:val="none"/>
          <w:u w:val="single"/>
          <w:lang w:val="en-US" w:eastAsia="zh-CN"/>
        </w:rPr>
        <w:t>/</w:t>
      </w:r>
      <w:r>
        <w:rPr>
          <w:rFonts w:hint="eastAsia"/>
          <w:color w:val="auto"/>
          <w:szCs w:val="21"/>
          <w:highlight w:val="none"/>
          <w:u w:val="single"/>
        </w:rPr>
        <w:t xml:space="preserve">      </w:t>
      </w:r>
      <w:r>
        <w:rPr>
          <w:color w:val="auto"/>
          <w:szCs w:val="21"/>
          <w:highlight w:val="none"/>
        </w:rPr>
        <w:t>。</w:t>
      </w:r>
    </w:p>
    <w:p w14:paraId="59ED5CC9">
      <w:pPr>
        <w:spacing w:line="360" w:lineRule="auto"/>
        <w:ind w:firstLine="420" w:firstLineChars="200"/>
        <w:rPr>
          <w:color w:val="auto"/>
          <w:szCs w:val="21"/>
          <w:highlight w:val="none"/>
        </w:rPr>
      </w:pPr>
      <w:r>
        <w:rPr>
          <w:rFonts w:hint="eastAsia"/>
          <w:color w:val="auto"/>
          <w:szCs w:val="21"/>
          <w:highlight w:val="none"/>
        </w:rPr>
        <w:t>（1）提供的时间：</w:t>
      </w:r>
      <w:r>
        <w:rPr>
          <w:rFonts w:hint="eastAsia"/>
          <w:color w:val="auto"/>
          <w:szCs w:val="21"/>
          <w:highlight w:val="none"/>
          <w:u w:val="single"/>
        </w:rPr>
        <w:t xml:space="preserve">      </w:t>
      </w:r>
      <w:r>
        <w:rPr>
          <w:rFonts w:hint="eastAsia"/>
          <w:color w:val="auto"/>
          <w:szCs w:val="21"/>
          <w:highlight w:val="none"/>
          <w:u w:val="single"/>
          <w:lang w:val="en-US" w:eastAsia="zh-CN"/>
        </w:rPr>
        <w:t>/</w:t>
      </w:r>
      <w:r>
        <w:rPr>
          <w:rFonts w:hint="eastAsia"/>
          <w:color w:val="auto"/>
          <w:szCs w:val="21"/>
          <w:highlight w:val="none"/>
          <w:u w:val="single"/>
        </w:rPr>
        <w:t xml:space="preserve">      </w:t>
      </w:r>
      <w:r>
        <w:rPr>
          <w:color w:val="auto"/>
          <w:szCs w:val="21"/>
          <w:highlight w:val="none"/>
        </w:rPr>
        <w:t>。</w:t>
      </w:r>
    </w:p>
    <w:p w14:paraId="700C6BB7">
      <w:pPr>
        <w:spacing w:line="360" w:lineRule="auto"/>
        <w:ind w:firstLine="420" w:firstLineChars="200"/>
        <w:rPr>
          <w:color w:val="auto"/>
          <w:szCs w:val="21"/>
          <w:highlight w:val="none"/>
        </w:rPr>
      </w:pPr>
      <w:r>
        <w:rPr>
          <w:rFonts w:hint="eastAsia"/>
          <w:color w:val="auto"/>
          <w:szCs w:val="21"/>
          <w:highlight w:val="none"/>
        </w:rPr>
        <w:t>（2）提供的份数：</w:t>
      </w:r>
      <w:r>
        <w:rPr>
          <w:rFonts w:hint="eastAsia"/>
          <w:color w:val="auto"/>
          <w:szCs w:val="21"/>
          <w:highlight w:val="none"/>
          <w:u w:val="single"/>
        </w:rPr>
        <w:t xml:space="preserve">      </w:t>
      </w:r>
      <w:r>
        <w:rPr>
          <w:rFonts w:hint="eastAsia"/>
          <w:color w:val="auto"/>
          <w:szCs w:val="21"/>
          <w:highlight w:val="none"/>
          <w:u w:val="single"/>
          <w:lang w:val="en-US" w:eastAsia="zh-CN"/>
        </w:rPr>
        <w:t>/</w:t>
      </w:r>
      <w:r>
        <w:rPr>
          <w:rFonts w:hint="eastAsia"/>
          <w:color w:val="auto"/>
          <w:szCs w:val="21"/>
          <w:highlight w:val="none"/>
          <w:u w:val="single"/>
        </w:rPr>
        <w:t xml:space="preserve">      </w:t>
      </w:r>
      <w:r>
        <w:rPr>
          <w:color w:val="auto"/>
          <w:szCs w:val="21"/>
          <w:highlight w:val="none"/>
        </w:rPr>
        <w:t>。</w:t>
      </w:r>
    </w:p>
    <w:p w14:paraId="11B3AE4F">
      <w:pPr>
        <w:spacing w:line="360" w:lineRule="auto"/>
        <w:ind w:firstLine="420" w:firstLineChars="200"/>
        <w:rPr>
          <w:color w:val="auto"/>
          <w:szCs w:val="21"/>
          <w:highlight w:val="none"/>
        </w:rPr>
      </w:pPr>
      <w:r>
        <w:rPr>
          <w:rFonts w:hint="eastAsia"/>
          <w:color w:val="auto"/>
          <w:szCs w:val="21"/>
          <w:highlight w:val="none"/>
        </w:rPr>
        <w:t>（3）其他要求：</w:t>
      </w:r>
      <w:r>
        <w:rPr>
          <w:rFonts w:hint="eastAsia"/>
          <w:color w:val="auto"/>
          <w:szCs w:val="21"/>
          <w:highlight w:val="none"/>
          <w:u w:val="single"/>
        </w:rPr>
        <w:t xml:space="preserve">      </w:t>
      </w:r>
      <w:r>
        <w:rPr>
          <w:rFonts w:hint="eastAsia"/>
          <w:color w:val="auto"/>
          <w:szCs w:val="21"/>
          <w:highlight w:val="none"/>
          <w:u w:val="single"/>
          <w:lang w:val="en-US" w:eastAsia="zh-CN"/>
        </w:rPr>
        <w:t>/</w:t>
      </w:r>
      <w:r>
        <w:rPr>
          <w:rFonts w:hint="eastAsia"/>
          <w:color w:val="auto"/>
          <w:szCs w:val="21"/>
          <w:highlight w:val="none"/>
          <w:u w:val="single"/>
        </w:rPr>
        <w:t xml:space="preserve">      </w:t>
      </w:r>
      <w:r>
        <w:rPr>
          <w:color w:val="auto"/>
          <w:szCs w:val="21"/>
          <w:highlight w:val="none"/>
        </w:rPr>
        <w:t>。</w:t>
      </w:r>
    </w:p>
    <w:permEnd w:id="80"/>
    <w:p w14:paraId="4CF73FBA">
      <w:pPr>
        <w:pStyle w:val="3"/>
        <w:rPr>
          <w:rFonts w:ascii="Times New Roman" w:hAnsi="Times New Roman"/>
          <w:color w:val="auto"/>
          <w:highlight w:val="none"/>
        </w:rPr>
      </w:pPr>
      <w:bookmarkStart w:id="209" w:name="_Toc27906"/>
      <w:r>
        <w:rPr>
          <w:rFonts w:ascii="Times New Roman" w:hAnsi="Times New Roman"/>
          <w:color w:val="auto"/>
          <w:highlight w:val="none"/>
        </w:rPr>
        <w:t>2. 委托人义务</w:t>
      </w:r>
      <w:bookmarkEnd w:id="209"/>
    </w:p>
    <w:p w14:paraId="33C21DEC">
      <w:pPr>
        <w:pStyle w:val="4"/>
        <w:spacing w:line="240" w:lineRule="auto"/>
        <w:ind w:firstLine="137"/>
        <w:rPr>
          <w:rFonts w:ascii="Times New Roman"/>
          <w:color w:val="auto"/>
          <w:highlight w:val="none"/>
        </w:rPr>
      </w:pPr>
      <w:bookmarkStart w:id="210" w:name="_Toc28182"/>
      <w:r>
        <w:rPr>
          <w:rFonts w:ascii="Times New Roman"/>
          <w:color w:val="auto"/>
          <w:highlight w:val="none"/>
        </w:rPr>
        <w:t xml:space="preserve">2.6 </w:t>
      </w:r>
      <w:r>
        <w:rPr>
          <w:rFonts w:hint="eastAsia" w:ascii="Times New Roman"/>
          <w:color w:val="auto"/>
          <w:highlight w:val="none"/>
        </w:rPr>
        <w:t>其他义务</w:t>
      </w:r>
      <w:bookmarkEnd w:id="210"/>
    </w:p>
    <w:p w14:paraId="5F5D5F0F">
      <w:pPr>
        <w:spacing w:line="360" w:lineRule="auto"/>
        <w:ind w:firstLine="420" w:firstLineChars="200"/>
        <w:rPr>
          <w:color w:val="auto"/>
          <w:szCs w:val="21"/>
          <w:highlight w:val="none"/>
        </w:rPr>
      </w:pPr>
      <w:r>
        <w:rPr>
          <w:rFonts w:hint="eastAsia"/>
          <w:color w:val="auto"/>
          <w:highlight w:val="none"/>
        </w:rPr>
        <w:t>增加以下内容到第2.6款：</w:t>
      </w:r>
    </w:p>
    <w:p w14:paraId="5D3DF90F">
      <w:pPr>
        <w:spacing w:line="360" w:lineRule="auto"/>
        <w:ind w:firstLine="420" w:firstLineChars="200"/>
        <w:rPr>
          <w:color w:val="auto"/>
          <w:szCs w:val="21"/>
          <w:highlight w:val="none"/>
        </w:rPr>
      </w:pPr>
      <w:r>
        <w:rPr>
          <w:rFonts w:hint="eastAsia"/>
          <w:color w:val="auto"/>
          <w:szCs w:val="21"/>
          <w:highlight w:val="none"/>
        </w:rPr>
        <w:t>委托人对监理人的合同履约情况将进行评价，评价结果将作为监理人在南方电网公司履约评分组成部分，并应用于南方电网公司对承包商的评标。</w:t>
      </w:r>
    </w:p>
    <w:p w14:paraId="6721AE71">
      <w:pPr>
        <w:spacing w:line="360" w:lineRule="auto"/>
        <w:ind w:firstLine="420" w:firstLineChars="200"/>
        <w:rPr>
          <w:color w:val="auto"/>
          <w:szCs w:val="21"/>
          <w:highlight w:val="none"/>
        </w:rPr>
      </w:pPr>
      <w:r>
        <w:rPr>
          <w:rFonts w:hint="eastAsia"/>
          <w:color w:val="auto"/>
          <w:szCs w:val="21"/>
          <w:highlight w:val="none"/>
        </w:rPr>
        <w:t>委托人应为服务的需要，免费向监理人提供</w:t>
      </w:r>
      <w:permStart w:id="81" w:edGrp="everyone"/>
      <w:r>
        <w:rPr>
          <w:rFonts w:hint="eastAsia"/>
          <w:color w:val="auto"/>
          <w:szCs w:val="21"/>
          <w:highlight w:val="none"/>
          <w:u w:val="single"/>
        </w:rPr>
        <w:t>“合同附件格式”附件</w:t>
      </w:r>
      <w:r>
        <w:rPr>
          <w:rFonts w:hint="eastAsia"/>
          <w:color w:val="auto"/>
          <w:szCs w:val="21"/>
          <w:highlight w:val="none"/>
          <w:u w:val="single"/>
          <w:lang w:val="en-US" w:eastAsia="zh-CN"/>
        </w:rPr>
        <w:t>二</w:t>
      </w:r>
      <w:permEnd w:id="81"/>
      <w:r>
        <w:rPr>
          <w:rFonts w:hint="eastAsia"/>
          <w:color w:val="auto"/>
          <w:szCs w:val="21"/>
          <w:highlight w:val="none"/>
        </w:rPr>
        <w:t>中规定的设备和设施。</w:t>
      </w:r>
    </w:p>
    <w:p w14:paraId="363398F0">
      <w:pPr>
        <w:pStyle w:val="3"/>
        <w:rPr>
          <w:rFonts w:ascii="Times New Roman" w:hAnsi="Times New Roman"/>
          <w:color w:val="auto"/>
          <w:highlight w:val="none"/>
        </w:rPr>
      </w:pPr>
      <w:bookmarkStart w:id="211" w:name="_Toc10833"/>
      <w:r>
        <w:rPr>
          <w:rFonts w:ascii="Times New Roman" w:hAnsi="Times New Roman"/>
          <w:color w:val="auto"/>
          <w:highlight w:val="none"/>
        </w:rPr>
        <w:t>3. 委托人管理</w:t>
      </w:r>
      <w:bookmarkEnd w:id="211"/>
    </w:p>
    <w:p w14:paraId="38D0A281">
      <w:pPr>
        <w:pStyle w:val="4"/>
        <w:spacing w:line="240" w:lineRule="auto"/>
        <w:ind w:firstLine="137"/>
        <w:rPr>
          <w:rFonts w:ascii="Times New Roman"/>
          <w:color w:val="auto"/>
          <w:highlight w:val="none"/>
        </w:rPr>
      </w:pPr>
      <w:bookmarkStart w:id="212" w:name="_Toc19950"/>
      <w:r>
        <w:rPr>
          <w:rFonts w:ascii="Times New Roman"/>
          <w:color w:val="auto"/>
          <w:highlight w:val="none"/>
        </w:rPr>
        <w:t xml:space="preserve">3.1 </w:t>
      </w:r>
      <w:r>
        <w:rPr>
          <w:rFonts w:hint="eastAsia" w:ascii="Times New Roman"/>
          <w:color w:val="auto"/>
          <w:highlight w:val="none"/>
        </w:rPr>
        <w:t>委托人代表</w:t>
      </w:r>
      <w:bookmarkEnd w:id="212"/>
    </w:p>
    <w:p w14:paraId="1CEF51D5">
      <w:pPr>
        <w:spacing w:line="360" w:lineRule="auto"/>
        <w:ind w:firstLine="420" w:firstLineChars="200"/>
        <w:rPr>
          <w:color w:val="auto"/>
          <w:szCs w:val="21"/>
          <w:highlight w:val="none"/>
        </w:rPr>
      </w:pPr>
      <w:r>
        <w:rPr>
          <w:rFonts w:hint="eastAsia"/>
          <w:color w:val="auto"/>
          <w:highlight w:val="none"/>
        </w:rPr>
        <w:t>增加以下内容到第3.1.1款：</w:t>
      </w:r>
    </w:p>
    <w:p w14:paraId="1703D3AD">
      <w:pPr>
        <w:spacing w:line="360" w:lineRule="auto"/>
        <w:ind w:firstLine="420" w:firstLineChars="200"/>
        <w:rPr>
          <w:color w:val="auto"/>
          <w:szCs w:val="21"/>
          <w:highlight w:val="none"/>
        </w:rPr>
      </w:pPr>
      <w:permStart w:id="82" w:edGrp="everyone"/>
      <w:r>
        <w:rPr>
          <w:rFonts w:hint="eastAsia"/>
          <w:color w:val="auto"/>
          <w:highlight w:val="none"/>
        </w:rPr>
        <w:t>委托人代表</w:t>
      </w:r>
      <w:r>
        <w:rPr>
          <w:rFonts w:hint="eastAsia"/>
          <w:color w:val="auto"/>
          <w:szCs w:val="21"/>
          <w:highlight w:val="none"/>
        </w:rPr>
        <w:t>：</w:t>
      </w:r>
      <w:r>
        <w:rPr>
          <w:rFonts w:hint="eastAsia"/>
          <w:color w:val="auto"/>
          <w:szCs w:val="21"/>
          <w:highlight w:val="none"/>
          <w:u w:val="single"/>
        </w:rPr>
        <w:t xml:space="preserve">            </w:t>
      </w:r>
      <w:r>
        <w:rPr>
          <w:color w:val="auto"/>
          <w:szCs w:val="21"/>
          <w:highlight w:val="none"/>
        </w:rPr>
        <w:t>。</w:t>
      </w:r>
    </w:p>
    <w:p w14:paraId="04FDD1BB">
      <w:pPr>
        <w:spacing w:line="360" w:lineRule="auto"/>
        <w:ind w:firstLine="420" w:firstLineChars="200"/>
        <w:rPr>
          <w:color w:val="auto"/>
          <w:szCs w:val="21"/>
          <w:highlight w:val="none"/>
        </w:rPr>
      </w:pPr>
      <w:r>
        <w:rPr>
          <w:rFonts w:hint="eastAsia"/>
          <w:color w:val="auto"/>
          <w:highlight w:val="none"/>
        </w:rPr>
        <w:t>姓    名：</w:t>
      </w:r>
      <w:r>
        <w:rPr>
          <w:rFonts w:hint="eastAsia"/>
          <w:color w:val="auto"/>
          <w:szCs w:val="21"/>
          <w:highlight w:val="none"/>
          <w:u w:val="single"/>
        </w:rPr>
        <w:t xml:space="preserve">            </w:t>
      </w:r>
      <w:r>
        <w:rPr>
          <w:color w:val="auto"/>
          <w:szCs w:val="21"/>
          <w:highlight w:val="none"/>
        </w:rPr>
        <w:t>。</w:t>
      </w:r>
    </w:p>
    <w:p w14:paraId="25594A13">
      <w:pPr>
        <w:spacing w:line="360" w:lineRule="auto"/>
        <w:ind w:firstLine="420" w:firstLineChars="200"/>
        <w:rPr>
          <w:color w:val="auto"/>
          <w:szCs w:val="21"/>
          <w:highlight w:val="none"/>
        </w:rPr>
      </w:pPr>
      <w:r>
        <w:rPr>
          <w:rFonts w:hint="eastAsia"/>
          <w:color w:val="auto"/>
          <w:highlight w:val="none"/>
        </w:rPr>
        <w:t>身份证号：</w:t>
      </w:r>
      <w:r>
        <w:rPr>
          <w:rFonts w:hint="eastAsia"/>
          <w:color w:val="auto"/>
          <w:szCs w:val="21"/>
          <w:highlight w:val="none"/>
          <w:u w:val="single"/>
        </w:rPr>
        <w:t xml:space="preserve">            </w:t>
      </w:r>
      <w:r>
        <w:rPr>
          <w:color w:val="auto"/>
          <w:szCs w:val="21"/>
          <w:highlight w:val="none"/>
        </w:rPr>
        <w:t>。</w:t>
      </w:r>
    </w:p>
    <w:p w14:paraId="3FD16C1A">
      <w:pPr>
        <w:spacing w:line="360" w:lineRule="auto"/>
        <w:ind w:firstLine="420" w:firstLineChars="200"/>
        <w:rPr>
          <w:color w:val="auto"/>
          <w:szCs w:val="21"/>
          <w:highlight w:val="none"/>
        </w:rPr>
      </w:pPr>
      <w:r>
        <w:rPr>
          <w:rFonts w:hint="eastAsia"/>
          <w:color w:val="auto"/>
          <w:highlight w:val="none"/>
        </w:rPr>
        <w:t>职    务：</w:t>
      </w:r>
      <w:r>
        <w:rPr>
          <w:rFonts w:hint="eastAsia"/>
          <w:color w:val="auto"/>
          <w:szCs w:val="21"/>
          <w:highlight w:val="none"/>
          <w:u w:val="single"/>
        </w:rPr>
        <w:t xml:space="preserve">            </w:t>
      </w:r>
      <w:r>
        <w:rPr>
          <w:color w:val="auto"/>
          <w:szCs w:val="21"/>
          <w:highlight w:val="none"/>
        </w:rPr>
        <w:t>。</w:t>
      </w:r>
    </w:p>
    <w:p w14:paraId="37EF70F5">
      <w:pPr>
        <w:spacing w:line="360" w:lineRule="auto"/>
        <w:ind w:firstLine="420" w:firstLineChars="200"/>
        <w:rPr>
          <w:color w:val="auto"/>
          <w:szCs w:val="21"/>
          <w:highlight w:val="none"/>
        </w:rPr>
      </w:pPr>
      <w:r>
        <w:rPr>
          <w:rFonts w:hint="eastAsia"/>
          <w:color w:val="auto"/>
          <w:highlight w:val="none"/>
        </w:rPr>
        <w:t>联系电话：</w:t>
      </w:r>
      <w:r>
        <w:rPr>
          <w:rFonts w:hint="eastAsia"/>
          <w:color w:val="auto"/>
          <w:szCs w:val="21"/>
          <w:highlight w:val="none"/>
          <w:u w:val="single"/>
        </w:rPr>
        <w:t xml:space="preserve">            </w:t>
      </w:r>
      <w:r>
        <w:rPr>
          <w:color w:val="auto"/>
          <w:szCs w:val="21"/>
          <w:highlight w:val="none"/>
        </w:rPr>
        <w:t>。</w:t>
      </w:r>
    </w:p>
    <w:p w14:paraId="5624445B">
      <w:pPr>
        <w:spacing w:line="360" w:lineRule="auto"/>
        <w:ind w:firstLine="420" w:firstLineChars="200"/>
        <w:rPr>
          <w:color w:val="auto"/>
          <w:szCs w:val="21"/>
          <w:highlight w:val="none"/>
        </w:rPr>
      </w:pPr>
      <w:r>
        <w:rPr>
          <w:rFonts w:hint="eastAsia"/>
          <w:color w:val="auto"/>
          <w:highlight w:val="none"/>
        </w:rPr>
        <w:t>电子信箱：</w:t>
      </w:r>
      <w:r>
        <w:rPr>
          <w:rFonts w:hint="eastAsia"/>
          <w:color w:val="auto"/>
          <w:szCs w:val="21"/>
          <w:highlight w:val="none"/>
          <w:u w:val="single"/>
        </w:rPr>
        <w:t xml:space="preserve">            </w:t>
      </w:r>
      <w:r>
        <w:rPr>
          <w:color w:val="auto"/>
          <w:szCs w:val="21"/>
          <w:highlight w:val="none"/>
        </w:rPr>
        <w:t>。</w:t>
      </w:r>
    </w:p>
    <w:p w14:paraId="3ACE09B8">
      <w:pPr>
        <w:spacing w:line="360" w:lineRule="auto"/>
        <w:ind w:firstLine="420" w:firstLineChars="200"/>
        <w:rPr>
          <w:color w:val="auto"/>
          <w:szCs w:val="21"/>
          <w:highlight w:val="none"/>
        </w:rPr>
      </w:pPr>
      <w:r>
        <w:rPr>
          <w:rFonts w:hint="eastAsia"/>
          <w:color w:val="auto"/>
          <w:highlight w:val="none"/>
        </w:rPr>
        <w:t>通信地址：</w:t>
      </w:r>
      <w:r>
        <w:rPr>
          <w:rFonts w:hint="eastAsia"/>
          <w:color w:val="auto"/>
          <w:szCs w:val="21"/>
          <w:highlight w:val="none"/>
          <w:u w:val="single"/>
        </w:rPr>
        <w:t xml:space="preserve">            </w:t>
      </w:r>
      <w:r>
        <w:rPr>
          <w:color w:val="auto"/>
          <w:szCs w:val="21"/>
          <w:highlight w:val="none"/>
        </w:rPr>
        <w:t>。</w:t>
      </w:r>
    </w:p>
    <w:p w14:paraId="72B27524">
      <w:pPr>
        <w:spacing w:line="360" w:lineRule="auto"/>
        <w:ind w:firstLine="420" w:firstLineChars="200"/>
        <w:rPr>
          <w:color w:val="auto"/>
          <w:szCs w:val="21"/>
          <w:highlight w:val="none"/>
        </w:rPr>
      </w:pPr>
      <w:r>
        <w:rPr>
          <w:rFonts w:hint="eastAsia"/>
          <w:color w:val="auto"/>
          <w:highlight w:val="none"/>
        </w:rPr>
        <w:t>委托人对委托人代表的授权范围如下：</w:t>
      </w:r>
      <w:r>
        <w:rPr>
          <w:rFonts w:hint="eastAsia"/>
          <w:color w:val="auto"/>
          <w:szCs w:val="21"/>
          <w:highlight w:val="none"/>
          <w:u w:val="single"/>
        </w:rPr>
        <w:t xml:space="preserve">            </w:t>
      </w:r>
      <w:r>
        <w:rPr>
          <w:color w:val="auto"/>
          <w:szCs w:val="21"/>
          <w:highlight w:val="none"/>
        </w:rPr>
        <w:t>。</w:t>
      </w:r>
      <w:permEnd w:id="82"/>
    </w:p>
    <w:p w14:paraId="1F4DBBEC">
      <w:pPr>
        <w:pStyle w:val="4"/>
        <w:spacing w:line="240" w:lineRule="auto"/>
        <w:ind w:firstLine="137"/>
        <w:rPr>
          <w:rFonts w:ascii="Times New Roman"/>
          <w:color w:val="auto"/>
          <w:highlight w:val="none"/>
        </w:rPr>
      </w:pPr>
      <w:bookmarkStart w:id="213" w:name="_Toc22043"/>
      <w:r>
        <w:rPr>
          <w:rFonts w:ascii="Times New Roman"/>
          <w:color w:val="auto"/>
          <w:highlight w:val="none"/>
        </w:rPr>
        <w:t>3.</w:t>
      </w:r>
      <w:r>
        <w:rPr>
          <w:rFonts w:hint="eastAsia" w:ascii="Times New Roman"/>
          <w:color w:val="auto"/>
          <w:highlight w:val="none"/>
        </w:rPr>
        <w:t>3</w:t>
      </w:r>
      <w:r>
        <w:rPr>
          <w:rFonts w:ascii="Times New Roman"/>
          <w:color w:val="auto"/>
          <w:highlight w:val="none"/>
        </w:rPr>
        <w:t xml:space="preserve"> </w:t>
      </w:r>
      <w:r>
        <w:rPr>
          <w:rFonts w:hint="eastAsia" w:ascii="Times New Roman"/>
          <w:color w:val="auto"/>
          <w:highlight w:val="none"/>
        </w:rPr>
        <w:t>决定或答复</w:t>
      </w:r>
      <w:bookmarkEnd w:id="213"/>
    </w:p>
    <w:p w14:paraId="20B33F7A">
      <w:pPr>
        <w:spacing w:line="360" w:lineRule="auto"/>
        <w:ind w:firstLine="420" w:firstLineChars="200"/>
        <w:rPr>
          <w:color w:val="auto"/>
          <w:szCs w:val="21"/>
          <w:highlight w:val="none"/>
        </w:rPr>
      </w:pPr>
      <w:r>
        <w:rPr>
          <w:rFonts w:hint="eastAsia"/>
          <w:color w:val="auto"/>
          <w:highlight w:val="none"/>
        </w:rPr>
        <w:t>替换以下内容到第3.3.2款：</w:t>
      </w:r>
    </w:p>
    <w:p w14:paraId="641DDB75">
      <w:pPr>
        <w:spacing w:line="360" w:lineRule="auto"/>
        <w:ind w:firstLine="420" w:firstLineChars="200"/>
        <w:rPr>
          <w:color w:val="auto"/>
          <w:szCs w:val="21"/>
          <w:highlight w:val="none"/>
        </w:rPr>
      </w:pPr>
      <w:r>
        <w:rPr>
          <w:color w:val="auto"/>
          <w:szCs w:val="21"/>
          <w:highlight w:val="none"/>
        </w:rPr>
        <w:t>3.</w:t>
      </w:r>
      <w:r>
        <w:rPr>
          <w:rFonts w:hint="eastAsia"/>
          <w:color w:val="auto"/>
          <w:szCs w:val="21"/>
          <w:highlight w:val="none"/>
        </w:rPr>
        <w:t>3</w:t>
      </w:r>
      <w:r>
        <w:rPr>
          <w:color w:val="auto"/>
          <w:szCs w:val="21"/>
          <w:highlight w:val="none"/>
        </w:rPr>
        <w:t>.2 委托人应在</w:t>
      </w:r>
      <w:permStart w:id="83" w:edGrp="everyone"/>
      <w:r>
        <w:rPr>
          <w:rFonts w:hint="eastAsia"/>
          <w:color w:val="auto"/>
          <w:szCs w:val="21"/>
          <w:highlight w:val="none"/>
          <w:u w:val="single"/>
          <w:lang w:val="zh-CN"/>
        </w:rPr>
        <w:t xml:space="preserve"> </w:t>
      </w:r>
      <w:r>
        <w:rPr>
          <w:rFonts w:hint="eastAsia"/>
          <w:color w:val="auto"/>
          <w:szCs w:val="21"/>
          <w:highlight w:val="none"/>
          <w:u w:val="single"/>
          <w:lang w:val="en-US" w:eastAsia="zh-CN"/>
        </w:rPr>
        <w:t>14</w:t>
      </w:r>
      <w:r>
        <w:rPr>
          <w:rFonts w:hint="eastAsia"/>
          <w:color w:val="auto"/>
          <w:szCs w:val="21"/>
          <w:highlight w:val="none"/>
          <w:u w:val="single"/>
          <w:lang w:val="zh-CN"/>
        </w:rPr>
        <w:t xml:space="preserve"> </w:t>
      </w:r>
      <w:r>
        <w:rPr>
          <w:color w:val="auto"/>
          <w:szCs w:val="21"/>
          <w:highlight w:val="none"/>
          <w:lang w:val="zh-CN"/>
        </w:rPr>
        <w:t>天</w:t>
      </w:r>
      <w:permEnd w:id="83"/>
      <w:r>
        <w:rPr>
          <w:color w:val="auto"/>
          <w:szCs w:val="21"/>
          <w:highlight w:val="none"/>
        </w:rPr>
        <w:t>内，对</w:t>
      </w:r>
      <w:r>
        <w:rPr>
          <w:rFonts w:hint="eastAsia"/>
          <w:color w:val="auto"/>
          <w:szCs w:val="21"/>
          <w:highlight w:val="none"/>
        </w:rPr>
        <w:t>监理</w:t>
      </w:r>
      <w:r>
        <w:rPr>
          <w:color w:val="auto"/>
          <w:szCs w:val="21"/>
          <w:highlight w:val="none"/>
        </w:rPr>
        <w:t>人书面提出的事项作出书面答复；逾期没有做出答复的，视为已获得委托人的批准。</w:t>
      </w:r>
    </w:p>
    <w:p w14:paraId="4DA3E970">
      <w:pPr>
        <w:spacing w:line="360" w:lineRule="auto"/>
        <w:ind w:firstLine="420" w:firstLineChars="200"/>
        <w:rPr>
          <w:color w:val="auto"/>
          <w:szCs w:val="21"/>
          <w:highlight w:val="none"/>
        </w:rPr>
      </w:pPr>
      <w:r>
        <w:rPr>
          <w:rFonts w:hint="eastAsia"/>
          <w:color w:val="auto"/>
          <w:szCs w:val="21"/>
          <w:highlight w:val="none"/>
        </w:rPr>
        <w:t>增加以下内容到第3款：</w:t>
      </w:r>
    </w:p>
    <w:p w14:paraId="18C4FA73">
      <w:pPr>
        <w:pStyle w:val="4"/>
        <w:spacing w:line="240" w:lineRule="auto"/>
        <w:ind w:firstLine="137"/>
        <w:rPr>
          <w:rFonts w:ascii="Times New Roman"/>
          <w:color w:val="auto"/>
          <w:highlight w:val="none"/>
        </w:rPr>
      </w:pPr>
      <w:bookmarkStart w:id="214" w:name="_Toc12469"/>
      <w:r>
        <w:rPr>
          <w:rFonts w:ascii="Times New Roman"/>
          <w:color w:val="auto"/>
          <w:highlight w:val="none"/>
        </w:rPr>
        <w:t>3.</w:t>
      </w:r>
      <w:r>
        <w:rPr>
          <w:rFonts w:hint="eastAsia" w:ascii="Times New Roman"/>
          <w:color w:val="auto"/>
          <w:highlight w:val="none"/>
        </w:rPr>
        <w:t>4</w:t>
      </w:r>
      <w:r>
        <w:rPr>
          <w:rFonts w:ascii="Times New Roman"/>
          <w:color w:val="auto"/>
          <w:highlight w:val="none"/>
        </w:rPr>
        <w:t xml:space="preserve"> </w:t>
      </w:r>
      <w:r>
        <w:rPr>
          <w:rFonts w:hint="eastAsia" w:ascii="Times New Roman"/>
          <w:color w:val="auto"/>
          <w:highlight w:val="none"/>
        </w:rPr>
        <w:t>其他</w:t>
      </w:r>
      <w:bookmarkEnd w:id="214"/>
    </w:p>
    <w:p w14:paraId="4E0F012F">
      <w:pPr>
        <w:spacing w:line="360" w:lineRule="auto"/>
        <w:ind w:firstLine="420" w:firstLineChars="200"/>
        <w:rPr>
          <w:color w:val="auto"/>
          <w:szCs w:val="21"/>
          <w:highlight w:val="none"/>
        </w:rPr>
      </w:pPr>
      <w:r>
        <w:rPr>
          <w:rFonts w:hint="eastAsia"/>
          <w:color w:val="auto"/>
          <w:szCs w:val="21"/>
          <w:highlight w:val="none"/>
        </w:rPr>
        <w:t>3.4.1 如果委托人不能提供其应负责提供的委托人人员或其他人员，且双方均认为此类事项对圆满履行服务必需时，监理人应作为附加服务安排提供。</w:t>
      </w:r>
    </w:p>
    <w:p w14:paraId="53D0B581">
      <w:pPr>
        <w:spacing w:line="360" w:lineRule="auto"/>
        <w:ind w:firstLine="420" w:firstLineChars="200"/>
        <w:rPr>
          <w:color w:val="auto"/>
          <w:szCs w:val="21"/>
          <w:highlight w:val="none"/>
        </w:rPr>
      </w:pPr>
      <w:r>
        <w:rPr>
          <w:rFonts w:hint="eastAsia"/>
          <w:color w:val="auto"/>
          <w:szCs w:val="21"/>
          <w:highlight w:val="none"/>
        </w:rPr>
        <w:t>3.4.2 遇紧急情况，委托人对监理人发出的全部或部分暂停服务或终止本合同的通如的时限可另行约定。</w:t>
      </w:r>
    </w:p>
    <w:p w14:paraId="5C077A60">
      <w:pPr>
        <w:spacing w:line="360" w:lineRule="auto"/>
        <w:ind w:firstLine="420" w:firstLineChars="200"/>
        <w:rPr>
          <w:color w:val="auto"/>
          <w:szCs w:val="21"/>
          <w:highlight w:val="none"/>
        </w:rPr>
      </w:pPr>
      <w:r>
        <w:rPr>
          <w:rFonts w:hint="eastAsia"/>
          <w:color w:val="auto"/>
          <w:szCs w:val="21"/>
          <w:highlight w:val="none"/>
        </w:rPr>
        <w:t xml:space="preserve">3.4.3 </w:t>
      </w:r>
      <w:r>
        <w:rPr>
          <w:rFonts w:hint="eastAsia" w:ascii="宋体" w:hAnsi="宋体" w:cs="宋体"/>
          <w:color w:val="auto"/>
          <w:kern w:val="0"/>
          <w:szCs w:val="21"/>
          <w:highlight w:val="none"/>
          <w:lang w:val="zh-CN"/>
        </w:rPr>
        <w:t>委托人有对工程规模、设计标准、规划设计、生产工艺设计和设计使用功能要求的认定权，以及对工程设计变更的审批权。</w:t>
      </w:r>
    </w:p>
    <w:p w14:paraId="725CDD94">
      <w:pPr>
        <w:pStyle w:val="3"/>
        <w:numPr>
          <w:ilvl w:val="0"/>
          <w:numId w:val="1"/>
        </w:numPr>
        <w:rPr>
          <w:rFonts w:ascii="Times New Roman" w:hAnsi="Times New Roman"/>
          <w:color w:val="auto"/>
          <w:highlight w:val="none"/>
        </w:rPr>
      </w:pPr>
      <w:bookmarkStart w:id="215" w:name="_Toc8951"/>
      <w:r>
        <w:rPr>
          <w:rFonts w:hint="eastAsia" w:ascii="Times New Roman" w:hAnsi="Times New Roman"/>
          <w:color w:val="auto"/>
          <w:szCs w:val="21"/>
          <w:highlight w:val="none"/>
        </w:rPr>
        <w:t>监理</w:t>
      </w:r>
      <w:r>
        <w:rPr>
          <w:rFonts w:ascii="Times New Roman" w:hAnsi="Times New Roman"/>
          <w:color w:val="auto"/>
          <w:highlight w:val="none"/>
        </w:rPr>
        <w:t>人义务</w:t>
      </w:r>
      <w:bookmarkEnd w:id="215"/>
    </w:p>
    <w:p w14:paraId="791F35FA">
      <w:pPr>
        <w:pStyle w:val="4"/>
        <w:spacing w:line="240" w:lineRule="auto"/>
        <w:ind w:firstLine="137"/>
        <w:rPr>
          <w:rFonts w:ascii="Times New Roman"/>
          <w:color w:val="auto"/>
          <w:highlight w:val="none"/>
        </w:rPr>
      </w:pPr>
      <w:bookmarkStart w:id="216" w:name="_Toc29619"/>
      <w:r>
        <w:rPr>
          <w:rFonts w:ascii="Times New Roman"/>
          <w:color w:val="auto"/>
          <w:highlight w:val="none"/>
        </w:rPr>
        <w:t xml:space="preserve">4.1 </w:t>
      </w:r>
      <w:r>
        <w:rPr>
          <w:rFonts w:hint="eastAsia" w:ascii="Times New Roman"/>
          <w:color w:val="auto"/>
          <w:szCs w:val="21"/>
          <w:highlight w:val="none"/>
        </w:rPr>
        <w:t>监理</w:t>
      </w:r>
      <w:r>
        <w:rPr>
          <w:rFonts w:hint="eastAsia" w:ascii="Times New Roman"/>
          <w:color w:val="auto"/>
          <w:highlight w:val="none"/>
        </w:rPr>
        <w:t>人的一般义务</w:t>
      </w:r>
      <w:bookmarkEnd w:id="216"/>
    </w:p>
    <w:p w14:paraId="66985CAC">
      <w:pPr>
        <w:spacing w:line="360" w:lineRule="auto"/>
        <w:ind w:firstLine="420" w:firstLineChars="200"/>
        <w:rPr>
          <w:color w:val="auto"/>
          <w:szCs w:val="21"/>
          <w:highlight w:val="none"/>
        </w:rPr>
      </w:pPr>
      <w:r>
        <w:rPr>
          <w:rFonts w:hint="eastAsia"/>
          <w:color w:val="auto"/>
          <w:highlight w:val="none"/>
        </w:rPr>
        <w:t>增加以下内容到第4.1.3款：</w:t>
      </w:r>
    </w:p>
    <w:p w14:paraId="39712B33">
      <w:pPr>
        <w:spacing w:line="360" w:lineRule="auto"/>
        <w:ind w:firstLine="420" w:firstLineChars="200"/>
        <w:rPr>
          <w:rFonts w:ascii="宋体" w:hAnsi="宋体" w:cs="宋体"/>
          <w:color w:val="auto"/>
          <w:kern w:val="0"/>
          <w:szCs w:val="21"/>
          <w:highlight w:val="none"/>
          <w:lang w:val="zh-CN"/>
        </w:rPr>
      </w:pPr>
      <w:r>
        <w:rPr>
          <w:rFonts w:hint="eastAsia"/>
          <w:color w:val="auto"/>
          <w:szCs w:val="21"/>
          <w:highlight w:val="none"/>
        </w:rPr>
        <w:t>4.1.3</w:t>
      </w:r>
      <w:r>
        <w:rPr>
          <w:color w:val="auto"/>
          <w:szCs w:val="21"/>
          <w:highlight w:val="none"/>
        </w:rPr>
        <w:t xml:space="preserve"> </w:t>
      </w:r>
      <w:r>
        <w:rPr>
          <w:rFonts w:hint="eastAsia" w:ascii="宋体" w:hAnsi="宋体" w:cs="宋体"/>
          <w:color w:val="auto"/>
          <w:kern w:val="0"/>
          <w:szCs w:val="21"/>
          <w:highlight w:val="none"/>
          <w:lang w:val="zh-CN"/>
        </w:rPr>
        <w:t>监理人应履行与项目有关的服务。服务范围、内容和要求见</w:t>
      </w:r>
      <w:r>
        <w:rPr>
          <w:rFonts w:hint="eastAsia"/>
          <w:color w:val="auto"/>
          <w:szCs w:val="21"/>
          <w:highlight w:val="none"/>
        </w:rPr>
        <w:t>“合同附件格式”附件二</w:t>
      </w:r>
      <w:r>
        <w:rPr>
          <w:rFonts w:hint="eastAsia" w:ascii="宋体" w:hAnsi="宋体" w:cs="宋体"/>
          <w:color w:val="auto"/>
          <w:kern w:val="0"/>
          <w:szCs w:val="21"/>
          <w:highlight w:val="none"/>
          <w:lang w:val="zh-CN"/>
        </w:rPr>
        <w:t>。</w:t>
      </w:r>
    </w:p>
    <w:p w14:paraId="3179CD42">
      <w:pPr>
        <w:spacing w:line="360" w:lineRule="auto"/>
        <w:ind w:firstLine="420" w:firstLineChars="200"/>
        <w:rPr>
          <w:color w:val="auto"/>
          <w:szCs w:val="21"/>
          <w:highlight w:val="none"/>
        </w:rPr>
      </w:pPr>
      <w:r>
        <w:rPr>
          <w:rFonts w:hint="eastAsia"/>
          <w:color w:val="auto"/>
          <w:szCs w:val="21"/>
          <w:highlight w:val="none"/>
        </w:rPr>
        <w:t>增加以下内容到4.1款：</w:t>
      </w:r>
    </w:p>
    <w:p w14:paraId="57F22B5C">
      <w:pPr>
        <w:spacing w:line="360" w:lineRule="auto"/>
        <w:ind w:firstLine="422" w:firstLineChars="200"/>
        <w:rPr>
          <w:b/>
          <w:color w:val="auto"/>
          <w:highlight w:val="none"/>
        </w:rPr>
      </w:pPr>
      <w:r>
        <w:rPr>
          <w:rFonts w:hint="eastAsia"/>
          <w:b/>
          <w:color w:val="auto"/>
          <w:highlight w:val="none"/>
        </w:rPr>
        <w:t xml:space="preserve">4.1.5 </w:t>
      </w:r>
      <w:r>
        <w:rPr>
          <w:b/>
          <w:color w:val="auto"/>
          <w:highlight w:val="none"/>
        </w:rPr>
        <w:t>正常、附加和额外的服务</w:t>
      </w:r>
    </w:p>
    <w:p w14:paraId="118D73B4">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（1）正常服务系指</w:t>
      </w:r>
      <w:r>
        <w:rPr>
          <w:rFonts w:hint="eastAsia"/>
          <w:color w:val="auto"/>
          <w:szCs w:val="21"/>
          <w:highlight w:val="none"/>
        </w:rPr>
        <w:t>“合同附件格式”附件二</w:t>
      </w:r>
      <w:r>
        <w:rPr>
          <w:rFonts w:hint="eastAsia" w:ascii="宋体" w:hAnsi="宋体" w:cs="宋体"/>
          <w:color w:val="auto"/>
          <w:kern w:val="0"/>
          <w:szCs w:val="21"/>
          <w:highlight w:val="none"/>
          <w:lang w:val="zh-CN"/>
        </w:rPr>
        <w:t>中描述的此类服务。</w:t>
      </w:r>
    </w:p>
    <w:p w14:paraId="0FB38AFC">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（2）附加服务</w:t>
      </w:r>
    </w:p>
    <w:p w14:paraId="6D48B48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zh-CN"/>
        </w:rPr>
        <w:t>①</w:t>
      </w:r>
      <w:r>
        <w:rPr>
          <w:rFonts w:hint="eastAsia" w:ascii="宋体" w:hAnsi="宋体" w:cs="宋体"/>
          <w:color w:val="auto"/>
          <w:kern w:val="0"/>
          <w:szCs w:val="21"/>
          <w:highlight w:val="none"/>
        </w:rPr>
        <w:t>附加服务系指</w:t>
      </w:r>
      <w:r>
        <w:rPr>
          <w:rFonts w:hint="eastAsia"/>
          <w:color w:val="auto"/>
          <w:szCs w:val="21"/>
          <w:highlight w:val="none"/>
        </w:rPr>
        <w:t>“合同附件格式”附件二</w:t>
      </w:r>
      <w:r>
        <w:rPr>
          <w:rFonts w:hint="eastAsia" w:ascii="宋体" w:hAnsi="宋体" w:cs="宋体"/>
          <w:color w:val="auto"/>
          <w:kern w:val="0"/>
          <w:szCs w:val="21"/>
          <w:highlight w:val="none"/>
        </w:rPr>
        <w:t>中描述的此类服务，或双方书面协议在正常服务之外附加的服务内容；</w:t>
      </w:r>
    </w:p>
    <w:p w14:paraId="7CAC068F">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②</w:t>
      </w:r>
      <w:r>
        <w:rPr>
          <w:rFonts w:hint="eastAsia" w:ascii="宋体" w:hAnsi="宋体" w:cs="宋体"/>
          <w:color w:val="auto"/>
          <w:kern w:val="0"/>
          <w:szCs w:val="21"/>
          <w:highlight w:val="none"/>
        </w:rPr>
        <w:t>由于委托人或其他非监理人原因，使监理工作受到阻碍或延误，因增加工作量或持续时间而增加的服务。</w:t>
      </w:r>
    </w:p>
    <w:p w14:paraId="695A379C">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额外服务系指既不是正常的也不是附加的服务，而是按照约定必须由监理人履行的服务：当以下第（a）款所述情况发生时，或撤销或暂停或恢复服务时，或并不是根据以下第（b）款终止本合同时，除正常的或附加的服务之外，监理人需做的任何工作或支出的费用，应被视为额外的服务。履行额外服务使监理人有权得到所需的额外时间和为履行它们的付款。</w:t>
      </w:r>
    </w:p>
    <w:p w14:paraId="27D695B8">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（a）情况的改变</w:t>
      </w:r>
    </w:p>
    <w:p w14:paraId="6A61158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如果出现按照本合同监理人不应负责的情况，以及该情况使监理人不能负责或不能履行全部或部分服务时，应立即通知委托人。</w:t>
      </w:r>
    </w:p>
    <w:p w14:paraId="0CB3ED27">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在此情况下，如果不得不暂停某些服务时，则该类服务的完成期限应予以延长，直到此种情况不再持续。还应加上不超过42天的合理期限用于恢复服务。</w:t>
      </w:r>
    </w:p>
    <w:p w14:paraId="30179754">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如果履行某些服务的速度不得不减慢，则该类服务的完成期限由于此种情况必须给予延长。</w:t>
      </w:r>
    </w:p>
    <w:p w14:paraId="145889B1">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（b）如委托人认为监理人无正当理由而未履行其义务时，可通知监理人，说明发出该通知的原委。若委托人在</w:t>
      </w:r>
      <w:r>
        <w:rPr>
          <w:rFonts w:ascii="宋体" w:hAnsi="宋体" w:cs="宋体"/>
          <w:color w:val="auto"/>
          <w:kern w:val="0"/>
          <w:szCs w:val="21"/>
          <w:highlight w:val="none"/>
          <w:lang w:val="zh-CN"/>
        </w:rPr>
        <w:t>21</w:t>
      </w:r>
      <w:r>
        <w:rPr>
          <w:rFonts w:hint="eastAsia" w:ascii="宋体" w:hAnsi="宋体" w:cs="宋体"/>
          <w:color w:val="auto"/>
          <w:kern w:val="0"/>
          <w:szCs w:val="21"/>
          <w:highlight w:val="none"/>
          <w:lang w:val="zh-CN"/>
        </w:rPr>
        <w:t>日内没有收到满意的答复，可发出进一步的通知，终止本合同，但该通知应在委托人第一个通知发出后</w:t>
      </w:r>
      <w:r>
        <w:rPr>
          <w:rFonts w:ascii="宋体" w:hAnsi="宋体" w:cs="宋体"/>
          <w:color w:val="auto"/>
          <w:kern w:val="0"/>
          <w:szCs w:val="21"/>
          <w:highlight w:val="none"/>
          <w:lang w:val="zh-CN"/>
        </w:rPr>
        <w:t>35</w:t>
      </w:r>
      <w:r>
        <w:rPr>
          <w:rFonts w:hint="eastAsia" w:ascii="宋体" w:hAnsi="宋体" w:cs="宋体"/>
          <w:color w:val="auto"/>
          <w:kern w:val="0"/>
          <w:szCs w:val="21"/>
          <w:highlight w:val="none"/>
          <w:lang w:val="zh-CN"/>
        </w:rPr>
        <w:t>日内发出。</w:t>
      </w:r>
    </w:p>
    <w:p w14:paraId="3B9484B1">
      <w:pPr>
        <w:spacing w:line="360" w:lineRule="auto"/>
        <w:ind w:firstLine="422" w:firstLineChars="200"/>
        <w:rPr>
          <w:rFonts w:ascii="宋体" w:hAnsi="宋体" w:cs="宋体"/>
          <w:color w:val="auto"/>
          <w:kern w:val="0"/>
          <w:szCs w:val="21"/>
          <w:highlight w:val="none"/>
          <w:lang w:val="zh-CN"/>
        </w:rPr>
      </w:pPr>
      <w:r>
        <w:rPr>
          <w:rFonts w:hint="eastAsia"/>
          <w:b/>
          <w:color w:val="auto"/>
          <w:highlight w:val="none"/>
        </w:rPr>
        <w:t xml:space="preserve">4.1.6 </w:t>
      </w:r>
      <w:r>
        <w:rPr>
          <w:b/>
          <w:color w:val="auto"/>
          <w:highlight w:val="none"/>
        </w:rPr>
        <w:t>认真地尽职和行使职权</w:t>
      </w:r>
    </w:p>
    <w:p w14:paraId="3C2B73DE">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（1）监理人在根据本合同履行其义务时，应运用合理的技能，谨慎而勤奋地工作。</w:t>
      </w:r>
    </w:p>
    <w:p w14:paraId="6FAC1C3C">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（2）当服务包括根据委托人与任何第三方签订的合同条款的授权或要求行使权利或履行职责时，监理人应：</w:t>
      </w:r>
    </w:p>
    <w:p w14:paraId="6A16A181">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zh-CN"/>
        </w:rPr>
        <w:t>①根据委托人和第三方签订的合同进行工作，如果未在监理合同中对该权利和职责的详细加以说明，则补充的详细规定监理人必须接受。</w:t>
      </w:r>
    </w:p>
    <w:p w14:paraId="23556AD7">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②如果委托人授权，可在委托人和第三方之间公正地证明、决定或行使自己的处理权。但不作为仲裁人而是根据自己的技能和判断，作为独立的专业人员进行工作。</w:t>
      </w:r>
    </w:p>
    <w:p w14:paraId="7AFF680C">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③如果委托人授权，可变更任何第三方的义务。但对于可能对费用或质量或时间有重大影响的任何变更，须从委托人处得到事先批准（除非发生任何紧急情况，此时监理人应尽可能快地通知委托人）。要求须从委托人处得到事先批准的变更的详细规定，有时在委托人与第三方的合同中加以说明。</w:t>
      </w:r>
    </w:p>
    <w:p w14:paraId="471400F7">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④监理人的任何成员不得与第三方有任何直接的经济合作关系。</w:t>
      </w:r>
    </w:p>
    <w:p w14:paraId="60882D3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⑤监理人应通过提供的服务使委托人尽可能免除受到任何第三方要求索赔、补偿而造成损失。</w:t>
      </w:r>
    </w:p>
    <w:p w14:paraId="40AC19CA">
      <w:pPr>
        <w:spacing w:line="360" w:lineRule="auto"/>
        <w:ind w:firstLine="422" w:firstLineChars="200"/>
        <w:rPr>
          <w:b/>
          <w:color w:val="auto"/>
          <w:highlight w:val="none"/>
        </w:rPr>
      </w:pPr>
      <w:r>
        <w:rPr>
          <w:rFonts w:hint="eastAsia"/>
          <w:b/>
          <w:color w:val="auto"/>
          <w:highlight w:val="none"/>
        </w:rPr>
        <w:t>4.1.7 委托人的财产</w:t>
      </w:r>
    </w:p>
    <w:p w14:paraId="7D9FF3E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所有由委托人提供或支付费用，供监理人使用的物品均属于委托人的财产，实际可行时都应加以标记。当服务完成或终止时，监理人应将履行服务中未使用的剩余物品清单交给委托人，并按委托人的指示移交此类物品。此类移交应视为附加服务。</w:t>
      </w:r>
    </w:p>
    <w:p w14:paraId="3875A319">
      <w:pPr>
        <w:spacing w:line="360" w:lineRule="auto"/>
        <w:ind w:firstLine="422" w:firstLineChars="200"/>
        <w:rPr>
          <w:b/>
          <w:color w:val="auto"/>
          <w:highlight w:val="none"/>
        </w:rPr>
      </w:pPr>
      <w:r>
        <w:rPr>
          <w:rFonts w:hint="eastAsia"/>
          <w:b/>
          <w:color w:val="auto"/>
          <w:highlight w:val="none"/>
        </w:rPr>
        <w:t>4.1.8 资源配置</w:t>
      </w:r>
    </w:p>
    <w:p w14:paraId="1EBB50A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监理人需为本项目现场服务配置必要的资源，详见</w:t>
      </w:r>
      <w:r>
        <w:rPr>
          <w:rFonts w:hint="eastAsia"/>
          <w:color w:val="auto"/>
          <w:szCs w:val="21"/>
          <w:highlight w:val="none"/>
        </w:rPr>
        <w:t>“合同附件格式”</w:t>
      </w:r>
      <w:r>
        <w:rPr>
          <w:rFonts w:hint="eastAsia" w:ascii="宋体" w:hAnsi="宋体" w:cs="宋体"/>
          <w:color w:val="auto"/>
          <w:kern w:val="0"/>
          <w:szCs w:val="21"/>
          <w:highlight w:val="none"/>
        </w:rPr>
        <w:t>附件二和附件四的要求。</w:t>
      </w:r>
    </w:p>
    <w:p w14:paraId="415754F7">
      <w:pPr>
        <w:spacing w:line="360" w:lineRule="auto"/>
        <w:ind w:firstLine="420" w:firstLineChars="200"/>
        <w:rPr>
          <w:bCs/>
          <w:color w:val="auto"/>
          <w:highlight w:val="none"/>
        </w:rPr>
      </w:pPr>
      <w:r>
        <w:rPr>
          <w:rFonts w:hint="eastAsia"/>
          <w:bCs/>
          <w:color w:val="auto"/>
          <w:highlight w:val="none"/>
        </w:rPr>
        <w:t xml:space="preserve">4.1.9 </w:t>
      </w:r>
      <w:r>
        <w:rPr>
          <w:rFonts w:hint="eastAsia"/>
          <w:bCs/>
          <w:color w:val="auto"/>
          <w:highlight w:val="none"/>
          <w:lang w:val="zh-CN"/>
        </w:rPr>
        <w:t>监理人在履行服务工作时，应执行南</w:t>
      </w:r>
      <w:r>
        <w:rPr>
          <w:rFonts w:hint="eastAsia"/>
          <w:bCs/>
          <w:color w:val="auto"/>
          <w:highlight w:val="none"/>
          <w:lang w:val="en-US" w:eastAsia="zh-CN"/>
        </w:rPr>
        <w:t>方电</w:t>
      </w:r>
      <w:r>
        <w:rPr>
          <w:rFonts w:hint="eastAsia"/>
          <w:bCs/>
          <w:color w:val="auto"/>
          <w:highlight w:val="none"/>
          <w:lang w:val="zh-CN"/>
        </w:rPr>
        <w:t>网</w:t>
      </w:r>
      <w:r>
        <w:rPr>
          <w:rFonts w:hint="eastAsia"/>
          <w:bCs/>
          <w:color w:val="auto"/>
          <w:highlight w:val="none"/>
        </w:rPr>
        <w:t>管理规范和技术（规范）标准</w:t>
      </w:r>
      <w:r>
        <w:rPr>
          <w:rFonts w:hint="eastAsia"/>
          <w:bCs/>
          <w:color w:val="auto"/>
          <w:highlight w:val="none"/>
          <w:lang w:val="zh-CN"/>
        </w:rPr>
        <w:t>，详见</w:t>
      </w:r>
      <w:r>
        <w:rPr>
          <w:rFonts w:hint="eastAsia"/>
          <w:bCs/>
          <w:color w:val="auto"/>
          <w:szCs w:val="21"/>
          <w:highlight w:val="none"/>
        </w:rPr>
        <w:t>“合同附件格式”</w:t>
      </w:r>
      <w:r>
        <w:rPr>
          <w:rFonts w:hint="eastAsia" w:ascii="宋体" w:hAnsi="宋体" w:cs="宋体"/>
          <w:bCs/>
          <w:color w:val="auto"/>
          <w:kern w:val="0"/>
          <w:szCs w:val="21"/>
          <w:highlight w:val="none"/>
        </w:rPr>
        <w:t>附件十</w:t>
      </w:r>
      <w:r>
        <w:rPr>
          <w:rFonts w:hint="eastAsia"/>
          <w:bCs/>
          <w:color w:val="auto"/>
          <w:highlight w:val="none"/>
          <w:lang w:val="zh-CN"/>
        </w:rPr>
        <w:t>。</w:t>
      </w:r>
    </w:p>
    <w:p w14:paraId="5213C002">
      <w:pPr>
        <w:pStyle w:val="4"/>
        <w:spacing w:line="240" w:lineRule="auto"/>
        <w:ind w:firstLine="137"/>
        <w:rPr>
          <w:rFonts w:ascii="Times New Roman"/>
          <w:color w:val="auto"/>
          <w:highlight w:val="none"/>
        </w:rPr>
      </w:pPr>
      <w:bookmarkStart w:id="217" w:name="_Toc16875"/>
      <w:r>
        <w:rPr>
          <w:rFonts w:ascii="Times New Roman"/>
          <w:color w:val="auto"/>
          <w:highlight w:val="none"/>
        </w:rPr>
        <w:t xml:space="preserve">4.2 </w:t>
      </w:r>
      <w:r>
        <w:rPr>
          <w:rFonts w:hint="eastAsia" w:ascii="Times New Roman"/>
          <w:color w:val="auto"/>
          <w:highlight w:val="none"/>
        </w:rPr>
        <w:t>履约保证金</w:t>
      </w:r>
      <w:bookmarkEnd w:id="217"/>
    </w:p>
    <w:p w14:paraId="5EE4628E">
      <w:pPr>
        <w:spacing w:line="360" w:lineRule="auto"/>
        <w:ind w:firstLine="420" w:firstLineChars="200"/>
        <w:rPr>
          <w:color w:val="auto"/>
          <w:highlight w:val="none"/>
        </w:rPr>
      </w:pPr>
      <w:r>
        <w:rPr>
          <w:rFonts w:hint="eastAsia"/>
          <w:color w:val="auto"/>
          <w:highlight w:val="none"/>
        </w:rPr>
        <w:t>替换以下内容到第4.2款：</w:t>
      </w:r>
    </w:p>
    <w:p w14:paraId="7F7AEBF0">
      <w:pPr>
        <w:spacing w:line="360" w:lineRule="auto"/>
        <w:ind w:firstLine="420" w:firstLineChars="200"/>
        <w:rPr>
          <w:color w:val="auto"/>
          <w:szCs w:val="21"/>
          <w:highlight w:val="none"/>
        </w:rPr>
      </w:pPr>
      <w:r>
        <w:rPr>
          <w:rFonts w:hint="eastAsia"/>
          <w:color w:val="auto"/>
          <w:szCs w:val="21"/>
          <w:highlight w:val="none"/>
        </w:rPr>
        <w:t>监理</w:t>
      </w:r>
      <w:r>
        <w:rPr>
          <w:color w:val="auto"/>
          <w:szCs w:val="21"/>
          <w:highlight w:val="none"/>
        </w:rPr>
        <w:t>人</w:t>
      </w:r>
      <w:r>
        <w:rPr>
          <w:rFonts w:hint="eastAsia"/>
          <w:color w:val="auto"/>
          <w:szCs w:val="21"/>
          <w:highlight w:val="none"/>
        </w:rPr>
        <w:t>在合同签订后</w:t>
      </w:r>
      <w:r>
        <w:rPr>
          <w:rFonts w:hint="eastAsia"/>
          <w:color w:val="auto"/>
          <w:szCs w:val="21"/>
          <w:highlight w:val="none"/>
          <w:u w:val="single"/>
        </w:rPr>
        <w:t>28</w:t>
      </w:r>
      <w:r>
        <w:rPr>
          <w:rFonts w:hint="eastAsia"/>
          <w:color w:val="auto"/>
          <w:szCs w:val="21"/>
          <w:highlight w:val="none"/>
        </w:rPr>
        <w:t>日内按照合同价的</w:t>
      </w:r>
      <w:r>
        <w:rPr>
          <w:rFonts w:hint="eastAsia"/>
          <w:color w:val="auto"/>
          <w:szCs w:val="21"/>
          <w:highlight w:val="none"/>
          <w:u w:val="single"/>
        </w:rPr>
        <w:t>10%</w:t>
      </w:r>
      <w:r>
        <w:rPr>
          <w:rFonts w:hint="eastAsia"/>
          <w:color w:val="auto"/>
          <w:szCs w:val="21"/>
          <w:highlight w:val="none"/>
        </w:rPr>
        <w:t>向发包人提交履约担保。</w:t>
      </w:r>
      <w:r>
        <w:rPr>
          <w:color w:val="auto"/>
          <w:szCs w:val="21"/>
          <w:highlight w:val="none"/>
        </w:rPr>
        <w:t>履约</w:t>
      </w:r>
      <w:r>
        <w:rPr>
          <w:rFonts w:hint="eastAsia"/>
          <w:color w:val="auto"/>
          <w:szCs w:val="21"/>
          <w:highlight w:val="none"/>
          <w:lang w:val="en-US" w:eastAsia="zh-CN"/>
        </w:rPr>
        <w:t>担保</w:t>
      </w:r>
      <w:r>
        <w:rPr>
          <w:color w:val="auto"/>
          <w:szCs w:val="21"/>
          <w:highlight w:val="none"/>
        </w:rPr>
        <w:t>自</w:t>
      </w:r>
      <w:r>
        <w:rPr>
          <w:rFonts w:hint="eastAsia"/>
          <w:color w:val="auto"/>
          <w:szCs w:val="21"/>
          <w:highlight w:val="none"/>
          <w:lang w:val="en-US" w:eastAsia="zh-CN"/>
        </w:rPr>
        <w:t>合同生效</w:t>
      </w:r>
      <w:r>
        <w:rPr>
          <w:color w:val="auto"/>
          <w:szCs w:val="21"/>
          <w:highlight w:val="none"/>
        </w:rPr>
        <w:t>之日起生效，</w:t>
      </w:r>
      <w:r>
        <w:rPr>
          <w:rFonts w:hint="eastAsia"/>
          <w:color w:val="auto"/>
          <w:szCs w:val="21"/>
          <w:highlight w:val="none"/>
        </w:rPr>
        <w:t>在工程接收证书颁发</w:t>
      </w:r>
      <w:r>
        <w:rPr>
          <w:color w:val="auto"/>
          <w:szCs w:val="21"/>
          <w:highlight w:val="none"/>
        </w:rPr>
        <w:t>之日起28日后失效。如果</w:t>
      </w:r>
      <w:r>
        <w:rPr>
          <w:rFonts w:hint="eastAsia"/>
          <w:color w:val="auto"/>
          <w:szCs w:val="21"/>
          <w:highlight w:val="none"/>
        </w:rPr>
        <w:t>监理</w:t>
      </w:r>
      <w:r>
        <w:rPr>
          <w:color w:val="auto"/>
          <w:szCs w:val="21"/>
          <w:highlight w:val="none"/>
        </w:rPr>
        <w:t>人不履行合同约定的义务或其履行不符合合同的约定，委托人有权扣划相应金额的履约保证金。</w:t>
      </w:r>
    </w:p>
    <w:p w14:paraId="322F16E3">
      <w:pPr>
        <w:pStyle w:val="4"/>
        <w:spacing w:line="240" w:lineRule="auto"/>
        <w:ind w:firstLine="137"/>
        <w:rPr>
          <w:rFonts w:ascii="Times New Roman"/>
          <w:color w:val="auto"/>
          <w:highlight w:val="none"/>
        </w:rPr>
      </w:pPr>
      <w:bookmarkStart w:id="218" w:name="_Toc12587"/>
      <w:r>
        <w:rPr>
          <w:rFonts w:ascii="Times New Roman"/>
          <w:color w:val="auto"/>
          <w:highlight w:val="none"/>
        </w:rPr>
        <w:t>4.</w:t>
      </w:r>
      <w:r>
        <w:rPr>
          <w:rFonts w:hint="eastAsia" w:ascii="Times New Roman"/>
          <w:color w:val="auto"/>
          <w:highlight w:val="none"/>
        </w:rPr>
        <w:t>4</w:t>
      </w:r>
      <w:r>
        <w:rPr>
          <w:rFonts w:ascii="Times New Roman"/>
          <w:color w:val="auto"/>
          <w:highlight w:val="none"/>
        </w:rPr>
        <w:t xml:space="preserve"> </w:t>
      </w:r>
      <w:r>
        <w:rPr>
          <w:rFonts w:hint="eastAsia" w:ascii="Times New Roman"/>
          <w:color w:val="auto"/>
          <w:highlight w:val="none"/>
        </w:rPr>
        <w:t>总监理工程师</w:t>
      </w:r>
      <w:bookmarkEnd w:id="218"/>
    </w:p>
    <w:p w14:paraId="5722DD8A">
      <w:pPr>
        <w:spacing w:line="360" w:lineRule="auto"/>
        <w:ind w:firstLine="420" w:firstLineChars="200"/>
        <w:rPr>
          <w:color w:val="auto"/>
          <w:szCs w:val="21"/>
          <w:highlight w:val="none"/>
        </w:rPr>
      </w:pPr>
      <w:r>
        <w:rPr>
          <w:rFonts w:hint="eastAsia"/>
          <w:color w:val="auto"/>
          <w:highlight w:val="none"/>
        </w:rPr>
        <w:t>增加以下内容到第4.4.1款：</w:t>
      </w:r>
    </w:p>
    <w:p w14:paraId="4DFFBB24">
      <w:pPr>
        <w:spacing w:line="360" w:lineRule="auto"/>
        <w:ind w:firstLine="420" w:firstLineChars="200"/>
        <w:rPr>
          <w:color w:val="auto"/>
          <w:szCs w:val="21"/>
          <w:highlight w:val="none"/>
          <w:lang w:val="zh-CN"/>
        </w:rPr>
      </w:pPr>
      <w:r>
        <w:rPr>
          <w:rFonts w:hint="eastAsia"/>
          <w:color w:val="auto"/>
          <w:szCs w:val="21"/>
          <w:highlight w:val="none"/>
          <w:lang w:val="zh-CN"/>
        </w:rPr>
        <w:t>（1）</w:t>
      </w:r>
      <w:r>
        <w:rPr>
          <w:color w:val="auto"/>
          <w:szCs w:val="21"/>
          <w:highlight w:val="none"/>
          <w:lang w:val="zh-CN"/>
        </w:rPr>
        <w:t>总监理工程师：</w:t>
      </w:r>
    </w:p>
    <w:p w14:paraId="34152CFD">
      <w:pPr>
        <w:spacing w:line="360" w:lineRule="auto"/>
        <w:ind w:firstLine="420" w:firstLineChars="200"/>
        <w:rPr>
          <w:color w:val="auto"/>
          <w:szCs w:val="21"/>
          <w:highlight w:val="none"/>
          <w:lang w:val="zh-CN"/>
        </w:rPr>
      </w:pPr>
      <w:permStart w:id="84" w:edGrp="everyone"/>
      <w:r>
        <w:rPr>
          <w:color w:val="auto"/>
          <w:szCs w:val="21"/>
          <w:highlight w:val="none"/>
          <w:lang w:val="zh-CN"/>
        </w:rPr>
        <w:t>姓    名：</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color w:val="auto"/>
          <w:szCs w:val="21"/>
          <w:highlight w:val="none"/>
        </w:rPr>
        <w:t>。</w:t>
      </w:r>
    </w:p>
    <w:p w14:paraId="73A5EC7C">
      <w:pPr>
        <w:spacing w:line="360" w:lineRule="auto"/>
        <w:ind w:firstLine="420" w:firstLineChars="200"/>
        <w:rPr>
          <w:color w:val="auto"/>
          <w:szCs w:val="21"/>
          <w:highlight w:val="none"/>
          <w:lang w:val="zh-CN"/>
        </w:rPr>
      </w:pPr>
      <w:r>
        <w:rPr>
          <w:color w:val="auto"/>
          <w:szCs w:val="21"/>
          <w:highlight w:val="none"/>
          <w:lang w:val="zh-CN"/>
        </w:rPr>
        <w:t>执业资格</w:t>
      </w:r>
      <w:r>
        <w:rPr>
          <w:rFonts w:hint="eastAsia"/>
          <w:color w:val="auto"/>
          <w:szCs w:val="21"/>
          <w:highlight w:val="none"/>
          <w:lang w:val="zh-CN"/>
        </w:rPr>
        <w:t>及</w:t>
      </w:r>
      <w:r>
        <w:rPr>
          <w:color w:val="auto"/>
          <w:szCs w:val="21"/>
          <w:highlight w:val="none"/>
          <w:lang w:val="zh-CN"/>
        </w:rPr>
        <w:t>等级：</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color w:val="auto"/>
          <w:szCs w:val="21"/>
          <w:highlight w:val="none"/>
        </w:rPr>
        <w:t>。</w:t>
      </w:r>
    </w:p>
    <w:p w14:paraId="6D648587">
      <w:pPr>
        <w:spacing w:line="360" w:lineRule="auto"/>
        <w:ind w:firstLine="420" w:firstLineChars="200"/>
        <w:rPr>
          <w:color w:val="auto"/>
          <w:szCs w:val="21"/>
          <w:highlight w:val="none"/>
          <w:lang w:val="zh-CN"/>
        </w:rPr>
      </w:pPr>
      <w:r>
        <w:rPr>
          <w:color w:val="auto"/>
          <w:szCs w:val="21"/>
          <w:highlight w:val="none"/>
          <w:lang w:val="zh-CN"/>
        </w:rPr>
        <w:t>注册证书号：</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color w:val="auto"/>
          <w:szCs w:val="21"/>
          <w:highlight w:val="none"/>
        </w:rPr>
        <w:t>。</w:t>
      </w:r>
    </w:p>
    <w:p w14:paraId="767653BE">
      <w:pPr>
        <w:spacing w:line="360" w:lineRule="auto"/>
        <w:ind w:firstLine="420" w:firstLineChars="200"/>
        <w:rPr>
          <w:color w:val="auto"/>
          <w:szCs w:val="21"/>
          <w:highlight w:val="none"/>
          <w:lang w:val="zh-CN"/>
        </w:rPr>
      </w:pPr>
      <w:r>
        <w:rPr>
          <w:color w:val="auto"/>
          <w:szCs w:val="21"/>
          <w:highlight w:val="none"/>
          <w:lang w:val="zh-CN"/>
        </w:rPr>
        <w:t>联系电话：</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color w:val="auto"/>
          <w:szCs w:val="21"/>
          <w:highlight w:val="none"/>
        </w:rPr>
        <w:t>。</w:t>
      </w:r>
    </w:p>
    <w:p w14:paraId="1A00813C">
      <w:pPr>
        <w:spacing w:line="360" w:lineRule="auto"/>
        <w:ind w:firstLine="420" w:firstLineChars="200"/>
        <w:rPr>
          <w:color w:val="auto"/>
          <w:szCs w:val="21"/>
          <w:highlight w:val="none"/>
          <w:lang w:val="zh-CN"/>
        </w:rPr>
      </w:pPr>
      <w:r>
        <w:rPr>
          <w:color w:val="auto"/>
          <w:szCs w:val="21"/>
          <w:highlight w:val="none"/>
          <w:lang w:val="zh-CN"/>
        </w:rPr>
        <w:t>电子信箱：</w:t>
      </w:r>
      <w:r>
        <w:rPr>
          <w:rFonts w:hint="eastAsia"/>
          <w:color w:val="auto"/>
          <w:szCs w:val="21"/>
          <w:highlight w:val="none"/>
          <w:u w:val="single"/>
        </w:rPr>
        <w:t xml:space="preserve">      </w:t>
      </w:r>
      <w:r>
        <w:rPr>
          <w:rFonts w:hint="eastAsia"/>
          <w:color w:val="auto"/>
          <w:szCs w:val="21"/>
          <w:highlight w:val="none"/>
          <w:u w:val="single"/>
          <w:lang w:val="en-US" w:eastAsia="zh-CN"/>
        </w:rPr>
        <w:t>/</w:t>
      </w:r>
      <w:r>
        <w:rPr>
          <w:rFonts w:hint="eastAsia"/>
          <w:color w:val="auto"/>
          <w:szCs w:val="21"/>
          <w:highlight w:val="none"/>
          <w:u w:val="single"/>
        </w:rPr>
        <w:t xml:space="preserve">      </w:t>
      </w:r>
      <w:r>
        <w:rPr>
          <w:color w:val="auto"/>
          <w:szCs w:val="21"/>
          <w:highlight w:val="none"/>
        </w:rPr>
        <w:t>。</w:t>
      </w:r>
    </w:p>
    <w:p w14:paraId="682C267C">
      <w:pPr>
        <w:spacing w:line="360" w:lineRule="auto"/>
        <w:ind w:firstLine="420" w:firstLineChars="200"/>
        <w:rPr>
          <w:color w:val="auto"/>
          <w:szCs w:val="21"/>
          <w:highlight w:val="none"/>
          <w:lang w:val="zh-CN"/>
        </w:rPr>
      </w:pPr>
      <w:r>
        <w:rPr>
          <w:color w:val="auto"/>
          <w:szCs w:val="21"/>
          <w:highlight w:val="none"/>
          <w:lang w:val="zh-CN"/>
        </w:rPr>
        <w:t>通信地址：</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color w:val="auto"/>
          <w:szCs w:val="21"/>
          <w:highlight w:val="none"/>
        </w:rPr>
        <w:t>。</w:t>
      </w:r>
    </w:p>
    <w:p w14:paraId="47F65BF7">
      <w:pPr>
        <w:spacing w:line="360" w:lineRule="auto"/>
        <w:ind w:firstLine="420" w:firstLineChars="200"/>
        <w:rPr>
          <w:color w:val="auto"/>
          <w:szCs w:val="21"/>
          <w:highlight w:val="none"/>
          <w:lang w:val="zh-CN"/>
        </w:rPr>
      </w:pPr>
      <w:r>
        <w:rPr>
          <w:rFonts w:hint="eastAsia"/>
          <w:color w:val="auto"/>
          <w:szCs w:val="21"/>
          <w:highlight w:val="none"/>
          <w:lang w:val="zh-CN"/>
        </w:rPr>
        <w:t>监理</w:t>
      </w:r>
      <w:r>
        <w:rPr>
          <w:color w:val="auto"/>
          <w:szCs w:val="21"/>
          <w:highlight w:val="none"/>
          <w:lang w:val="zh-CN"/>
        </w:rPr>
        <w:t>人对总监理工程师的授权范围如下：</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color w:val="auto"/>
          <w:szCs w:val="21"/>
          <w:highlight w:val="none"/>
        </w:rPr>
        <w:t>。</w:t>
      </w:r>
      <w:permEnd w:id="84"/>
    </w:p>
    <w:p w14:paraId="56B4712E">
      <w:pPr>
        <w:spacing w:line="360" w:lineRule="auto"/>
        <w:ind w:firstLine="420" w:firstLineChars="200"/>
        <w:rPr>
          <w:color w:val="auto"/>
          <w:szCs w:val="21"/>
          <w:highlight w:val="none"/>
        </w:rPr>
      </w:pPr>
      <w:r>
        <w:rPr>
          <w:rFonts w:hint="eastAsia"/>
          <w:color w:val="auto"/>
          <w:szCs w:val="21"/>
          <w:highlight w:val="none"/>
          <w:lang w:val="zh-CN"/>
        </w:rPr>
        <w:t>（2）监理</w:t>
      </w:r>
      <w:r>
        <w:rPr>
          <w:rFonts w:hAnsi="宋体"/>
          <w:color w:val="auto"/>
          <w:szCs w:val="21"/>
          <w:highlight w:val="none"/>
        </w:rPr>
        <w:t>人擅自更换总监理工程师的违约责任：</w:t>
      </w:r>
      <w:permStart w:id="85" w:edGrp="everyone"/>
      <w:r>
        <w:rPr>
          <w:rFonts w:hint="eastAsia"/>
          <w:color w:val="auto"/>
          <w:szCs w:val="21"/>
          <w:highlight w:val="none"/>
          <w:u w:val="single"/>
        </w:rPr>
        <w:t xml:space="preserve">      </w:t>
      </w:r>
      <w:r>
        <w:rPr>
          <w:rFonts w:hint="eastAsia"/>
          <w:color w:val="auto"/>
          <w:szCs w:val="21"/>
          <w:highlight w:val="none"/>
          <w:u w:val="single"/>
          <w:lang w:val="en-US" w:eastAsia="zh-CN"/>
        </w:rPr>
        <w:t>/</w:t>
      </w:r>
      <w:r>
        <w:rPr>
          <w:rFonts w:hint="eastAsia"/>
          <w:color w:val="auto"/>
          <w:szCs w:val="21"/>
          <w:highlight w:val="none"/>
          <w:u w:val="single"/>
        </w:rPr>
        <w:t xml:space="preserve">      </w:t>
      </w:r>
      <w:r>
        <w:rPr>
          <w:color w:val="auto"/>
          <w:szCs w:val="21"/>
          <w:highlight w:val="none"/>
        </w:rPr>
        <w:t>。</w:t>
      </w:r>
      <w:permEnd w:id="85"/>
    </w:p>
    <w:p w14:paraId="1FBD5319">
      <w:pPr>
        <w:spacing w:line="360" w:lineRule="auto"/>
        <w:ind w:firstLine="420" w:firstLineChars="200"/>
        <w:rPr>
          <w:color w:val="auto"/>
          <w:szCs w:val="21"/>
          <w:highlight w:val="none"/>
        </w:rPr>
      </w:pPr>
      <w:r>
        <w:rPr>
          <w:rFonts w:hint="eastAsia"/>
          <w:color w:val="auto"/>
          <w:szCs w:val="21"/>
          <w:highlight w:val="none"/>
        </w:rPr>
        <w:t>（3）监理</w:t>
      </w:r>
      <w:r>
        <w:rPr>
          <w:rFonts w:hAnsi="宋体"/>
          <w:color w:val="auto"/>
          <w:szCs w:val="21"/>
          <w:highlight w:val="none"/>
        </w:rPr>
        <w:t>人无正当理由拒绝更换</w:t>
      </w:r>
      <w:r>
        <w:rPr>
          <w:rFonts w:hint="eastAsia" w:hAnsi="宋体"/>
          <w:color w:val="auto"/>
          <w:szCs w:val="21"/>
          <w:highlight w:val="none"/>
        </w:rPr>
        <w:t>总监理工程师</w:t>
      </w:r>
      <w:r>
        <w:rPr>
          <w:rFonts w:hAnsi="宋体"/>
          <w:color w:val="auto"/>
          <w:szCs w:val="21"/>
          <w:highlight w:val="none"/>
        </w:rPr>
        <w:t>的违约责任：</w:t>
      </w:r>
      <w:permStart w:id="86" w:edGrp="everyone"/>
      <w:r>
        <w:rPr>
          <w:rFonts w:hint="eastAsia"/>
          <w:color w:val="auto"/>
          <w:szCs w:val="21"/>
          <w:highlight w:val="none"/>
          <w:u w:val="single"/>
        </w:rPr>
        <w:t xml:space="preserve">      </w:t>
      </w:r>
      <w:r>
        <w:rPr>
          <w:rFonts w:hint="eastAsia"/>
          <w:color w:val="auto"/>
          <w:szCs w:val="21"/>
          <w:highlight w:val="none"/>
          <w:u w:val="single"/>
          <w:lang w:val="en-US" w:eastAsia="zh-CN"/>
        </w:rPr>
        <w:t>/</w:t>
      </w:r>
      <w:r>
        <w:rPr>
          <w:rFonts w:hint="eastAsia"/>
          <w:color w:val="auto"/>
          <w:szCs w:val="21"/>
          <w:highlight w:val="none"/>
          <w:u w:val="single"/>
        </w:rPr>
        <w:t xml:space="preserve">      </w:t>
      </w:r>
      <w:r>
        <w:rPr>
          <w:color w:val="auto"/>
          <w:szCs w:val="21"/>
          <w:highlight w:val="none"/>
        </w:rPr>
        <w:t>。</w:t>
      </w:r>
    </w:p>
    <w:permEnd w:id="86"/>
    <w:p w14:paraId="6C3E7C38">
      <w:pPr>
        <w:pStyle w:val="4"/>
        <w:spacing w:line="240" w:lineRule="auto"/>
        <w:ind w:firstLine="137"/>
        <w:rPr>
          <w:rFonts w:ascii="Times New Roman"/>
          <w:color w:val="auto"/>
          <w:highlight w:val="none"/>
        </w:rPr>
      </w:pPr>
      <w:bookmarkStart w:id="219" w:name="_Toc17441"/>
      <w:r>
        <w:rPr>
          <w:rFonts w:ascii="Times New Roman"/>
          <w:color w:val="auto"/>
          <w:highlight w:val="none"/>
        </w:rPr>
        <w:t>4.</w:t>
      </w:r>
      <w:r>
        <w:rPr>
          <w:rFonts w:hint="eastAsia" w:ascii="Times New Roman"/>
          <w:color w:val="auto"/>
          <w:highlight w:val="none"/>
        </w:rPr>
        <w:t>5</w:t>
      </w:r>
      <w:r>
        <w:rPr>
          <w:rFonts w:ascii="Times New Roman"/>
          <w:color w:val="auto"/>
          <w:highlight w:val="none"/>
        </w:rPr>
        <w:t xml:space="preserve"> </w:t>
      </w:r>
      <w:r>
        <w:rPr>
          <w:rFonts w:hint="eastAsia" w:ascii="Times New Roman"/>
          <w:color w:val="auto"/>
          <w:szCs w:val="21"/>
          <w:highlight w:val="none"/>
        </w:rPr>
        <w:t>监理</w:t>
      </w:r>
      <w:r>
        <w:rPr>
          <w:rFonts w:hint="eastAsia" w:ascii="Times New Roman"/>
          <w:color w:val="auto"/>
          <w:highlight w:val="none"/>
        </w:rPr>
        <w:t>人员的管理</w:t>
      </w:r>
      <w:bookmarkEnd w:id="219"/>
    </w:p>
    <w:p w14:paraId="7FFEDB6E">
      <w:pPr>
        <w:spacing w:line="360" w:lineRule="auto"/>
        <w:ind w:firstLine="420" w:firstLineChars="200"/>
        <w:rPr>
          <w:color w:val="auto"/>
          <w:highlight w:val="none"/>
        </w:rPr>
      </w:pPr>
      <w:r>
        <w:rPr>
          <w:rFonts w:hint="eastAsia"/>
          <w:color w:val="auto"/>
          <w:highlight w:val="none"/>
        </w:rPr>
        <w:t>替换以下内容到第4.5.1款：</w:t>
      </w:r>
    </w:p>
    <w:p w14:paraId="04D703D5">
      <w:pPr>
        <w:spacing w:line="360" w:lineRule="auto"/>
        <w:ind w:firstLine="420" w:firstLineChars="200"/>
        <w:rPr>
          <w:color w:val="auto"/>
          <w:highlight w:val="none"/>
        </w:rPr>
      </w:pPr>
      <w:r>
        <w:rPr>
          <w:color w:val="auto"/>
          <w:highlight w:val="none"/>
        </w:rPr>
        <w:t>监理人应在</w:t>
      </w:r>
      <w:r>
        <w:rPr>
          <w:rFonts w:hint="eastAsia"/>
          <w:color w:val="auto"/>
          <w:highlight w:val="none"/>
        </w:rPr>
        <w:t>合同签订后第7日</w:t>
      </w:r>
      <w:r>
        <w:rPr>
          <w:color w:val="auto"/>
          <w:highlight w:val="none"/>
        </w:rPr>
        <w:t>内，向委托人提交监理项目机构以及人员安排的报告，其内容应包括项目机构设置、主要监理人员和作业人员的名单及资格条件</w:t>
      </w:r>
      <w:r>
        <w:rPr>
          <w:rFonts w:hint="eastAsia"/>
          <w:color w:val="auto"/>
          <w:highlight w:val="none"/>
        </w:rPr>
        <w:t>，并在得到委托人认可后派驻。</w:t>
      </w:r>
    </w:p>
    <w:p w14:paraId="6359434B">
      <w:pPr>
        <w:spacing w:line="360" w:lineRule="auto"/>
        <w:ind w:firstLine="420" w:firstLineChars="200"/>
        <w:rPr>
          <w:color w:val="auto"/>
          <w:highlight w:val="none"/>
        </w:rPr>
      </w:pPr>
      <w:r>
        <w:rPr>
          <w:color w:val="auto"/>
          <w:highlight w:val="none"/>
        </w:rPr>
        <w:t>主要监理人员应相对稳定，更换主要监理人员的，应取得委托人的同意</w:t>
      </w:r>
      <w:r>
        <w:rPr>
          <w:rFonts w:hint="eastAsia"/>
          <w:color w:val="auto"/>
          <w:highlight w:val="none"/>
        </w:rPr>
        <w:t>，</w:t>
      </w:r>
      <w:r>
        <w:rPr>
          <w:color w:val="auto"/>
          <w:highlight w:val="none"/>
        </w:rPr>
        <w:t>并向委托人提交继任人员的资格、管理经验等资料。总监理工程师的更换，应按照本章第 4.4.1 项规定执行。</w:t>
      </w:r>
    </w:p>
    <w:p w14:paraId="74E08ED9">
      <w:pPr>
        <w:pStyle w:val="4"/>
        <w:spacing w:line="240" w:lineRule="auto"/>
        <w:ind w:firstLine="137"/>
        <w:rPr>
          <w:rFonts w:ascii="Times New Roman"/>
          <w:color w:val="auto"/>
          <w:highlight w:val="none"/>
        </w:rPr>
      </w:pPr>
      <w:bookmarkStart w:id="220" w:name="_Toc24016"/>
      <w:r>
        <w:rPr>
          <w:rFonts w:ascii="Times New Roman"/>
          <w:color w:val="auto"/>
          <w:highlight w:val="none"/>
        </w:rPr>
        <w:t>4.</w:t>
      </w:r>
      <w:r>
        <w:rPr>
          <w:rFonts w:hint="eastAsia" w:ascii="Times New Roman"/>
          <w:color w:val="auto"/>
          <w:highlight w:val="none"/>
        </w:rPr>
        <w:t>6</w:t>
      </w:r>
      <w:r>
        <w:rPr>
          <w:rFonts w:ascii="Times New Roman"/>
          <w:color w:val="auto"/>
          <w:highlight w:val="none"/>
        </w:rPr>
        <w:t xml:space="preserve"> </w:t>
      </w:r>
      <w:r>
        <w:rPr>
          <w:rFonts w:hint="eastAsia" w:ascii="Times New Roman"/>
          <w:color w:val="auto"/>
          <w:szCs w:val="21"/>
          <w:highlight w:val="none"/>
        </w:rPr>
        <w:t>撤换总监理工程师和其他人员</w:t>
      </w:r>
      <w:bookmarkEnd w:id="220"/>
    </w:p>
    <w:p w14:paraId="665FD2FB">
      <w:pPr>
        <w:spacing w:line="360" w:lineRule="auto"/>
        <w:ind w:firstLine="420" w:firstLineChars="200"/>
        <w:rPr>
          <w:color w:val="auto"/>
          <w:highlight w:val="none"/>
        </w:rPr>
      </w:pPr>
      <w:r>
        <w:rPr>
          <w:rFonts w:hint="eastAsia"/>
          <w:color w:val="auto"/>
          <w:highlight w:val="none"/>
        </w:rPr>
        <w:t>增加以下内容到第4.6款：</w:t>
      </w:r>
    </w:p>
    <w:p w14:paraId="19E85FE4">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如果渎职或不能圆满地执行任务不能作为理由成立的话，则应由提出要求的一方承担更换费用。</w:t>
      </w:r>
    </w:p>
    <w:p w14:paraId="1FF1825C">
      <w:pPr>
        <w:spacing w:line="360" w:lineRule="auto"/>
        <w:ind w:firstLine="420" w:firstLineChars="200"/>
        <w:rPr>
          <w:color w:val="auto"/>
          <w:highlight w:val="none"/>
        </w:rPr>
      </w:pPr>
      <w:r>
        <w:rPr>
          <w:rFonts w:hint="eastAsia"/>
          <w:color w:val="auto"/>
          <w:highlight w:val="none"/>
        </w:rPr>
        <w:t>增加以下内容到第4款：</w:t>
      </w:r>
    </w:p>
    <w:p w14:paraId="1AD26D9A">
      <w:pPr>
        <w:pStyle w:val="4"/>
        <w:spacing w:line="240" w:lineRule="auto"/>
        <w:ind w:firstLine="137"/>
        <w:rPr>
          <w:rFonts w:ascii="Times New Roman"/>
          <w:color w:val="auto"/>
          <w:highlight w:val="none"/>
        </w:rPr>
      </w:pPr>
      <w:bookmarkStart w:id="221" w:name="_Toc31491"/>
      <w:r>
        <w:rPr>
          <w:rFonts w:ascii="Times New Roman"/>
          <w:color w:val="auto"/>
          <w:highlight w:val="none"/>
        </w:rPr>
        <w:t>4.</w:t>
      </w:r>
      <w:r>
        <w:rPr>
          <w:rFonts w:hint="eastAsia" w:ascii="Times New Roman"/>
          <w:color w:val="auto"/>
          <w:highlight w:val="none"/>
        </w:rPr>
        <w:t>7 其他</w:t>
      </w:r>
      <w:bookmarkEnd w:id="221"/>
    </w:p>
    <w:p w14:paraId="7CFEC3EE">
      <w:pPr>
        <w:rPr>
          <w:color w:val="auto"/>
          <w:highlight w:val="none"/>
        </w:rPr>
      </w:pPr>
    </w:p>
    <w:p w14:paraId="529569C1">
      <w:pPr>
        <w:spacing w:line="360" w:lineRule="auto"/>
        <w:ind w:firstLine="420" w:firstLineChars="200"/>
        <w:rPr>
          <w:color w:val="auto"/>
          <w:highlight w:val="none"/>
          <w:lang w:val="zh-CN"/>
        </w:rPr>
      </w:pPr>
      <w:r>
        <w:rPr>
          <w:rFonts w:hint="eastAsia"/>
          <w:color w:val="auto"/>
          <w:highlight w:val="none"/>
          <w:lang w:val="zh-CN"/>
        </w:rPr>
        <w:t>监理人在委托人委托的服务范围内，享有以下权利：</w:t>
      </w:r>
    </w:p>
    <w:p w14:paraId="61FC261F">
      <w:pPr>
        <w:spacing w:line="360" w:lineRule="auto"/>
        <w:ind w:firstLine="420" w:firstLineChars="200"/>
        <w:rPr>
          <w:color w:val="auto"/>
          <w:highlight w:val="none"/>
          <w:lang w:val="zh-CN"/>
        </w:rPr>
      </w:pPr>
      <w:r>
        <w:rPr>
          <w:rFonts w:hint="eastAsia"/>
          <w:color w:val="auto"/>
          <w:highlight w:val="none"/>
          <w:lang w:val="zh-CN"/>
        </w:rPr>
        <w:t>（1）对施工承包商选择工程分包人的审查权。</w:t>
      </w:r>
    </w:p>
    <w:p w14:paraId="26FA2864">
      <w:pPr>
        <w:spacing w:line="360" w:lineRule="auto"/>
        <w:ind w:firstLine="420" w:firstLineChars="200"/>
        <w:rPr>
          <w:color w:val="auto"/>
          <w:highlight w:val="none"/>
          <w:lang w:val="zh-CN"/>
        </w:rPr>
      </w:pPr>
      <w:r>
        <w:rPr>
          <w:rFonts w:hint="eastAsia"/>
          <w:color w:val="auto"/>
          <w:highlight w:val="none"/>
          <w:lang w:val="zh-CN"/>
        </w:rPr>
        <w:t>（2）对工程建设有关事项包括工程规模、设计标准、规划设计、生产工艺设计和使用功能要求，向委托人的建议权。</w:t>
      </w:r>
    </w:p>
    <w:p w14:paraId="307D2EBB">
      <w:pPr>
        <w:spacing w:line="360" w:lineRule="auto"/>
        <w:ind w:firstLine="420" w:firstLineChars="200"/>
        <w:rPr>
          <w:color w:val="auto"/>
          <w:highlight w:val="none"/>
          <w:lang w:val="zh-CN"/>
        </w:rPr>
      </w:pPr>
      <w:r>
        <w:rPr>
          <w:rFonts w:hint="eastAsia"/>
          <w:color w:val="auto"/>
          <w:highlight w:val="none"/>
          <w:lang w:val="zh-CN"/>
        </w:rPr>
        <w:t>（3）对工程设计中的技术问题，按照安全和优化的原则，向设计单位提出建议；如果拟提出的建议可能会提高工程造价或延长工期，应当事先征得委托人的同意。当发现工程设计不符合国家颁发的建设工程质量标准或设计合同约定的质量标准时，监理人应当书面报告委托人并要求设计单位更正。</w:t>
      </w:r>
    </w:p>
    <w:p w14:paraId="56762454">
      <w:pPr>
        <w:spacing w:line="360" w:lineRule="auto"/>
        <w:ind w:firstLine="420" w:firstLineChars="200"/>
        <w:rPr>
          <w:color w:val="auto"/>
          <w:highlight w:val="none"/>
          <w:lang w:val="zh-CN"/>
        </w:rPr>
      </w:pPr>
      <w:r>
        <w:rPr>
          <w:rFonts w:hint="eastAsia"/>
          <w:color w:val="auto"/>
          <w:highlight w:val="none"/>
          <w:lang w:val="zh-CN"/>
        </w:rPr>
        <w:t>（4）对工程施工组织设计和技术方案，按照保质量、保工期和降低成本的原则，向施工承包方提出建议，并向委托人提出书面报告。</w:t>
      </w:r>
    </w:p>
    <w:p w14:paraId="3525FC03">
      <w:pPr>
        <w:spacing w:line="360" w:lineRule="auto"/>
        <w:ind w:firstLine="420" w:firstLineChars="200"/>
        <w:rPr>
          <w:color w:val="auto"/>
          <w:highlight w:val="none"/>
          <w:lang w:val="zh-CN"/>
        </w:rPr>
      </w:pPr>
      <w:r>
        <w:rPr>
          <w:rFonts w:hint="eastAsia"/>
          <w:color w:val="auto"/>
          <w:highlight w:val="none"/>
          <w:lang w:val="zh-CN"/>
        </w:rPr>
        <w:t>（5）主持工程建设有关协作单位的组织协调，重要协调事项应当事先向委托人报告。</w:t>
      </w:r>
    </w:p>
    <w:p w14:paraId="6195DE67">
      <w:pPr>
        <w:spacing w:line="360" w:lineRule="auto"/>
        <w:ind w:firstLine="420" w:firstLineChars="200"/>
        <w:rPr>
          <w:color w:val="auto"/>
          <w:highlight w:val="none"/>
          <w:lang w:val="zh-CN"/>
        </w:rPr>
      </w:pPr>
      <w:r>
        <w:rPr>
          <w:rFonts w:hint="eastAsia"/>
          <w:color w:val="auto"/>
          <w:highlight w:val="none"/>
          <w:lang w:val="zh-CN"/>
        </w:rPr>
        <w:t>（6）征得委托人同意，监理人有权发布开工令、停工令、复工令，但应当事先向委托人报告。如在紧急情况下未能事先报告时，则应在24小时内向委托人做出书面报告。</w:t>
      </w:r>
    </w:p>
    <w:p w14:paraId="5EDE4E99">
      <w:pPr>
        <w:spacing w:line="360" w:lineRule="auto"/>
        <w:ind w:firstLine="420" w:firstLineChars="200"/>
        <w:rPr>
          <w:color w:val="auto"/>
          <w:highlight w:val="none"/>
          <w:lang w:val="zh-CN"/>
        </w:rPr>
      </w:pPr>
      <w:r>
        <w:rPr>
          <w:rFonts w:hint="eastAsia"/>
          <w:color w:val="auto"/>
          <w:highlight w:val="none"/>
          <w:lang w:val="zh-CN"/>
        </w:rPr>
        <w:t>（7）工程上使用的材料和施工质量的检验权。对于不符合设计要求和合同约定及国家质量标准的材料、构配件、设备，有权通知施工承包方停止使用；对于不符合规范和质量标准的工序、分部分项工程和不安全施工作业，有权通知施工承包方停工整改、返工。施工承包方得到监理机构复工令后才能复工。</w:t>
      </w:r>
    </w:p>
    <w:p w14:paraId="513D2E7B">
      <w:pPr>
        <w:spacing w:line="360" w:lineRule="auto"/>
        <w:ind w:firstLine="420" w:firstLineChars="200"/>
        <w:rPr>
          <w:color w:val="auto"/>
          <w:highlight w:val="none"/>
          <w:lang w:val="zh-CN"/>
        </w:rPr>
      </w:pPr>
      <w:r>
        <w:rPr>
          <w:rFonts w:hint="eastAsia"/>
          <w:color w:val="auto"/>
          <w:highlight w:val="none"/>
          <w:lang w:val="zh-CN"/>
        </w:rPr>
        <w:t>（8）工程施工进度的检查、监督权。</w:t>
      </w:r>
    </w:p>
    <w:p w14:paraId="687FF47B">
      <w:pPr>
        <w:spacing w:line="360" w:lineRule="auto"/>
        <w:ind w:firstLine="420" w:firstLineChars="200"/>
        <w:rPr>
          <w:color w:val="auto"/>
          <w:highlight w:val="none"/>
          <w:lang w:val="zh-CN"/>
        </w:rPr>
      </w:pPr>
      <w:r>
        <w:rPr>
          <w:rFonts w:hint="eastAsia"/>
          <w:color w:val="auto"/>
          <w:highlight w:val="none"/>
          <w:lang w:val="zh-CN"/>
        </w:rPr>
        <w:t>（9）在工程施工合同约定的工程价格范围内，工程款支付的审核以及工程结算的复核权，未经总监理工程师签字确认，委托人不支付工程款。</w:t>
      </w:r>
    </w:p>
    <w:p w14:paraId="1066F7F0">
      <w:pPr>
        <w:spacing w:line="360" w:lineRule="auto"/>
        <w:ind w:firstLine="420" w:firstLineChars="200"/>
        <w:rPr>
          <w:color w:val="auto"/>
          <w:highlight w:val="none"/>
          <w:lang w:val="zh-CN"/>
        </w:rPr>
      </w:pPr>
      <w:r>
        <w:rPr>
          <w:rFonts w:hint="eastAsia"/>
          <w:color w:val="auto"/>
          <w:highlight w:val="none"/>
          <w:lang w:val="zh-CN"/>
        </w:rPr>
        <w:t>（10）安全及文明施工的监管权。发现施工项目部的安全文明施工管理混乱，或拒不接受监理项目部的管理，可按有关规定进行罚款或向委托人建议暂停拨付工程款甚至终止工程承包合同，并严禁再次进场施工。</w:t>
      </w:r>
    </w:p>
    <w:p w14:paraId="5A8B30F5">
      <w:pPr>
        <w:pStyle w:val="3"/>
        <w:rPr>
          <w:rFonts w:ascii="Times New Roman" w:hAnsi="Times New Roman"/>
          <w:color w:val="auto"/>
          <w:highlight w:val="none"/>
        </w:rPr>
      </w:pPr>
      <w:bookmarkStart w:id="222" w:name="_Toc32471"/>
      <w:r>
        <w:rPr>
          <w:rFonts w:ascii="Times New Roman" w:hAnsi="Times New Roman"/>
          <w:color w:val="auto"/>
          <w:highlight w:val="none"/>
        </w:rPr>
        <w:t xml:space="preserve">5. </w:t>
      </w:r>
      <w:r>
        <w:rPr>
          <w:rFonts w:hint="eastAsia" w:ascii="Times New Roman" w:hAnsi="Times New Roman"/>
          <w:color w:val="auto"/>
          <w:szCs w:val="21"/>
          <w:highlight w:val="none"/>
        </w:rPr>
        <w:t>监理</w:t>
      </w:r>
      <w:r>
        <w:rPr>
          <w:rFonts w:ascii="Times New Roman" w:hAnsi="Times New Roman"/>
          <w:color w:val="auto"/>
          <w:highlight w:val="none"/>
        </w:rPr>
        <w:t>要求</w:t>
      </w:r>
      <w:bookmarkEnd w:id="222"/>
    </w:p>
    <w:p w14:paraId="21EC60EF">
      <w:pPr>
        <w:pStyle w:val="4"/>
        <w:spacing w:line="240" w:lineRule="auto"/>
        <w:ind w:firstLine="137"/>
        <w:rPr>
          <w:rFonts w:ascii="Times New Roman"/>
          <w:color w:val="auto"/>
          <w:highlight w:val="none"/>
        </w:rPr>
      </w:pPr>
      <w:bookmarkStart w:id="223" w:name="_Toc21124"/>
      <w:r>
        <w:rPr>
          <w:rFonts w:ascii="Times New Roman"/>
          <w:color w:val="auto"/>
          <w:highlight w:val="none"/>
        </w:rPr>
        <w:t>5.</w:t>
      </w:r>
      <w:r>
        <w:rPr>
          <w:rFonts w:hint="eastAsia" w:ascii="Times New Roman"/>
          <w:color w:val="auto"/>
          <w:highlight w:val="none"/>
        </w:rPr>
        <w:t>1</w:t>
      </w:r>
      <w:r>
        <w:rPr>
          <w:rFonts w:ascii="Times New Roman"/>
          <w:color w:val="auto"/>
          <w:highlight w:val="none"/>
        </w:rPr>
        <w:t xml:space="preserve"> </w:t>
      </w:r>
      <w:r>
        <w:rPr>
          <w:rFonts w:hint="eastAsia" w:ascii="Times New Roman"/>
          <w:color w:val="auto"/>
          <w:szCs w:val="21"/>
          <w:highlight w:val="none"/>
        </w:rPr>
        <w:t>监理</w:t>
      </w:r>
      <w:r>
        <w:rPr>
          <w:rFonts w:hint="eastAsia" w:ascii="Times New Roman"/>
          <w:color w:val="auto"/>
          <w:highlight w:val="none"/>
        </w:rPr>
        <w:t>范围</w:t>
      </w:r>
      <w:bookmarkEnd w:id="223"/>
    </w:p>
    <w:p w14:paraId="45360AB9">
      <w:pPr>
        <w:spacing w:line="360" w:lineRule="auto"/>
        <w:ind w:firstLine="420" w:firstLineChars="200"/>
        <w:rPr>
          <w:color w:val="auto"/>
          <w:highlight w:val="none"/>
        </w:rPr>
      </w:pPr>
      <w:r>
        <w:rPr>
          <w:rFonts w:hint="eastAsia"/>
          <w:color w:val="auto"/>
          <w:highlight w:val="none"/>
        </w:rPr>
        <w:t>增加以下内容到第</w:t>
      </w:r>
      <w:r>
        <w:rPr>
          <w:color w:val="auto"/>
          <w:szCs w:val="21"/>
          <w:highlight w:val="none"/>
        </w:rPr>
        <w:t>5.</w:t>
      </w:r>
      <w:r>
        <w:rPr>
          <w:rFonts w:hint="eastAsia"/>
          <w:color w:val="auto"/>
          <w:szCs w:val="21"/>
          <w:highlight w:val="none"/>
        </w:rPr>
        <w:t>1</w:t>
      </w:r>
      <w:r>
        <w:rPr>
          <w:color w:val="auto"/>
          <w:szCs w:val="21"/>
          <w:highlight w:val="none"/>
        </w:rPr>
        <w:t>.2</w:t>
      </w:r>
      <w:r>
        <w:rPr>
          <w:rFonts w:hint="eastAsia"/>
          <w:color w:val="auto"/>
          <w:highlight w:val="none"/>
        </w:rPr>
        <w:t>款：</w:t>
      </w:r>
    </w:p>
    <w:p w14:paraId="7613200B">
      <w:pPr>
        <w:spacing w:line="360" w:lineRule="auto"/>
        <w:ind w:firstLine="420" w:firstLineChars="200"/>
        <w:rPr>
          <w:color w:val="auto"/>
          <w:szCs w:val="21"/>
          <w:highlight w:val="none"/>
        </w:rPr>
      </w:pPr>
      <w:r>
        <w:rPr>
          <w:color w:val="auto"/>
          <w:szCs w:val="21"/>
          <w:highlight w:val="none"/>
        </w:rPr>
        <w:t>工程范围指所</w:t>
      </w:r>
      <w:r>
        <w:rPr>
          <w:rFonts w:hint="eastAsia"/>
          <w:color w:val="auto"/>
          <w:szCs w:val="21"/>
          <w:highlight w:val="none"/>
        </w:rPr>
        <w:t>监理</w:t>
      </w:r>
      <w:r>
        <w:rPr>
          <w:color w:val="auto"/>
          <w:szCs w:val="21"/>
          <w:highlight w:val="none"/>
        </w:rPr>
        <w:t>工程的建设内容，具体范围</w:t>
      </w:r>
      <w:r>
        <w:rPr>
          <w:rFonts w:hint="eastAsia"/>
          <w:color w:val="auto"/>
          <w:szCs w:val="21"/>
          <w:highlight w:val="none"/>
        </w:rPr>
        <w:t>包括：</w:t>
      </w:r>
      <w:permStart w:id="87" w:edGrp="everyone"/>
      <w:r>
        <w:rPr>
          <w:rFonts w:hint="eastAsia"/>
          <w:color w:val="auto"/>
          <w:szCs w:val="21"/>
          <w:highlight w:val="none"/>
          <w:u w:val="single"/>
        </w:rPr>
        <w:t xml:space="preserve"> </w:t>
      </w:r>
      <w:r>
        <w:rPr>
          <w:rFonts w:hint="eastAsia" w:ascii="宋体" w:hAnsi="宋体" w:cs="宋体"/>
          <w:color w:val="auto"/>
          <w:sz w:val="21"/>
          <w:szCs w:val="21"/>
          <w:highlight w:val="none"/>
          <w:lang w:val="en-US" w:eastAsia="zh-CN"/>
        </w:rPr>
        <w:t>本项目为500kV傍海（番南）变电站的建、构筑物土建工程，及开发项目红线内建设的开发项目配套变电站进出线电缆管沟等</w:t>
      </w:r>
      <w:r>
        <w:rPr>
          <w:rFonts w:hint="eastAsia"/>
          <w:color w:val="auto"/>
          <w:szCs w:val="21"/>
          <w:highlight w:val="none"/>
          <w:u w:val="single"/>
        </w:rPr>
        <w:t xml:space="preserve">。最终规模以初步设计批复为准 </w:t>
      </w:r>
      <w:r>
        <w:rPr>
          <w:color w:val="auto"/>
          <w:szCs w:val="21"/>
          <w:highlight w:val="none"/>
        </w:rPr>
        <w:t>。</w:t>
      </w:r>
      <w:permEnd w:id="87"/>
    </w:p>
    <w:p w14:paraId="244DE904">
      <w:pPr>
        <w:spacing w:line="360" w:lineRule="auto"/>
        <w:ind w:firstLine="420" w:firstLineChars="200"/>
        <w:rPr>
          <w:color w:val="auto"/>
          <w:highlight w:val="none"/>
        </w:rPr>
      </w:pPr>
      <w:r>
        <w:rPr>
          <w:rFonts w:hint="eastAsia"/>
          <w:color w:val="auto"/>
          <w:highlight w:val="none"/>
        </w:rPr>
        <w:t>增加以下内容到第</w:t>
      </w:r>
      <w:r>
        <w:rPr>
          <w:color w:val="auto"/>
          <w:szCs w:val="21"/>
          <w:highlight w:val="none"/>
        </w:rPr>
        <w:t>5.</w:t>
      </w:r>
      <w:r>
        <w:rPr>
          <w:rFonts w:hint="eastAsia"/>
          <w:color w:val="auto"/>
          <w:szCs w:val="21"/>
          <w:highlight w:val="none"/>
        </w:rPr>
        <w:t>1</w:t>
      </w:r>
      <w:r>
        <w:rPr>
          <w:color w:val="auto"/>
          <w:szCs w:val="21"/>
          <w:highlight w:val="none"/>
        </w:rPr>
        <w:t>.</w:t>
      </w:r>
      <w:r>
        <w:rPr>
          <w:rFonts w:hint="eastAsia"/>
          <w:color w:val="auto"/>
          <w:szCs w:val="21"/>
          <w:highlight w:val="none"/>
        </w:rPr>
        <w:t>3</w:t>
      </w:r>
      <w:r>
        <w:rPr>
          <w:rFonts w:hint="eastAsia"/>
          <w:color w:val="auto"/>
          <w:highlight w:val="none"/>
        </w:rPr>
        <w:t>款：</w:t>
      </w:r>
    </w:p>
    <w:p w14:paraId="60A0F9CF">
      <w:pPr>
        <w:spacing w:line="360" w:lineRule="auto"/>
        <w:ind w:firstLine="420" w:firstLineChars="200"/>
        <w:rPr>
          <w:color w:val="auto"/>
          <w:szCs w:val="21"/>
          <w:highlight w:val="none"/>
        </w:rPr>
      </w:pPr>
      <w:r>
        <w:rPr>
          <w:rFonts w:hint="eastAsia"/>
          <w:color w:val="auto"/>
          <w:szCs w:val="21"/>
          <w:highlight w:val="none"/>
        </w:rPr>
        <w:t>阶段范围具体包括：</w:t>
      </w:r>
      <w:permStart w:id="88" w:edGrp="everyone"/>
      <w:r>
        <w:rPr>
          <w:rFonts w:hint="eastAsia"/>
          <w:color w:val="auto"/>
          <w:szCs w:val="21"/>
          <w:highlight w:val="none"/>
          <w:u w:val="single"/>
        </w:rPr>
        <w:t xml:space="preserve"> 勘察设计</w:t>
      </w:r>
      <w:r>
        <w:rPr>
          <w:rFonts w:hint="eastAsia"/>
          <w:color w:val="auto"/>
          <w:szCs w:val="21"/>
          <w:highlight w:val="none"/>
          <w:u w:val="single"/>
          <w:lang w:eastAsia="zh-CN"/>
        </w:rPr>
        <w:t>（</w:t>
      </w:r>
      <w:r>
        <w:rPr>
          <w:rFonts w:hint="eastAsia"/>
          <w:color w:val="auto"/>
          <w:szCs w:val="21"/>
          <w:highlight w:val="none"/>
          <w:u w:val="single"/>
          <w:lang w:val="en-US" w:eastAsia="zh-CN"/>
        </w:rPr>
        <w:t>如需</w:t>
      </w:r>
      <w:r>
        <w:rPr>
          <w:rFonts w:hint="eastAsia"/>
          <w:color w:val="auto"/>
          <w:szCs w:val="21"/>
          <w:highlight w:val="none"/>
          <w:u w:val="single"/>
          <w:lang w:eastAsia="zh-CN"/>
        </w:rPr>
        <w:t>）</w:t>
      </w:r>
      <w:r>
        <w:rPr>
          <w:rFonts w:hint="eastAsia"/>
          <w:color w:val="auto"/>
          <w:szCs w:val="21"/>
          <w:highlight w:val="none"/>
          <w:u w:val="single"/>
        </w:rPr>
        <w:t xml:space="preserve">、施工准备（不含三通一平）、施工（含通信）、竣工结算、缺陷责任期、电子化移交的全过程监理，以及初步设计概算（或施工图预算）中监理计费范围以外但与工程相关的监理工作。按照建设单位要求使用工程信息管理系统 </w:t>
      </w:r>
      <w:r>
        <w:rPr>
          <w:color w:val="auto"/>
          <w:szCs w:val="21"/>
          <w:highlight w:val="none"/>
        </w:rPr>
        <w:t>。</w:t>
      </w:r>
      <w:permEnd w:id="88"/>
    </w:p>
    <w:p w14:paraId="7612868D">
      <w:pPr>
        <w:spacing w:line="360" w:lineRule="auto"/>
        <w:ind w:firstLine="420" w:firstLineChars="200"/>
        <w:rPr>
          <w:color w:val="auto"/>
          <w:szCs w:val="21"/>
          <w:highlight w:val="none"/>
        </w:rPr>
      </w:pPr>
      <w:r>
        <w:rPr>
          <w:rFonts w:hint="eastAsia"/>
          <w:color w:val="auto"/>
          <w:szCs w:val="21"/>
          <w:highlight w:val="none"/>
          <w:lang w:val="zh-CN"/>
        </w:rPr>
        <w:t>缺陷责任期和保修：本工程缺陷责任期为</w:t>
      </w:r>
      <w:permStart w:id="89" w:edGrp="everyone"/>
      <w:r>
        <w:rPr>
          <w:color w:val="auto"/>
          <w:szCs w:val="21"/>
          <w:highlight w:val="none"/>
          <w:u w:val="single"/>
          <w:lang w:val="zh-CN"/>
        </w:rPr>
        <w:t>两</w:t>
      </w:r>
      <w:r>
        <w:rPr>
          <w:rFonts w:hint="eastAsia"/>
          <w:color w:val="auto"/>
          <w:szCs w:val="21"/>
          <w:highlight w:val="none"/>
          <w:u w:val="single"/>
          <w:lang w:val="zh-CN"/>
        </w:rPr>
        <w:t>年</w:t>
      </w:r>
      <w:permEnd w:id="89"/>
      <w:r>
        <w:rPr>
          <w:rFonts w:hint="eastAsia"/>
          <w:color w:val="auto"/>
          <w:szCs w:val="21"/>
          <w:highlight w:val="none"/>
        </w:rPr>
        <w:t>，自工程通过竣工验收合格之日起计</w:t>
      </w:r>
      <w:r>
        <w:rPr>
          <w:rFonts w:hint="eastAsia"/>
          <w:color w:val="auto"/>
          <w:szCs w:val="21"/>
          <w:highlight w:val="none"/>
          <w:lang w:val="zh-CN"/>
        </w:rPr>
        <w:t>。监理人在规定的工程质量缺陷责任期内负责相应保修监理工作。</w:t>
      </w:r>
    </w:p>
    <w:p w14:paraId="4FD65F81">
      <w:pPr>
        <w:spacing w:line="360" w:lineRule="auto"/>
        <w:ind w:firstLine="420" w:firstLineChars="200"/>
        <w:rPr>
          <w:color w:val="auto"/>
          <w:highlight w:val="none"/>
        </w:rPr>
      </w:pPr>
      <w:r>
        <w:rPr>
          <w:rFonts w:hint="eastAsia"/>
          <w:color w:val="auto"/>
          <w:highlight w:val="none"/>
        </w:rPr>
        <w:t>增加以下内容到第</w:t>
      </w:r>
      <w:r>
        <w:rPr>
          <w:color w:val="auto"/>
          <w:szCs w:val="21"/>
          <w:highlight w:val="none"/>
        </w:rPr>
        <w:t>5.</w:t>
      </w:r>
      <w:r>
        <w:rPr>
          <w:rFonts w:hint="eastAsia"/>
          <w:color w:val="auto"/>
          <w:szCs w:val="21"/>
          <w:highlight w:val="none"/>
        </w:rPr>
        <w:t>1</w:t>
      </w:r>
      <w:r>
        <w:rPr>
          <w:color w:val="auto"/>
          <w:szCs w:val="21"/>
          <w:highlight w:val="none"/>
        </w:rPr>
        <w:t>.</w:t>
      </w:r>
      <w:r>
        <w:rPr>
          <w:rFonts w:hint="eastAsia"/>
          <w:color w:val="auto"/>
          <w:szCs w:val="21"/>
          <w:highlight w:val="none"/>
        </w:rPr>
        <w:t>4</w:t>
      </w:r>
      <w:r>
        <w:rPr>
          <w:rFonts w:hint="eastAsia"/>
          <w:color w:val="auto"/>
          <w:highlight w:val="none"/>
        </w:rPr>
        <w:t>款：</w:t>
      </w:r>
    </w:p>
    <w:p w14:paraId="0E0E548B">
      <w:pPr>
        <w:spacing w:line="360" w:lineRule="auto"/>
        <w:ind w:firstLine="420" w:firstLineChars="200"/>
        <w:rPr>
          <w:color w:val="auto"/>
          <w:szCs w:val="21"/>
          <w:highlight w:val="none"/>
          <w:u w:val="single"/>
        </w:rPr>
      </w:pPr>
      <w:r>
        <w:rPr>
          <w:rFonts w:hint="eastAsia"/>
          <w:color w:val="auto"/>
          <w:szCs w:val="21"/>
          <w:highlight w:val="none"/>
        </w:rPr>
        <w:t>工作范围具体包括：</w:t>
      </w:r>
      <w:permStart w:id="90" w:edGrp="everyone"/>
      <w:r>
        <w:rPr>
          <w:rFonts w:hint="eastAsia"/>
          <w:color w:val="auto"/>
          <w:szCs w:val="21"/>
          <w:highlight w:val="none"/>
          <w:u w:val="single"/>
        </w:rPr>
        <w:t xml:space="preserve">      </w:t>
      </w:r>
      <w:r>
        <w:rPr>
          <w:rFonts w:hint="eastAsia"/>
          <w:color w:val="auto"/>
          <w:szCs w:val="21"/>
          <w:highlight w:val="none"/>
          <w:u w:val="single"/>
          <w:lang w:val="en-US" w:eastAsia="zh-CN"/>
        </w:rPr>
        <w:t>/</w:t>
      </w:r>
      <w:r>
        <w:rPr>
          <w:rFonts w:hint="eastAsia"/>
          <w:color w:val="auto"/>
          <w:szCs w:val="21"/>
          <w:highlight w:val="none"/>
          <w:u w:val="single"/>
        </w:rPr>
        <w:t xml:space="preserve">      </w:t>
      </w:r>
      <w:r>
        <w:rPr>
          <w:color w:val="auto"/>
          <w:szCs w:val="21"/>
          <w:highlight w:val="none"/>
        </w:rPr>
        <w:t>。</w:t>
      </w:r>
      <w:permEnd w:id="90"/>
    </w:p>
    <w:p w14:paraId="14B0DEBA">
      <w:pPr>
        <w:pStyle w:val="4"/>
        <w:spacing w:line="240" w:lineRule="auto"/>
        <w:ind w:firstLine="137"/>
        <w:rPr>
          <w:rFonts w:ascii="Times New Roman"/>
          <w:color w:val="auto"/>
          <w:highlight w:val="none"/>
        </w:rPr>
      </w:pPr>
      <w:bookmarkStart w:id="224" w:name="_Toc9655"/>
      <w:r>
        <w:rPr>
          <w:rFonts w:ascii="Times New Roman"/>
          <w:color w:val="auto"/>
          <w:highlight w:val="none"/>
        </w:rPr>
        <w:t>5.</w:t>
      </w:r>
      <w:r>
        <w:rPr>
          <w:rFonts w:hint="eastAsia" w:ascii="Times New Roman"/>
          <w:color w:val="auto"/>
          <w:highlight w:val="none"/>
        </w:rPr>
        <w:t>2</w:t>
      </w:r>
      <w:r>
        <w:rPr>
          <w:rFonts w:ascii="Times New Roman"/>
          <w:color w:val="auto"/>
          <w:highlight w:val="none"/>
        </w:rPr>
        <w:t xml:space="preserve"> </w:t>
      </w:r>
      <w:r>
        <w:rPr>
          <w:rFonts w:hint="eastAsia" w:ascii="Times New Roman"/>
          <w:color w:val="auto"/>
          <w:highlight w:val="none"/>
        </w:rPr>
        <w:t>监理依据</w:t>
      </w:r>
      <w:bookmarkEnd w:id="224"/>
    </w:p>
    <w:p w14:paraId="268AA519">
      <w:pPr>
        <w:spacing w:line="360" w:lineRule="auto"/>
        <w:ind w:firstLine="420" w:firstLineChars="200"/>
        <w:rPr>
          <w:color w:val="auto"/>
          <w:highlight w:val="none"/>
        </w:rPr>
      </w:pPr>
      <w:r>
        <w:rPr>
          <w:rFonts w:hint="eastAsia"/>
          <w:color w:val="auto"/>
          <w:highlight w:val="none"/>
        </w:rPr>
        <w:t>增加以下内容到第</w:t>
      </w:r>
      <w:r>
        <w:rPr>
          <w:rFonts w:hint="eastAsia"/>
          <w:color w:val="auto"/>
          <w:szCs w:val="21"/>
          <w:highlight w:val="none"/>
        </w:rPr>
        <w:t>5.2</w:t>
      </w:r>
      <w:r>
        <w:rPr>
          <w:rFonts w:hint="eastAsia"/>
          <w:color w:val="auto"/>
          <w:highlight w:val="none"/>
        </w:rPr>
        <w:t>款：</w:t>
      </w:r>
    </w:p>
    <w:p w14:paraId="4BE8E73F">
      <w:pPr>
        <w:spacing w:line="360" w:lineRule="auto"/>
        <w:ind w:firstLine="420" w:firstLineChars="200"/>
        <w:rPr>
          <w:color w:val="auto"/>
          <w:szCs w:val="21"/>
          <w:highlight w:val="none"/>
        </w:rPr>
      </w:pPr>
      <w:r>
        <w:rPr>
          <w:rFonts w:hint="eastAsia" w:ascii="宋体" w:hAnsi="宋体" w:cs="宋体"/>
          <w:color w:val="auto"/>
          <w:kern w:val="0"/>
          <w:szCs w:val="21"/>
          <w:highlight w:val="none"/>
          <w:lang w:val="zh-CN"/>
        </w:rPr>
        <w:t>监理人在履行服务工作时，应执行</w:t>
      </w:r>
      <w:permStart w:id="91" w:edGrp="everyone"/>
      <w:r>
        <w:rPr>
          <w:rFonts w:hint="eastAsia"/>
          <w:color w:val="auto"/>
          <w:szCs w:val="21"/>
          <w:highlight w:val="none"/>
        </w:rPr>
        <w:t>“合同附件格式”</w:t>
      </w:r>
      <w:r>
        <w:rPr>
          <w:rFonts w:hint="eastAsia" w:ascii="宋体" w:hAnsi="宋体" w:cs="宋体"/>
          <w:color w:val="auto"/>
          <w:kern w:val="0"/>
          <w:szCs w:val="21"/>
          <w:highlight w:val="none"/>
        </w:rPr>
        <w:t>附件</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w:t>
      </w:r>
      <w:permEnd w:id="91"/>
    </w:p>
    <w:p w14:paraId="4228EE5D">
      <w:pPr>
        <w:pStyle w:val="4"/>
        <w:spacing w:line="240" w:lineRule="auto"/>
        <w:ind w:firstLine="137"/>
        <w:rPr>
          <w:rFonts w:ascii="Times New Roman"/>
          <w:color w:val="auto"/>
          <w:highlight w:val="none"/>
        </w:rPr>
      </w:pPr>
      <w:bookmarkStart w:id="225" w:name="_Toc15965"/>
      <w:r>
        <w:rPr>
          <w:rFonts w:ascii="Times New Roman"/>
          <w:color w:val="auto"/>
          <w:highlight w:val="none"/>
        </w:rPr>
        <w:t>5.</w:t>
      </w:r>
      <w:r>
        <w:rPr>
          <w:rFonts w:hint="eastAsia" w:ascii="Times New Roman"/>
          <w:color w:val="auto"/>
          <w:highlight w:val="none"/>
        </w:rPr>
        <w:t>3</w:t>
      </w:r>
      <w:r>
        <w:rPr>
          <w:rFonts w:ascii="Times New Roman"/>
          <w:color w:val="auto"/>
          <w:highlight w:val="none"/>
        </w:rPr>
        <w:t xml:space="preserve"> </w:t>
      </w:r>
      <w:r>
        <w:rPr>
          <w:rFonts w:hint="eastAsia" w:ascii="Times New Roman"/>
          <w:color w:val="auto"/>
          <w:highlight w:val="none"/>
        </w:rPr>
        <w:t>监理内容</w:t>
      </w:r>
      <w:bookmarkEnd w:id="225"/>
    </w:p>
    <w:p w14:paraId="701B2091">
      <w:pPr>
        <w:spacing w:line="360" w:lineRule="auto"/>
        <w:ind w:firstLine="420" w:firstLineChars="200"/>
        <w:rPr>
          <w:color w:val="auto"/>
          <w:highlight w:val="none"/>
        </w:rPr>
      </w:pPr>
      <w:r>
        <w:rPr>
          <w:rFonts w:hint="eastAsia"/>
          <w:color w:val="auto"/>
          <w:highlight w:val="none"/>
        </w:rPr>
        <w:t>增加以下内容到第</w:t>
      </w:r>
      <w:r>
        <w:rPr>
          <w:color w:val="auto"/>
          <w:szCs w:val="21"/>
          <w:highlight w:val="none"/>
        </w:rPr>
        <w:t>5.</w:t>
      </w:r>
      <w:r>
        <w:rPr>
          <w:rFonts w:hint="eastAsia"/>
          <w:color w:val="auto"/>
          <w:szCs w:val="21"/>
          <w:highlight w:val="none"/>
        </w:rPr>
        <w:t>3</w:t>
      </w:r>
      <w:r>
        <w:rPr>
          <w:rFonts w:hint="eastAsia"/>
          <w:color w:val="auto"/>
          <w:highlight w:val="none"/>
        </w:rPr>
        <w:t>款：</w:t>
      </w:r>
    </w:p>
    <w:p w14:paraId="02AAD830">
      <w:pPr>
        <w:spacing w:line="360" w:lineRule="auto"/>
        <w:ind w:firstLine="420" w:firstLineChars="200"/>
        <w:rPr>
          <w:color w:val="auto"/>
          <w:szCs w:val="21"/>
          <w:highlight w:val="none"/>
          <w:lang w:val="zh-CN"/>
        </w:rPr>
      </w:pPr>
      <w:r>
        <w:rPr>
          <w:rFonts w:hint="eastAsia"/>
          <w:color w:val="auto"/>
          <w:szCs w:val="21"/>
          <w:highlight w:val="none"/>
          <w:lang w:val="zh-CN"/>
        </w:rPr>
        <w:t>监理工作内容见</w:t>
      </w:r>
      <w:permStart w:id="92" w:edGrp="everyone"/>
      <w:r>
        <w:rPr>
          <w:rFonts w:hint="eastAsia"/>
          <w:color w:val="auto"/>
          <w:szCs w:val="21"/>
          <w:highlight w:val="none"/>
        </w:rPr>
        <w:t>“合同附件格式”附件</w:t>
      </w:r>
      <w:r>
        <w:rPr>
          <w:rFonts w:hint="eastAsia"/>
          <w:color w:val="auto"/>
          <w:szCs w:val="21"/>
          <w:highlight w:val="none"/>
          <w:lang w:val="en-US" w:eastAsia="zh-CN"/>
        </w:rPr>
        <w:t>一</w:t>
      </w:r>
      <w:r>
        <w:rPr>
          <w:rFonts w:hint="eastAsia"/>
          <w:color w:val="auto"/>
          <w:szCs w:val="21"/>
          <w:highlight w:val="none"/>
          <w:lang w:val="zh-CN"/>
        </w:rPr>
        <w:t>。</w:t>
      </w:r>
      <w:permEnd w:id="92"/>
    </w:p>
    <w:p w14:paraId="7250D3E0">
      <w:pPr>
        <w:pStyle w:val="4"/>
        <w:spacing w:line="240" w:lineRule="auto"/>
        <w:ind w:firstLine="137"/>
        <w:rPr>
          <w:rFonts w:ascii="Times New Roman"/>
          <w:color w:val="auto"/>
          <w:highlight w:val="none"/>
        </w:rPr>
      </w:pPr>
      <w:bookmarkStart w:id="226" w:name="_Toc1754"/>
      <w:r>
        <w:rPr>
          <w:rFonts w:ascii="Times New Roman"/>
          <w:color w:val="auto"/>
          <w:highlight w:val="none"/>
        </w:rPr>
        <w:t>5.</w:t>
      </w:r>
      <w:r>
        <w:rPr>
          <w:rFonts w:hint="eastAsia" w:ascii="Times New Roman"/>
          <w:color w:val="auto"/>
          <w:highlight w:val="none"/>
        </w:rPr>
        <w:t>4</w:t>
      </w:r>
      <w:r>
        <w:rPr>
          <w:rFonts w:ascii="Times New Roman"/>
          <w:color w:val="auto"/>
          <w:highlight w:val="none"/>
        </w:rPr>
        <w:t xml:space="preserve"> </w:t>
      </w:r>
      <w:r>
        <w:rPr>
          <w:rFonts w:hint="eastAsia" w:ascii="Times New Roman"/>
          <w:color w:val="auto"/>
          <w:highlight w:val="none"/>
        </w:rPr>
        <w:t>监理文件要求</w:t>
      </w:r>
      <w:bookmarkEnd w:id="226"/>
    </w:p>
    <w:p w14:paraId="036C87F0">
      <w:pPr>
        <w:spacing w:line="360" w:lineRule="auto"/>
        <w:ind w:firstLine="420" w:firstLineChars="200"/>
        <w:rPr>
          <w:color w:val="auto"/>
          <w:highlight w:val="none"/>
        </w:rPr>
      </w:pPr>
      <w:r>
        <w:rPr>
          <w:rFonts w:hint="eastAsia"/>
          <w:color w:val="auto"/>
          <w:highlight w:val="none"/>
        </w:rPr>
        <w:t>替换以下内容到第</w:t>
      </w:r>
      <w:r>
        <w:rPr>
          <w:color w:val="auto"/>
          <w:szCs w:val="21"/>
          <w:highlight w:val="none"/>
        </w:rPr>
        <w:t>5.</w:t>
      </w:r>
      <w:r>
        <w:rPr>
          <w:rFonts w:hint="eastAsia"/>
          <w:color w:val="auto"/>
          <w:szCs w:val="21"/>
          <w:highlight w:val="none"/>
        </w:rPr>
        <w:t>4.3</w:t>
      </w:r>
      <w:r>
        <w:rPr>
          <w:rFonts w:hint="eastAsia"/>
          <w:color w:val="auto"/>
          <w:highlight w:val="none"/>
        </w:rPr>
        <w:t>款：</w:t>
      </w:r>
    </w:p>
    <w:p w14:paraId="4D637DD7">
      <w:pPr>
        <w:spacing w:line="360" w:lineRule="auto"/>
        <w:ind w:firstLine="420" w:firstLineChars="200"/>
        <w:rPr>
          <w:rFonts w:hAnsi="宋体"/>
          <w:color w:val="auto"/>
          <w:szCs w:val="21"/>
          <w:highlight w:val="none"/>
        </w:rPr>
      </w:pPr>
      <w:r>
        <w:rPr>
          <w:color w:val="auto"/>
          <w:szCs w:val="21"/>
          <w:highlight w:val="none"/>
        </w:rPr>
        <w:t>本工程监理文件的具体类别、编制要求、编制内容、提交时间和份数</w:t>
      </w:r>
      <w:r>
        <w:rPr>
          <w:rFonts w:hint="eastAsia"/>
          <w:color w:val="auto"/>
          <w:szCs w:val="21"/>
          <w:highlight w:val="none"/>
        </w:rPr>
        <w:t>：</w:t>
      </w:r>
      <w:permStart w:id="93" w:edGrp="everyone"/>
      <w:r>
        <w:rPr>
          <w:rFonts w:hint="eastAsia"/>
          <w:color w:val="auto"/>
          <w:szCs w:val="21"/>
          <w:highlight w:val="none"/>
          <w:u w:val="single"/>
        </w:rPr>
        <w:t xml:space="preserve"> 按照委托方的档案管理标准移交 </w:t>
      </w:r>
      <w:r>
        <w:rPr>
          <w:color w:val="auto"/>
          <w:szCs w:val="21"/>
          <w:highlight w:val="none"/>
        </w:rPr>
        <w:t>。</w:t>
      </w:r>
      <w:permEnd w:id="93"/>
    </w:p>
    <w:p w14:paraId="171524F7">
      <w:pPr>
        <w:pStyle w:val="3"/>
        <w:rPr>
          <w:rFonts w:ascii="Times New Roman" w:hAnsi="Times New Roman"/>
          <w:color w:val="auto"/>
          <w:highlight w:val="none"/>
        </w:rPr>
      </w:pPr>
      <w:bookmarkStart w:id="227" w:name="_Toc23175"/>
      <w:r>
        <w:rPr>
          <w:rFonts w:ascii="Times New Roman" w:hAnsi="Times New Roman"/>
          <w:color w:val="auto"/>
          <w:highlight w:val="none"/>
        </w:rPr>
        <w:t>6. 开始</w:t>
      </w:r>
      <w:r>
        <w:rPr>
          <w:rFonts w:hint="eastAsia" w:ascii="Times New Roman" w:hAnsi="Times New Roman"/>
          <w:color w:val="auto"/>
          <w:highlight w:val="none"/>
        </w:rPr>
        <w:t>监理</w:t>
      </w:r>
      <w:r>
        <w:rPr>
          <w:rFonts w:ascii="Times New Roman" w:hAnsi="Times New Roman"/>
          <w:color w:val="auto"/>
          <w:highlight w:val="none"/>
        </w:rPr>
        <w:t>和完成</w:t>
      </w:r>
      <w:r>
        <w:rPr>
          <w:rFonts w:hint="eastAsia" w:ascii="Times New Roman" w:hAnsi="Times New Roman"/>
          <w:color w:val="auto"/>
          <w:highlight w:val="none"/>
        </w:rPr>
        <w:t>监理</w:t>
      </w:r>
      <w:bookmarkEnd w:id="227"/>
    </w:p>
    <w:p w14:paraId="21773236">
      <w:pPr>
        <w:pStyle w:val="4"/>
        <w:spacing w:line="240" w:lineRule="auto"/>
        <w:ind w:firstLine="137"/>
        <w:rPr>
          <w:rFonts w:ascii="Times New Roman"/>
          <w:color w:val="auto"/>
          <w:highlight w:val="none"/>
        </w:rPr>
      </w:pPr>
      <w:bookmarkStart w:id="228" w:name="_Toc27329"/>
      <w:r>
        <w:rPr>
          <w:rFonts w:ascii="Times New Roman"/>
          <w:color w:val="auto"/>
          <w:highlight w:val="none"/>
        </w:rPr>
        <w:t xml:space="preserve">6.1 </w:t>
      </w:r>
      <w:r>
        <w:rPr>
          <w:rFonts w:hint="eastAsia" w:ascii="Times New Roman"/>
          <w:color w:val="auto"/>
          <w:highlight w:val="none"/>
        </w:rPr>
        <w:t>开始监理</w:t>
      </w:r>
      <w:bookmarkEnd w:id="228"/>
    </w:p>
    <w:p w14:paraId="511C8D8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增加以下内容到第6.1.1款：</w:t>
      </w:r>
    </w:p>
    <w:p w14:paraId="10528FB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开始监理条件：</w:t>
      </w:r>
      <w:permStart w:id="94" w:edGrp="everyone"/>
      <w:r>
        <w:rPr>
          <w:rFonts w:hint="eastAsia" w:ascii="宋体" w:hAnsi="宋体" w:cs="宋体"/>
          <w:color w:val="auto"/>
          <w:kern w:val="0"/>
          <w:szCs w:val="21"/>
          <w:highlight w:val="none"/>
          <w:u w:val="single"/>
        </w:rPr>
        <w:t xml:space="preserve"> 具备项目开展的条件 </w:t>
      </w:r>
      <w:r>
        <w:rPr>
          <w:rFonts w:hint="eastAsia" w:ascii="宋体" w:hAnsi="宋体" w:cs="宋体"/>
          <w:color w:val="auto"/>
          <w:kern w:val="0"/>
          <w:szCs w:val="21"/>
          <w:highlight w:val="none"/>
        </w:rPr>
        <w:t>。</w:t>
      </w:r>
      <w:permEnd w:id="94"/>
    </w:p>
    <w:p w14:paraId="61EF529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项目监理服务期限：</w:t>
      </w:r>
      <w:permStart w:id="95" w:edGrp="everyone"/>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406</w:t>
      </w:r>
      <w:r>
        <w:rPr>
          <w:rFonts w:hint="eastAsia" w:ascii="宋体" w:hAnsi="宋体" w:cs="宋体"/>
          <w:color w:val="auto"/>
          <w:kern w:val="0"/>
          <w:szCs w:val="21"/>
          <w:highlight w:val="none"/>
          <w:u w:val="single"/>
        </w:rPr>
        <w:t xml:space="preserve">日历 </w:t>
      </w:r>
      <w:permEnd w:id="95"/>
      <w:r>
        <w:rPr>
          <w:rFonts w:hint="eastAsia" w:ascii="宋体" w:hAnsi="宋体" w:cs="宋体"/>
          <w:color w:val="auto"/>
          <w:kern w:val="0"/>
          <w:szCs w:val="21"/>
          <w:highlight w:val="none"/>
        </w:rPr>
        <w:t>天，计划开始监理日期：</w:t>
      </w:r>
      <w:permStart w:id="96" w:edGrp="everyone"/>
      <w:r>
        <w:rPr>
          <w:rFonts w:hint="eastAsia" w:ascii="宋体" w:hAnsi="宋体" w:cs="宋体"/>
          <w:color w:val="auto"/>
          <w:kern w:val="0"/>
          <w:szCs w:val="21"/>
          <w:highlight w:val="none"/>
          <w:u w:val="single"/>
        </w:rPr>
        <w:t xml:space="preserve"> 2025年1</w:t>
      </w:r>
      <w:r>
        <w:rPr>
          <w:rFonts w:hint="eastAsia" w:ascii="宋体" w:hAnsi="宋体" w:cs="宋体"/>
          <w:color w:val="auto"/>
          <w:kern w:val="0"/>
          <w:szCs w:val="21"/>
          <w:highlight w:val="none"/>
          <w:u w:val="single"/>
          <w:lang w:val="en-US" w:eastAsia="zh-CN"/>
        </w:rPr>
        <w:t>1</w:t>
      </w:r>
      <w:r>
        <w:rPr>
          <w:rFonts w:hint="eastAsia" w:ascii="宋体" w:hAnsi="宋体" w:cs="宋体"/>
          <w:color w:val="auto"/>
          <w:kern w:val="0"/>
          <w:szCs w:val="21"/>
          <w:highlight w:val="none"/>
          <w:u w:val="single"/>
        </w:rPr>
        <w:t>月</w:t>
      </w:r>
      <w:r>
        <w:rPr>
          <w:rFonts w:hint="eastAsia" w:ascii="宋体" w:hAnsi="宋体" w:cs="宋体"/>
          <w:color w:val="auto"/>
          <w:kern w:val="0"/>
          <w:szCs w:val="21"/>
          <w:highlight w:val="none"/>
          <w:u w:val="single"/>
          <w:lang w:val="en-US" w:eastAsia="zh-CN"/>
        </w:rPr>
        <w:t>2</w:t>
      </w:r>
      <w:r>
        <w:rPr>
          <w:rFonts w:hint="eastAsia" w:ascii="宋体" w:hAnsi="宋体" w:cs="宋体"/>
          <w:color w:val="auto"/>
          <w:kern w:val="0"/>
          <w:szCs w:val="21"/>
          <w:highlight w:val="none"/>
          <w:u w:val="single"/>
        </w:rPr>
        <w:t xml:space="preserve">0日 </w:t>
      </w:r>
      <w:r>
        <w:rPr>
          <w:rFonts w:hint="eastAsia" w:ascii="宋体" w:hAnsi="宋体" w:cs="宋体"/>
          <w:color w:val="auto"/>
          <w:kern w:val="0"/>
          <w:szCs w:val="21"/>
          <w:highlight w:val="none"/>
        </w:rPr>
        <w:t>，</w:t>
      </w:r>
      <w:permEnd w:id="96"/>
      <w:r>
        <w:rPr>
          <w:rFonts w:hint="eastAsia" w:ascii="宋体" w:hAnsi="宋体" w:cs="宋体"/>
          <w:color w:val="auto"/>
          <w:kern w:val="0"/>
          <w:szCs w:val="21"/>
          <w:highlight w:val="none"/>
        </w:rPr>
        <w:t>计划完成监理日期：</w:t>
      </w:r>
      <w:permStart w:id="97" w:edGrp="everyone"/>
      <w:r>
        <w:rPr>
          <w:rFonts w:hint="eastAsia" w:ascii="宋体" w:hAnsi="宋体" w:cs="宋体"/>
          <w:color w:val="auto"/>
          <w:kern w:val="0"/>
          <w:szCs w:val="21"/>
          <w:highlight w:val="none"/>
          <w:u w:val="single"/>
        </w:rPr>
        <w:t xml:space="preserve"> 202</w:t>
      </w:r>
      <w:r>
        <w:rPr>
          <w:rFonts w:hint="eastAsia" w:ascii="宋体" w:hAnsi="宋体" w:cs="宋体"/>
          <w:color w:val="auto"/>
          <w:kern w:val="0"/>
          <w:szCs w:val="21"/>
          <w:highlight w:val="none"/>
          <w:u w:val="single"/>
          <w:lang w:val="en-US" w:eastAsia="zh-CN"/>
        </w:rPr>
        <w:t>6</w:t>
      </w:r>
      <w:r>
        <w:rPr>
          <w:rFonts w:hint="eastAsia" w:ascii="宋体" w:hAnsi="宋体" w:cs="宋体"/>
          <w:color w:val="auto"/>
          <w:kern w:val="0"/>
          <w:szCs w:val="21"/>
          <w:highlight w:val="none"/>
          <w:u w:val="single"/>
        </w:rPr>
        <w:t xml:space="preserve">年12月30日 </w:t>
      </w:r>
      <w:r>
        <w:rPr>
          <w:rFonts w:hint="eastAsia" w:ascii="宋体" w:hAnsi="宋体" w:cs="宋体"/>
          <w:color w:val="auto"/>
          <w:kern w:val="0"/>
          <w:szCs w:val="21"/>
          <w:highlight w:val="none"/>
        </w:rPr>
        <w:t>。</w:t>
      </w:r>
      <w:permEnd w:id="97"/>
      <w:r>
        <w:rPr>
          <w:rFonts w:hint="eastAsia" w:ascii="宋体" w:hAnsi="宋体" w:cs="宋体"/>
          <w:color w:val="auto"/>
          <w:kern w:val="0"/>
          <w:szCs w:val="21"/>
          <w:highlight w:val="none"/>
        </w:rPr>
        <w:t>（实际日期按照委托人在开始监理通知中载明的开始监理日期、竣工日期为准）</w:t>
      </w:r>
    </w:p>
    <w:p w14:paraId="6EEF6EA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本合同由双方签字盖章之日开始至工程缺陷责任期满之日结束。</w:t>
      </w:r>
      <w:r>
        <w:rPr>
          <w:rFonts w:hint="eastAsia" w:ascii="宋体" w:hAnsi="宋体" w:cs="宋体"/>
          <w:color w:val="auto"/>
          <w:kern w:val="0"/>
          <w:szCs w:val="21"/>
          <w:highlight w:val="none"/>
          <w:lang w:val="zh-CN"/>
        </w:rPr>
        <w:t>如果双方另有书面协议，可延期</w:t>
      </w:r>
      <w:r>
        <w:rPr>
          <w:rFonts w:hint="eastAsia" w:ascii="宋体" w:hAnsi="宋体" w:cs="宋体"/>
          <w:color w:val="auto"/>
          <w:kern w:val="0"/>
          <w:szCs w:val="21"/>
          <w:highlight w:val="none"/>
          <w:lang w:val="zh-CN"/>
        </w:rPr>
        <w:t>。</w:t>
      </w:r>
    </w:p>
    <w:p w14:paraId="497CD8AA">
      <w:pPr>
        <w:pStyle w:val="4"/>
        <w:spacing w:line="240" w:lineRule="auto"/>
        <w:ind w:firstLine="137"/>
        <w:rPr>
          <w:rFonts w:ascii="Times New Roman"/>
          <w:color w:val="auto"/>
          <w:highlight w:val="none"/>
        </w:rPr>
      </w:pPr>
      <w:bookmarkStart w:id="229" w:name="_Toc8255"/>
      <w:r>
        <w:rPr>
          <w:rFonts w:ascii="Times New Roman"/>
          <w:color w:val="auto"/>
          <w:highlight w:val="none"/>
        </w:rPr>
        <w:t xml:space="preserve">6.2 </w:t>
      </w:r>
      <w:r>
        <w:rPr>
          <w:rFonts w:hint="eastAsia" w:ascii="Times New Roman"/>
          <w:color w:val="auto"/>
          <w:highlight w:val="none"/>
        </w:rPr>
        <w:t>监理周期延误</w:t>
      </w:r>
      <w:bookmarkEnd w:id="229"/>
    </w:p>
    <w:p w14:paraId="41507994">
      <w:pPr>
        <w:spacing w:line="360" w:lineRule="auto"/>
        <w:ind w:firstLine="420" w:firstLineChars="200"/>
        <w:rPr>
          <w:color w:val="auto"/>
          <w:highlight w:val="none"/>
        </w:rPr>
      </w:pPr>
      <w:r>
        <w:rPr>
          <w:rFonts w:hint="eastAsia"/>
          <w:color w:val="auto"/>
          <w:highlight w:val="none"/>
        </w:rPr>
        <w:t>增加以下内容到第6.2款：</w:t>
      </w:r>
    </w:p>
    <w:p w14:paraId="37244912">
      <w:pPr>
        <w:spacing w:line="360" w:lineRule="auto"/>
        <w:ind w:firstLine="420" w:firstLineChars="200"/>
        <w:rPr>
          <w:color w:val="auto"/>
          <w:highlight w:val="none"/>
        </w:rPr>
      </w:pPr>
      <w:r>
        <w:rPr>
          <w:rFonts w:hint="eastAsia"/>
          <w:color w:val="auto"/>
          <w:highlight w:val="none"/>
        </w:rPr>
        <w:t>监理人应在发生上述情况后5天内向委托人发出要求延期的书面通知，在发生上述情况后10天内提交要求延期的详细说明供委托人审查。委托人收到监理人要求延期的详细说明后，应在5天内进行审查并就是否延长监理周期及延期天数向监理人进行书面答复。</w:t>
      </w:r>
    </w:p>
    <w:p w14:paraId="1402ADAA">
      <w:pPr>
        <w:spacing w:line="360" w:lineRule="auto"/>
        <w:ind w:firstLine="420" w:firstLineChars="200"/>
        <w:rPr>
          <w:color w:val="auto"/>
          <w:highlight w:val="none"/>
        </w:rPr>
      </w:pPr>
      <w:r>
        <w:rPr>
          <w:rFonts w:hint="eastAsia"/>
          <w:color w:val="auto"/>
          <w:highlight w:val="none"/>
        </w:rPr>
        <w:t>如果委托人在收到监理人提交要求延期的详细说明后，在约定的期限内未予答复，则视为监理人要求的延期已被委托人批准。如果监理人未能按本款约定的时间内发出要求延期的通知并提交详细资料，则委托人可拒绝作出任何延期的决定。</w:t>
      </w:r>
    </w:p>
    <w:p w14:paraId="1544385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若实际工期未超过合同工期，除额外服务和附加服务外的合同费用不予调整；若超过合同工期，但监理服务仍在合同规定的服务范围之内时或合同规定的监理服务未完成时，完成服务的时间应相应地予以延长，正常服务费用不予调整。</w:t>
      </w:r>
    </w:p>
    <w:p w14:paraId="5B92A0BA">
      <w:pPr>
        <w:spacing w:line="360" w:lineRule="auto"/>
        <w:ind w:firstLine="420" w:firstLineChars="200"/>
        <w:rPr>
          <w:color w:val="auto"/>
          <w:highlight w:val="none"/>
        </w:rPr>
      </w:pPr>
      <w:r>
        <w:rPr>
          <w:rFonts w:hint="eastAsia" w:ascii="宋体" w:hAnsi="宋体" w:cs="宋体"/>
          <w:color w:val="auto"/>
          <w:kern w:val="0"/>
          <w:szCs w:val="21"/>
          <w:highlight w:val="none"/>
        </w:rPr>
        <w:t>其他情形的处理方式见第8条约定。</w:t>
      </w:r>
    </w:p>
    <w:p w14:paraId="1C34BF6B">
      <w:pPr>
        <w:pStyle w:val="4"/>
        <w:spacing w:line="240" w:lineRule="auto"/>
        <w:ind w:firstLine="137"/>
        <w:rPr>
          <w:rFonts w:ascii="Times New Roman"/>
          <w:color w:val="auto"/>
          <w:highlight w:val="none"/>
        </w:rPr>
      </w:pPr>
      <w:bookmarkStart w:id="230" w:name="_Toc30065"/>
      <w:r>
        <w:rPr>
          <w:rFonts w:ascii="Times New Roman"/>
          <w:color w:val="auto"/>
          <w:highlight w:val="none"/>
        </w:rPr>
        <w:t>6.</w:t>
      </w:r>
      <w:r>
        <w:rPr>
          <w:rFonts w:hint="eastAsia" w:ascii="Times New Roman"/>
          <w:color w:val="auto"/>
          <w:highlight w:val="none"/>
        </w:rPr>
        <w:t>3</w:t>
      </w:r>
      <w:r>
        <w:rPr>
          <w:rFonts w:ascii="Times New Roman"/>
          <w:color w:val="auto"/>
          <w:highlight w:val="none"/>
        </w:rPr>
        <w:t xml:space="preserve"> </w:t>
      </w:r>
      <w:r>
        <w:rPr>
          <w:rFonts w:hint="eastAsia" w:ascii="Times New Roman"/>
          <w:color w:val="auto"/>
          <w:highlight w:val="none"/>
        </w:rPr>
        <w:t>完成</w:t>
      </w:r>
      <w:r>
        <w:rPr>
          <w:rFonts w:hint="eastAsia" w:ascii="Times New Roman"/>
          <w:color w:val="auto"/>
          <w:szCs w:val="21"/>
          <w:highlight w:val="none"/>
        </w:rPr>
        <w:t>监理</w:t>
      </w:r>
      <w:bookmarkEnd w:id="230"/>
      <w:r>
        <w:rPr>
          <w:rFonts w:ascii="Times New Roman"/>
          <w:color w:val="auto"/>
          <w:highlight w:val="none"/>
        </w:rPr>
        <w:t xml:space="preserve"> </w:t>
      </w:r>
    </w:p>
    <w:p w14:paraId="73CDD6E6">
      <w:pPr>
        <w:spacing w:line="360" w:lineRule="auto"/>
        <w:ind w:firstLine="420" w:firstLineChars="200"/>
        <w:rPr>
          <w:color w:val="auto"/>
          <w:highlight w:val="none"/>
        </w:rPr>
      </w:pPr>
      <w:r>
        <w:rPr>
          <w:rFonts w:hint="eastAsia"/>
          <w:color w:val="auto"/>
          <w:highlight w:val="none"/>
        </w:rPr>
        <w:t>增加以下内容到第6.3.5款：</w:t>
      </w:r>
    </w:p>
    <w:p w14:paraId="4D4DBFC0">
      <w:pPr>
        <w:spacing w:line="360" w:lineRule="auto"/>
        <w:ind w:firstLine="420" w:firstLineChars="200"/>
        <w:rPr>
          <w:color w:val="auto"/>
          <w:szCs w:val="21"/>
          <w:highlight w:val="none"/>
          <w:lang w:val="zh-CN"/>
        </w:rPr>
      </w:pPr>
      <w:r>
        <w:rPr>
          <w:rFonts w:hint="eastAsia"/>
          <w:color w:val="auto"/>
          <w:szCs w:val="21"/>
          <w:highlight w:val="none"/>
          <w:lang w:val="zh-CN"/>
        </w:rPr>
        <w:t>监理文件提供的具体要求：</w:t>
      </w:r>
      <w:permStart w:id="98" w:edGrp="everyone"/>
      <w:r>
        <w:rPr>
          <w:rFonts w:hint="eastAsia"/>
          <w:color w:val="auto"/>
          <w:szCs w:val="21"/>
          <w:highlight w:val="none"/>
          <w:u w:val="single"/>
          <w:lang w:val="zh-CN"/>
        </w:rPr>
        <w:t>见</w:t>
      </w:r>
      <w:r>
        <w:rPr>
          <w:rFonts w:hint="eastAsia"/>
          <w:color w:val="auto"/>
          <w:szCs w:val="21"/>
          <w:highlight w:val="none"/>
          <w:u w:val="single"/>
        </w:rPr>
        <w:t>“合同附件格式”附件</w:t>
      </w:r>
      <w:r>
        <w:rPr>
          <w:rFonts w:hint="eastAsia"/>
          <w:color w:val="auto"/>
          <w:szCs w:val="21"/>
          <w:highlight w:val="none"/>
          <w:u w:val="single"/>
          <w:lang w:val="en-US" w:eastAsia="zh-CN"/>
        </w:rPr>
        <w:t>一</w:t>
      </w:r>
      <w:r>
        <w:rPr>
          <w:rFonts w:hint="eastAsia"/>
          <w:color w:val="auto"/>
          <w:szCs w:val="21"/>
          <w:highlight w:val="none"/>
          <w:lang w:val="zh-CN"/>
        </w:rPr>
        <w:t>。</w:t>
      </w:r>
      <w:permEnd w:id="98"/>
    </w:p>
    <w:p w14:paraId="2B9420FC">
      <w:pPr>
        <w:pStyle w:val="3"/>
        <w:rPr>
          <w:rFonts w:ascii="Times New Roman" w:hAnsi="Times New Roman"/>
          <w:color w:val="auto"/>
          <w:highlight w:val="none"/>
        </w:rPr>
      </w:pPr>
      <w:bookmarkStart w:id="231" w:name="_Toc23627"/>
      <w:r>
        <w:rPr>
          <w:rFonts w:hint="eastAsia" w:ascii="Times New Roman" w:hAnsi="Times New Roman"/>
          <w:color w:val="auto"/>
          <w:highlight w:val="none"/>
        </w:rPr>
        <w:t>7</w:t>
      </w:r>
      <w:r>
        <w:rPr>
          <w:rFonts w:ascii="Times New Roman" w:hAnsi="Times New Roman"/>
          <w:color w:val="auto"/>
          <w:highlight w:val="none"/>
        </w:rPr>
        <w:t>. 监理责任与保险</w:t>
      </w:r>
      <w:bookmarkEnd w:id="231"/>
    </w:p>
    <w:p w14:paraId="31FE73B5">
      <w:pPr>
        <w:pStyle w:val="4"/>
        <w:spacing w:line="240" w:lineRule="auto"/>
        <w:ind w:firstLine="137"/>
        <w:rPr>
          <w:rFonts w:ascii="Times New Roman"/>
          <w:color w:val="auto"/>
          <w:highlight w:val="none"/>
        </w:rPr>
      </w:pPr>
      <w:bookmarkStart w:id="232" w:name="_Toc24097"/>
      <w:r>
        <w:rPr>
          <w:rFonts w:hint="eastAsia" w:ascii="Times New Roman"/>
          <w:color w:val="auto"/>
          <w:highlight w:val="none"/>
        </w:rPr>
        <w:t>7</w:t>
      </w:r>
      <w:r>
        <w:rPr>
          <w:rFonts w:ascii="Times New Roman"/>
          <w:color w:val="auto"/>
          <w:highlight w:val="none"/>
        </w:rPr>
        <w:t>.</w:t>
      </w:r>
      <w:r>
        <w:rPr>
          <w:rFonts w:hint="eastAsia" w:ascii="Times New Roman"/>
          <w:color w:val="auto"/>
          <w:highlight w:val="none"/>
        </w:rPr>
        <w:t>2</w:t>
      </w:r>
      <w:r>
        <w:rPr>
          <w:rFonts w:ascii="Times New Roman"/>
          <w:color w:val="auto"/>
          <w:highlight w:val="none"/>
        </w:rPr>
        <w:t xml:space="preserve"> </w:t>
      </w:r>
      <w:r>
        <w:rPr>
          <w:rFonts w:hint="eastAsia" w:ascii="Times New Roman"/>
          <w:color w:val="auto"/>
          <w:highlight w:val="none"/>
        </w:rPr>
        <w:t>监理责任保险</w:t>
      </w:r>
      <w:bookmarkEnd w:id="232"/>
    </w:p>
    <w:p w14:paraId="5730F59C">
      <w:pPr>
        <w:spacing w:line="360" w:lineRule="auto"/>
        <w:ind w:firstLine="420" w:firstLineChars="200"/>
        <w:rPr>
          <w:color w:val="auto"/>
          <w:szCs w:val="21"/>
          <w:highlight w:val="none"/>
        </w:rPr>
      </w:pPr>
      <w:r>
        <w:rPr>
          <w:rFonts w:hint="eastAsia"/>
          <w:color w:val="auto"/>
          <w:highlight w:val="none"/>
        </w:rPr>
        <w:t>增加以下内容到第7.2款：</w:t>
      </w:r>
    </w:p>
    <w:p w14:paraId="7F3E9D65">
      <w:pPr>
        <w:spacing w:line="360" w:lineRule="auto"/>
        <w:ind w:firstLine="420" w:firstLineChars="200"/>
        <w:rPr>
          <w:color w:val="auto"/>
          <w:highlight w:val="none"/>
        </w:rPr>
      </w:pPr>
      <w:r>
        <w:rPr>
          <w:rFonts w:hint="eastAsia"/>
          <w:color w:val="auto"/>
          <w:highlight w:val="none"/>
        </w:rPr>
        <w:t>监理人的责任</w:t>
      </w:r>
    </w:p>
    <w:p w14:paraId="7E799CD4">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（1）贯彻执行国家、行业和公司的工程建设法律、法规和标准。</w:t>
      </w:r>
    </w:p>
    <w:p w14:paraId="42871F5C">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（2）推行全方位标准建设。参与质量门管控。</w:t>
      </w:r>
    </w:p>
    <w:p w14:paraId="00EF04BC">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（3）严格执行指导工期，依据里程碑、三级进度计划进行“红绿灯”管控。</w:t>
      </w:r>
    </w:p>
    <w:p w14:paraId="05642E34">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（4）督促落实标准设计，履行施工图和工程变更管理职责，推进技术进步。</w:t>
      </w:r>
    </w:p>
    <w:p w14:paraId="3A92A23B">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（5）落实监理到位标准，推行全员持证上岗，强化合同管理。</w:t>
      </w:r>
    </w:p>
    <w:p w14:paraId="7BB850AE">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（6）落实现场风险分级管控和承包商违章扣分，推进四步法、八步骤和7S管理。</w:t>
      </w:r>
    </w:p>
    <w:p w14:paraId="53D34069">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（7）深化作业指导书、工程建设强制性条文执行力度，推进标准化验收和缺陷管理。</w:t>
      </w:r>
    </w:p>
    <w:p w14:paraId="25D8F15C">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（8）落实造价控制措施，推行赢得值管理，降低工程造价。</w:t>
      </w:r>
    </w:p>
    <w:p w14:paraId="74EF98B6">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（9）加强信息和档案管理，全面应用基建信息一体化系统。</w:t>
      </w:r>
    </w:p>
    <w:p w14:paraId="718A6BB0">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（10）完成委托人交办的监理合同范围内的各项任务。</w:t>
      </w:r>
    </w:p>
    <w:p w14:paraId="1FE057C7">
      <w:pPr>
        <w:spacing w:line="360" w:lineRule="auto"/>
        <w:ind w:firstLine="420" w:firstLineChars="200"/>
        <w:rPr>
          <w:color w:val="auto"/>
          <w:szCs w:val="21"/>
          <w:highlight w:val="none"/>
        </w:rPr>
      </w:pPr>
      <w:r>
        <w:rPr>
          <w:rFonts w:hint="eastAsia" w:ascii="宋体" w:hAnsi="宋体" w:cs="宋体"/>
          <w:color w:val="auto"/>
          <w:kern w:val="0"/>
          <w:szCs w:val="21"/>
          <w:highlight w:val="none"/>
        </w:rPr>
        <w:t>监理人具体的责任见</w:t>
      </w:r>
      <w:r>
        <w:rPr>
          <w:rFonts w:hint="eastAsia"/>
          <w:color w:val="auto"/>
          <w:szCs w:val="21"/>
          <w:highlight w:val="none"/>
        </w:rPr>
        <w:t>“合同附件格式”</w:t>
      </w:r>
      <w:r>
        <w:rPr>
          <w:rFonts w:hint="eastAsia" w:ascii="宋体" w:hAnsi="宋体" w:cs="宋体"/>
          <w:color w:val="auto"/>
          <w:kern w:val="0"/>
          <w:szCs w:val="21"/>
          <w:highlight w:val="none"/>
        </w:rPr>
        <w:t>附件二。</w:t>
      </w:r>
    </w:p>
    <w:p w14:paraId="1819440C">
      <w:pPr>
        <w:pStyle w:val="3"/>
        <w:rPr>
          <w:rFonts w:ascii="Times New Roman" w:hAnsi="Times New Roman"/>
          <w:color w:val="auto"/>
          <w:highlight w:val="none"/>
        </w:rPr>
      </w:pPr>
      <w:bookmarkStart w:id="233" w:name="_Toc14434"/>
      <w:r>
        <w:rPr>
          <w:rFonts w:hint="eastAsia" w:ascii="Times New Roman" w:hAnsi="Times New Roman"/>
          <w:color w:val="auto"/>
          <w:highlight w:val="none"/>
        </w:rPr>
        <w:t>8</w:t>
      </w:r>
      <w:r>
        <w:rPr>
          <w:rFonts w:ascii="Times New Roman" w:hAnsi="Times New Roman"/>
          <w:color w:val="auto"/>
          <w:highlight w:val="none"/>
        </w:rPr>
        <w:t>. 合同变更</w:t>
      </w:r>
      <w:bookmarkEnd w:id="233"/>
    </w:p>
    <w:p w14:paraId="1F5E722C">
      <w:pPr>
        <w:pStyle w:val="4"/>
        <w:spacing w:line="240" w:lineRule="auto"/>
        <w:ind w:firstLine="137"/>
        <w:rPr>
          <w:rFonts w:ascii="Times New Roman"/>
          <w:color w:val="auto"/>
          <w:highlight w:val="none"/>
        </w:rPr>
      </w:pPr>
      <w:bookmarkStart w:id="234" w:name="_Toc16770"/>
      <w:r>
        <w:rPr>
          <w:rFonts w:hint="eastAsia" w:ascii="Times New Roman"/>
          <w:color w:val="auto"/>
          <w:highlight w:val="none"/>
        </w:rPr>
        <w:t>8</w:t>
      </w:r>
      <w:r>
        <w:rPr>
          <w:rFonts w:ascii="Times New Roman"/>
          <w:color w:val="auto"/>
          <w:highlight w:val="none"/>
        </w:rPr>
        <w:t xml:space="preserve">.1 </w:t>
      </w:r>
      <w:r>
        <w:rPr>
          <w:rFonts w:hint="eastAsia" w:ascii="Times New Roman"/>
          <w:color w:val="auto"/>
          <w:highlight w:val="none"/>
        </w:rPr>
        <w:t>变更情形</w:t>
      </w:r>
      <w:bookmarkEnd w:id="234"/>
    </w:p>
    <w:p w14:paraId="2DE1A6AA">
      <w:pPr>
        <w:spacing w:line="360" w:lineRule="auto"/>
        <w:ind w:firstLine="420" w:firstLineChars="200"/>
        <w:rPr>
          <w:color w:val="auto"/>
          <w:highlight w:val="none"/>
        </w:rPr>
      </w:pPr>
      <w:r>
        <w:rPr>
          <w:rFonts w:hint="eastAsia"/>
          <w:color w:val="auto"/>
          <w:highlight w:val="none"/>
        </w:rPr>
        <w:t>增加以下内容到第8.1.1款：</w:t>
      </w:r>
    </w:p>
    <w:p w14:paraId="3DFC6A1A">
      <w:pPr>
        <w:spacing w:line="360" w:lineRule="auto"/>
        <w:ind w:firstLine="420" w:firstLineChars="200"/>
        <w:rPr>
          <w:color w:val="auto"/>
          <w:szCs w:val="21"/>
          <w:highlight w:val="none"/>
          <w:u w:val="single"/>
        </w:rPr>
      </w:pPr>
      <w:r>
        <w:rPr>
          <w:rFonts w:hint="eastAsia"/>
          <w:color w:val="auto"/>
          <w:highlight w:val="none"/>
        </w:rPr>
        <w:t>监理</w:t>
      </w:r>
      <w:r>
        <w:rPr>
          <w:color w:val="auto"/>
          <w:szCs w:val="21"/>
          <w:highlight w:val="none"/>
        </w:rPr>
        <w:t>服务期限和</w:t>
      </w:r>
      <w:r>
        <w:rPr>
          <w:rFonts w:hint="eastAsia"/>
          <w:color w:val="auto"/>
          <w:highlight w:val="none"/>
        </w:rPr>
        <w:t>监理</w:t>
      </w:r>
      <w:r>
        <w:rPr>
          <w:color w:val="auto"/>
          <w:szCs w:val="21"/>
          <w:highlight w:val="none"/>
        </w:rPr>
        <w:t>费用的调整方法</w:t>
      </w:r>
      <w:r>
        <w:rPr>
          <w:rFonts w:hint="eastAsia"/>
          <w:color w:val="auto"/>
          <w:szCs w:val="21"/>
          <w:highlight w:val="none"/>
        </w:rPr>
        <w:t>：</w:t>
      </w:r>
      <w:permStart w:id="99" w:edGrp="everyone"/>
      <w:r>
        <w:rPr>
          <w:rFonts w:hint="eastAsia"/>
          <w:color w:val="auto"/>
          <w:szCs w:val="21"/>
          <w:highlight w:val="none"/>
          <w:u w:val="single"/>
          <w:lang w:val="zh-CN"/>
        </w:rPr>
        <w:t>当任何一方提出申请并经双方书面同意后，在原招投标框架内，可对本合同进行更改</w:t>
      </w:r>
      <w:r>
        <w:rPr>
          <w:rFonts w:hint="eastAsia"/>
          <w:color w:val="auto"/>
          <w:szCs w:val="21"/>
          <w:highlight w:val="none"/>
          <w:u w:val="single"/>
        </w:rPr>
        <w:t>。</w:t>
      </w:r>
      <w:permEnd w:id="99"/>
    </w:p>
    <w:p w14:paraId="16306DDA">
      <w:pPr>
        <w:pStyle w:val="4"/>
        <w:spacing w:line="240" w:lineRule="auto"/>
        <w:ind w:firstLine="137"/>
        <w:rPr>
          <w:rFonts w:ascii="Times New Roman"/>
          <w:color w:val="auto"/>
          <w:highlight w:val="none"/>
        </w:rPr>
      </w:pPr>
      <w:bookmarkStart w:id="235" w:name="_Toc30952"/>
      <w:r>
        <w:rPr>
          <w:rFonts w:hint="eastAsia" w:ascii="Times New Roman"/>
          <w:color w:val="auto"/>
          <w:highlight w:val="none"/>
        </w:rPr>
        <w:t>8</w:t>
      </w:r>
      <w:r>
        <w:rPr>
          <w:rFonts w:ascii="Times New Roman"/>
          <w:color w:val="auto"/>
          <w:highlight w:val="none"/>
        </w:rPr>
        <w:t>.</w:t>
      </w:r>
      <w:r>
        <w:rPr>
          <w:rFonts w:hint="eastAsia" w:ascii="Times New Roman"/>
          <w:color w:val="auto"/>
          <w:highlight w:val="none"/>
        </w:rPr>
        <w:t>2</w:t>
      </w:r>
      <w:r>
        <w:rPr>
          <w:rFonts w:ascii="Times New Roman"/>
          <w:color w:val="auto"/>
          <w:highlight w:val="none"/>
        </w:rPr>
        <w:t xml:space="preserve"> </w:t>
      </w:r>
      <w:r>
        <w:rPr>
          <w:rFonts w:hint="eastAsia" w:ascii="Times New Roman"/>
          <w:color w:val="auto"/>
          <w:highlight w:val="none"/>
        </w:rPr>
        <w:t>合理化建议</w:t>
      </w:r>
      <w:bookmarkEnd w:id="235"/>
    </w:p>
    <w:p w14:paraId="43D46E99">
      <w:pPr>
        <w:spacing w:line="360" w:lineRule="auto"/>
        <w:ind w:firstLine="420" w:firstLineChars="200"/>
        <w:rPr>
          <w:color w:val="auto"/>
          <w:highlight w:val="none"/>
        </w:rPr>
      </w:pPr>
      <w:r>
        <w:rPr>
          <w:rFonts w:hint="eastAsia"/>
          <w:color w:val="auto"/>
          <w:highlight w:val="none"/>
        </w:rPr>
        <w:t>增加以下内容到第8.2.2款：</w:t>
      </w:r>
    </w:p>
    <w:p w14:paraId="1A4DB122">
      <w:pPr>
        <w:spacing w:line="360" w:lineRule="auto"/>
        <w:ind w:firstLine="420" w:firstLineChars="200"/>
        <w:rPr>
          <w:color w:val="auto"/>
          <w:szCs w:val="21"/>
          <w:highlight w:val="none"/>
        </w:rPr>
      </w:pPr>
      <w:r>
        <w:rPr>
          <w:rFonts w:hint="eastAsia"/>
          <w:color w:val="auto"/>
          <w:highlight w:val="none"/>
        </w:rPr>
        <w:t>监理</w:t>
      </w:r>
      <w:r>
        <w:rPr>
          <w:color w:val="auto"/>
          <w:szCs w:val="21"/>
          <w:highlight w:val="none"/>
        </w:rPr>
        <w:t>人提出的合理化建议降低了工程投资、缩短了施工期限或者提高了工程经济效益的奖励：</w:t>
      </w:r>
      <w:permStart w:id="100" w:edGrp="everyone"/>
      <w:r>
        <w:rPr>
          <w:rFonts w:hint="eastAsia"/>
          <w:color w:val="auto"/>
          <w:szCs w:val="21"/>
          <w:highlight w:val="none"/>
          <w:u w:val="single"/>
        </w:rPr>
        <w:t xml:space="preserve">      </w:t>
      </w:r>
      <w:r>
        <w:rPr>
          <w:rFonts w:hint="eastAsia"/>
          <w:color w:val="auto"/>
          <w:szCs w:val="21"/>
          <w:highlight w:val="none"/>
          <w:u w:val="single"/>
          <w:lang w:val="en-US" w:eastAsia="zh-CN"/>
        </w:rPr>
        <w:t>/</w:t>
      </w:r>
      <w:r>
        <w:rPr>
          <w:rFonts w:hint="eastAsia"/>
          <w:color w:val="auto"/>
          <w:szCs w:val="21"/>
          <w:highlight w:val="none"/>
          <w:u w:val="single"/>
        </w:rPr>
        <w:t xml:space="preserve">      </w:t>
      </w:r>
      <w:r>
        <w:rPr>
          <w:color w:val="auto"/>
          <w:szCs w:val="21"/>
          <w:highlight w:val="none"/>
        </w:rPr>
        <w:t>。</w:t>
      </w:r>
      <w:permEnd w:id="100"/>
    </w:p>
    <w:p w14:paraId="379A9555">
      <w:pPr>
        <w:spacing w:line="360" w:lineRule="auto"/>
        <w:ind w:firstLine="420" w:firstLineChars="200"/>
        <w:rPr>
          <w:color w:val="auto"/>
          <w:highlight w:val="none"/>
        </w:rPr>
      </w:pPr>
      <w:r>
        <w:rPr>
          <w:rFonts w:hint="eastAsia"/>
          <w:color w:val="auto"/>
          <w:highlight w:val="none"/>
        </w:rPr>
        <w:t>增加以下内容到第8款：</w:t>
      </w:r>
    </w:p>
    <w:p w14:paraId="51D6A745">
      <w:pPr>
        <w:pStyle w:val="4"/>
        <w:spacing w:line="240" w:lineRule="auto"/>
        <w:ind w:firstLine="137"/>
        <w:rPr>
          <w:rFonts w:ascii="Times New Roman"/>
          <w:color w:val="auto"/>
          <w:highlight w:val="none"/>
        </w:rPr>
      </w:pPr>
      <w:bookmarkStart w:id="236" w:name="_Toc19223"/>
      <w:r>
        <w:rPr>
          <w:rFonts w:hint="eastAsia" w:ascii="Times New Roman"/>
          <w:color w:val="auto"/>
          <w:highlight w:val="none"/>
        </w:rPr>
        <w:t>8</w:t>
      </w:r>
      <w:r>
        <w:rPr>
          <w:rFonts w:ascii="Times New Roman"/>
          <w:color w:val="auto"/>
          <w:highlight w:val="none"/>
        </w:rPr>
        <w:t>.</w:t>
      </w:r>
      <w:r>
        <w:rPr>
          <w:rFonts w:hint="eastAsia" w:ascii="Times New Roman"/>
          <w:color w:val="auto"/>
          <w:highlight w:val="none"/>
        </w:rPr>
        <w:t>3</w:t>
      </w:r>
      <w:r>
        <w:rPr>
          <w:rFonts w:ascii="Times New Roman"/>
          <w:color w:val="auto"/>
          <w:highlight w:val="none"/>
        </w:rPr>
        <w:t xml:space="preserve"> </w:t>
      </w:r>
      <w:r>
        <w:rPr>
          <w:rFonts w:hint="eastAsia" w:ascii="Times New Roman"/>
          <w:color w:val="auto"/>
          <w:szCs w:val="21"/>
          <w:highlight w:val="none"/>
        </w:rPr>
        <w:t>奖励权利</w:t>
      </w:r>
      <w:bookmarkEnd w:id="236"/>
    </w:p>
    <w:p w14:paraId="4BB161A5">
      <w:pPr>
        <w:spacing w:line="360" w:lineRule="auto"/>
        <w:ind w:firstLine="420" w:firstLineChars="200"/>
        <w:rPr>
          <w:color w:val="auto"/>
          <w:szCs w:val="21"/>
          <w:highlight w:val="none"/>
        </w:rPr>
      </w:pPr>
      <w:r>
        <w:rPr>
          <w:rFonts w:hint="eastAsia"/>
          <w:color w:val="auto"/>
          <w:szCs w:val="21"/>
          <w:highlight w:val="none"/>
        </w:rPr>
        <w:t>工程获奖奖励按其最高奖项计，不累加奖励。</w:t>
      </w:r>
    </w:p>
    <w:p w14:paraId="6004FA66">
      <w:pPr>
        <w:spacing w:line="360" w:lineRule="auto"/>
        <w:ind w:firstLine="420" w:firstLineChars="200"/>
        <w:rPr>
          <w:color w:val="auto"/>
          <w:szCs w:val="21"/>
          <w:highlight w:val="none"/>
        </w:rPr>
      </w:pPr>
      <w:r>
        <w:rPr>
          <w:rFonts w:hint="eastAsia"/>
          <w:color w:val="auto"/>
          <w:szCs w:val="21"/>
          <w:highlight w:val="none"/>
        </w:rPr>
        <w:t>监理人有下列良好表现，委托人应有权实施奖励措施，具体包括：</w:t>
      </w:r>
    </w:p>
    <w:p w14:paraId="557ED9D2">
      <w:pPr>
        <w:spacing w:line="360" w:lineRule="auto"/>
        <w:ind w:firstLine="420" w:firstLineChars="200"/>
        <w:rPr>
          <w:color w:val="auto"/>
          <w:szCs w:val="21"/>
          <w:highlight w:val="none"/>
        </w:rPr>
      </w:pPr>
      <w:r>
        <w:rPr>
          <w:rFonts w:hint="eastAsia"/>
          <w:color w:val="auto"/>
          <w:szCs w:val="21"/>
          <w:highlight w:val="none"/>
        </w:rPr>
        <w:t>（1）项目被评为鲁班奖、电力行业优质工程、南方电网公司优质工程等，委托人可以考虑以合同额为基础对监理人进行奖励（鲁班奖按3%、电力行业优质工程按2%、南方电网公司优质工程等按1.5%）。如确定给予奖励费用，</w:t>
      </w:r>
      <w:r>
        <w:rPr>
          <w:rFonts w:hint="eastAsia"/>
          <w:color w:val="auto"/>
          <w:szCs w:val="21"/>
          <w:highlight w:val="none"/>
          <w:lang w:val="en-US" w:eastAsia="zh-CN"/>
        </w:rPr>
        <w:t>监理人</w:t>
      </w:r>
      <w:r>
        <w:rPr>
          <w:rFonts w:hint="eastAsia"/>
          <w:color w:val="auto"/>
          <w:szCs w:val="21"/>
          <w:highlight w:val="none"/>
        </w:rPr>
        <w:t>应提供书面奖励依据与发票，待质保期过后付给监理人。</w:t>
      </w:r>
    </w:p>
    <w:p w14:paraId="008EC84B">
      <w:pPr>
        <w:spacing w:line="360" w:lineRule="auto"/>
        <w:ind w:firstLine="420" w:firstLineChars="200"/>
        <w:rPr>
          <w:color w:val="auto"/>
          <w:szCs w:val="21"/>
          <w:highlight w:val="none"/>
        </w:rPr>
      </w:pPr>
      <w:r>
        <w:rPr>
          <w:rFonts w:hint="eastAsia"/>
          <w:color w:val="auto"/>
          <w:szCs w:val="21"/>
          <w:highlight w:val="none"/>
        </w:rPr>
        <w:t>（2）委托人对监理人的合同履约情况将进行评价，评价结果将作为监理人在南方电网公司履约评分组成部分，并应用于南方电网公司对监理人的评标。</w:t>
      </w:r>
    </w:p>
    <w:p w14:paraId="0A8B6548">
      <w:pPr>
        <w:spacing w:line="360" w:lineRule="auto"/>
        <w:ind w:firstLine="420" w:firstLineChars="200"/>
        <w:rPr>
          <w:color w:val="auto"/>
          <w:szCs w:val="21"/>
          <w:highlight w:val="none"/>
        </w:rPr>
      </w:pPr>
      <w:r>
        <w:rPr>
          <w:rFonts w:hint="eastAsia"/>
          <w:color w:val="auto"/>
          <w:szCs w:val="21"/>
          <w:highlight w:val="none"/>
        </w:rPr>
        <w:t>（3）委托人可根据有关规定，对获奖单位及做出突出贡献的人员，给予精神和物质奖励。</w:t>
      </w:r>
    </w:p>
    <w:p w14:paraId="13722781">
      <w:pPr>
        <w:spacing w:line="360" w:lineRule="auto"/>
        <w:ind w:firstLine="420" w:firstLineChars="200"/>
        <w:rPr>
          <w:color w:val="auto"/>
          <w:szCs w:val="21"/>
          <w:highlight w:val="none"/>
        </w:rPr>
      </w:pPr>
      <w:r>
        <w:rPr>
          <w:color w:val="auto"/>
          <w:szCs w:val="21"/>
          <w:highlight w:val="none"/>
        </w:rPr>
        <w:t>（4）其他奖励：</w:t>
      </w:r>
      <w:permStart w:id="101" w:edGrp="everyone"/>
      <w:r>
        <w:rPr>
          <w:rFonts w:hint="eastAsia"/>
          <w:color w:val="auto"/>
          <w:szCs w:val="21"/>
          <w:highlight w:val="none"/>
          <w:u w:val="single"/>
        </w:rPr>
        <w:t xml:space="preserve">      </w:t>
      </w:r>
      <w:r>
        <w:rPr>
          <w:rFonts w:hint="eastAsia"/>
          <w:color w:val="auto"/>
          <w:szCs w:val="21"/>
          <w:highlight w:val="none"/>
          <w:u w:val="single"/>
          <w:lang w:val="en-US" w:eastAsia="zh-CN"/>
        </w:rPr>
        <w:t>/</w:t>
      </w:r>
      <w:r>
        <w:rPr>
          <w:rFonts w:hint="eastAsia"/>
          <w:color w:val="auto"/>
          <w:szCs w:val="21"/>
          <w:highlight w:val="none"/>
          <w:u w:val="single"/>
        </w:rPr>
        <w:t xml:space="preserve">      </w:t>
      </w:r>
      <w:r>
        <w:rPr>
          <w:color w:val="auto"/>
          <w:szCs w:val="21"/>
          <w:highlight w:val="none"/>
        </w:rPr>
        <w:t>。</w:t>
      </w:r>
      <w:permEnd w:id="101"/>
    </w:p>
    <w:p w14:paraId="30933491">
      <w:pPr>
        <w:pStyle w:val="4"/>
        <w:spacing w:line="240" w:lineRule="auto"/>
        <w:ind w:firstLine="137"/>
        <w:rPr>
          <w:rFonts w:ascii="Times New Roman"/>
          <w:color w:val="auto"/>
          <w:highlight w:val="none"/>
        </w:rPr>
      </w:pPr>
      <w:bookmarkStart w:id="237" w:name="_Toc22868"/>
      <w:r>
        <w:rPr>
          <w:rFonts w:hint="eastAsia" w:ascii="Times New Roman"/>
          <w:color w:val="auto"/>
          <w:highlight w:val="none"/>
        </w:rPr>
        <w:t>8</w:t>
      </w:r>
      <w:r>
        <w:rPr>
          <w:rFonts w:ascii="Times New Roman"/>
          <w:color w:val="auto"/>
          <w:highlight w:val="none"/>
        </w:rPr>
        <w:t>.</w:t>
      </w:r>
      <w:r>
        <w:rPr>
          <w:rFonts w:hint="eastAsia" w:ascii="Times New Roman"/>
          <w:color w:val="auto"/>
          <w:highlight w:val="none"/>
        </w:rPr>
        <w:t>4</w:t>
      </w:r>
      <w:r>
        <w:rPr>
          <w:rFonts w:ascii="Times New Roman"/>
          <w:color w:val="auto"/>
          <w:highlight w:val="none"/>
        </w:rPr>
        <w:t xml:space="preserve"> </w:t>
      </w:r>
      <w:r>
        <w:rPr>
          <w:rFonts w:hint="eastAsia" w:ascii="Times New Roman"/>
          <w:color w:val="auto"/>
          <w:szCs w:val="21"/>
          <w:highlight w:val="none"/>
        </w:rPr>
        <w:t>考评与奖励</w:t>
      </w:r>
      <w:bookmarkEnd w:id="237"/>
    </w:p>
    <w:p w14:paraId="3B8FBD3D">
      <w:pPr>
        <w:spacing w:line="360" w:lineRule="auto"/>
        <w:ind w:firstLine="420" w:firstLineChars="200"/>
        <w:rPr>
          <w:color w:val="auto"/>
          <w:szCs w:val="21"/>
          <w:highlight w:val="none"/>
          <w:lang w:val="zh-CN"/>
        </w:rPr>
      </w:pPr>
      <w:r>
        <w:rPr>
          <w:rFonts w:hint="eastAsia"/>
          <w:color w:val="auto"/>
          <w:szCs w:val="21"/>
          <w:highlight w:val="none"/>
          <w:lang w:val="zh-CN"/>
        </w:rPr>
        <w:t>通过监理人的努力，在合同的各项目标得到圆满实现的基础上，工程在创优上取得了比合同目标更高标准的成果，委托人单位将酌情给予监理人一定的物质或精神奖励。</w:t>
      </w:r>
    </w:p>
    <w:p w14:paraId="1E83B49A">
      <w:pPr>
        <w:spacing w:line="360" w:lineRule="auto"/>
        <w:ind w:firstLine="420" w:firstLineChars="200"/>
        <w:rPr>
          <w:color w:val="auto"/>
          <w:szCs w:val="21"/>
          <w:highlight w:val="none"/>
          <w:lang w:val="zh-CN"/>
        </w:rPr>
      </w:pPr>
      <w:r>
        <w:rPr>
          <w:rFonts w:hint="eastAsia"/>
          <w:color w:val="auto"/>
          <w:szCs w:val="21"/>
          <w:highlight w:val="none"/>
          <w:lang w:val="zh-CN"/>
        </w:rPr>
        <w:t>因为监理建议的采纳而节约了投资，委托人单位将酌情给予监理人一定的物资或精神奖励。</w:t>
      </w:r>
      <w:r>
        <w:rPr>
          <w:color w:val="auto"/>
          <w:szCs w:val="21"/>
          <w:highlight w:val="none"/>
        </w:rPr>
        <w:t>奖励办法：奖励金额=工程费用节省额×报酬比率</w:t>
      </w:r>
      <w:r>
        <w:rPr>
          <w:rFonts w:hint="eastAsia"/>
          <w:color w:val="auto"/>
          <w:szCs w:val="21"/>
          <w:highlight w:val="none"/>
        </w:rPr>
        <w:t>。</w:t>
      </w:r>
    </w:p>
    <w:p w14:paraId="575EDFA2">
      <w:pPr>
        <w:spacing w:line="360" w:lineRule="auto"/>
        <w:ind w:firstLine="420" w:firstLineChars="200"/>
        <w:rPr>
          <w:color w:val="auto"/>
          <w:szCs w:val="21"/>
          <w:highlight w:val="none"/>
          <w:lang w:val="zh-CN"/>
        </w:rPr>
      </w:pPr>
      <w:r>
        <w:rPr>
          <w:rFonts w:hint="eastAsia"/>
          <w:color w:val="auto"/>
          <w:szCs w:val="21"/>
          <w:highlight w:val="none"/>
          <w:lang w:val="zh-CN"/>
        </w:rPr>
        <w:t>获奖单位的主管单位可根据有关规定，对获奖单位及做出突出贡献的人员，给予精神和物质奖励。</w:t>
      </w:r>
    </w:p>
    <w:p w14:paraId="690B8861">
      <w:pPr>
        <w:spacing w:line="360" w:lineRule="auto"/>
        <w:ind w:firstLine="420" w:firstLineChars="200"/>
        <w:rPr>
          <w:color w:val="auto"/>
          <w:szCs w:val="21"/>
          <w:highlight w:val="none"/>
        </w:rPr>
      </w:pPr>
      <w:permStart w:id="102" w:edGrp="everyone"/>
      <w:r>
        <w:rPr>
          <w:rFonts w:hint="eastAsia"/>
          <w:color w:val="auto"/>
          <w:szCs w:val="21"/>
          <w:highlight w:val="none"/>
        </w:rPr>
        <w:t>报酬比率=</w:t>
      </w:r>
      <w:r>
        <w:rPr>
          <w:rFonts w:hint="eastAsia"/>
          <w:color w:val="auto"/>
          <w:szCs w:val="21"/>
          <w:highlight w:val="none"/>
          <w:u w:val="single"/>
        </w:rPr>
        <w:t xml:space="preserve">   </w:t>
      </w:r>
      <w:r>
        <w:rPr>
          <w:rFonts w:hint="eastAsia"/>
          <w:color w:val="auto"/>
          <w:szCs w:val="21"/>
          <w:highlight w:val="none"/>
          <w:u w:val="single"/>
          <w:lang w:val="en-US" w:eastAsia="zh-CN"/>
        </w:rPr>
        <w:t>/</w:t>
      </w:r>
      <w:r>
        <w:rPr>
          <w:rFonts w:hint="eastAsia"/>
          <w:color w:val="auto"/>
          <w:szCs w:val="21"/>
          <w:highlight w:val="none"/>
          <w:u w:val="single"/>
        </w:rPr>
        <w:t xml:space="preserve">    </w:t>
      </w:r>
      <w:permEnd w:id="102"/>
      <w:r>
        <w:rPr>
          <w:rFonts w:hint="eastAsia"/>
          <w:color w:val="auto"/>
          <w:szCs w:val="21"/>
          <w:highlight w:val="none"/>
        </w:rPr>
        <w:t>。</w:t>
      </w:r>
    </w:p>
    <w:p w14:paraId="7C89C0C7">
      <w:pPr>
        <w:pStyle w:val="3"/>
        <w:rPr>
          <w:rFonts w:ascii="Times New Roman" w:hAnsi="Times New Roman"/>
          <w:color w:val="auto"/>
          <w:highlight w:val="none"/>
        </w:rPr>
      </w:pPr>
      <w:bookmarkStart w:id="238" w:name="_Toc5748"/>
      <w:r>
        <w:rPr>
          <w:rFonts w:hint="eastAsia" w:ascii="Times New Roman" w:hAnsi="Times New Roman"/>
          <w:color w:val="auto"/>
          <w:highlight w:val="none"/>
        </w:rPr>
        <w:t>9</w:t>
      </w:r>
      <w:r>
        <w:rPr>
          <w:rFonts w:ascii="Times New Roman" w:hAnsi="Times New Roman"/>
          <w:color w:val="auto"/>
          <w:highlight w:val="none"/>
        </w:rPr>
        <w:t>. 合同价格与支付</w:t>
      </w:r>
      <w:bookmarkEnd w:id="238"/>
    </w:p>
    <w:p w14:paraId="3E256DD4">
      <w:pPr>
        <w:pStyle w:val="4"/>
        <w:spacing w:line="240" w:lineRule="auto"/>
        <w:ind w:firstLine="137"/>
        <w:rPr>
          <w:rFonts w:ascii="Times New Roman"/>
          <w:color w:val="auto"/>
          <w:highlight w:val="none"/>
        </w:rPr>
      </w:pPr>
      <w:bookmarkStart w:id="239" w:name="_Toc1274"/>
      <w:r>
        <w:rPr>
          <w:rFonts w:hint="eastAsia" w:ascii="Times New Roman"/>
          <w:color w:val="auto"/>
          <w:highlight w:val="none"/>
        </w:rPr>
        <w:t>9</w:t>
      </w:r>
      <w:r>
        <w:rPr>
          <w:rFonts w:ascii="Times New Roman"/>
          <w:color w:val="auto"/>
          <w:highlight w:val="none"/>
        </w:rPr>
        <w:t xml:space="preserve">.1 </w:t>
      </w:r>
      <w:r>
        <w:rPr>
          <w:rFonts w:hint="eastAsia" w:ascii="Times New Roman"/>
          <w:color w:val="auto"/>
          <w:highlight w:val="none"/>
        </w:rPr>
        <w:t>合同价格</w:t>
      </w:r>
      <w:bookmarkEnd w:id="239"/>
    </w:p>
    <w:p w14:paraId="5880B31C">
      <w:pPr>
        <w:spacing w:line="360" w:lineRule="auto"/>
        <w:ind w:firstLine="420" w:firstLineChars="200"/>
        <w:rPr>
          <w:color w:val="auto"/>
          <w:szCs w:val="21"/>
          <w:highlight w:val="none"/>
        </w:rPr>
      </w:pPr>
      <w:r>
        <w:rPr>
          <w:rFonts w:hint="eastAsia"/>
          <w:color w:val="auto"/>
          <w:highlight w:val="none"/>
        </w:rPr>
        <w:t>增加以下内容到第9.1.1款：</w:t>
      </w:r>
    </w:p>
    <w:p w14:paraId="026F6F62">
      <w:pPr>
        <w:spacing w:line="360" w:lineRule="auto"/>
        <w:ind w:firstLine="420" w:firstLineChars="200"/>
        <w:rPr>
          <w:color w:val="auto"/>
          <w:szCs w:val="21"/>
          <w:highlight w:val="none"/>
        </w:rPr>
      </w:pPr>
      <w:r>
        <w:rPr>
          <w:rFonts w:hint="eastAsia"/>
          <w:color w:val="auto"/>
          <w:szCs w:val="21"/>
          <w:highlight w:val="none"/>
        </w:rPr>
        <w:t>（1）合同价款组成</w:t>
      </w:r>
    </w:p>
    <w:p w14:paraId="6D19C58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合同价格组成明细表详见</w:t>
      </w:r>
      <w:permStart w:id="103" w:edGrp="everyone"/>
      <w:r>
        <w:rPr>
          <w:rFonts w:hint="eastAsia"/>
          <w:color w:val="auto"/>
          <w:szCs w:val="21"/>
          <w:highlight w:val="none"/>
          <w:u w:val="single"/>
        </w:rPr>
        <w:t>“合同附件格式”</w:t>
      </w:r>
      <w:r>
        <w:rPr>
          <w:rFonts w:hint="eastAsia" w:ascii="宋体" w:hAnsi="宋体" w:cs="宋体"/>
          <w:color w:val="auto"/>
          <w:kern w:val="0"/>
          <w:szCs w:val="21"/>
          <w:highlight w:val="none"/>
          <w:u w:val="single"/>
        </w:rPr>
        <w:t>附件</w:t>
      </w:r>
      <w:r>
        <w:rPr>
          <w:rFonts w:hint="eastAsia" w:ascii="宋体" w:hAnsi="宋体" w:cs="宋体"/>
          <w:color w:val="auto"/>
          <w:kern w:val="0"/>
          <w:szCs w:val="21"/>
          <w:highlight w:val="none"/>
          <w:u w:val="single"/>
          <w:lang w:val="en-US" w:eastAsia="zh-CN"/>
        </w:rPr>
        <w:t>四</w:t>
      </w:r>
      <w:permEnd w:id="103"/>
      <w:r>
        <w:rPr>
          <w:rFonts w:ascii="宋体" w:hAnsi="宋体" w:cs="宋体"/>
          <w:color w:val="auto"/>
          <w:kern w:val="0"/>
          <w:szCs w:val="21"/>
          <w:highlight w:val="none"/>
        </w:rPr>
        <w:t>。</w:t>
      </w:r>
    </w:p>
    <w:p w14:paraId="3770A3F2">
      <w:pPr>
        <w:spacing w:line="360" w:lineRule="auto"/>
        <w:ind w:firstLine="420" w:firstLineChars="200"/>
        <w:rPr>
          <w:color w:val="auto"/>
          <w:szCs w:val="21"/>
          <w:highlight w:val="none"/>
        </w:rPr>
      </w:pPr>
      <w:r>
        <w:rPr>
          <w:rFonts w:hint="eastAsia"/>
          <w:color w:val="auto"/>
          <w:szCs w:val="21"/>
          <w:highlight w:val="none"/>
        </w:rPr>
        <w:t>（2）合同价格形式</w:t>
      </w:r>
    </w:p>
    <w:p w14:paraId="4997D720">
      <w:pPr>
        <w:spacing w:line="360" w:lineRule="auto"/>
        <w:ind w:firstLine="420" w:firstLineChars="200"/>
        <w:rPr>
          <w:color w:val="auto"/>
          <w:szCs w:val="21"/>
          <w:highlight w:val="none"/>
        </w:rPr>
      </w:pPr>
      <w:r>
        <w:rPr>
          <w:rFonts w:hint="eastAsia"/>
          <w:color w:val="auto"/>
          <w:szCs w:val="21"/>
          <w:highlight w:val="none"/>
        </w:rPr>
        <w:t>本合同采用以下第</w:t>
      </w:r>
      <w:sdt>
        <w:sdtPr>
          <w:rPr>
            <w:rFonts w:hint="eastAsia" w:ascii="宋体" w:hAnsi="宋体" w:eastAsia="宋体" w:cs="宋体"/>
            <w:color w:val="auto"/>
            <w:kern w:val="2"/>
            <w:sz w:val="21"/>
            <w:szCs w:val="21"/>
            <w:highlight w:val="none"/>
            <w:lang w:val="en-US" w:eastAsia="zh-CN" w:bidi="ar-SA"/>
          </w:rPr>
          <w:alias w:val="请选择一项"/>
          <w:tag w:val="合同金额类型选项"/>
          <w:id w:val="147460960"/>
          <w:placeholder>
            <w:docPart w:val="{b0ce4d99-629c-49d0-930e-dcb04c21b9f6}"/>
          </w:placeholder>
          <w:comboBox>
            <w:listItem w:displayText="（a）" w:value="（a）"/>
            <w:listItem w:displayText="（b）" w:value="（b）"/>
            <w:listItem w:displayText="（c）" w:value="（c）"/>
          </w:comboBox>
        </w:sdtPr>
        <w:sdtEndPr>
          <w:rPr>
            <w:rFonts w:hint="eastAsia" w:asciiTheme="minorHAnsi" w:hAnsiTheme="minorHAnsi" w:eastAsiaTheme="minorEastAsia" w:cstheme="minorBidi"/>
            <w:color w:val="auto"/>
            <w:kern w:val="2"/>
            <w:sz w:val="28"/>
            <w:szCs w:val="36"/>
            <w:highlight w:val="none"/>
            <w:u w:val="single"/>
            <w:lang w:val="en-US" w:eastAsia="zh-CN" w:bidi="ar-SA"/>
          </w:rPr>
        </w:sdtEndPr>
        <w:sdtContent>
          <w:permStart w:id="104" w:edGrp="everyone"/>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b</w:t>
          </w:r>
          <w:r>
            <w:rPr>
              <w:rFonts w:hint="eastAsia" w:ascii="宋体" w:hAnsi="宋体" w:eastAsia="宋体" w:cs="宋体"/>
              <w:color w:val="auto"/>
              <w:kern w:val="2"/>
              <w:sz w:val="21"/>
              <w:szCs w:val="21"/>
              <w:highlight w:val="none"/>
              <w:u w:val="single"/>
              <w:lang w:val="en-US" w:eastAsia="zh-CN" w:bidi="ar-SA"/>
            </w:rPr>
            <w:t xml:space="preserve">） </w:t>
          </w:r>
          <w:permEnd w:id="104"/>
        </w:sdtContent>
      </w:sdt>
      <w:r>
        <w:rPr>
          <w:rFonts w:hint="eastAsia"/>
          <w:color w:val="auto"/>
          <w:szCs w:val="21"/>
          <w:highlight w:val="none"/>
        </w:rPr>
        <w:t>种方式定价。</w:t>
      </w:r>
    </w:p>
    <w:p w14:paraId="2AE8EB88">
      <w:pPr>
        <w:spacing w:line="360" w:lineRule="auto"/>
        <w:ind w:firstLine="420" w:firstLineChars="200"/>
        <w:rPr>
          <w:color w:val="auto"/>
          <w:szCs w:val="21"/>
          <w:highlight w:val="none"/>
        </w:rPr>
      </w:pPr>
      <w:r>
        <w:rPr>
          <w:rFonts w:hint="eastAsia"/>
          <w:color w:val="auto"/>
          <w:szCs w:val="21"/>
          <w:highlight w:val="none"/>
        </w:rPr>
        <w:t>（a）固定总价</w:t>
      </w:r>
    </w:p>
    <w:p w14:paraId="43A72ABB">
      <w:pPr>
        <w:spacing w:line="360" w:lineRule="auto"/>
        <w:ind w:firstLine="420" w:firstLineChars="200"/>
        <w:rPr>
          <w:color w:val="auto"/>
          <w:szCs w:val="21"/>
          <w:highlight w:val="none"/>
        </w:rPr>
      </w:pPr>
      <w:r>
        <w:rPr>
          <w:rFonts w:hint="eastAsia"/>
          <w:color w:val="auto"/>
          <w:szCs w:val="21"/>
          <w:highlight w:val="none"/>
        </w:rPr>
        <w:t>合同采用固定总价合同，则合同价是完成合同所规定的所有监理服务的全部报酬，本价款除因下述情形外均不作调整：</w:t>
      </w:r>
    </w:p>
    <w:p w14:paraId="3D94852E">
      <w:pPr>
        <w:spacing w:line="360" w:lineRule="auto"/>
        <w:ind w:firstLine="420" w:firstLineChars="200"/>
        <w:rPr>
          <w:color w:val="auto"/>
          <w:szCs w:val="21"/>
          <w:highlight w:val="none"/>
        </w:rPr>
      </w:pPr>
      <w:r>
        <w:rPr>
          <w:rFonts w:hint="eastAsia"/>
          <w:color w:val="auto"/>
          <w:szCs w:val="21"/>
          <w:highlight w:val="none"/>
        </w:rPr>
        <w:t>若在合同履行过程中，出现新增或取消某一单项工程时，则由双方按照现行《电网工程建设预算费用构成及计算标准》和投标报价另行协商增加或减少该单项工程的监理报酬。</w:t>
      </w:r>
    </w:p>
    <w:p w14:paraId="1A4DD649">
      <w:pPr>
        <w:spacing w:line="360" w:lineRule="auto"/>
        <w:ind w:firstLine="420" w:firstLineChars="200"/>
        <w:rPr>
          <w:color w:val="auto"/>
          <w:szCs w:val="21"/>
          <w:highlight w:val="none"/>
        </w:rPr>
      </w:pPr>
      <w:r>
        <w:rPr>
          <w:rFonts w:hint="eastAsia"/>
          <w:color w:val="auto"/>
          <w:szCs w:val="21"/>
          <w:highlight w:val="none"/>
        </w:rPr>
        <w:t>其他：</w:t>
      </w:r>
      <w:permStart w:id="105" w:edGrp="everyone"/>
      <w:r>
        <w:rPr>
          <w:rFonts w:hint="eastAsia"/>
          <w:color w:val="auto"/>
          <w:szCs w:val="21"/>
          <w:highlight w:val="none"/>
          <w:u w:val="single"/>
        </w:rPr>
        <w:t xml:space="preserve">   </w:t>
      </w:r>
      <w:r>
        <w:rPr>
          <w:rFonts w:hint="eastAsia"/>
          <w:color w:val="auto"/>
          <w:szCs w:val="21"/>
          <w:highlight w:val="none"/>
          <w:u w:val="single"/>
          <w:lang w:val="en-US" w:eastAsia="zh-CN"/>
        </w:rPr>
        <w:t>/</w:t>
      </w:r>
      <w:r>
        <w:rPr>
          <w:rFonts w:hint="eastAsia"/>
          <w:color w:val="auto"/>
          <w:szCs w:val="21"/>
          <w:highlight w:val="none"/>
          <w:u w:val="single"/>
        </w:rPr>
        <w:t xml:space="preserve">   </w:t>
      </w:r>
      <w:r>
        <w:rPr>
          <w:rFonts w:hint="eastAsia"/>
          <w:color w:val="auto"/>
          <w:szCs w:val="21"/>
          <w:highlight w:val="none"/>
        </w:rPr>
        <w:t>。</w:t>
      </w:r>
      <w:permEnd w:id="105"/>
    </w:p>
    <w:p w14:paraId="50FDCECA">
      <w:pPr>
        <w:spacing w:line="360" w:lineRule="auto"/>
        <w:ind w:firstLine="420" w:firstLineChars="200"/>
        <w:rPr>
          <w:color w:val="auto"/>
          <w:szCs w:val="21"/>
          <w:highlight w:val="none"/>
        </w:rPr>
      </w:pPr>
      <w:r>
        <w:rPr>
          <w:rFonts w:hint="eastAsia"/>
          <w:color w:val="auto"/>
          <w:szCs w:val="21"/>
          <w:highlight w:val="none"/>
        </w:rPr>
        <w:t>（b）暂定价</w:t>
      </w:r>
    </w:p>
    <w:p w14:paraId="410786C8">
      <w:pPr>
        <w:spacing w:line="360" w:lineRule="auto"/>
        <w:ind w:firstLine="420" w:firstLineChars="200"/>
        <w:rPr>
          <w:color w:val="auto"/>
          <w:szCs w:val="21"/>
          <w:highlight w:val="none"/>
        </w:rPr>
      </w:pPr>
      <w:r>
        <w:rPr>
          <w:rFonts w:hint="eastAsia"/>
          <w:color w:val="auto"/>
          <w:szCs w:val="21"/>
          <w:highlight w:val="none"/>
        </w:rPr>
        <w:t>合同采用暂定价，监理费结算价款=</w:t>
      </w:r>
      <w:permStart w:id="106" w:edGrp="everyone"/>
      <w:r>
        <w:rPr>
          <w:rFonts w:hint="eastAsia"/>
          <w:color w:val="auto"/>
          <w:szCs w:val="21"/>
          <w:highlight w:val="none"/>
          <w:u w:val="single"/>
          <w:lang w:val="en-US" w:eastAsia="zh-CN"/>
        </w:rPr>
        <w:t xml:space="preserve"> </w:t>
      </w:r>
      <w:r>
        <w:rPr>
          <w:rFonts w:ascii="宋体" w:hAnsi="宋体" w:eastAsia="宋体" w:cs="宋体"/>
          <w:color w:val="auto"/>
          <w:sz w:val="21"/>
          <w:szCs w:val="21"/>
          <w:highlight w:val="none"/>
        </w:rPr>
        <w:t>经广东电网有限责任公司广州供电局审定后的（建筑工程费+安装工程费+编制基准期价差）</w:t>
      </w:r>
      <w:r>
        <w:rPr>
          <w:rFonts w:hint="eastAsia" w:ascii="宋体" w:hAnsi="宋体" w:cs="宋体"/>
          <w:color w:val="auto"/>
          <w:sz w:val="21"/>
          <w:szCs w:val="21"/>
          <w:highlight w:val="none"/>
          <w:lang w:val="en-US" w:eastAsia="zh-CN"/>
        </w:rPr>
        <w:t>金额</w:t>
      </w:r>
      <w:r>
        <w:rPr>
          <w:rFonts w:hint="eastAsia"/>
          <w:color w:val="auto"/>
          <w:szCs w:val="21"/>
          <w:highlight w:val="none"/>
          <w:u w:val="single"/>
          <w:lang w:val="en-US" w:eastAsia="zh-CN"/>
        </w:rPr>
        <w:t xml:space="preserve"> </w:t>
      </w:r>
      <w:permEnd w:id="106"/>
      <w:r>
        <w:rPr>
          <w:rFonts w:hint="eastAsia"/>
          <w:color w:val="auto"/>
          <w:szCs w:val="21"/>
          <w:highlight w:val="none"/>
        </w:rPr>
        <w:t>为基数计算出的监理费</w:t>
      </w:r>
      <w:r>
        <w:rPr>
          <w:rFonts w:hint="eastAsia"/>
          <w:color w:val="auto"/>
          <w:szCs w:val="21"/>
          <w:highlight w:val="none"/>
          <w:u w:val="single"/>
          <w:lang w:val="en-US" w:eastAsia="zh-CN"/>
        </w:rPr>
        <w:t xml:space="preserve"> </w:t>
      </w:r>
      <w:r>
        <w:rPr>
          <w:rFonts w:hint="eastAsia"/>
          <w:color w:val="auto"/>
          <w:szCs w:val="21"/>
          <w:highlight w:val="none"/>
        </w:rPr>
        <w:t>×</w:t>
      </w:r>
      <w:r>
        <w:rPr>
          <w:rFonts w:hint="eastAsia" w:ascii="宋体" w:hAnsi="宋体" w:cs="宋体"/>
          <w:color w:val="auto"/>
          <w:sz w:val="21"/>
          <w:szCs w:val="21"/>
          <w:highlight w:val="none"/>
          <w:lang w:val="en-US" w:eastAsia="zh-CN"/>
        </w:rPr>
        <w:t>中标费率</w:t>
      </w:r>
      <w:r>
        <w:rPr>
          <w:rFonts w:hint="eastAsia" w:ascii="宋体" w:hAnsi="宋体" w:cs="宋体"/>
          <w:color w:val="auto"/>
          <w:sz w:val="21"/>
          <w:szCs w:val="21"/>
          <w:highlight w:val="none"/>
          <w:lang w:eastAsia="zh-CN"/>
        </w:rPr>
        <w:t>（）</w:t>
      </w:r>
      <w:r>
        <w:rPr>
          <w:rFonts w:hint="eastAsia"/>
          <w:color w:val="auto"/>
          <w:szCs w:val="21"/>
          <w:highlight w:val="none"/>
        </w:rPr>
        <w:t>。</w:t>
      </w:r>
      <w:r>
        <w:rPr>
          <w:rFonts w:ascii="宋体" w:hAnsi="宋体" w:eastAsia="宋体" w:cs="宋体"/>
          <w:color w:val="auto"/>
          <w:sz w:val="21"/>
          <w:szCs w:val="21"/>
          <w:highlight w:val="none"/>
        </w:rPr>
        <w:t>监理费费率及计算方法</w:t>
      </w:r>
      <w:r>
        <w:rPr>
          <w:rFonts w:hint="eastAsia" w:ascii="宋体" w:hAnsi="宋体" w:cs="宋体"/>
          <w:color w:val="auto"/>
          <w:sz w:val="21"/>
          <w:szCs w:val="21"/>
          <w:highlight w:val="none"/>
          <w:lang w:val="en-US" w:eastAsia="zh-CN"/>
        </w:rPr>
        <w:t>按照</w:t>
      </w:r>
      <w:r>
        <w:rPr>
          <w:rFonts w:ascii="宋体" w:hAnsi="宋体" w:eastAsia="宋体" w:cs="宋体"/>
          <w:color w:val="auto"/>
          <w:sz w:val="21"/>
          <w:szCs w:val="21"/>
          <w:highlight w:val="none"/>
        </w:rPr>
        <w:t>电网工程建设预算编制与计算规定（2018年版）（</w:t>
      </w:r>
      <w:r>
        <w:rPr>
          <w:rFonts w:hint="eastAsia" w:ascii="宋体" w:hAnsi="宋体" w:eastAsia="宋体" w:cs="宋体"/>
          <w:color w:val="auto"/>
          <w:sz w:val="21"/>
          <w:szCs w:val="21"/>
          <w:highlight w:val="none"/>
          <w:lang w:val="en-US" w:eastAsia="zh-CN"/>
        </w:rPr>
        <w:t>费率为</w:t>
      </w:r>
      <w:r>
        <w:rPr>
          <w:rFonts w:hint="eastAsia" w:hAnsi="宋体" w:cs="宋体"/>
          <w:color w:val="auto"/>
          <w:sz w:val="21"/>
          <w:szCs w:val="21"/>
          <w:highlight w:val="none"/>
          <w:lang w:val="en-US" w:eastAsia="zh-CN"/>
        </w:rPr>
        <w:t>3.32</w:t>
      </w:r>
      <w:r>
        <w:rPr>
          <w:rFonts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及中标费率</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ascii="宋体" w:hAnsi="宋体" w:eastAsia="宋体" w:cs="宋体"/>
          <w:color w:val="auto"/>
          <w:sz w:val="21"/>
          <w:szCs w:val="21"/>
          <w:highlight w:val="none"/>
        </w:rPr>
        <w:t>%）来计取，并按广东电网有限责任公司广州供电局认可</w:t>
      </w:r>
      <w:r>
        <w:rPr>
          <w:rFonts w:hint="eastAsia" w:hAnsi="宋体" w:cs="宋体"/>
          <w:color w:val="auto"/>
          <w:sz w:val="21"/>
          <w:szCs w:val="21"/>
          <w:highlight w:val="none"/>
          <w:lang w:val="en-US" w:eastAsia="zh-CN"/>
        </w:rPr>
        <w:t>的</w:t>
      </w:r>
      <w:r>
        <w:rPr>
          <w:rFonts w:ascii="宋体" w:hAnsi="宋体" w:eastAsia="宋体" w:cs="宋体"/>
          <w:color w:val="auto"/>
          <w:sz w:val="21"/>
          <w:szCs w:val="21"/>
          <w:highlight w:val="none"/>
        </w:rPr>
        <w:t>回购金额</w:t>
      </w:r>
      <w:r>
        <w:rPr>
          <w:rFonts w:hint="eastAsia" w:hAnsi="宋体" w:cs="宋体"/>
          <w:color w:val="auto"/>
          <w:sz w:val="21"/>
          <w:szCs w:val="21"/>
          <w:highlight w:val="none"/>
          <w:lang w:val="en-US" w:eastAsia="zh-CN"/>
        </w:rPr>
        <w:t>中的监理费</w:t>
      </w:r>
      <w:r>
        <w:rPr>
          <w:rFonts w:ascii="宋体" w:hAnsi="宋体" w:eastAsia="宋体" w:cs="宋体"/>
          <w:color w:val="auto"/>
          <w:sz w:val="21"/>
          <w:szCs w:val="21"/>
          <w:highlight w:val="none"/>
        </w:rPr>
        <w:t>为最终监理费。</w:t>
      </w:r>
    </w:p>
    <w:p w14:paraId="5BC6A9C7">
      <w:pPr>
        <w:spacing w:line="360" w:lineRule="auto"/>
        <w:ind w:firstLine="420" w:firstLineChars="200"/>
        <w:rPr>
          <w:color w:val="auto"/>
          <w:szCs w:val="21"/>
          <w:highlight w:val="none"/>
        </w:rPr>
      </w:pPr>
      <w:r>
        <w:rPr>
          <w:rFonts w:hint="eastAsia"/>
          <w:color w:val="auto"/>
          <w:szCs w:val="21"/>
          <w:highlight w:val="none"/>
        </w:rPr>
        <w:t>（c）其他：</w:t>
      </w:r>
      <w:permStart w:id="107" w:edGrp="everyone"/>
      <w:r>
        <w:rPr>
          <w:rFonts w:hint="eastAsia"/>
          <w:color w:val="auto"/>
          <w:szCs w:val="21"/>
          <w:highlight w:val="none"/>
          <w:u w:val="single"/>
        </w:rPr>
        <w:t xml:space="preserve">   </w:t>
      </w:r>
      <w:r>
        <w:rPr>
          <w:rFonts w:hint="eastAsia"/>
          <w:color w:val="auto"/>
          <w:szCs w:val="21"/>
          <w:highlight w:val="none"/>
          <w:u w:val="single"/>
          <w:lang w:val="en-US" w:eastAsia="zh-CN"/>
        </w:rPr>
        <w:t>/</w:t>
      </w:r>
      <w:r>
        <w:rPr>
          <w:rFonts w:hint="eastAsia"/>
          <w:color w:val="auto"/>
          <w:szCs w:val="21"/>
          <w:highlight w:val="none"/>
          <w:u w:val="single"/>
        </w:rPr>
        <w:t xml:space="preserve">  </w:t>
      </w:r>
      <w:r>
        <w:rPr>
          <w:rFonts w:hint="eastAsia"/>
          <w:color w:val="auto"/>
          <w:szCs w:val="21"/>
          <w:highlight w:val="none"/>
        </w:rPr>
        <w:t>。</w:t>
      </w:r>
      <w:permEnd w:id="107"/>
    </w:p>
    <w:p w14:paraId="3D564E03">
      <w:pPr>
        <w:numPr>
          <w:ilvl w:val="0"/>
          <w:numId w:val="2"/>
        </w:numPr>
        <w:spacing w:line="360" w:lineRule="auto"/>
        <w:ind w:firstLine="420" w:firstLineChars="200"/>
        <w:rPr>
          <w:color w:val="auto"/>
          <w:szCs w:val="21"/>
          <w:highlight w:val="none"/>
        </w:rPr>
      </w:pPr>
      <w:r>
        <w:rPr>
          <w:rFonts w:hint="eastAsia"/>
          <w:color w:val="auto"/>
          <w:szCs w:val="21"/>
          <w:highlight w:val="none"/>
        </w:rPr>
        <w:t>合同价格包含的风险范围和风险费用的计算方法</w:t>
      </w:r>
      <w:r>
        <w:rPr>
          <w:color w:val="auto"/>
          <w:szCs w:val="21"/>
          <w:highlight w:val="none"/>
        </w:rPr>
        <w:t>：</w:t>
      </w:r>
      <w:permStart w:id="108" w:edGrp="everyone"/>
      <w:r>
        <w:rPr>
          <w:rFonts w:hint="eastAsia"/>
          <w:color w:val="auto"/>
          <w:szCs w:val="21"/>
          <w:highlight w:val="none"/>
          <w:u w:val="single"/>
        </w:rPr>
        <w:t xml:space="preserve">     </w:t>
      </w:r>
      <w:r>
        <w:rPr>
          <w:rFonts w:hint="eastAsia"/>
          <w:color w:val="auto"/>
          <w:szCs w:val="21"/>
          <w:highlight w:val="none"/>
          <w:u w:val="single"/>
          <w:lang w:val="en-US" w:eastAsia="zh-CN"/>
        </w:rPr>
        <w:t>/</w:t>
      </w:r>
      <w:r>
        <w:rPr>
          <w:rFonts w:hint="eastAsia"/>
          <w:color w:val="auto"/>
          <w:szCs w:val="21"/>
          <w:highlight w:val="none"/>
          <w:u w:val="single"/>
        </w:rPr>
        <w:t xml:space="preserve">       </w:t>
      </w:r>
      <w:r>
        <w:rPr>
          <w:color w:val="auto"/>
          <w:szCs w:val="21"/>
          <w:highlight w:val="none"/>
        </w:rPr>
        <w:t>。</w:t>
      </w:r>
      <w:permEnd w:id="108"/>
    </w:p>
    <w:p w14:paraId="686EA4D6">
      <w:pPr>
        <w:numPr>
          <w:ilvl w:val="0"/>
          <w:numId w:val="2"/>
        </w:numPr>
        <w:spacing w:line="360" w:lineRule="auto"/>
        <w:ind w:firstLine="420" w:firstLineChars="200"/>
        <w:rPr>
          <w:color w:val="auto"/>
          <w:szCs w:val="21"/>
          <w:highlight w:val="none"/>
        </w:rPr>
      </w:pPr>
      <w:r>
        <w:rPr>
          <w:rFonts w:hint="eastAsia"/>
          <w:color w:val="auto"/>
          <w:szCs w:val="21"/>
          <w:highlight w:val="none"/>
        </w:rPr>
        <w:t>风险范围以外的合同价格的调整方法</w:t>
      </w:r>
      <w:r>
        <w:rPr>
          <w:color w:val="auto"/>
          <w:szCs w:val="21"/>
          <w:highlight w:val="none"/>
        </w:rPr>
        <w:t>：</w:t>
      </w:r>
      <w:r>
        <w:rPr>
          <w:rFonts w:hint="eastAsia"/>
          <w:color w:val="auto"/>
          <w:szCs w:val="21"/>
          <w:highlight w:val="none"/>
          <w:u w:val="single"/>
        </w:rPr>
        <w:t xml:space="preserve"> </w:t>
      </w:r>
      <w:permStart w:id="109" w:edGrp="everyone"/>
      <w:r>
        <w:rPr>
          <w:rFonts w:hint="eastAsia"/>
          <w:color w:val="auto"/>
          <w:szCs w:val="21"/>
          <w:highlight w:val="none"/>
          <w:u w:val="single"/>
        </w:rPr>
        <w:t xml:space="preserve">     </w:t>
      </w:r>
      <w:r>
        <w:rPr>
          <w:rFonts w:hint="eastAsia"/>
          <w:color w:val="auto"/>
          <w:szCs w:val="21"/>
          <w:highlight w:val="none"/>
          <w:u w:val="single"/>
          <w:lang w:val="en-US" w:eastAsia="zh-CN"/>
        </w:rPr>
        <w:t>/</w:t>
      </w:r>
      <w:r>
        <w:rPr>
          <w:rFonts w:hint="eastAsia"/>
          <w:color w:val="auto"/>
          <w:szCs w:val="21"/>
          <w:highlight w:val="none"/>
          <w:u w:val="single"/>
        </w:rPr>
        <w:t xml:space="preserve">      </w:t>
      </w:r>
      <w:r>
        <w:rPr>
          <w:color w:val="auto"/>
          <w:szCs w:val="21"/>
          <w:highlight w:val="none"/>
        </w:rPr>
        <w:t>。</w:t>
      </w:r>
      <w:permEnd w:id="109"/>
    </w:p>
    <w:p w14:paraId="17263750">
      <w:pPr>
        <w:spacing w:line="360" w:lineRule="auto"/>
        <w:ind w:firstLine="420" w:firstLineChars="200"/>
        <w:rPr>
          <w:color w:val="auto"/>
          <w:szCs w:val="21"/>
          <w:highlight w:val="none"/>
        </w:rPr>
      </w:pPr>
      <w:r>
        <w:rPr>
          <w:rFonts w:hint="eastAsia"/>
          <w:color w:val="auto"/>
          <w:highlight w:val="none"/>
        </w:rPr>
        <w:t>增加以下内容到第9.1.3款：</w:t>
      </w:r>
    </w:p>
    <w:p w14:paraId="5BAAE9D7">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除非另有书面协议，委托人应为额外服务向监理人支付；</w:t>
      </w:r>
    </w:p>
    <w:p w14:paraId="2A899DCA">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w:t>
      </w:r>
      <w:r>
        <w:rPr>
          <w:rFonts w:ascii="宋体" w:hAnsi="宋体" w:cs="宋体"/>
          <w:color w:val="auto"/>
          <w:kern w:val="0"/>
          <w:szCs w:val="21"/>
          <w:highlight w:val="none"/>
          <w:lang w:val="zh-CN"/>
        </w:rPr>
        <w:t>a）按</w:t>
      </w:r>
      <w:r>
        <w:rPr>
          <w:rFonts w:hint="eastAsia" w:ascii="宋体" w:hAnsi="宋体" w:cs="宋体"/>
          <w:color w:val="auto"/>
          <w:kern w:val="0"/>
          <w:szCs w:val="21"/>
          <w:highlight w:val="none"/>
          <w:lang w:val="zh-CN"/>
        </w:rPr>
        <w:t>监理人人员履行服务耗用的额外时间作为附加服务支付；</w:t>
      </w:r>
    </w:p>
    <w:p w14:paraId="0CBB948A">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w:t>
      </w:r>
      <w:r>
        <w:rPr>
          <w:rFonts w:ascii="宋体" w:hAnsi="宋体" w:cs="宋体"/>
          <w:color w:val="auto"/>
          <w:kern w:val="0"/>
          <w:szCs w:val="21"/>
          <w:highlight w:val="none"/>
          <w:lang w:val="zh-CN"/>
        </w:rPr>
        <w:t>b）</w:t>
      </w:r>
      <w:r>
        <w:rPr>
          <w:rFonts w:hint="eastAsia" w:ascii="宋体" w:hAnsi="宋体" w:cs="宋体"/>
          <w:color w:val="auto"/>
          <w:kern w:val="0"/>
          <w:szCs w:val="21"/>
          <w:highlight w:val="none"/>
          <w:lang w:val="zh-CN"/>
        </w:rPr>
        <w:t>监理人所有其他额外开支的净费用。</w:t>
      </w:r>
    </w:p>
    <w:p w14:paraId="27F8DE8C">
      <w:pPr>
        <w:pStyle w:val="4"/>
        <w:spacing w:line="240" w:lineRule="auto"/>
        <w:ind w:firstLine="137"/>
        <w:rPr>
          <w:rFonts w:ascii="Times New Roman"/>
          <w:color w:val="auto"/>
          <w:highlight w:val="none"/>
        </w:rPr>
      </w:pPr>
      <w:bookmarkStart w:id="240" w:name="_Toc28518"/>
      <w:r>
        <w:rPr>
          <w:rFonts w:hint="eastAsia" w:ascii="Times New Roman"/>
          <w:color w:val="auto"/>
          <w:highlight w:val="none"/>
        </w:rPr>
        <w:t>9</w:t>
      </w:r>
      <w:r>
        <w:rPr>
          <w:rFonts w:ascii="Times New Roman"/>
          <w:color w:val="auto"/>
          <w:highlight w:val="none"/>
        </w:rPr>
        <w:t xml:space="preserve">.2 </w:t>
      </w:r>
      <w:r>
        <w:rPr>
          <w:rFonts w:hint="eastAsia" w:ascii="Times New Roman"/>
          <w:color w:val="auto"/>
          <w:highlight w:val="none"/>
        </w:rPr>
        <w:t>预付款</w:t>
      </w:r>
      <w:bookmarkEnd w:id="240"/>
    </w:p>
    <w:p w14:paraId="36CE18A3">
      <w:pPr>
        <w:spacing w:line="360" w:lineRule="auto"/>
        <w:ind w:firstLine="420" w:firstLineChars="200"/>
        <w:rPr>
          <w:color w:val="auto"/>
          <w:szCs w:val="21"/>
          <w:highlight w:val="none"/>
        </w:rPr>
      </w:pPr>
      <w:r>
        <w:rPr>
          <w:rFonts w:hint="eastAsia"/>
          <w:color w:val="auto"/>
          <w:highlight w:val="none"/>
        </w:rPr>
        <w:t>增加以下内容到第9.2.1款：</w:t>
      </w:r>
    </w:p>
    <w:p w14:paraId="44D99759">
      <w:pPr>
        <w:pStyle w:val="8"/>
        <w:spacing w:line="360" w:lineRule="auto"/>
        <w:rPr>
          <w:rFonts w:hAnsi="宋体"/>
          <w:color w:val="auto"/>
          <w:szCs w:val="21"/>
          <w:highlight w:val="none"/>
          <w:u w:val="single"/>
        </w:rPr>
      </w:pPr>
      <w:r>
        <w:rPr>
          <w:rFonts w:hint="eastAsia"/>
          <w:color w:val="auto"/>
          <w:szCs w:val="21"/>
          <w:highlight w:val="none"/>
        </w:rPr>
        <w:t>预付款的额度</w:t>
      </w:r>
      <w:r>
        <w:rPr>
          <w:rFonts w:hint="eastAsia" w:hAnsi="宋体"/>
          <w:color w:val="auto"/>
          <w:szCs w:val="21"/>
          <w:highlight w:val="none"/>
        </w:rPr>
        <w:t>：</w:t>
      </w:r>
      <w:permStart w:id="110" w:edGrp="everyone"/>
      <w:r>
        <w:rPr>
          <w:rFonts w:hint="eastAsia" w:hAnsi="宋体"/>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u w:val="single"/>
          <w:lang w:val="en-US" w:eastAsia="zh-CN"/>
        </w:rPr>
        <w:t xml:space="preserve"> / </w:t>
      </w:r>
      <w:r>
        <w:rPr>
          <w:rFonts w:hint="eastAsia"/>
          <w:color w:val="auto"/>
          <w:szCs w:val="21"/>
          <w:highlight w:val="none"/>
          <w:u w:val="single"/>
        </w:rPr>
        <w:t xml:space="preserve">    </w:t>
      </w:r>
      <w:r>
        <w:rPr>
          <w:rFonts w:hint="eastAsia" w:hAnsi="宋体"/>
          <w:color w:val="auto"/>
          <w:szCs w:val="21"/>
          <w:highlight w:val="none"/>
          <w:u w:val="single"/>
        </w:rPr>
        <w:t>。</w:t>
      </w:r>
      <w:permEnd w:id="110"/>
    </w:p>
    <w:p w14:paraId="57FFA81D">
      <w:pPr>
        <w:spacing w:line="360" w:lineRule="auto"/>
        <w:ind w:firstLine="420" w:firstLineChars="200"/>
        <w:rPr>
          <w:color w:val="auto"/>
          <w:highlight w:val="none"/>
        </w:rPr>
      </w:pPr>
      <w:r>
        <w:rPr>
          <w:rFonts w:hint="eastAsia"/>
          <w:color w:val="auto"/>
          <w:highlight w:val="none"/>
        </w:rPr>
        <w:t>在合同生效且监理人提供履约担保</w:t>
      </w:r>
      <w:r>
        <w:rPr>
          <w:rFonts w:hint="eastAsia" w:ascii="宋体" w:hAnsi="宋体"/>
          <w:color w:val="auto"/>
          <w:szCs w:val="21"/>
          <w:highlight w:val="none"/>
        </w:rPr>
        <w:t>和付款申请</w:t>
      </w:r>
      <w:r>
        <w:rPr>
          <w:rFonts w:hint="eastAsia"/>
          <w:color w:val="auto"/>
          <w:highlight w:val="none"/>
        </w:rPr>
        <w:t>后</w:t>
      </w:r>
      <w:permStart w:id="111" w:edGrp="everyone"/>
      <w:r>
        <w:rPr>
          <w:rFonts w:hint="eastAsia"/>
          <w:color w:val="auto"/>
          <w:szCs w:val="21"/>
          <w:highlight w:val="none"/>
          <w:u w:val="single"/>
        </w:rPr>
        <w:t xml:space="preserve">  </w:t>
      </w:r>
      <w:r>
        <w:rPr>
          <w:rFonts w:hint="eastAsia"/>
          <w:color w:val="auto"/>
          <w:szCs w:val="21"/>
          <w:highlight w:val="none"/>
          <w:u w:val="single"/>
          <w:lang w:val="en-US" w:eastAsia="zh-CN"/>
        </w:rPr>
        <w:t xml:space="preserve"> / </w:t>
      </w:r>
      <w:r>
        <w:rPr>
          <w:rFonts w:hint="eastAsia"/>
          <w:color w:val="auto"/>
          <w:szCs w:val="21"/>
          <w:highlight w:val="none"/>
          <w:u w:val="single"/>
        </w:rPr>
        <w:t xml:space="preserve">  </w:t>
      </w:r>
      <w:permEnd w:id="111"/>
      <w:r>
        <w:rPr>
          <w:rFonts w:hint="eastAsia"/>
          <w:color w:val="auto"/>
          <w:highlight w:val="none"/>
        </w:rPr>
        <w:t>日内，委托人向监理人支付合同总价的</w:t>
      </w:r>
      <w:sdt>
        <w:sdtPr>
          <w:rPr>
            <w:rFonts w:hint="eastAsia" w:ascii="Times New Roman" w:hAnsi="宋体" w:eastAsia="宋体" w:cs="Times New Roman"/>
            <w:color w:val="auto"/>
            <w:kern w:val="2"/>
            <w:sz w:val="21"/>
            <w:szCs w:val="21"/>
            <w:highlight w:val="none"/>
            <w:u w:val="single"/>
            <w:lang w:val="en-US" w:eastAsia="zh-CN" w:bidi="ar-SA"/>
          </w:rPr>
          <w:alias w:val="预付款比例"/>
          <w:tag w:val="预付款比例"/>
          <w:id w:val="147458022"/>
          <w:placeholder>
            <w:docPart w:val="{9384143b-bda0-4814-96dd-a56729b0cc99}"/>
          </w:placeholder>
        </w:sdtPr>
        <w:sdtEndPr>
          <w:rPr>
            <w:rFonts w:hint="eastAsia" w:ascii="Times New Roman" w:hAnsi="宋体" w:eastAsia="宋体" w:cstheme="minorBidi"/>
            <w:color w:val="auto"/>
            <w:kern w:val="2"/>
            <w:sz w:val="28"/>
            <w:szCs w:val="36"/>
            <w:highlight w:val="none"/>
            <w:u w:val="single"/>
            <w:lang w:val="en-US" w:eastAsia="zh-CN" w:bidi="ar-SA"/>
          </w:rPr>
        </w:sdtEndPr>
        <w:sdtContent>
          <w:permStart w:id="112" w:edGrp="everyone"/>
          <w:r>
            <w:rPr>
              <w:rFonts w:hint="eastAsia"/>
              <w:color w:val="auto"/>
              <w:szCs w:val="21"/>
              <w:highlight w:val="none"/>
              <w:u w:val="single"/>
            </w:rPr>
            <w:t xml:space="preserve">  </w:t>
          </w:r>
          <w:r>
            <w:rPr>
              <w:rFonts w:hint="eastAsia"/>
              <w:color w:val="auto"/>
              <w:szCs w:val="21"/>
              <w:highlight w:val="none"/>
              <w:u w:val="single"/>
              <w:lang w:val="en-US" w:eastAsia="zh-CN"/>
            </w:rPr>
            <w:t xml:space="preserve"> / </w:t>
          </w:r>
          <w:r>
            <w:rPr>
              <w:rFonts w:hint="eastAsia"/>
              <w:color w:val="auto"/>
              <w:szCs w:val="21"/>
              <w:highlight w:val="none"/>
              <w:u w:val="single"/>
            </w:rPr>
            <w:t xml:space="preserve">  </w:t>
          </w:r>
          <w:permEnd w:id="112"/>
        </w:sdtContent>
      </w:sdt>
      <w:r>
        <w:rPr>
          <w:rFonts w:hint="eastAsia"/>
          <w:color w:val="auto"/>
          <w:highlight w:val="none"/>
        </w:rPr>
        <w:t>作为预付款。</w:t>
      </w:r>
    </w:p>
    <w:p w14:paraId="1F0C0414">
      <w:pPr>
        <w:pStyle w:val="8"/>
        <w:spacing w:line="360" w:lineRule="auto"/>
        <w:rPr>
          <w:rFonts w:hAnsi="宋体"/>
          <w:color w:val="auto"/>
          <w:szCs w:val="21"/>
          <w:highlight w:val="none"/>
          <w:u w:val="single"/>
        </w:rPr>
      </w:pPr>
      <w:r>
        <w:rPr>
          <w:rFonts w:hint="eastAsia"/>
          <w:color w:val="auto"/>
          <w:szCs w:val="21"/>
          <w:highlight w:val="none"/>
        </w:rPr>
        <w:t>预付款的抵扣方式</w:t>
      </w:r>
      <w:r>
        <w:rPr>
          <w:rFonts w:hint="eastAsia" w:hAnsi="宋体"/>
          <w:color w:val="auto"/>
          <w:szCs w:val="21"/>
          <w:highlight w:val="none"/>
        </w:rPr>
        <w:t>：</w:t>
      </w:r>
      <w:permStart w:id="113" w:edGrp="everyone"/>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w:t>
      </w:r>
      <w:r>
        <w:rPr>
          <w:rFonts w:hint="eastAsia" w:hAnsi="宋体"/>
          <w:color w:val="auto"/>
          <w:szCs w:val="21"/>
          <w:highlight w:val="none"/>
          <w:u w:val="single"/>
        </w:rPr>
        <w:t xml:space="preserve">     。</w:t>
      </w:r>
    </w:p>
    <w:permEnd w:id="113"/>
    <w:p w14:paraId="1BDE4CDF">
      <w:pPr>
        <w:pStyle w:val="4"/>
        <w:spacing w:line="240" w:lineRule="auto"/>
        <w:ind w:firstLine="137"/>
        <w:rPr>
          <w:rFonts w:ascii="Times New Roman"/>
          <w:color w:val="auto"/>
          <w:highlight w:val="none"/>
        </w:rPr>
      </w:pPr>
      <w:bookmarkStart w:id="241" w:name="_Toc22299"/>
      <w:r>
        <w:rPr>
          <w:rFonts w:hint="eastAsia" w:ascii="Times New Roman"/>
          <w:color w:val="auto"/>
          <w:highlight w:val="none"/>
        </w:rPr>
        <w:t>9</w:t>
      </w:r>
      <w:r>
        <w:rPr>
          <w:rFonts w:ascii="Times New Roman"/>
          <w:color w:val="auto"/>
          <w:highlight w:val="none"/>
        </w:rPr>
        <w:t xml:space="preserve">.3 </w:t>
      </w:r>
      <w:r>
        <w:rPr>
          <w:rFonts w:hint="eastAsia" w:ascii="Times New Roman"/>
          <w:color w:val="auto"/>
          <w:highlight w:val="none"/>
        </w:rPr>
        <w:t>中期支付</w:t>
      </w:r>
      <w:bookmarkEnd w:id="241"/>
    </w:p>
    <w:p w14:paraId="667AEF42">
      <w:pPr>
        <w:spacing w:line="360" w:lineRule="auto"/>
        <w:ind w:firstLine="420" w:firstLineChars="200"/>
        <w:rPr>
          <w:color w:val="auto"/>
          <w:szCs w:val="21"/>
          <w:highlight w:val="none"/>
        </w:rPr>
      </w:pPr>
      <w:r>
        <w:rPr>
          <w:rFonts w:hint="eastAsia"/>
          <w:color w:val="auto"/>
          <w:highlight w:val="none"/>
        </w:rPr>
        <w:t>增加以下内容到第9.3.2款：</w:t>
      </w:r>
    </w:p>
    <w:p w14:paraId="43CA1723">
      <w:pPr>
        <w:numPr>
          <w:ilvl w:val="0"/>
          <w:numId w:val="3"/>
        </w:numPr>
        <w:spacing w:line="360" w:lineRule="auto"/>
        <w:ind w:firstLine="420" w:firstLineChars="200"/>
        <w:rPr>
          <w:color w:val="auto"/>
          <w:highlight w:val="none"/>
        </w:rPr>
      </w:pPr>
      <w:r>
        <w:rPr>
          <w:rFonts w:hint="eastAsia"/>
          <w:color w:val="auto"/>
          <w:highlight w:val="none"/>
        </w:rPr>
        <w:t>委托人对监理人进度款申请的审批时间：</w:t>
      </w:r>
      <w:permStart w:id="114" w:edGrp="everyone"/>
      <w:r>
        <w:rPr>
          <w:rFonts w:hint="eastAsia"/>
          <w:color w:val="auto"/>
          <w:szCs w:val="21"/>
          <w:highlight w:val="none"/>
          <w:u w:val="single"/>
        </w:rPr>
        <w:t xml:space="preserve"> </w:t>
      </w:r>
      <w:r>
        <w:rPr>
          <w:rFonts w:hint="eastAsia"/>
          <w:color w:val="auto"/>
          <w:szCs w:val="21"/>
          <w:highlight w:val="none"/>
          <w:u w:val="single"/>
          <w:lang w:val="en-US" w:eastAsia="zh-CN"/>
        </w:rPr>
        <w:t>60天</w:t>
      </w:r>
      <w:r>
        <w:rPr>
          <w:rFonts w:hint="eastAsia"/>
          <w:color w:val="auto"/>
          <w:szCs w:val="21"/>
          <w:highlight w:val="none"/>
          <w:u w:val="single"/>
        </w:rPr>
        <w:t xml:space="preserve"> </w:t>
      </w:r>
      <w:r>
        <w:rPr>
          <w:color w:val="auto"/>
          <w:szCs w:val="21"/>
          <w:highlight w:val="none"/>
        </w:rPr>
        <w:t>。</w:t>
      </w:r>
      <w:permEnd w:id="114"/>
      <w:r>
        <w:rPr>
          <w:rFonts w:hint="eastAsia"/>
          <w:color w:val="auto"/>
          <w:highlight w:val="none"/>
        </w:rPr>
        <w:t xml:space="preserve"> </w:t>
      </w:r>
    </w:p>
    <w:p w14:paraId="0C98629A">
      <w:pPr>
        <w:spacing w:line="360" w:lineRule="auto"/>
        <w:ind w:firstLine="420" w:firstLineChars="200"/>
        <w:rPr>
          <w:color w:val="auto"/>
          <w:highlight w:val="none"/>
        </w:rPr>
      </w:pPr>
      <w:r>
        <w:rPr>
          <w:rFonts w:hint="eastAsia"/>
          <w:color w:val="auto"/>
          <w:highlight w:val="none"/>
        </w:rPr>
        <w:t>（2）委托人应在收到监理人提供的等额增值税专用发票后</w:t>
      </w:r>
      <w:r>
        <w:rPr>
          <w:rFonts w:hint="eastAsia"/>
          <w:color w:val="auto"/>
          <w:highlight w:val="none"/>
          <w:u w:val="single"/>
        </w:rPr>
        <w:t>28</w:t>
      </w:r>
      <w:r>
        <w:rPr>
          <w:rFonts w:hint="eastAsia"/>
          <w:color w:val="auto"/>
          <w:highlight w:val="none"/>
        </w:rPr>
        <w:t>日内完成支付该笔进度款。</w:t>
      </w:r>
    </w:p>
    <w:p w14:paraId="3C787122">
      <w:pPr>
        <w:spacing w:line="360" w:lineRule="auto"/>
        <w:ind w:firstLine="420" w:firstLineChars="200"/>
        <w:rPr>
          <w:color w:val="auto"/>
          <w:highlight w:val="none"/>
        </w:rPr>
      </w:pPr>
      <w:r>
        <w:rPr>
          <w:rFonts w:hint="eastAsia"/>
          <w:color w:val="auto"/>
          <w:highlight w:val="none"/>
        </w:rPr>
        <w:t>（3）</w:t>
      </w:r>
      <w:r>
        <w:rPr>
          <w:rFonts w:ascii="宋体" w:hAnsi="宋体"/>
          <w:color w:val="auto"/>
          <w:szCs w:val="21"/>
          <w:highlight w:val="none"/>
        </w:rPr>
        <w:t>中间支付</w:t>
      </w:r>
      <w:r>
        <w:rPr>
          <w:rFonts w:hint="eastAsia"/>
          <w:color w:val="auto"/>
          <w:highlight w:val="none"/>
        </w:rPr>
        <w:t>：</w:t>
      </w:r>
      <w:permStart w:id="115" w:edGrp="everyone"/>
      <w:r>
        <w:rPr>
          <w:rFonts w:hint="eastAsia"/>
          <w:color w:val="auto"/>
          <w:szCs w:val="21"/>
          <w:highlight w:val="none"/>
          <w:u w:val="single"/>
        </w:rPr>
        <w:t xml:space="preserve"> </w:t>
      </w:r>
      <w:r>
        <w:rPr>
          <w:rFonts w:hint="eastAsia"/>
          <w:b/>
          <w:color w:val="auto"/>
          <w:highlight w:val="none"/>
        </w:rPr>
        <w:t>①</w:t>
      </w:r>
      <w:r>
        <w:rPr>
          <w:color w:val="auto"/>
          <w:szCs w:val="21"/>
          <w:highlight w:val="none"/>
        </w:rPr>
        <w:t>。</w:t>
      </w:r>
      <w:permEnd w:id="115"/>
      <w:r>
        <w:rPr>
          <w:rFonts w:hint="eastAsia"/>
          <w:color w:val="auto"/>
          <w:highlight w:val="none"/>
        </w:rPr>
        <w:t xml:space="preserve"> </w:t>
      </w:r>
    </w:p>
    <w:p w14:paraId="6DA894EA">
      <w:pPr>
        <w:spacing w:line="360" w:lineRule="auto"/>
        <w:ind w:firstLine="422" w:firstLineChars="200"/>
        <w:rPr>
          <w:b/>
          <w:color w:val="auto"/>
          <w:highlight w:val="none"/>
        </w:rPr>
      </w:pPr>
      <w:r>
        <w:rPr>
          <w:rFonts w:hint="eastAsia"/>
          <w:b/>
          <w:color w:val="auto"/>
          <w:highlight w:val="none"/>
        </w:rPr>
        <w:t>①按工程性质，选择下述支付方式：</w:t>
      </w:r>
    </w:p>
    <w:p w14:paraId="1F94EED9">
      <w:pPr>
        <w:spacing w:line="360" w:lineRule="auto"/>
        <w:ind w:firstLine="422" w:firstLineChars="200"/>
        <w:rPr>
          <w:b/>
          <w:bCs/>
          <w:color w:val="auto"/>
          <w:highlight w:val="none"/>
        </w:rPr>
      </w:pPr>
      <w:r>
        <w:rPr>
          <w:rFonts w:hint="eastAsia"/>
          <w:b/>
          <w:bCs/>
          <w:color w:val="auto"/>
          <w:highlight w:val="none"/>
        </w:rPr>
        <w:t>变电</w:t>
      </w:r>
      <w:r>
        <w:rPr>
          <w:rFonts w:hint="eastAsia"/>
          <w:b/>
          <w:bCs/>
          <w:color w:val="auto"/>
          <w:highlight w:val="none"/>
          <w:lang w:val="en-US" w:eastAsia="zh-CN"/>
        </w:rPr>
        <w:t>站</w:t>
      </w:r>
      <w:r>
        <w:rPr>
          <w:rFonts w:hint="eastAsia"/>
          <w:b/>
          <w:bCs/>
          <w:color w:val="auto"/>
          <w:highlight w:val="none"/>
        </w:rPr>
        <w:t>工程：</w:t>
      </w:r>
    </w:p>
    <w:p w14:paraId="105FF4BC">
      <w:pPr>
        <w:spacing w:line="360" w:lineRule="auto"/>
        <w:ind w:firstLine="420" w:firstLineChars="200"/>
        <w:rPr>
          <w:color w:val="auto"/>
          <w:highlight w:val="none"/>
        </w:rPr>
      </w:pPr>
      <w:permStart w:id="116" w:edGrp="everyone"/>
      <w:r>
        <w:rPr>
          <w:rFonts w:hint="eastAsia"/>
          <w:color w:val="auto"/>
          <w:highlight w:val="none"/>
        </w:rPr>
        <w:t>a.</w:t>
      </w:r>
      <w:r>
        <w:rPr>
          <w:rFonts w:hint="eastAsia"/>
          <w:color w:val="auto"/>
          <w:highlight w:val="none"/>
          <w:u w:val="single"/>
        </w:rPr>
        <w:t>土建基础完成，</w:t>
      </w:r>
      <w:r>
        <w:rPr>
          <w:rFonts w:hint="eastAsia"/>
          <w:color w:val="auto"/>
          <w:highlight w:val="none"/>
        </w:rPr>
        <w:t>后支付合同监理费的</w:t>
      </w:r>
      <w:r>
        <w:rPr>
          <w:rFonts w:hint="eastAsia"/>
          <w:color w:val="auto"/>
          <w:highlight w:val="none"/>
          <w:u w:val="single"/>
        </w:rPr>
        <w:t>30%</w:t>
      </w:r>
      <w:r>
        <w:rPr>
          <w:rFonts w:hint="eastAsia"/>
          <w:color w:val="auto"/>
          <w:highlight w:val="none"/>
        </w:rPr>
        <w:t xml:space="preserve">； </w:t>
      </w:r>
    </w:p>
    <w:p w14:paraId="1C890EB4">
      <w:pPr>
        <w:spacing w:line="360" w:lineRule="auto"/>
        <w:ind w:firstLine="420" w:firstLineChars="200"/>
        <w:rPr>
          <w:color w:val="auto"/>
          <w:highlight w:val="none"/>
        </w:rPr>
      </w:pPr>
      <w:r>
        <w:rPr>
          <w:rFonts w:hint="eastAsia"/>
          <w:color w:val="auto"/>
          <w:highlight w:val="none"/>
        </w:rPr>
        <w:t>b.竣工验收投运并交清相关资料，支付合同监理费的</w:t>
      </w:r>
      <w:r>
        <w:rPr>
          <w:rFonts w:hint="eastAsia"/>
          <w:color w:val="auto"/>
          <w:highlight w:val="none"/>
          <w:u w:val="single"/>
          <w:lang w:val="en-US" w:eastAsia="zh-CN"/>
        </w:rPr>
        <w:t>60</w:t>
      </w:r>
      <w:r>
        <w:rPr>
          <w:rFonts w:hint="eastAsia"/>
          <w:color w:val="auto"/>
          <w:highlight w:val="none"/>
          <w:u w:val="single"/>
        </w:rPr>
        <w:t>%</w:t>
      </w:r>
    </w:p>
    <w:permEnd w:id="116"/>
    <w:p w14:paraId="0D5BA233">
      <w:pPr>
        <w:spacing w:line="360" w:lineRule="auto"/>
        <w:ind w:firstLine="420" w:firstLineChars="200"/>
        <w:rPr>
          <w:color w:val="auto"/>
          <w:highlight w:val="none"/>
        </w:rPr>
      </w:pPr>
      <w:r>
        <w:rPr>
          <w:rFonts w:hint="eastAsia"/>
          <w:color w:val="auto"/>
          <w:highlight w:val="none"/>
        </w:rPr>
        <w:t>（4）最终支付：所有项目最终成果等完成，考虑增加或减少单项工程引起的监理单位报酬增减，结算项目总监理费报酬。监理费用结算批复后，监理人提交金额为结算监理费用3%的质量保证金担保（担保的形式包括银行提供的保函、央企财务公司提供的保函、保险公司提供的国家认可的具有法律效力的保险等，格式自定，担保有效期与工程缺陷责任期一致），由委托人负责审查付款条件并办理结算余款的支付；</w:t>
      </w:r>
    </w:p>
    <w:p w14:paraId="17358A3B">
      <w:pPr>
        <w:spacing w:line="360" w:lineRule="auto"/>
        <w:ind w:firstLine="420" w:firstLineChars="200"/>
        <w:rPr>
          <w:rFonts w:hint="eastAsia"/>
          <w:color w:val="auto"/>
          <w:highlight w:val="none"/>
        </w:rPr>
      </w:pPr>
      <w:r>
        <w:rPr>
          <w:rFonts w:hint="eastAsia"/>
          <w:color w:val="auto"/>
          <w:highlight w:val="none"/>
        </w:rPr>
        <w:t>（5）</w:t>
      </w:r>
      <w:r>
        <w:rPr>
          <w:rFonts w:hint="eastAsia" w:ascii="宋体" w:hAnsi="宋体" w:cs="宋体"/>
          <w:color w:val="auto"/>
          <w:kern w:val="0"/>
          <w:szCs w:val="21"/>
          <w:highlight w:val="none"/>
        </w:rPr>
        <w:t>工程缺陷责任期如有需要延续的，监理人应确保质量保证金保函在缺陷责任期的延续期内有效。质量保证金支付执行《关于印发中国南方电网有限责任公司工程项目质量保证金管理工作指引的通知》。</w:t>
      </w:r>
    </w:p>
    <w:p w14:paraId="7656FCD8">
      <w:pPr>
        <w:spacing w:line="360" w:lineRule="auto"/>
        <w:ind w:firstLine="420" w:firstLineChars="200"/>
        <w:rPr>
          <w:color w:val="auto"/>
          <w:highlight w:val="none"/>
        </w:rPr>
      </w:pPr>
      <w:r>
        <w:rPr>
          <w:rFonts w:hint="eastAsia"/>
          <w:color w:val="auto"/>
          <w:highlight w:val="none"/>
        </w:rPr>
        <w:t>（6）每次付款前监理人需提供等额增值税专用发票。</w:t>
      </w:r>
    </w:p>
    <w:p w14:paraId="09ECFF01">
      <w:pPr>
        <w:spacing w:line="360"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（7）支付方式：</w:t>
      </w:r>
      <w:r>
        <w:rPr>
          <w:rFonts w:hint="eastAsia" w:ascii="Times New Roman" w:hAnsi="Times New Roman" w:eastAsia="宋体" w:cs="Times New Roman"/>
          <w:color w:val="auto"/>
          <w:highlight w:val="none"/>
          <w:lang w:val="en-US" w:eastAsia="zh-CN"/>
        </w:rPr>
        <w:t>包括电汇、转账、汇票、票据、支票和双方认可的其他支付方式。如需使用商业汇票进行支付的，由款项支付方承担资金成本（买方付息贴现）。</w:t>
      </w:r>
    </w:p>
    <w:p w14:paraId="7567FD78">
      <w:pPr>
        <w:spacing w:line="360" w:lineRule="auto"/>
        <w:ind w:firstLine="420" w:firstLineChars="200"/>
        <w:rPr>
          <w:rFonts w:ascii="宋体" w:hAnsi="宋体" w:cs="宋体"/>
          <w:color w:val="auto"/>
          <w:kern w:val="0"/>
          <w:szCs w:val="21"/>
          <w:highlight w:val="none"/>
        </w:rPr>
      </w:pPr>
      <w:r>
        <w:rPr>
          <w:rFonts w:hint="eastAsia"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rPr>
        <w:t>8</w:t>
      </w:r>
      <w:r>
        <w:rPr>
          <w:rFonts w:hint="eastAsia" w:ascii="Times New Roman" w:hAnsi="Times New Roman" w:eastAsia="宋体" w:cs="Times New Roman"/>
          <w:color w:val="auto"/>
          <w:highlight w:val="none"/>
        </w:rPr>
        <w:t>）监理人应在满足付款条件的前提下，提交书面付款申请并递交等额增值税专用发票等财务票据，因监理人未开具发票、</w:t>
      </w:r>
      <w:r>
        <w:rPr>
          <w:rFonts w:hint="eastAsia" w:ascii="宋体" w:hAnsi="宋体" w:cs="宋体"/>
          <w:color w:val="auto"/>
          <w:kern w:val="0"/>
          <w:szCs w:val="21"/>
          <w:highlight w:val="none"/>
        </w:rPr>
        <w:t>提交付款申请或开具的发票不符合规定导致委托人迟延支付上述款项的，委托人可以在监理人提供发票后付款，损失由监理人承担，委托人不负违约责任和损害赔偿责任。</w:t>
      </w:r>
    </w:p>
    <w:p w14:paraId="3170CE0F">
      <w:pPr>
        <w:spacing w:line="360" w:lineRule="auto"/>
        <w:ind w:firstLine="420" w:firstLineChars="200"/>
        <w:rPr>
          <w:color w:val="auto"/>
          <w:highlight w:val="none"/>
        </w:rPr>
      </w:pPr>
      <w:r>
        <w:rPr>
          <w:rFonts w:hint="eastAsia" w:ascii="宋体" w:hAnsi="宋体" w:cs="宋体"/>
          <w:color w:val="auto"/>
          <w:kern w:val="0"/>
          <w:szCs w:val="21"/>
          <w:highlight w:val="none"/>
        </w:rPr>
        <w:t>（</w:t>
      </w:r>
      <w:r>
        <w:rPr>
          <w:rFonts w:hint="default" w:ascii="宋体" w:hAnsi="宋体" w:cs="宋体"/>
          <w:color w:val="auto"/>
          <w:kern w:val="0"/>
          <w:szCs w:val="21"/>
          <w:highlight w:val="none"/>
          <w:lang w:val="en-US"/>
        </w:rPr>
        <w:t>9</w:t>
      </w:r>
      <w:r>
        <w:rPr>
          <w:rFonts w:hint="eastAsia" w:ascii="宋体" w:hAnsi="宋体" w:cs="宋体"/>
          <w:color w:val="auto"/>
          <w:kern w:val="0"/>
          <w:szCs w:val="21"/>
          <w:highlight w:val="none"/>
        </w:rPr>
        <w:t>）其他</w:t>
      </w:r>
      <w:permStart w:id="117" w:edGrp="everyone"/>
      <w:r>
        <w:rPr>
          <w:rFonts w:hint="eastAsia" w:ascii="宋体" w:hAnsi="宋体" w:cs="宋体"/>
          <w:color w:val="auto"/>
          <w:kern w:val="0"/>
          <w:szCs w:val="21"/>
          <w:highlight w:val="none"/>
        </w:rPr>
        <w:t>：</w:t>
      </w:r>
      <w:r>
        <w:rPr>
          <w:rFonts w:hint="eastAsia"/>
          <w:color w:val="auto"/>
          <w:szCs w:val="21"/>
          <w:highlight w:val="none"/>
          <w:u w:val="single"/>
        </w:rPr>
        <w:t xml:space="preserve">      </w:t>
      </w:r>
      <w:r>
        <w:rPr>
          <w:rFonts w:hint="eastAsia"/>
          <w:color w:val="auto"/>
          <w:szCs w:val="21"/>
          <w:highlight w:val="none"/>
          <w:u w:val="single"/>
          <w:lang w:val="en-US" w:eastAsia="zh-CN"/>
        </w:rPr>
        <w:t>/</w:t>
      </w:r>
      <w:r>
        <w:rPr>
          <w:rFonts w:hint="eastAsia"/>
          <w:color w:val="auto"/>
          <w:szCs w:val="21"/>
          <w:highlight w:val="none"/>
          <w:u w:val="single"/>
        </w:rPr>
        <w:t xml:space="preserve">      </w:t>
      </w:r>
      <w:r>
        <w:rPr>
          <w:color w:val="auto"/>
          <w:szCs w:val="21"/>
          <w:highlight w:val="none"/>
        </w:rPr>
        <w:t>。</w:t>
      </w:r>
      <w:permEnd w:id="117"/>
    </w:p>
    <w:p w14:paraId="7C044EF1">
      <w:pPr>
        <w:pStyle w:val="4"/>
        <w:spacing w:line="240" w:lineRule="auto"/>
        <w:ind w:firstLine="137"/>
        <w:rPr>
          <w:rFonts w:ascii="Times New Roman"/>
          <w:color w:val="auto"/>
          <w:highlight w:val="none"/>
        </w:rPr>
      </w:pPr>
      <w:bookmarkStart w:id="242" w:name="_Toc4164"/>
      <w:r>
        <w:rPr>
          <w:rFonts w:hint="eastAsia" w:ascii="Times New Roman"/>
          <w:color w:val="auto"/>
          <w:highlight w:val="none"/>
        </w:rPr>
        <w:t>9</w:t>
      </w:r>
      <w:r>
        <w:rPr>
          <w:rFonts w:ascii="Times New Roman"/>
          <w:color w:val="auto"/>
          <w:highlight w:val="none"/>
        </w:rPr>
        <w:t xml:space="preserve">.4 </w:t>
      </w:r>
      <w:r>
        <w:rPr>
          <w:rFonts w:hint="eastAsia" w:ascii="Times New Roman"/>
          <w:color w:val="auto"/>
          <w:highlight w:val="none"/>
        </w:rPr>
        <w:t>费用结算</w:t>
      </w:r>
      <w:bookmarkEnd w:id="242"/>
    </w:p>
    <w:p w14:paraId="5E9778C7">
      <w:pPr>
        <w:pStyle w:val="8"/>
        <w:spacing w:line="360" w:lineRule="auto"/>
        <w:ind w:left="0" w:leftChars="0" w:firstLine="0" w:firstLineChars="0"/>
        <w:rPr>
          <w:rFonts w:hint="default" w:hAnsi="宋体"/>
          <w:color w:val="auto"/>
          <w:szCs w:val="21"/>
          <w:highlight w:val="none"/>
          <w:u w:val="single"/>
          <w:lang w:val="en-US"/>
        </w:rPr>
      </w:pPr>
      <w:r>
        <w:rPr>
          <w:rFonts w:hint="eastAsia"/>
          <w:color w:val="auto"/>
          <w:highlight w:val="none"/>
        </w:rPr>
        <w:t>增加以下内容到第9.4款：</w:t>
      </w:r>
      <w:r>
        <w:rPr>
          <w:rFonts w:hint="default" w:ascii="Calibri" w:hAnsi="Calibri" w:cs="Calibri"/>
          <w:color w:val="auto"/>
          <w:szCs w:val="21"/>
          <w:highlight w:val="none"/>
        </w:rPr>
        <w:t>①</w:t>
      </w:r>
      <w:permStart w:id="118" w:edGrp="everyone"/>
      <w:r>
        <w:rPr>
          <w:rFonts w:hint="eastAsia" w:hAnsi="宋体"/>
          <w:color w:val="auto"/>
          <w:szCs w:val="21"/>
          <w:highlight w:val="none"/>
          <w:u w:val="single"/>
          <w:lang w:val="en-US" w:eastAsia="zh-CN"/>
        </w:rPr>
        <w:t xml:space="preserve">  。</w:t>
      </w:r>
    </w:p>
    <w:p w14:paraId="52EA48CB">
      <w:pPr>
        <w:pStyle w:val="5"/>
        <w:rPr>
          <w:rFonts w:hint="eastAsia" w:hAnsi="宋体"/>
          <w:color w:val="auto"/>
          <w:szCs w:val="21"/>
          <w:highlight w:val="none"/>
        </w:rPr>
      </w:pPr>
      <w:r>
        <w:rPr>
          <w:rFonts w:hint="eastAsia" w:hAnsi="宋体"/>
          <w:color w:val="auto"/>
          <w:szCs w:val="21"/>
          <w:highlight w:val="none"/>
        </w:rPr>
        <w:t>①</w:t>
      </w:r>
      <w:r>
        <w:rPr>
          <w:rFonts w:hint="eastAsia"/>
          <w:color w:val="auto"/>
          <w:highlight w:val="none"/>
          <w:lang w:val="en-US" w:eastAsia="zh-CN"/>
        </w:rPr>
        <w:t>经</w:t>
      </w:r>
      <w:r>
        <w:rPr>
          <w:rFonts w:ascii="宋体" w:hAnsi="宋体" w:eastAsia="宋体" w:cs="宋体"/>
          <w:color w:val="auto"/>
          <w:sz w:val="21"/>
          <w:szCs w:val="21"/>
          <w:highlight w:val="none"/>
        </w:rPr>
        <w:t>广东电网有限责任公司广州供电局审定后的（建筑工程费+安装工程费+编制基准期价差）</w:t>
      </w:r>
      <w:r>
        <w:rPr>
          <w:rFonts w:hint="eastAsia" w:ascii="宋体" w:hAnsi="宋体" w:cs="宋体"/>
          <w:color w:val="auto"/>
          <w:sz w:val="21"/>
          <w:szCs w:val="21"/>
          <w:highlight w:val="none"/>
          <w:lang w:val="en-US" w:eastAsia="zh-CN"/>
        </w:rPr>
        <w:t>金额</w:t>
      </w:r>
      <w:r>
        <w:rPr>
          <w:rFonts w:hint="eastAsia" w:hAnsi="宋体"/>
          <w:color w:val="auto"/>
          <w:szCs w:val="21"/>
          <w:highlight w:val="none"/>
        </w:rPr>
        <w:t>×</w:t>
      </w:r>
      <w:r>
        <w:rPr>
          <w:rFonts w:hint="eastAsia" w:hAnsi="宋体"/>
          <w:color w:val="auto"/>
          <w:szCs w:val="21"/>
          <w:highlight w:val="none"/>
          <w:lang w:val="en-US" w:eastAsia="zh-CN"/>
        </w:rPr>
        <w:t>中标费</w:t>
      </w:r>
      <w:r>
        <w:rPr>
          <w:rFonts w:hint="eastAsia" w:hAnsi="宋体"/>
          <w:color w:val="auto"/>
          <w:szCs w:val="21"/>
          <w:highlight w:val="none"/>
        </w:rPr>
        <w:t>率）×∑工程建设监理各阶段比例。</w:t>
      </w:r>
    </w:p>
    <w:p w14:paraId="7961F34A">
      <w:pPr>
        <w:pStyle w:val="5"/>
        <w:rPr>
          <w:rFonts w:hint="eastAsia" w:hAnsi="宋体"/>
          <w:color w:val="auto"/>
          <w:szCs w:val="21"/>
          <w:highlight w:val="none"/>
        </w:rPr>
      </w:pPr>
      <w:r>
        <w:rPr>
          <w:rFonts w:hint="eastAsia" w:hAnsi="宋体"/>
          <w:color w:val="auto"/>
          <w:szCs w:val="21"/>
          <w:highlight w:val="none"/>
        </w:rPr>
        <w:t>因规模变化需要调整可研、初设、施工图的，结算价按调整后</w:t>
      </w:r>
      <w:r>
        <w:rPr>
          <w:rFonts w:hint="eastAsia"/>
          <w:color w:val="auto"/>
          <w:highlight w:val="none"/>
          <w:lang w:val="en-US" w:eastAsia="zh-CN"/>
        </w:rPr>
        <w:t>经</w:t>
      </w:r>
      <w:r>
        <w:rPr>
          <w:rFonts w:ascii="宋体" w:hAnsi="宋体" w:eastAsia="宋体" w:cs="宋体"/>
          <w:color w:val="auto"/>
          <w:sz w:val="21"/>
          <w:szCs w:val="21"/>
          <w:highlight w:val="none"/>
        </w:rPr>
        <w:t>广东电网有限责任公司广州供电局审定后的（建筑工程费+安装工程费+编制基准期价差）</w:t>
      </w:r>
      <w:r>
        <w:rPr>
          <w:rFonts w:hint="eastAsia" w:ascii="宋体" w:hAnsi="宋体" w:cs="宋体"/>
          <w:color w:val="auto"/>
          <w:sz w:val="21"/>
          <w:szCs w:val="21"/>
          <w:highlight w:val="none"/>
          <w:lang w:val="en-US" w:eastAsia="zh-CN"/>
        </w:rPr>
        <w:t>金额</w:t>
      </w:r>
      <w:r>
        <w:rPr>
          <w:rFonts w:hint="eastAsia" w:hAnsi="宋体"/>
          <w:color w:val="auto"/>
          <w:szCs w:val="21"/>
          <w:highlight w:val="none"/>
        </w:rPr>
        <w:t>×中标</w:t>
      </w:r>
      <w:r>
        <w:rPr>
          <w:rFonts w:hint="eastAsia" w:hAnsi="宋体"/>
          <w:color w:val="auto"/>
          <w:szCs w:val="21"/>
          <w:highlight w:val="none"/>
          <w:lang w:val="en-US" w:eastAsia="zh-CN"/>
        </w:rPr>
        <w:t>费</w:t>
      </w:r>
      <w:r>
        <w:rPr>
          <w:rFonts w:hint="eastAsia" w:hAnsi="宋体"/>
          <w:color w:val="auto"/>
          <w:szCs w:val="21"/>
          <w:highlight w:val="none"/>
        </w:rPr>
        <w:t>率×∑工程建设监理各阶段比例进行结算。</w:t>
      </w:r>
    </w:p>
    <w:p w14:paraId="5BF2B68D">
      <w:pPr>
        <w:pStyle w:val="8"/>
        <w:spacing w:line="360" w:lineRule="auto"/>
        <w:ind w:left="0" w:leftChars="0" w:firstLine="0" w:firstLineChars="0"/>
        <w:rPr>
          <w:rFonts w:hint="eastAsia" w:hAnsi="宋体"/>
          <w:color w:val="auto"/>
          <w:szCs w:val="21"/>
          <w:highlight w:val="none"/>
        </w:rPr>
      </w:pPr>
      <w:r>
        <w:rPr>
          <w:rFonts w:hint="eastAsia" w:hAnsi="宋体"/>
          <w:color w:val="auto"/>
          <w:szCs w:val="21"/>
          <w:highlight w:val="none"/>
        </w:rPr>
        <w:t>工程建设监理费用各阶段的比例：勘察阶段3%，设计阶段10%，施工阶段85%，保修阶段2%。</w:t>
      </w:r>
    </w:p>
    <w:permEnd w:id="118"/>
    <w:p w14:paraId="79889F70">
      <w:pPr>
        <w:pStyle w:val="4"/>
        <w:spacing w:line="240" w:lineRule="auto"/>
        <w:ind w:firstLine="137"/>
        <w:rPr>
          <w:rFonts w:ascii="Times New Roman"/>
          <w:color w:val="auto"/>
          <w:highlight w:val="none"/>
        </w:rPr>
      </w:pPr>
      <w:bookmarkStart w:id="243" w:name="_Toc9309"/>
      <w:r>
        <w:rPr>
          <w:rFonts w:hint="eastAsia" w:ascii="Times New Roman"/>
          <w:color w:val="auto"/>
          <w:highlight w:val="none"/>
        </w:rPr>
        <w:t>9</w:t>
      </w:r>
      <w:r>
        <w:rPr>
          <w:rFonts w:ascii="Times New Roman"/>
          <w:color w:val="auto"/>
          <w:highlight w:val="none"/>
        </w:rPr>
        <w:t>.</w:t>
      </w:r>
      <w:r>
        <w:rPr>
          <w:rFonts w:hint="eastAsia" w:ascii="Times New Roman"/>
          <w:color w:val="auto"/>
          <w:highlight w:val="none"/>
        </w:rPr>
        <w:t>5</w:t>
      </w:r>
      <w:r>
        <w:rPr>
          <w:rFonts w:ascii="Times New Roman"/>
          <w:color w:val="auto"/>
          <w:highlight w:val="none"/>
        </w:rPr>
        <w:t xml:space="preserve"> </w:t>
      </w:r>
      <w:r>
        <w:rPr>
          <w:rFonts w:hint="eastAsia" w:ascii="Times New Roman"/>
          <w:color w:val="auto"/>
          <w:highlight w:val="none"/>
        </w:rPr>
        <w:t>其他</w:t>
      </w:r>
      <w:bookmarkEnd w:id="243"/>
    </w:p>
    <w:p w14:paraId="254E8B7C">
      <w:pPr>
        <w:pStyle w:val="8"/>
        <w:spacing w:line="360" w:lineRule="auto"/>
        <w:rPr>
          <w:rFonts w:hAnsi="宋体"/>
          <w:b/>
          <w:bCs/>
          <w:color w:val="auto"/>
          <w:szCs w:val="21"/>
          <w:highlight w:val="none"/>
        </w:rPr>
      </w:pPr>
      <w:r>
        <w:rPr>
          <w:rFonts w:hint="eastAsia" w:hAnsi="宋体"/>
          <w:b/>
          <w:bCs/>
          <w:color w:val="auto"/>
          <w:szCs w:val="21"/>
          <w:highlight w:val="none"/>
        </w:rPr>
        <w:t>9.5.1</w:t>
      </w:r>
      <w:r>
        <w:rPr>
          <w:rFonts w:hint="eastAsia" w:hAnsi="宋体"/>
          <w:b/>
          <w:bCs/>
          <w:color w:val="auto"/>
          <w:szCs w:val="21"/>
          <w:highlight w:val="none"/>
          <w:lang w:val="zh-CN"/>
        </w:rPr>
        <w:t xml:space="preserve"> 第三方向监理人的收费</w:t>
      </w:r>
    </w:p>
    <w:p w14:paraId="275D31F7">
      <w:pPr>
        <w:spacing w:line="360" w:lineRule="auto"/>
        <w:ind w:firstLine="420" w:firstLineChars="200"/>
        <w:rPr>
          <w:rFonts w:ascii="宋体" w:hAnsi="宋体" w:cs="宋体"/>
          <w:color w:val="auto"/>
          <w:kern w:val="0"/>
          <w:szCs w:val="21"/>
          <w:highlight w:val="none"/>
          <w:u w:val="single"/>
          <w:lang w:val="zh-CN"/>
        </w:rPr>
      </w:pPr>
      <w:permStart w:id="119" w:edGrp="everyone"/>
      <w:r>
        <w:rPr>
          <w:rFonts w:hint="eastAsia" w:ascii="宋体" w:hAnsi="宋体" w:cs="宋体"/>
          <w:color w:val="auto"/>
          <w:kern w:val="0"/>
          <w:szCs w:val="21"/>
          <w:highlight w:val="none"/>
          <w:u w:val="single"/>
          <w:lang w:val="zh-CN"/>
        </w:rPr>
        <w:t>合同印花税、公证费双方各半，其余双方各自交纳己方税费。</w:t>
      </w:r>
    </w:p>
    <w:permEnd w:id="119"/>
    <w:p w14:paraId="2F61963B">
      <w:pPr>
        <w:pStyle w:val="8"/>
        <w:spacing w:line="360" w:lineRule="auto"/>
        <w:rPr>
          <w:rFonts w:hAnsi="宋体"/>
          <w:b/>
          <w:bCs/>
          <w:color w:val="auto"/>
          <w:szCs w:val="21"/>
          <w:highlight w:val="none"/>
        </w:rPr>
      </w:pPr>
      <w:r>
        <w:rPr>
          <w:rFonts w:hint="eastAsia" w:hAnsi="宋体"/>
          <w:b/>
          <w:bCs/>
          <w:color w:val="auto"/>
          <w:szCs w:val="21"/>
          <w:highlight w:val="none"/>
        </w:rPr>
        <w:t>9.5.2 有争议的请款申请</w:t>
      </w:r>
    </w:p>
    <w:p w14:paraId="2FAC1FB9">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委托人如果对于监理人提交的请款申请中任何一项或其一部分提出异议，应迅速发出通知说明理由，但不得推迟对请款申请中的其余各项的付款。对最终确定应支付给监理人的所有有争议的款额，应执行第11</w:t>
      </w:r>
      <w:r>
        <w:rPr>
          <w:rFonts w:ascii="宋体" w:hAnsi="宋体" w:cs="宋体"/>
          <w:color w:val="auto"/>
          <w:kern w:val="0"/>
          <w:szCs w:val="21"/>
          <w:highlight w:val="none"/>
        </w:rPr>
        <w:t>款的规定。</w:t>
      </w:r>
    </w:p>
    <w:p w14:paraId="2ADFD750">
      <w:pPr>
        <w:pStyle w:val="8"/>
        <w:spacing w:line="360" w:lineRule="auto"/>
        <w:rPr>
          <w:rFonts w:hAnsi="宋体"/>
          <w:b/>
          <w:bCs/>
          <w:color w:val="auto"/>
          <w:szCs w:val="21"/>
          <w:highlight w:val="none"/>
        </w:rPr>
      </w:pPr>
      <w:r>
        <w:rPr>
          <w:rFonts w:hint="eastAsia" w:hAnsi="宋体"/>
          <w:b/>
          <w:bCs/>
          <w:color w:val="auto"/>
          <w:szCs w:val="21"/>
          <w:highlight w:val="none"/>
        </w:rPr>
        <w:t>9.5.3 独立审计</w:t>
      </w:r>
    </w:p>
    <w:p w14:paraId="0F5832DD">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监理人应保存能清楚证明有关时间和费用的最新记录。</w:t>
      </w:r>
    </w:p>
    <w:p w14:paraId="4722E301">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除了合同规定固定总价支付外，在完成或终止服务后12个月内，委托人在提前7日以上发出通知，要求由委托人指定一家有声誉的会计师事务所对监理人申报的任何金额进行审计，该审计应在正常工作时间内到保存记录的办公室内进行。</w:t>
      </w:r>
    </w:p>
    <w:p w14:paraId="18B9F91C">
      <w:pPr>
        <w:pStyle w:val="8"/>
        <w:spacing w:line="360" w:lineRule="auto"/>
        <w:rPr>
          <w:rFonts w:hint="eastAsia" w:hAnsi="宋体"/>
          <w:color w:val="auto"/>
          <w:szCs w:val="21"/>
          <w:highlight w:val="none"/>
          <w:u w:val="single"/>
        </w:rPr>
      </w:pPr>
      <w:r>
        <w:rPr>
          <w:rFonts w:hint="eastAsia" w:hAnsi="宋体"/>
          <w:color w:val="auto"/>
          <w:szCs w:val="21"/>
          <w:highlight w:val="none"/>
        </w:rPr>
        <w:t>9.5.4 其他：</w:t>
      </w:r>
      <w:permStart w:id="120" w:edGrp="everyone"/>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w:t>
      </w:r>
      <w:r>
        <w:rPr>
          <w:rFonts w:hint="eastAsia" w:hAnsi="宋体"/>
          <w:color w:val="auto"/>
          <w:szCs w:val="21"/>
          <w:highlight w:val="none"/>
          <w:u w:val="single"/>
        </w:rPr>
        <w:t xml:space="preserve">    。</w:t>
      </w:r>
      <w:permEnd w:id="120"/>
    </w:p>
    <w:p w14:paraId="396824DE">
      <w:pPr>
        <w:pStyle w:val="3"/>
        <w:rPr>
          <w:rFonts w:ascii="Times New Roman" w:hAnsi="Times New Roman"/>
          <w:color w:val="auto"/>
          <w:highlight w:val="none"/>
        </w:rPr>
      </w:pPr>
      <w:bookmarkStart w:id="244" w:name="_Toc14343"/>
      <w:r>
        <w:rPr>
          <w:rFonts w:ascii="Times New Roman" w:hAnsi="Times New Roman"/>
          <w:color w:val="auto"/>
          <w:highlight w:val="none"/>
        </w:rPr>
        <w:t>1</w:t>
      </w:r>
      <w:r>
        <w:rPr>
          <w:rFonts w:hint="eastAsia" w:ascii="Times New Roman" w:hAnsi="Times New Roman"/>
          <w:color w:val="auto"/>
          <w:highlight w:val="none"/>
        </w:rPr>
        <w:t>0</w:t>
      </w:r>
      <w:r>
        <w:rPr>
          <w:rFonts w:ascii="Times New Roman" w:hAnsi="Times New Roman"/>
          <w:color w:val="auto"/>
          <w:highlight w:val="none"/>
        </w:rPr>
        <w:t>. 不可抗力</w:t>
      </w:r>
      <w:bookmarkEnd w:id="244"/>
    </w:p>
    <w:p w14:paraId="4F22114D">
      <w:pPr>
        <w:pStyle w:val="4"/>
        <w:spacing w:line="240" w:lineRule="auto"/>
        <w:ind w:firstLine="137"/>
        <w:rPr>
          <w:rFonts w:ascii="Times New Roman"/>
          <w:color w:val="auto"/>
          <w:highlight w:val="none"/>
        </w:rPr>
      </w:pPr>
      <w:bookmarkStart w:id="245" w:name="_Toc8475"/>
      <w:r>
        <w:rPr>
          <w:rFonts w:ascii="Times New Roman"/>
          <w:color w:val="auto"/>
          <w:highlight w:val="none"/>
        </w:rPr>
        <w:t>1</w:t>
      </w:r>
      <w:r>
        <w:rPr>
          <w:rFonts w:hint="eastAsia" w:ascii="Times New Roman"/>
          <w:color w:val="auto"/>
          <w:highlight w:val="none"/>
        </w:rPr>
        <w:t>0</w:t>
      </w:r>
      <w:r>
        <w:rPr>
          <w:rFonts w:ascii="Times New Roman"/>
          <w:color w:val="auto"/>
          <w:highlight w:val="none"/>
        </w:rPr>
        <w:t xml:space="preserve">.1 </w:t>
      </w:r>
      <w:r>
        <w:rPr>
          <w:rFonts w:hint="eastAsia" w:ascii="Times New Roman"/>
          <w:color w:val="auto"/>
          <w:highlight w:val="none"/>
        </w:rPr>
        <w:t>不可抗力的确认</w:t>
      </w:r>
      <w:bookmarkEnd w:id="245"/>
    </w:p>
    <w:p w14:paraId="6FA5885D">
      <w:pPr>
        <w:spacing w:line="360" w:lineRule="auto"/>
        <w:ind w:firstLine="420" w:firstLineChars="200"/>
        <w:rPr>
          <w:color w:val="auto"/>
          <w:highlight w:val="none"/>
        </w:rPr>
      </w:pPr>
      <w:r>
        <w:rPr>
          <w:rFonts w:hint="eastAsia"/>
          <w:color w:val="auto"/>
          <w:highlight w:val="none"/>
        </w:rPr>
        <w:t>增加以下内容到第10.1.1款：</w:t>
      </w:r>
    </w:p>
    <w:p w14:paraId="7BA12C99">
      <w:pPr>
        <w:spacing w:line="360" w:lineRule="auto"/>
        <w:ind w:firstLine="420" w:firstLineChars="200"/>
        <w:rPr>
          <w:color w:val="auto"/>
          <w:szCs w:val="21"/>
          <w:highlight w:val="none"/>
        </w:rPr>
      </w:pPr>
      <w:r>
        <w:rPr>
          <w:color w:val="auto"/>
          <w:szCs w:val="21"/>
          <w:highlight w:val="none"/>
        </w:rPr>
        <w:t>不可抗力</w:t>
      </w:r>
      <w:r>
        <w:rPr>
          <w:rFonts w:hint="eastAsia"/>
          <w:color w:val="auto"/>
          <w:szCs w:val="21"/>
          <w:highlight w:val="none"/>
        </w:rPr>
        <w:t>的其他情形：</w:t>
      </w:r>
      <w:permStart w:id="121" w:edGrp="everyone"/>
      <w:r>
        <w:rPr>
          <w:rFonts w:hint="eastAsia"/>
          <w:color w:val="auto"/>
          <w:szCs w:val="21"/>
          <w:highlight w:val="none"/>
          <w:u w:val="single"/>
        </w:rPr>
        <w:t xml:space="preserve">      </w:t>
      </w:r>
      <w:r>
        <w:rPr>
          <w:rFonts w:hint="eastAsia"/>
          <w:color w:val="auto"/>
          <w:szCs w:val="21"/>
          <w:highlight w:val="none"/>
          <w:u w:val="single"/>
          <w:lang w:val="en-US" w:eastAsia="zh-CN"/>
        </w:rPr>
        <w:t>/</w:t>
      </w:r>
      <w:r>
        <w:rPr>
          <w:rFonts w:hint="eastAsia"/>
          <w:color w:val="auto"/>
          <w:szCs w:val="21"/>
          <w:highlight w:val="none"/>
          <w:u w:val="single"/>
        </w:rPr>
        <w:t xml:space="preserve">      </w:t>
      </w:r>
      <w:r>
        <w:rPr>
          <w:color w:val="auto"/>
          <w:szCs w:val="21"/>
          <w:highlight w:val="none"/>
        </w:rPr>
        <w:t>。</w:t>
      </w:r>
      <w:permEnd w:id="121"/>
    </w:p>
    <w:p w14:paraId="17AAABB1">
      <w:pPr>
        <w:pStyle w:val="3"/>
        <w:rPr>
          <w:rFonts w:ascii="Times New Roman" w:hAnsi="Times New Roman"/>
          <w:color w:val="auto"/>
          <w:highlight w:val="none"/>
        </w:rPr>
      </w:pPr>
      <w:bookmarkStart w:id="246" w:name="_Toc32213"/>
      <w:r>
        <w:rPr>
          <w:rFonts w:ascii="Times New Roman" w:hAnsi="Times New Roman"/>
          <w:color w:val="auto"/>
          <w:highlight w:val="none"/>
        </w:rPr>
        <w:t>1</w:t>
      </w:r>
      <w:r>
        <w:rPr>
          <w:rFonts w:hint="eastAsia" w:ascii="Times New Roman" w:hAnsi="Times New Roman"/>
          <w:color w:val="auto"/>
          <w:highlight w:val="none"/>
        </w:rPr>
        <w:t>1</w:t>
      </w:r>
      <w:r>
        <w:rPr>
          <w:rFonts w:ascii="Times New Roman" w:hAnsi="Times New Roman"/>
          <w:color w:val="auto"/>
          <w:highlight w:val="none"/>
        </w:rPr>
        <w:t>. 违约</w:t>
      </w:r>
      <w:bookmarkEnd w:id="246"/>
    </w:p>
    <w:p w14:paraId="00162943">
      <w:pPr>
        <w:spacing w:line="360" w:lineRule="auto"/>
        <w:ind w:firstLine="420" w:firstLineChars="200"/>
        <w:rPr>
          <w:color w:val="auto"/>
          <w:highlight w:val="none"/>
        </w:rPr>
      </w:pPr>
      <w:r>
        <w:rPr>
          <w:rFonts w:hint="eastAsia"/>
          <w:color w:val="auto"/>
          <w:highlight w:val="none"/>
        </w:rPr>
        <w:t>增加以下内容到第11款：</w:t>
      </w:r>
    </w:p>
    <w:p w14:paraId="26DA338B">
      <w:pPr>
        <w:pStyle w:val="4"/>
        <w:spacing w:line="240" w:lineRule="auto"/>
        <w:ind w:firstLine="137"/>
        <w:rPr>
          <w:rFonts w:ascii="Times New Roman"/>
          <w:color w:val="auto"/>
          <w:highlight w:val="none"/>
        </w:rPr>
      </w:pPr>
      <w:bookmarkStart w:id="247" w:name="_Toc21300"/>
      <w:r>
        <w:rPr>
          <w:rFonts w:ascii="Times New Roman"/>
          <w:color w:val="auto"/>
          <w:highlight w:val="none"/>
        </w:rPr>
        <w:t>1</w:t>
      </w:r>
      <w:r>
        <w:rPr>
          <w:rFonts w:hint="eastAsia" w:ascii="Times New Roman"/>
          <w:color w:val="auto"/>
          <w:highlight w:val="none"/>
        </w:rPr>
        <w:t>1</w:t>
      </w:r>
      <w:r>
        <w:rPr>
          <w:rFonts w:ascii="Times New Roman"/>
          <w:color w:val="auto"/>
          <w:highlight w:val="none"/>
        </w:rPr>
        <w:t>.</w:t>
      </w:r>
      <w:r>
        <w:rPr>
          <w:rFonts w:hint="eastAsia" w:ascii="Times New Roman"/>
          <w:color w:val="auto"/>
          <w:highlight w:val="none"/>
        </w:rPr>
        <w:t>4</w:t>
      </w:r>
      <w:r>
        <w:rPr>
          <w:rFonts w:ascii="Times New Roman"/>
          <w:color w:val="auto"/>
          <w:highlight w:val="none"/>
        </w:rPr>
        <w:t xml:space="preserve"> </w:t>
      </w:r>
      <w:r>
        <w:rPr>
          <w:rFonts w:hint="eastAsia" w:ascii="Times New Roman"/>
          <w:color w:val="auto"/>
          <w:highlight w:val="none"/>
        </w:rPr>
        <w:t>违约的处理</w:t>
      </w:r>
      <w:bookmarkEnd w:id="247"/>
    </w:p>
    <w:p w14:paraId="1354C730">
      <w:pPr>
        <w:spacing w:line="360" w:lineRule="auto"/>
        <w:ind w:firstLine="420" w:firstLineChars="200"/>
        <w:rPr>
          <w:color w:val="auto"/>
          <w:szCs w:val="21"/>
          <w:highlight w:val="none"/>
          <w:lang w:val="zh-CN"/>
        </w:rPr>
      </w:pPr>
      <w:r>
        <w:rPr>
          <w:rFonts w:hint="eastAsia"/>
          <w:color w:val="auto"/>
          <w:szCs w:val="21"/>
          <w:highlight w:val="none"/>
        </w:rPr>
        <w:t xml:space="preserve">11.4.1 </w:t>
      </w:r>
      <w:r>
        <w:rPr>
          <w:rFonts w:hint="eastAsia"/>
          <w:color w:val="auto"/>
          <w:szCs w:val="21"/>
          <w:highlight w:val="none"/>
          <w:lang w:val="zh-CN"/>
        </w:rPr>
        <w:t>如果认为任何一方对另一方负有违约责任时，则仅应按下列条件支付赔偿：</w:t>
      </w:r>
    </w:p>
    <w:p w14:paraId="1AA7D557">
      <w:pPr>
        <w:spacing w:line="360" w:lineRule="auto"/>
        <w:ind w:firstLine="420" w:firstLineChars="200"/>
        <w:rPr>
          <w:color w:val="auto"/>
          <w:szCs w:val="21"/>
          <w:highlight w:val="none"/>
          <w:lang w:val="zh-CN"/>
        </w:rPr>
      </w:pPr>
      <w:r>
        <w:rPr>
          <w:rFonts w:hint="eastAsia"/>
          <w:color w:val="auto"/>
          <w:szCs w:val="21"/>
          <w:highlight w:val="none"/>
          <w:lang w:val="zh-CN"/>
        </w:rPr>
        <w:t>（</w:t>
      </w:r>
      <w:r>
        <w:rPr>
          <w:rFonts w:hint="eastAsia"/>
          <w:color w:val="auto"/>
          <w:szCs w:val="21"/>
          <w:highlight w:val="none"/>
        </w:rPr>
        <w:t>1）</w:t>
      </w:r>
      <w:r>
        <w:rPr>
          <w:rFonts w:hint="eastAsia"/>
          <w:color w:val="auto"/>
          <w:szCs w:val="21"/>
          <w:highlight w:val="none"/>
          <w:lang w:val="zh-CN"/>
        </w:rPr>
        <w:t>此类赔偿应限于由此违约所造成的可合理预见到的损失或损害的数额，而不牵连其他方面；</w:t>
      </w:r>
    </w:p>
    <w:p w14:paraId="44F82B36">
      <w:pPr>
        <w:spacing w:line="360" w:lineRule="auto"/>
        <w:ind w:firstLine="420" w:firstLineChars="200"/>
        <w:rPr>
          <w:color w:val="auto"/>
          <w:szCs w:val="21"/>
          <w:highlight w:val="none"/>
          <w:lang w:val="zh-CN"/>
        </w:rPr>
      </w:pPr>
      <w:r>
        <w:rPr>
          <w:rFonts w:hint="eastAsia"/>
          <w:color w:val="auto"/>
          <w:szCs w:val="21"/>
          <w:highlight w:val="none"/>
          <w:lang w:val="zh-CN"/>
        </w:rPr>
        <w:t>（</w:t>
      </w:r>
      <w:r>
        <w:rPr>
          <w:rFonts w:hint="eastAsia"/>
          <w:color w:val="auto"/>
          <w:szCs w:val="21"/>
          <w:highlight w:val="none"/>
        </w:rPr>
        <w:t>2</w:t>
      </w:r>
      <w:r>
        <w:rPr>
          <w:rFonts w:hint="eastAsia"/>
          <w:color w:val="auto"/>
          <w:szCs w:val="21"/>
          <w:highlight w:val="none"/>
          <w:lang w:val="zh-CN"/>
        </w:rPr>
        <w:t>）在任何情况下，此类赔偿的数额应限制在第</w:t>
      </w:r>
      <w:r>
        <w:rPr>
          <w:rFonts w:hint="eastAsia"/>
          <w:color w:val="auto"/>
          <w:szCs w:val="21"/>
          <w:highlight w:val="none"/>
        </w:rPr>
        <w:t>11.4.3</w:t>
      </w:r>
      <w:r>
        <w:rPr>
          <w:rFonts w:hint="eastAsia"/>
          <w:color w:val="auto"/>
          <w:szCs w:val="21"/>
          <w:highlight w:val="none"/>
          <w:lang w:val="zh-CN"/>
        </w:rPr>
        <w:t>款规定的数额；</w:t>
      </w:r>
    </w:p>
    <w:p w14:paraId="5E99FB3D">
      <w:pPr>
        <w:spacing w:line="360" w:lineRule="auto"/>
        <w:ind w:firstLine="420" w:firstLineChars="200"/>
        <w:rPr>
          <w:color w:val="auto"/>
          <w:szCs w:val="21"/>
          <w:highlight w:val="none"/>
          <w:lang w:val="zh-CN"/>
        </w:rPr>
      </w:pPr>
      <w:r>
        <w:rPr>
          <w:rFonts w:hint="eastAsia"/>
          <w:color w:val="auto"/>
          <w:szCs w:val="21"/>
          <w:highlight w:val="none"/>
          <w:lang w:val="zh-CN"/>
        </w:rPr>
        <w:t>（</w:t>
      </w:r>
      <w:r>
        <w:rPr>
          <w:rFonts w:hint="eastAsia"/>
          <w:color w:val="auto"/>
          <w:szCs w:val="21"/>
          <w:highlight w:val="none"/>
        </w:rPr>
        <w:t>3</w:t>
      </w:r>
      <w:r>
        <w:rPr>
          <w:rFonts w:hint="eastAsia"/>
          <w:color w:val="auto"/>
          <w:szCs w:val="21"/>
          <w:highlight w:val="none"/>
          <w:lang w:val="zh-CN"/>
        </w:rPr>
        <w:t>）如果认为任何一方与第三方共同对另一方负有责任时，任何一方有义务承担违约的全部责任。</w:t>
      </w:r>
    </w:p>
    <w:p w14:paraId="24888EDA">
      <w:pPr>
        <w:spacing w:line="360" w:lineRule="auto"/>
        <w:ind w:firstLine="420" w:firstLineChars="200"/>
        <w:rPr>
          <w:color w:val="auto"/>
          <w:szCs w:val="21"/>
          <w:highlight w:val="none"/>
        </w:rPr>
      </w:pPr>
      <w:r>
        <w:rPr>
          <w:rFonts w:hint="eastAsia"/>
          <w:color w:val="auto"/>
          <w:szCs w:val="21"/>
          <w:highlight w:val="none"/>
          <w:lang w:val="zh-CN"/>
        </w:rPr>
        <w:t>（</w:t>
      </w:r>
      <w:r>
        <w:rPr>
          <w:rFonts w:hint="eastAsia"/>
          <w:color w:val="auto"/>
          <w:szCs w:val="21"/>
          <w:highlight w:val="none"/>
        </w:rPr>
        <w:t>4</w:t>
      </w:r>
      <w:r>
        <w:rPr>
          <w:rFonts w:hint="eastAsia"/>
          <w:color w:val="auto"/>
          <w:szCs w:val="21"/>
          <w:highlight w:val="none"/>
          <w:lang w:val="zh-CN"/>
        </w:rPr>
        <w:t>）监理人不为在其服务范围外的由于委托人等他方的任何行为造成的任何损失承担责任；</w:t>
      </w:r>
    </w:p>
    <w:p w14:paraId="64387EF4">
      <w:pPr>
        <w:spacing w:line="360" w:lineRule="auto"/>
        <w:ind w:firstLine="420" w:firstLineChars="200"/>
        <w:rPr>
          <w:color w:val="auto"/>
          <w:szCs w:val="21"/>
          <w:highlight w:val="none"/>
        </w:rPr>
      </w:pPr>
      <w:r>
        <w:rPr>
          <w:rFonts w:hint="eastAsia"/>
          <w:color w:val="auto"/>
          <w:szCs w:val="21"/>
          <w:highlight w:val="none"/>
        </w:rPr>
        <w:t>（5）监理人应在知道或应当知道索赔事件发生后28 天内，向委托人递交索赔意向通知书，并说明发生索赔事件的事由。</w:t>
      </w:r>
    </w:p>
    <w:p w14:paraId="67FA3528">
      <w:pPr>
        <w:spacing w:line="360" w:lineRule="auto"/>
        <w:ind w:firstLine="420" w:firstLineChars="200"/>
        <w:rPr>
          <w:color w:val="auto"/>
          <w:szCs w:val="21"/>
          <w:highlight w:val="none"/>
        </w:rPr>
      </w:pPr>
      <w:r>
        <w:rPr>
          <w:rFonts w:hint="eastAsia"/>
          <w:color w:val="auto"/>
          <w:szCs w:val="21"/>
          <w:highlight w:val="none"/>
        </w:rPr>
        <w:t>除赔偿外，委托人有权根据监理人违约的严重程度采取以下措施，监理人应予以接受：</w:t>
      </w:r>
    </w:p>
    <w:p w14:paraId="420585F0">
      <w:pPr>
        <w:spacing w:line="360" w:lineRule="auto"/>
        <w:ind w:firstLine="422" w:firstLineChars="200"/>
        <w:rPr>
          <w:b/>
          <w:bCs/>
          <w:color w:val="auto"/>
          <w:szCs w:val="21"/>
          <w:highlight w:val="none"/>
        </w:rPr>
      </w:pPr>
      <w:r>
        <w:rPr>
          <w:rFonts w:cs="Calibri"/>
          <w:b/>
          <w:bCs/>
          <w:color w:val="auto"/>
          <w:szCs w:val="21"/>
          <w:highlight w:val="none"/>
        </w:rPr>
        <w:t>①</w:t>
      </w:r>
      <w:r>
        <w:rPr>
          <w:rFonts w:hint="eastAsia"/>
          <w:b/>
          <w:bCs/>
          <w:color w:val="auto"/>
          <w:szCs w:val="21"/>
          <w:highlight w:val="none"/>
        </w:rPr>
        <w:t>书面警告</w:t>
      </w:r>
    </w:p>
    <w:p w14:paraId="7417AC6B">
      <w:pPr>
        <w:spacing w:line="360" w:lineRule="auto"/>
        <w:ind w:firstLine="420" w:firstLineChars="200"/>
        <w:rPr>
          <w:color w:val="auto"/>
          <w:szCs w:val="21"/>
          <w:highlight w:val="none"/>
        </w:rPr>
      </w:pPr>
      <w:r>
        <w:rPr>
          <w:rFonts w:hint="eastAsia"/>
          <w:color w:val="auto"/>
          <w:szCs w:val="21"/>
          <w:highlight w:val="none"/>
        </w:rPr>
        <w:t>如果监理人有下列行为，委托人应有权向监理人发出书面</w:t>
      </w:r>
      <w:r>
        <w:rPr>
          <w:color w:val="auto"/>
          <w:szCs w:val="21"/>
          <w:highlight w:val="none"/>
        </w:rPr>
        <w:t>警告</w:t>
      </w:r>
      <w:r>
        <w:rPr>
          <w:rFonts w:hint="eastAsia"/>
          <w:color w:val="auto"/>
          <w:szCs w:val="21"/>
          <w:highlight w:val="none"/>
        </w:rPr>
        <w:t>：</w:t>
      </w:r>
    </w:p>
    <w:p w14:paraId="6E099F5F">
      <w:pPr>
        <w:spacing w:line="360" w:lineRule="auto"/>
        <w:ind w:firstLine="422" w:firstLineChars="200"/>
        <w:rPr>
          <w:b/>
          <w:bCs/>
          <w:color w:val="auto"/>
          <w:szCs w:val="21"/>
          <w:highlight w:val="none"/>
        </w:rPr>
      </w:pPr>
      <w:r>
        <w:rPr>
          <w:rFonts w:hint="eastAsia"/>
          <w:b/>
          <w:bCs/>
          <w:color w:val="auto"/>
          <w:szCs w:val="21"/>
          <w:highlight w:val="none"/>
        </w:rPr>
        <w:t>A</w:t>
      </w:r>
      <w:r>
        <w:rPr>
          <w:b/>
          <w:bCs/>
          <w:color w:val="auto"/>
          <w:szCs w:val="21"/>
          <w:highlight w:val="none"/>
        </w:rPr>
        <w:t xml:space="preserve"> </w:t>
      </w:r>
      <w:r>
        <w:rPr>
          <w:rFonts w:hint="eastAsia"/>
          <w:b/>
          <w:bCs/>
          <w:color w:val="auto"/>
          <w:szCs w:val="21"/>
          <w:highlight w:val="none"/>
        </w:rPr>
        <w:t>采购</w:t>
      </w:r>
      <w:r>
        <w:rPr>
          <w:b/>
          <w:bCs/>
          <w:color w:val="auto"/>
          <w:szCs w:val="21"/>
          <w:highlight w:val="none"/>
        </w:rPr>
        <w:t>管理</w:t>
      </w:r>
    </w:p>
    <w:p w14:paraId="5BC7BD73">
      <w:pPr>
        <w:spacing w:line="360" w:lineRule="auto"/>
        <w:ind w:firstLine="420" w:firstLineChars="200"/>
        <w:rPr>
          <w:color w:val="auto"/>
          <w:szCs w:val="21"/>
          <w:highlight w:val="none"/>
        </w:rPr>
      </w:pPr>
      <w:r>
        <w:rPr>
          <w:rFonts w:hint="eastAsia"/>
          <w:color w:val="auto"/>
          <w:szCs w:val="21"/>
          <w:highlight w:val="none"/>
        </w:rPr>
        <w:t>a. 若监理人连续两年呈红灯状态(N≥12分),除书面警告外,还可以停止其12个月以上参与</w:t>
      </w:r>
      <w:r>
        <w:rPr>
          <w:rFonts w:hint="eastAsia"/>
          <w:color w:val="auto"/>
          <w:szCs w:val="21"/>
          <w:highlight w:val="none"/>
          <w:lang w:val="en-US" w:eastAsia="zh-CN"/>
        </w:rPr>
        <w:t>中国</w:t>
      </w:r>
      <w:r>
        <w:rPr>
          <w:rFonts w:hint="eastAsia"/>
          <w:color w:val="auto"/>
          <w:szCs w:val="21"/>
          <w:highlight w:val="none"/>
        </w:rPr>
        <w:t>南方电网</w:t>
      </w:r>
      <w:r>
        <w:rPr>
          <w:rFonts w:hint="eastAsia"/>
          <w:color w:val="auto"/>
          <w:szCs w:val="21"/>
          <w:highlight w:val="none"/>
          <w:lang w:val="en-US" w:eastAsia="zh-CN"/>
        </w:rPr>
        <w:t>有限责任</w:t>
      </w:r>
      <w:r>
        <w:rPr>
          <w:rFonts w:hint="eastAsia"/>
          <w:color w:val="auto"/>
          <w:szCs w:val="21"/>
          <w:highlight w:val="none"/>
        </w:rPr>
        <w:t>公司</w:t>
      </w:r>
      <w:r>
        <w:rPr>
          <w:rFonts w:hint="eastAsia"/>
          <w:color w:val="auto"/>
          <w:szCs w:val="21"/>
          <w:highlight w:val="none"/>
          <w:lang w:val="en-US" w:eastAsia="zh-CN"/>
        </w:rPr>
        <w:t>范围内</w:t>
      </w:r>
      <w:r>
        <w:rPr>
          <w:rFonts w:hint="eastAsia"/>
          <w:color w:val="auto"/>
          <w:szCs w:val="21"/>
          <w:highlight w:val="none"/>
        </w:rPr>
        <w:t>基建工程投标资格（或经公司决定延长）以外，同时进行以下处罚：</w:t>
      </w:r>
    </w:p>
    <w:p w14:paraId="508144E0">
      <w:pPr>
        <w:spacing w:line="360" w:lineRule="auto"/>
        <w:ind w:firstLine="420" w:firstLineChars="200"/>
        <w:rPr>
          <w:color w:val="auto"/>
          <w:szCs w:val="21"/>
          <w:highlight w:val="none"/>
        </w:rPr>
      </w:pPr>
      <w:r>
        <w:rPr>
          <w:rFonts w:hint="eastAsia"/>
          <w:color w:val="auto"/>
          <w:szCs w:val="21"/>
          <w:highlight w:val="none"/>
        </w:rPr>
        <w:t>（a）不认可原审核钻级；</w:t>
      </w:r>
    </w:p>
    <w:p w14:paraId="7B930703">
      <w:pPr>
        <w:spacing w:line="360" w:lineRule="auto"/>
        <w:ind w:firstLine="420" w:firstLineChars="200"/>
        <w:rPr>
          <w:color w:val="auto"/>
          <w:szCs w:val="21"/>
          <w:highlight w:val="none"/>
        </w:rPr>
      </w:pPr>
      <w:r>
        <w:rPr>
          <w:rFonts w:hint="eastAsia"/>
          <w:color w:val="auto"/>
          <w:szCs w:val="21"/>
          <w:highlight w:val="none"/>
        </w:rPr>
        <w:t>（b）停止本年度及下一年度前6个月审核安排；</w:t>
      </w:r>
    </w:p>
    <w:p w14:paraId="751E94B2">
      <w:pPr>
        <w:spacing w:line="360" w:lineRule="auto"/>
        <w:ind w:firstLine="420" w:firstLineChars="200"/>
        <w:rPr>
          <w:color w:val="auto"/>
          <w:szCs w:val="21"/>
          <w:highlight w:val="none"/>
        </w:rPr>
      </w:pPr>
      <w:r>
        <w:rPr>
          <w:rFonts w:hint="eastAsia"/>
          <w:color w:val="auto"/>
          <w:szCs w:val="21"/>
          <w:highlight w:val="none"/>
        </w:rPr>
        <w:t>（c）取消原钻级招标加分。</w:t>
      </w:r>
    </w:p>
    <w:p w14:paraId="30724831">
      <w:pPr>
        <w:spacing w:line="360" w:lineRule="auto"/>
        <w:ind w:firstLine="420" w:firstLineChars="200"/>
        <w:rPr>
          <w:color w:val="auto"/>
          <w:szCs w:val="21"/>
          <w:highlight w:val="none"/>
        </w:rPr>
      </w:pPr>
      <w:r>
        <w:rPr>
          <w:rFonts w:hint="eastAsia"/>
          <w:color w:val="auto"/>
          <w:szCs w:val="21"/>
          <w:highlight w:val="none"/>
        </w:rPr>
        <w:t>b. 若监理人一年呈红灯状态(N≥12分)，除书面警告外,还可以立即取消其评价结果，待处罚期满验收合格后，由原评价单位对该</w:t>
      </w:r>
      <w:r>
        <w:rPr>
          <w:rFonts w:hint="eastAsia"/>
          <w:color w:val="auto"/>
          <w:szCs w:val="21"/>
          <w:highlight w:val="none"/>
          <w:lang w:val="en-US" w:eastAsia="zh-CN"/>
        </w:rPr>
        <w:t>监理人</w:t>
      </w:r>
      <w:r>
        <w:rPr>
          <w:rFonts w:hint="eastAsia"/>
          <w:color w:val="auto"/>
          <w:szCs w:val="21"/>
          <w:highlight w:val="none"/>
        </w:rPr>
        <w:t>上一年度评价结果进行修正，并停止其3-12个月内参与</w:t>
      </w:r>
      <w:r>
        <w:rPr>
          <w:rFonts w:hint="eastAsia"/>
          <w:color w:val="auto"/>
          <w:szCs w:val="21"/>
          <w:highlight w:val="none"/>
          <w:lang w:val="en-US" w:eastAsia="zh-CN"/>
        </w:rPr>
        <w:t>中国</w:t>
      </w:r>
      <w:r>
        <w:rPr>
          <w:rFonts w:hint="eastAsia"/>
          <w:color w:val="auto"/>
          <w:szCs w:val="21"/>
          <w:highlight w:val="none"/>
        </w:rPr>
        <w:t>南方电网</w:t>
      </w:r>
      <w:r>
        <w:rPr>
          <w:rFonts w:hint="eastAsia"/>
          <w:color w:val="auto"/>
          <w:szCs w:val="21"/>
          <w:highlight w:val="none"/>
          <w:lang w:val="en-US" w:eastAsia="zh-CN"/>
        </w:rPr>
        <w:t>有限责任</w:t>
      </w:r>
      <w:r>
        <w:rPr>
          <w:rFonts w:hint="eastAsia"/>
          <w:color w:val="auto"/>
          <w:szCs w:val="21"/>
          <w:highlight w:val="none"/>
        </w:rPr>
        <w:t>公司</w:t>
      </w:r>
      <w:r>
        <w:rPr>
          <w:rFonts w:hint="eastAsia"/>
          <w:color w:val="auto"/>
          <w:szCs w:val="21"/>
          <w:highlight w:val="none"/>
          <w:lang w:val="en-US" w:eastAsia="zh-CN"/>
        </w:rPr>
        <w:t>范围内</w:t>
      </w:r>
      <w:r>
        <w:rPr>
          <w:rFonts w:hint="eastAsia"/>
          <w:color w:val="auto"/>
          <w:szCs w:val="21"/>
          <w:highlight w:val="none"/>
        </w:rPr>
        <w:t>基建工程投标资格（情节严重的，经公司决定可延长），同时进行以下处罚：</w:t>
      </w:r>
    </w:p>
    <w:p w14:paraId="5049B2CE">
      <w:pPr>
        <w:spacing w:line="360" w:lineRule="auto"/>
        <w:ind w:firstLine="420" w:firstLineChars="200"/>
        <w:rPr>
          <w:color w:val="auto"/>
          <w:szCs w:val="21"/>
          <w:highlight w:val="none"/>
        </w:rPr>
      </w:pPr>
      <w:r>
        <w:rPr>
          <w:rFonts w:hint="eastAsia"/>
          <w:color w:val="auto"/>
          <w:szCs w:val="21"/>
          <w:highlight w:val="none"/>
        </w:rPr>
        <w:t>（a）所认可的审核钻级降两级；</w:t>
      </w:r>
    </w:p>
    <w:p w14:paraId="360A2035">
      <w:pPr>
        <w:spacing w:line="360" w:lineRule="auto"/>
        <w:ind w:firstLine="420" w:firstLineChars="200"/>
        <w:rPr>
          <w:color w:val="auto"/>
          <w:szCs w:val="21"/>
          <w:highlight w:val="none"/>
        </w:rPr>
      </w:pPr>
      <w:r>
        <w:rPr>
          <w:rFonts w:hint="eastAsia"/>
          <w:color w:val="auto"/>
          <w:szCs w:val="21"/>
          <w:highlight w:val="none"/>
        </w:rPr>
        <w:t>（b）停止本年度审核安排；</w:t>
      </w:r>
    </w:p>
    <w:p w14:paraId="69737C10">
      <w:pPr>
        <w:spacing w:line="360" w:lineRule="auto"/>
        <w:ind w:firstLine="420" w:firstLineChars="200"/>
        <w:rPr>
          <w:color w:val="auto"/>
          <w:szCs w:val="21"/>
          <w:highlight w:val="none"/>
        </w:rPr>
      </w:pPr>
      <w:r>
        <w:rPr>
          <w:rFonts w:hint="eastAsia"/>
          <w:color w:val="auto"/>
          <w:szCs w:val="21"/>
          <w:highlight w:val="none"/>
        </w:rPr>
        <w:t>（c）一年内取消招标加分。</w:t>
      </w:r>
    </w:p>
    <w:p w14:paraId="135728EB">
      <w:pPr>
        <w:spacing w:line="360" w:lineRule="auto"/>
        <w:ind w:firstLine="420" w:firstLineChars="200"/>
        <w:rPr>
          <w:color w:val="auto"/>
          <w:szCs w:val="21"/>
          <w:highlight w:val="none"/>
        </w:rPr>
      </w:pPr>
      <w:r>
        <w:rPr>
          <w:rFonts w:hint="eastAsia"/>
          <w:color w:val="auto"/>
          <w:szCs w:val="21"/>
          <w:highlight w:val="none"/>
        </w:rPr>
        <w:t>c. 若监理人连续两年呈黄灯状态（6分≤N＜12分）, 除书面警告外,还可以停止其3-12个月内参与</w:t>
      </w:r>
      <w:r>
        <w:rPr>
          <w:rFonts w:hint="eastAsia"/>
          <w:color w:val="auto"/>
          <w:szCs w:val="21"/>
          <w:highlight w:val="none"/>
          <w:lang w:val="en-US" w:eastAsia="zh-CN"/>
        </w:rPr>
        <w:t>中国</w:t>
      </w:r>
      <w:r>
        <w:rPr>
          <w:rFonts w:hint="eastAsia"/>
          <w:color w:val="auto"/>
          <w:szCs w:val="21"/>
          <w:highlight w:val="none"/>
        </w:rPr>
        <w:t>南方电网</w:t>
      </w:r>
      <w:r>
        <w:rPr>
          <w:rFonts w:hint="eastAsia"/>
          <w:color w:val="auto"/>
          <w:szCs w:val="21"/>
          <w:highlight w:val="none"/>
          <w:lang w:val="en-US" w:eastAsia="zh-CN"/>
        </w:rPr>
        <w:t>有限责任</w:t>
      </w:r>
      <w:r>
        <w:rPr>
          <w:rFonts w:hint="eastAsia"/>
          <w:color w:val="auto"/>
          <w:szCs w:val="21"/>
          <w:highlight w:val="none"/>
        </w:rPr>
        <w:t>公司</w:t>
      </w:r>
      <w:r>
        <w:rPr>
          <w:rFonts w:hint="eastAsia"/>
          <w:color w:val="auto"/>
          <w:szCs w:val="21"/>
          <w:highlight w:val="none"/>
          <w:lang w:val="en-US" w:eastAsia="zh-CN"/>
        </w:rPr>
        <w:t>范围内</w:t>
      </w:r>
      <w:r>
        <w:rPr>
          <w:rFonts w:hint="eastAsia"/>
          <w:color w:val="auto"/>
          <w:szCs w:val="21"/>
          <w:highlight w:val="none"/>
        </w:rPr>
        <w:t>基建工程投标资格以外，同时进行以下处罚：</w:t>
      </w:r>
    </w:p>
    <w:p w14:paraId="2FA533C1">
      <w:pPr>
        <w:spacing w:line="360" w:lineRule="auto"/>
        <w:ind w:firstLine="420" w:firstLineChars="200"/>
        <w:rPr>
          <w:color w:val="auto"/>
          <w:szCs w:val="21"/>
          <w:highlight w:val="none"/>
        </w:rPr>
      </w:pPr>
      <w:r>
        <w:rPr>
          <w:rFonts w:hint="eastAsia"/>
          <w:color w:val="auto"/>
          <w:szCs w:val="21"/>
          <w:highlight w:val="none"/>
        </w:rPr>
        <w:t>（a）所认可的审核钻级降一级；</w:t>
      </w:r>
    </w:p>
    <w:p w14:paraId="42D2DDB6">
      <w:pPr>
        <w:spacing w:line="360" w:lineRule="auto"/>
        <w:ind w:firstLine="420" w:firstLineChars="200"/>
        <w:rPr>
          <w:color w:val="auto"/>
          <w:szCs w:val="21"/>
          <w:highlight w:val="none"/>
        </w:rPr>
      </w:pPr>
      <w:r>
        <w:rPr>
          <w:rFonts w:hint="eastAsia"/>
          <w:color w:val="auto"/>
          <w:szCs w:val="21"/>
          <w:highlight w:val="none"/>
        </w:rPr>
        <w:t>（b）停止本年度审核安排；</w:t>
      </w:r>
    </w:p>
    <w:p w14:paraId="5E9CDB0E">
      <w:pPr>
        <w:spacing w:line="360" w:lineRule="auto"/>
        <w:ind w:firstLine="420" w:firstLineChars="200"/>
        <w:rPr>
          <w:color w:val="auto"/>
          <w:szCs w:val="21"/>
          <w:highlight w:val="none"/>
        </w:rPr>
      </w:pPr>
      <w:r>
        <w:rPr>
          <w:rFonts w:hint="eastAsia"/>
          <w:color w:val="auto"/>
          <w:szCs w:val="21"/>
          <w:highlight w:val="none"/>
        </w:rPr>
        <w:t>（c）一年内取消招标加分。</w:t>
      </w:r>
    </w:p>
    <w:p w14:paraId="32426A40">
      <w:pPr>
        <w:spacing w:line="360" w:lineRule="auto"/>
        <w:ind w:firstLine="420" w:firstLineChars="200"/>
        <w:rPr>
          <w:color w:val="auto"/>
          <w:szCs w:val="21"/>
          <w:highlight w:val="none"/>
        </w:rPr>
      </w:pPr>
      <w:r>
        <w:rPr>
          <w:rFonts w:hint="eastAsia"/>
          <w:color w:val="auto"/>
          <w:szCs w:val="21"/>
          <w:highlight w:val="none"/>
        </w:rPr>
        <w:t>d. 若监理人一年呈黄灯状态（6分≤N＜12分）, 除书面警告外,还可以要求企业安全第一责任人及分管负责人参加公司组织的安全教育以及在专题会议上发言，不按要求参加安全教育或未通过考核的将对该承包商处以暂停承接电网建设工程资格三个月的处罚（从处罚生效之日起计算），同时进行以下处罚：</w:t>
      </w:r>
    </w:p>
    <w:p w14:paraId="2401F0D3">
      <w:pPr>
        <w:spacing w:line="360" w:lineRule="auto"/>
        <w:ind w:firstLine="420" w:firstLineChars="200"/>
        <w:rPr>
          <w:color w:val="auto"/>
          <w:szCs w:val="21"/>
          <w:highlight w:val="none"/>
        </w:rPr>
      </w:pPr>
      <w:r>
        <w:rPr>
          <w:rFonts w:hint="eastAsia"/>
          <w:color w:val="auto"/>
          <w:szCs w:val="21"/>
          <w:highlight w:val="none"/>
        </w:rPr>
        <w:t>（a）对原审核钻级进行复核；</w:t>
      </w:r>
    </w:p>
    <w:p w14:paraId="53FF8504">
      <w:pPr>
        <w:spacing w:line="360" w:lineRule="auto"/>
        <w:ind w:firstLine="420" w:firstLineChars="200"/>
        <w:rPr>
          <w:color w:val="auto"/>
          <w:szCs w:val="21"/>
          <w:highlight w:val="none"/>
        </w:rPr>
      </w:pPr>
      <w:r>
        <w:rPr>
          <w:rFonts w:hint="eastAsia"/>
          <w:color w:val="auto"/>
          <w:szCs w:val="21"/>
          <w:highlight w:val="none"/>
        </w:rPr>
        <w:t>（b）停止本年度审核安排；</w:t>
      </w:r>
    </w:p>
    <w:p w14:paraId="671E5266">
      <w:pPr>
        <w:spacing w:line="360" w:lineRule="auto"/>
        <w:ind w:firstLine="420" w:firstLineChars="200"/>
        <w:rPr>
          <w:color w:val="auto"/>
          <w:szCs w:val="21"/>
          <w:highlight w:val="none"/>
        </w:rPr>
      </w:pPr>
      <w:r>
        <w:rPr>
          <w:rFonts w:hint="eastAsia"/>
          <w:color w:val="auto"/>
          <w:szCs w:val="21"/>
          <w:highlight w:val="none"/>
        </w:rPr>
        <w:t>（c）一年内在复核钻级招标加分基础上扣减0.5分。</w:t>
      </w:r>
    </w:p>
    <w:p w14:paraId="1B61122F">
      <w:pPr>
        <w:spacing w:line="360" w:lineRule="auto"/>
        <w:ind w:firstLine="420" w:firstLineChars="200"/>
        <w:rPr>
          <w:color w:val="auto"/>
          <w:szCs w:val="21"/>
          <w:highlight w:val="none"/>
        </w:rPr>
      </w:pPr>
      <w:r>
        <w:rPr>
          <w:rFonts w:hint="eastAsia"/>
          <w:color w:val="auto"/>
          <w:szCs w:val="21"/>
          <w:highlight w:val="none"/>
        </w:rPr>
        <w:t>e. 监理人未根据南方电网公司基建承包商管理要求做好登记建档工作。</w:t>
      </w:r>
    </w:p>
    <w:p w14:paraId="7822E775">
      <w:pPr>
        <w:spacing w:line="360" w:lineRule="auto"/>
        <w:ind w:firstLine="422" w:firstLineChars="200"/>
        <w:rPr>
          <w:b/>
          <w:bCs/>
          <w:color w:val="auto"/>
          <w:szCs w:val="21"/>
          <w:highlight w:val="none"/>
        </w:rPr>
      </w:pPr>
      <w:r>
        <w:rPr>
          <w:rFonts w:hint="eastAsia"/>
          <w:b/>
          <w:bCs/>
          <w:color w:val="auto"/>
          <w:szCs w:val="21"/>
          <w:highlight w:val="none"/>
        </w:rPr>
        <w:t>B</w:t>
      </w:r>
      <w:r>
        <w:rPr>
          <w:b/>
          <w:bCs/>
          <w:color w:val="auto"/>
          <w:szCs w:val="21"/>
          <w:highlight w:val="none"/>
        </w:rPr>
        <w:t xml:space="preserve"> </w:t>
      </w:r>
      <w:r>
        <w:rPr>
          <w:rFonts w:hint="eastAsia"/>
          <w:b/>
          <w:bCs/>
          <w:color w:val="auto"/>
          <w:szCs w:val="21"/>
          <w:highlight w:val="none"/>
        </w:rPr>
        <w:t>安全质量</w:t>
      </w:r>
      <w:r>
        <w:rPr>
          <w:b/>
          <w:bCs/>
          <w:color w:val="auto"/>
          <w:szCs w:val="21"/>
          <w:highlight w:val="none"/>
        </w:rPr>
        <w:t>管理</w:t>
      </w:r>
    </w:p>
    <w:p w14:paraId="315DDD76">
      <w:pPr>
        <w:spacing w:line="360" w:lineRule="auto"/>
        <w:ind w:firstLine="420" w:firstLineChars="200"/>
        <w:rPr>
          <w:color w:val="auto"/>
          <w:szCs w:val="21"/>
          <w:highlight w:val="none"/>
        </w:rPr>
      </w:pPr>
      <w:r>
        <w:rPr>
          <w:rFonts w:hint="eastAsia"/>
          <w:color w:val="auto"/>
          <w:szCs w:val="21"/>
          <w:highlight w:val="none"/>
        </w:rPr>
        <w:t>a. 工程建设过程中发生一、二级电力安全事件；除进行书面警告，还需</w:t>
      </w:r>
      <w:r>
        <w:rPr>
          <w:color w:val="auto"/>
          <w:szCs w:val="21"/>
          <w:highlight w:val="none"/>
        </w:rPr>
        <w:t>在</w:t>
      </w:r>
      <w:r>
        <w:rPr>
          <w:rFonts w:hint="eastAsia"/>
          <w:color w:val="auto"/>
          <w:szCs w:val="21"/>
          <w:highlight w:val="none"/>
        </w:rPr>
        <w:t>其</w:t>
      </w:r>
      <w:r>
        <w:rPr>
          <w:color w:val="auto"/>
          <w:szCs w:val="21"/>
          <w:highlight w:val="none"/>
        </w:rPr>
        <w:t>3-6个月内评标中扣1-3分，或停止其3-6个月内参与投标资格</w:t>
      </w:r>
      <w:r>
        <w:rPr>
          <w:rFonts w:hint="eastAsia"/>
          <w:color w:val="auto"/>
          <w:szCs w:val="21"/>
          <w:highlight w:val="none"/>
        </w:rPr>
        <w:t>。</w:t>
      </w:r>
    </w:p>
    <w:p w14:paraId="4CF845F0">
      <w:pPr>
        <w:spacing w:line="360" w:lineRule="auto"/>
        <w:ind w:firstLine="420" w:firstLineChars="200"/>
        <w:rPr>
          <w:color w:val="auto"/>
          <w:szCs w:val="21"/>
          <w:highlight w:val="none"/>
        </w:rPr>
      </w:pPr>
      <w:r>
        <w:rPr>
          <w:rFonts w:hint="eastAsia"/>
          <w:color w:val="auto"/>
          <w:szCs w:val="21"/>
          <w:highlight w:val="none"/>
        </w:rPr>
        <w:t>b. 监理人在基建安全管理中未贯彻安全生产方针，未制定安全生产责任制，未将安全责任制落实到项目总监、安全监理工程师、现场监理人员等具体岗位；</w:t>
      </w:r>
    </w:p>
    <w:p w14:paraId="29D23E9A">
      <w:pPr>
        <w:spacing w:line="360" w:lineRule="auto"/>
        <w:ind w:firstLine="420" w:firstLineChars="200"/>
        <w:rPr>
          <w:color w:val="auto"/>
          <w:szCs w:val="21"/>
          <w:highlight w:val="none"/>
        </w:rPr>
      </w:pPr>
      <w:r>
        <w:rPr>
          <w:rFonts w:hint="eastAsia"/>
          <w:color w:val="auto"/>
          <w:szCs w:val="21"/>
          <w:highlight w:val="none"/>
        </w:rPr>
        <w:t>c. 监理人未按照要求的时间审查承包人报审的施工组织设计、施工方案、专项方案等技术文件，并签署监理意见，导致工程无法开工而影响工程进度；</w:t>
      </w:r>
    </w:p>
    <w:p w14:paraId="63646D6D">
      <w:pPr>
        <w:spacing w:line="360" w:lineRule="auto"/>
        <w:ind w:firstLine="420" w:firstLineChars="200"/>
        <w:rPr>
          <w:color w:val="auto"/>
          <w:szCs w:val="21"/>
          <w:highlight w:val="none"/>
        </w:rPr>
      </w:pPr>
      <w:r>
        <w:rPr>
          <w:rFonts w:hint="eastAsia"/>
          <w:color w:val="auto"/>
          <w:szCs w:val="21"/>
          <w:highlight w:val="none"/>
        </w:rPr>
        <w:t>d. 监理人未监督承包人执行基建安全“四步法”或对执行基建安全“四步法”不到位的承包人未采取有效措施；</w:t>
      </w:r>
    </w:p>
    <w:p w14:paraId="252BCE87">
      <w:pPr>
        <w:spacing w:line="360" w:lineRule="auto"/>
        <w:ind w:firstLine="420" w:firstLineChars="200"/>
        <w:rPr>
          <w:color w:val="auto"/>
          <w:szCs w:val="21"/>
          <w:highlight w:val="none"/>
        </w:rPr>
      </w:pPr>
      <w:r>
        <w:rPr>
          <w:rFonts w:hint="eastAsia"/>
          <w:color w:val="auto"/>
          <w:szCs w:val="21"/>
          <w:highlight w:val="none"/>
        </w:rPr>
        <w:t>e. 监理人未督促承包人对施工机具开展“八步骤”管理或对施工机具“八步骤”管理不到位的承包人未采取有效措施；</w:t>
      </w:r>
    </w:p>
    <w:p w14:paraId="122F1092">
      <w:pPr>
        <w:spacing w:line="360" w:lineRule="auto"/>
        <w:ind w:firstLine="420" w:firstLineChars="200"/>
        <w:rPr>
          <w:color w:val="auto"/>
          <w:szCs w:val="21"/>
          <w:highlight w:val="none"/>
        </w:rPr>
      </w:pPr>
      <w:r>
        <w:rPr>
          <w:rFonts w:hint="eastAsia"/>
          <w:color w:val="auto"/>
          <w:szCs w:val="21"/>
          <w:highlight w:val="none"/>
        </w:rPr>
        <w:t>f. 监理人未监督承包人在基建项目现场推进“7S”管理，或对“7S”管理不到位的承包人未采取有效措施；</w:t>
      </w:r>
    </w:p>
    <w:p w14:paraId="03E1BA99">
      <w:pPr>
        <w:spacing w:line="360" w:lineRule="auto"/>
        <w:ind w:firstLine="420" w:firstLineChars="200"/>
        <w:rPr>
          <w:color w:val="auto"/>
          <w:szCs w:val="21"/>
          <w:highlight w:val="none"/>
        </w:rPr>
      </w:pPr>
      <w:r>
        <w:rPr>
          <w:rFonts w:hint="eastAsia"/>
          <w:color w:val="auto"/>
          <w:szCs w:val="21"/>
          <w:highlight w:val="none"/>
        </w:rPr>
        <w:t>g. 监理人未按照相关规定设置安全管理机构，不服从委托人管理；缺席安全会议三次；</w:t>
      </w:r>
    </w:p>
    <w:p w14:paraId="66A95AF5">
      <w:pPr>
        <w:spacing w:line="360" w:lineRule="auto"/>
        <w:ind w:firstLine="420" w:firstLineChars="200"/>
        <w:rPr>
          <w:color w:val="auto"/>
          <w:szCs w:val="21"/>
          <w:highlight w:val="none"/>
        </w:rPr>
      </w:pPr>
      <w:r>
        <w:rPr>
          <w:rFonts w:hint="eastAsia"/>
          <w:color w:val="auto"/>
          <w:szCs w:val="21"/>
          <w:highlight w:val="none"/>
        </w:rPr>
        <w:t>h. 监理人未建立有效的应急机构，未按照项目管理部门发布的工作要求开展应急响应工作；</w:t>
      </w:r>
    </w:p>
    <w:p w14:paraId="333B3348">
      <w:pPr>
        <w:spacing w:line="360" w:lineRule="auto"/>
        <w:ind w:firstLine="420" w:firstLineChars="200"/>
        <w:rPr>
          <w:color w:val="auto"/>
          <w:szCs w:val="21"/>
          <w:highlight w:val="none"/>
        </w:rPr>
      </w:pPr>
      <w:r>
        <w:rPr>
          <w:rFonts w:hint="eastAsia"/>
          <w:color w:val="auto"/>
          <w:szCs w:val="21"/>
          <w:highlight w:val="none"/>
        </w:rPr>
        <w:t>i. 监理人未监督承包人按照最新的《中国南方电网有限责任公司电网建设施工作业指导书》、《10kV～500kV输变电及配电工程质量验收与评定标准》开展施工、安装、验收等工作，对落实不到位的承包人未采取有效措施。</w:t>
      </w:r>
    </w:p>
    <w:p w14:paraId="65711C9A">
      <w:pPr>
        <w:spacing w:line="360" w:lineRule="auto"/>
        <w:ind w:firstLine="422" w:firstLineChars="200"/>
        <w:rPr>
          <w:b/>
          <w:bCs/>
          <w:color w:val="auto"/>
          <w:szCs w:val="21"/>
          <w:highlight w:val="none"/>
        </w:rPr>
      </w:pPr>
      <w:r>
        <w:rPr>
          <w:rFonts w:hint="eastAsia"/>
          <w:b/>
          <w:bCs/>
          <w:color w:val="auto"/>
          <w:szCs w:val="21"/>
          <w:highlight w:val="none"/>
        </w:rPr>
        <w:t>C</w:t>
      </w:r>
      <w:r>
        <w:rPr>
          <w:b/>
          <w:bCs/>
          <w:color w:val="auto"/>
          <w:szCs w:val="21"/>
          <w:highlight w:val="none"/>
        </w:rPr>
        <w:t xml:space="preserve"> </w:t>
      </w:r>
      <w:r>
        <w:rPr>
          <w:rFonts w:hint="eastAsia"/>
          <w:b/>
          <w:bCs/>
          <w:color w:val="auto"/>
          <w:szCs w:val="21"/>
          <w:highlight w:val="none"/>
        </w:rPr>
        <w:t>造价</w:t>
      </w:r>
      <w:r>
        <w:rPr>
          <w:b/>
          <w:bCs/>
          <w:color w:val="auto"/>
          <w:szCs w:val="21"/>
          <w:highlight w:val="none"/>
        </w:rPr>
        <w:t>管理</w:t>
      </w:r>
    </w:p>
    <w:p w14:paraId="57B35038">
      <w:pPr>
        <w:spacing w:line="360" w:lineRule="auto"/>
        <w:ind w:firstLine="420" w:firstLineChars="200"/>
        <w:rPr>
          <w:color w:val="auto"/>
          <w:szCs w:val="21"/>
          <w:highlight w:val="none"/>
        </w:rPr>
      </w:pPr>
      <w:r>
        <w:rPr>
          <w:rFonts w:hint="eastAsia"/>
          <w:color w:val="auto"/>
          <w:szCs w:val="21"/>
          <w:highlight w:val="none"/>
        </w:rPr>
        <w:t>监理人未履行合同约定造价管理义务。</w:t>
      </w:r>
    </w:p>
    <w:p w14:paraId="6F2D1438">
      <w:pPr>
        <w:spacing w:line="360" w:lineRule="auto"/>
        <w:ind w:firstLine="422" w:firstLineChars="200"/>
        <w:rPr>
          <w:b/>
          <w:bCs/>
          <w:color w:val="auto"/>
          <w:szCs w:val="21"/>
          <w:highlight w:val="none"/>
        </w:rPr>
      </w:pPr>
      <w:r>
        <w:rPr>
          <w:rFonts w:hint="eastAsia"/>
          <w:b/>
          <w:bCs/>
          <w:color w:val="auto"/>
          <w:szCs w:val="21"/>
          <w:highlight w:val="none"/>
        </w:rPr>
        <w:t>D 综合</w:t>
      </w:r>
      <w:r>
        <w:rPr>
          <w:b/>
          <w:bCs/>
          <w:color w:val="auto"/>
          <w:szCs w:val="21"/>
          <w:highlight w:val="none"/>
        </w:rPr>
        <w:t>管理</w:t>
      </w:r>
    </w:p>
    <w:p w14:paraId="4C4D8026">
      <w:pPr>
        <w:spacing w:line="360" w:lineRule="auto"/>
        <w:ind w:firstLine="420" w:firstLineChars="200"/>
        <w:rPr>
          <w:color w:val="auto"/>
          <w:szCs w:val="21"/>
          <w:highlight w:val="none"/>
        </w:rPr>
      </w:pPr>
      <w:r>
        <w:rPr>
          <w:rFonts w:hint="eastAsia"/>
          <w:color w:val="auto"/>
          <w:szCs w:val="21"/>
          <w:highlight w:val="none"/>
        </w:rPr>
        <w:t>监理</w:t>
      </w:r>
      <w:r>
        <w:rPr>
          <w:color w:val="auto"/>
          <w:szCs w:val="21"/>
          <w:highlight w:val="none"/>
        </w:rPr>
        <w:t>人</w:t>
      </w:r>
      <w:r>
        <w:rPr>
          <w:rFonts w:hint="eastAsia"/>
          <w:color w:val="auto"/>
          <w:szCs w:val="21"/>
          <w:highlight w:val="none"/>
        </w:rPr>
        <w:t>未</w:t>
      </w:r>
      <w:r>
        <w:rPr>
          <w:color w:val="auto"/>
          <w:szCs w:val="21"/>
          <w:highlight w:val="none"/>
        </w:rPr>
        <w:t>根据工程进展实际情况，及时更新信息系统数据，并保证数据质量</w:t>
      </w:r>
      <w:r>
        <w:rPr>
          <w:rFonts w:hint="eastAsia"/>
          <w:color w:val="auto"/>
          <w:szCs w:val="21"/>
          <w:highlight w:val="none"/>
        </w:rPr>
        <w:t>，详见第11.1款规定。</w:t>
      </w:r>
    </w:p>
    <w:p w14:paraId="391498C7">
      <w:pPr>
        <w:spacing w:line="360" w:lineRule="auto"/>
        <w:ind w:firstLine="422" w:firstLineChars="200"/>
        <w:rPr>
          <w:b/>
          <w:bCs/>
          <w:color w:val="auto"/>
          <w:szCs w:val="21"/>
          <w:highlight w:val="none"/>
        </w:rPr>
      </w:pPr>
      <w:r>
        <w:rPr>
          <w:rFonts w:cs="Calibri"/>
          <w:b/>
          <w:bCs/>
          <w:color w:val="auto"/>
          <w:szCs w:val="21"/>
          <w:highlight w:val="none"/>
        </w:rPr>
        <w:t>②</w:t>
      </w:r>
      <w:r>
        <w:rPr>
          <w:rFonts w:hint="eastAsia"/>
          <w:b/>
          <w:bCs/>
          <w:color w:val="auto"/>
          <w:szCs w:val="21"/>
          <w:highlight w:val="none"/>
        </w:rPr>
        <w:t xml:space="preserve">经济索赔 </w:t>
      </w:r>
    </w:p>
    <w:p w14:paraId="32C1FB11">
      <w:pPr>
        <w:spacing w:line="360" w:lineRule="auto"/>
        <w:ind w:firstLine="420" w:firstLineChars="200"/>
        <w:rPr>
          <w:color w:val="auto"/>
          <w:szCs w:val="21"/>
          <w:highlight w:val="none"/>
        </w:rPr>
      </w:pPr>
      <w:r>
        <w:rPr>
          <w:rFonts w:hint="eastAsia"/>
          <w:color w:val="auto"/>
          <w:szCs w:val="21"/>
          <w:highlight w:val="none"/>
        </w:rPr>
        <w:t>如果监理人有下列行为，委托人应有权向监理人提出</w:t>
      </w:r>
      <w:r>
        <w:rPr>
          <w:color w:val="auto"/>
          <w:szCs w:val="21"/>
          <w:highlight w:val="none"/>
        </w:rPr>
        <w:t>经济索赔</w:t>
      </w:r>
      <w:r>
        <w:rPr>
          <w:rFonts w:hint="eastAsia"/>
          <w:color w:val="auto"/>
          <w:szCs w:val="21"/>
          <w:highlight w:val="none"/>
        </w:rPr>
        <w:t>，每发生一次扣除合同总额的0.2%，累计最多可扣除合同总额的1%：</w:t>
      </w:r>
    </w:p>
    <w:p w14:paraId="40A7D88C">
      <w:pPr>
        <w:spacing w:line="360" w:lineRule="auto"/>
        <w:ind w:firstLine="422" w:firstLineChars="200"/>
        <w:rPr>
          <w:b/>
          <w:bCs/>
          <w:color w:val="auto"/>
          <w:szCs w:val="21"/>
          <w:highlight w:val="none"/>
        </w:rPr>
      </w:pPr>
      <w:r>
        <w:rPr>
          <w:rFonts w:hint="eastAsia"/>
          <w:b/>
          <w:bCs/>
          <w:color w:val="auto"/>
          <w:szCs w:val="21"/>
          <w:highlight w:val="none"/>
        </w:rPr>
        <w:t>A采购管理</w:t>
      </w:r>
    </w:p>
    <w:p w14:paraId="64BFAC0F">
      <w:pPr>
        <w:spacing w:line="360" w:lineRule="auto"/>
        <w:ind w:firstLine="420" w:firstLineChars="200"/>
        <w:rPr>
          <w:color w:val="auto"/>
          <w:szCs w:val="21"/>
          <w:highlight w:val="none"/>
        </w:rPr>
      </w:pPr>
      <w:r>
        <w:rPr>
          <w:rFonts w:hint="eastAsia"/>
          <w:color w:val="auto"/>
          <w:szCs w:val="21"/>
          <w:highlight w:val="none"/>
        </w:rPr>
        <w:t>a. 监理人</w:t>
      </w:r>
      <w:r>
        <w:rPr>
          <w:rFonts w:hint="eastAsia"/>
          <w:color w:val="auto"/>
          <w:szCs w:val="21"/>
          <w:highlight w:val="none"/>
          <w:lang w:val="en-US" w:eastAsia="zh-CN"/>
        </w:rPr>
        <w:t>未</w:t>
      </w:r>
      <w:r>
        <w:rPr>
          <w:rFonts w:hint="eastAsia"/>
          <w:color w:val="auto"/>
          <w:szCs w:val="21"/>
          <w:highlight w:val="none"/>
        </w:rPr>
        <w:t>根据南方电网公司基建承包商管理要求做好登记建档工作，经三次警告后仍未按要求完成登记建档工作的，最多可扣罚监理人合同总额的1%。</w:t>
      </w:r>
    </w:p>
    <w:p w14:paraId="6E0D5F15">
      <w:pPr>
        <w:spacing w:line="360" w:lineRule="auto"/>
        <w:ind w:firstLine="420" w:firstLineChars="200"/>
        <w:rPr>
          <w:color w:val="auto"/>
          <w:szCs w:val="21"/>
          <w:highlight w:val="none"/>
        </w:rPr>
      </w:pPr>
      <w:r>
        <w:rPr>
          <w:rFonts w:hint="eastAsia"/>
          <w:color w:val="auto"/>
          <w:szCs w:val="21"/>
          <w:highlight w:val="none"/>
        </w:rPr>
        <w:t xml:space="preserve">b. </w:t>
      </w:r>
      <w:r>
        <w:rPr>
          <w:color w:val="auto"/>
          <w:szCs w:val="21"/>
          <w:highlight w:val="none"/>
        </w:rPr>
        <w:t>在工程建设过程中</w:t>
      </w:r>
      <w:r>
        <w:rPr>
          <w:rFonts w:hint="eastAsia"/>
          <w:color w:val="auto"/>
          <w:szCs w:val="21"/>
          <w:highlight w:val="none"/>
        </w:rPr>
        <w:t>监理人</w:t>
      </w:r>
      <w:r>
        <w:rPr>
          <w:color w:val="auto"/>
          <w:szCs w:val="21"/>
          <w:highlight w:val="none"/>
        </w:rPr>
        <w:t>存在转包、</w:t>
      </w:r>
      <w:r>
        <w:rPr>
          <w:rFonts w:hint="eastAsia"/>
          <w:color w:val="auto"/>
          <w:szCs w:val="21"/>
          <w:highlight w:val="none"/>
        </w:rPr>
        <w:t>违法</w:t>
      </w:r>
      <w:r>
        <w:rPr>
          <w:color w:val="auto"/>
          <w:szCs w:val="21"/>
          <w:highlight w:val="none"/>
        </w:rPr>
        <w:t>分包及以包代管等触犯基建安全的行为</w:t>
      </w:r>
      <w:r>
        <w:rPr>
          <w:rFonts w:hint="eastAsia"/>
          <w:color w:val="auto"/>
          <w:szCs w:val="21"/>
          <w:highlight w:val="none"/>
        </w:rPr>
        <w:t>；</w:t>
      </w:r>
    </w:p>
    <w:p w14:paraId="242978AF">
      <w:pPr>
        <w:spacing w:line="360" w:lineRule="auto"/>
        <w:ind w:firstLine="422" w:firstLineChars="200"/>
        <w:rPr>
          <w:b/>
          <w:bCs/>
          <w:color w:val="auto"/>
          <w:szCs w:val="21"/>
          <w:highlight w:val="none"/>
        </w:rPr>
      </w:pPr>
      <w:r>
        <w:rPr>
          <w:rFonts w:hint="eastAsia"/>
          <w:b/>
          <w:bCs/>
          <w:color w:val="auto"/>
          <w:szCs w:val="21"/>
          <w:highlight w:val="none"/>
        </w:rPr>
        <w:t>B安全质量管理</w:t>
      </w:r>
    </w:p>
    <w:p w14:paraId="6278FACB">
      <w:pPr>
        <w:spacing w:line="360" w:lineRule="auto"/>
        <w:ind w:firstLine="420" w:firstLineChars="200"/>
        <w:rPr>
          <w:color w:val="auto"/>
          <w:szCs w:val="21"/>
          <w:highlight w:val="none"/>
        </w:rPr>
      </w:pPr>
      <w:r>
        <w:rPr>
          <w:rFonts w:hint="eastAsia"/>
          <w:color w:val="auto"/>
          <w:szCs w:val="21"/>
          <w:highlight w:val="none"/>
        </w:rPr>
        <w:t>a. 发生较大及以上安全质量事故；对监理人除上述经济索赔外，还进行如下惩罚：</w:t>
      </w:r>
    </w:p>
    <w:p w14:paraId="2CE7F8A5">
      <w:pPr>
        <w:spacing w:line="360" w:lineRule="auto"/>
        <w:ind w:firstLine="420" w:firstLineChars="200"/>
        <w:rPr>
          <w:color w:val="auto"/>
          <w:szCs w:val="21"/>
          <w:highlight w:val="none"/>
        </w:rPr>
      </w:pPr>
      <w:r>
        <w:rPr>
          <w:rFonts w:hint="eastAsia"/>
          <w:color w:val="auto"/>
          <w:szCs w:val="21"/>
          <w:highlight w:val="none"/>
        </w:rPr>
        <w:t>（a）</w:t>
      </w:r>
      <w:r>
        <w:rPr>
          <w:color w:val="auto"/>
          <w:szCs w:val="21"/>
          <w:highlight w:val="none"/>
        </w:rPr>
        <w:t>停止其12- 24个月内参与投标资格</w:t>
      </w:r>
      <w:r>
        <w:rPr>
          <w:rFonts w:hint="eastAsia"/>
          <w:color w:val="auto"/>
          <w:szCs w:val="21"/>
          <w:highlight w:val="none"/>
        </w:rPr>
        <w:t>；</w:t>
      </w:r>
    </w:p>
    <w:p w14:paraId="551DC2B4">
      <w:pPr>
        <w:spacing w:line="360" w:lineRule="auto"/>
        <w:ind w:firstLine="420" w:firstLineChars="200"/>
        <w:rPr>
          <w:color w:val="auto"/>
          <w:szCs w:val="21"/>
          <w:highlight w:val="none"/>
        </w:rPr>
      </w:pPr>
      <w:r>
        <w:rPr>
          <w:rFonts w:hint="eastAsia"/>
          <w:color w:val="auto"/>
          <w:szCs w:val="21"/>
          <w:highlight w:val="none"/>
        </w:rPr>
        <w:t>（b）不认可其安全生产风险管理体系原审核钻级，取消原钻级招标加分；</w:t>
      </w:r>
    </w:p>
    <w:p w14:paraId="06CB09F8">
      <w:pPr>
        <w:spacing w:line="360" w:lineRule="auto"/>
        <w:ind w:firstLine="420" w:firstLineChars="200"/>
        <w:rPr>
          <w:color w:val="auto"/>
          <w:szCs w:val="21"/>
          <w:highlight w:val="none"/>
        </w:rPr>
      </w:pPr>
      <w:r>
        <w:rPr>
          <w:rFonts w:hint="eastAsia"/>
          <w:color w:val="auto"/>
          <w:szCs w:val="21"/>
          <w:highlight w:val="none"/>
        </w:rPr>
        <w:t>（c）停止其本年度及下一年度前6个月安全生产风险管理体系审核安排。</w:t>
      </w:r>
    </w:p>
    <w:p w14:paraId="1E4A8C26">
      <w:pPr>
        <w:spacing w:line="360" w:lineRule="auto"/>
        <w:ind w:firstLine="420" w:firstLineChars="200"/>
        <w:rPr>
          <w:color w:val="auto"/>
          <w:szCs w:val="21"/>
          <w:highlight w:val="none"/>
        </w:rPr>
      </w:pPr>
      <w:r>
        <w:rPr>
          <w:rFonts w:hint="eastAsia"/>
          <w:color w:val="auto"/>
          <w:szCs w:val="21"/>
          <w:highlight w:val="none"/>
        </w:rPr>
        <w:t xml:space="preserve">b. </w:t>
      </w:r>
      <w:r>
        <w:rPr>
          <w:color w:val="auto"/>
          <w:szCs w:val="21"/>
          <w:highlight w:val="none"/>
        </w:rPr>
        <w:t>发生一般</w:t>
      </w:r>
      <w:r>
        <w:rPr>
          <w:rFonts w:hint="eastAsia"/>
          <w:color w:val="auto"/>
          <w:szCs w:val="21"/>
          <w:highlight w:val="none"/>
        </w:rPr>
        <w:t>电力</w:t>
      </w:r>
      <w:r>
        <w:rPr>
          <w:color w:val="auto"/>
          <w:szCs w:val="21"/>
          <w:highlight w:val="none"/>
        </w:rPr>
        <w:t>安全</w:t>
      </w:r>
      <w:r>
        <w:rPr>
          <w:rFonts w:hint="eastAsia"/>
          <w:color w:val="auto"/>
          <w:szCs w:val="21"/>
          <w:highlight w:val="none"/>
        </w:rPr>
        <w:t>质量</w:t>
      </w:r>
      <w:r>
        <w:rPr>
          <w:color w:val="auto"/>
          <w:szCs w:val="21"/>
          <w:highlight w:val="none"/>
        </w:rPr>
        <w:t>事故</w:t>
      </w:r>
      <w:r>
        <w:rPr>
          <w:rFonts w:hint="eastAsia"/>
          <w:color w:val="auto"/>
          <w:szCs w:val="21"/>
          <w:highlight w:val="none"/>
        </w:rPr>
        <w:t>；对监理人除上述经济索赔外，还进行如下惩罚：</w:t>
      </w:r>
    </w:p>
    <w:p w14:paraId="6030C8D9">
      <w:pPr>
        <w:spacing w:line="360" w:lineRule="auto"/>
        <w:ind w:firstLine="420" w:firstLineChars="200"/>
        <w:rPr>
          <w:color w:val="auto"/>
          <w:szCs w:val="21"/>
          <w:highlight w:val="none"/>
        </w:rPr>
      </w:pPr>
      <w:r>
        <w:rPr>
          <w:rFonts w:hint="eastAsia"/>
          <w:color w:val="auto"/>
          <w:szCs w:val="21"/>
          <w:highlight w:val="none"/>
        </w:rPr>
        <w:t>（a）</w:t>
      </w:r>
      <w:r>
        <w:rPr>
          <w:color w:val="auto"/>
          <w:szCs w:val="21"/>
          <w:highlight w:val="none"/>
        </w:rPr>
        <w:t>停止其3- 12个月内参与投标资格</w:t>
      </w:r>
      <w:r>
        <w:rPr>
          <w:rFonts w:hint="eastAsia"/>
          <w:color w:val="auto"/>
          <w:szCs w:val="21"/>
          <w:highlight w:val="none"/>
        </w:rPr>
        <w:t>；</w:t>
      </w:r>
    </w:p>
    <w:p w14:paraId="5F604A60">
      <w:pPr>
        <w:spacing w:line="360" w:lineRule="auto"/>
        <w:ind w:firstLine="420" w:firstLineChars="200"/>
        <w:rPr>
          <w:color w:val="auto"/>
          <w:szCs w:val="21"/>
          <w:highlight w:val="none"/>
        </w:rPr>
      </w:pPr>
      <w:r>
        <w:rPr>
          <w:rFonts w:hint="eastAsia"/>
          <w:color w:val="auto"/>
          <w:szCs w:val="21"/>
          <w:highlight w:val="none"/>
        </w:rPr>
        <w:t>（b）不认可其安全生产风险管理体系原审核钻级，取消原钻级招标加分；</w:t>
      </w:r>
    </w:p>
    <w:p w14:paraId="08D02FD4">
      <w:pPr>
        <w:spacing w:line="360" w:lineRule="auto"/>
        <w:ind w:firstLine="420" w:firstLineChars="200"/>
        <w:rPr>
          <w:color w:val="auto"/>
          <w:szCs w:val="21"/>
          <w:highlight w:val="none"/>
        </w:rPr>
      </w:pPr>
      <w:r>
        <w:rPr>
          <w:rFonts w:hint="eastAsia"/>
          <w:color w:val="auto"/>
          <w:szCs w:val="21"/>
          <w:highlight w:val="none"/>
        </w:rPr>
        <w:t>（c）停止其本年度及下一年度前6个月安全生产风险管理体系审核安排。</w:t>
      </w:r>
    </w:p>
    <w:p w14:paraId="1A0ED013">
      <w:pPr>
        <w:spacing w:line="360" w:lineRule="auto"/>
        <w:ind w:firstLine="420" w:firstLineChars="200"/>
        <w:rPr>
          <w:color w:val="auto"/>
          <w:szCs w:val="21"/>
          <w:highlight w:val="none"/>
        </w:rPr>
      </w:pPr>
      <w:r>
        <w:rPr>
          <w:rFonts w:hint="eastAsia"/>
          <w:color w:val="auto"/>
          <w:szCs w:val="21"/>
          <w:highlight w:val="none"/>
        </w:rPr>
        <w:t>c. 在上级单位对监理人进行检查发现严重问题时；除上述经济索赔外，还进行如下惩罚：</w:t>
      </w:r>
    </w:p>
    <w:p w14:paraId="4A5E99F3">
      <w:pPr>
        <w:spacing w:line="360" w:lineRule="auto"/>
        <w:ind w:firstLine="420" w:firstLineChars="200"/>
        <w:rPr>
          <w:color w:val="auto"/>
          <w:szCs w:val="21"/>
          <w:highlight w:val="none"/>
        </w:rPr>
      </w:pPr>
      <w:r>
        <w:rPr>
          <w:rFonts w:hint="eastAsia"/>
          <w:color w:val="auto"/>
          <w:szCs w:val="21"/>
          <w:highlight w:val="none"/>
        </w:rPr>
        <w:t>（a）国家层面检查发现的严重安全问题，直接扣减安全生产风险管理体系审核结1.5分；</w:t>
      </w:r>
    </w:p>
    <w:p w14:paraId="331AE334">
      <w:pPr>
        <w:spacing w:line="360" w:lineRule="auto"/>
        <w:ind w:firstLine="420" w:firstLineChars="200"/>
        <w:rPr>
          <w:color w:val="auto"/>
          <w:szCs w:val="21"/>
          <w:highlight w:val="none"/>
        </w:rPr>
      </w:pPr>
      <w:r>
        <w:rPr>
          <w:rFonts w:hint="eastAsia"/>
          <w:color w:val="auto"/>
          <w:szCs w:val="21"/>
          <w:highlight w:val="none"/>
        </w:rPr>
        <w:t>（b）</w:t>
      </w:r>
      <w:r>
        <w:rPr>
          <w:rFonts w:hint="eastAsia"/>
          <w:color w:val="auto"/>
          <w:szCs w:val="21"/>
          <w:highlight w:val="none"/>
          <w:lang w:val="en-US" w:eastAsia="zh-CN"/>
        </w:rPr>
        <w:t>中国南方电网有限责任</w:t>
      </w:r>
      <w:r>
        <w:rPr>
          <w:rFonts w:hint="eastAsia"/>
          <w:color w:val="auto"/>
          <w:szCs w:val="21"/>
          <w:highlight w:val="none"/>
        </w:rPr>
        <w:t>公司检查发现的严重安全问题，直接扣减安全生产风险管理体系审核结1.0分；</w:t>
      </w:r>
    </w:p>
    <w:p w14:paraId="706F0A60">
      <w:pPr>
        <w:spacing w:line="360" w:lineRule="auto"/>
        <w:ind w:firstLine="420" w:firstLineChars="200"/>
        <w:rPr>
          <w:color w:val="auto"/>
          <w:szCs w:val="21"/>
          <w:highlight w:val="none"/>
        </w:rPr>
      </w:pPr>
      <w:r>
        <w:rPr>
          <w:rFonts w:hint="eastAsia"/>
          <w:color w:val="auto"/>
          <w:szCs w:val="21"/>
          <w:highlight w:val="none"/>
        </w:rPr>
        <w:t>（c）</w:t>
      </w:r>
      <w:r>
        <w:rPr>
          <w:rFonts w:hint="eastAsia"/>
          <w:color w:val="auto"/>
          <w:szCs w:val="21"/>
          <w:highlight w:val="none"/>
          <w:lang w:val="en-US" w:eastAsia="zh-CN"/>
        </w:rPr>
        <w:t>广东电网有限责任</w:t>
      </w:r>
      <w:r>
        <w:rPr>
          <w:rFonts w:hint="eastAsia"/>
          <w:color w:val="auto"/>
          <w:szCs w:val="21"/>
          <w:highlight w:val="none"/>
        </w:rPr>
        <w:t>公司检查发现的严重安全问题，直接扣减安全生产风险管理体系审核结0.5分。</w:t>
      </w:r>
    </w:p>
    <w:p w14:paraId="6789029C">
      <w:pPr>
        <w:spacing w:line="360" w:lineRule="auto"/>
        <w:ind w:firstLine="420" w:firstLineChars="200"/>
        <w:rPr>
          <w:color w:val="auto"/>
          <w:szCs w:val="21"/>
          <w:highlight w:val="none"/>
        </w:rPr>
      </w:pPr>
      <w:r>
        <w:rPr>
          <w:rFonts w:hint="eastAsia"/>
          <w:color w:val="auto"/>
          <w:szCs w:val="21"/>
          <w:highlight w:val="none"/>
        </w:rPr>
        <w:t>d. 监理人出现违章情况，不接受《中国南方电网公司基建承包商违章处罚通知单》处罚；</w:t>
      </w:r>
    </w:p>
    <w:p w14:paraId="2BF8FE37">
      <w:pPr>
        <w:spacing w:line="360" w:lineRule="auto"/>
        <w:ind w:firstLine="420" w:firstLineChars="200"/>
        <w:rPr>
          <w:color w:val="auto"/>
          <w:szCs w:val="21"/>
          <w:highlight w:val="none"/>
        </w:rPr>
      </w:pPr>
      <w:r>
        <w:rPr>
          <w:rFonts w:hint="eastAsia"/>
          <w:color w:val="auto"/>
          <w:szCs w:val="21"/>
          <w:highlight w:val="none"/>
        </w:rPr>
        <w:t>e. 总监理工程师等管理人员长期无法到岗、到位，长期由他人代行使职责，缺岗、缺位时间累计超过45个合同日；</w:t>
      </w:r>
    </w:p>
    <w:p w14:paraId="7E6779B2">
      <w:pPr>
        <w:spacing w:line="360" w:lineRule="auto"/>
        <w:ind w:firstLine="420" w:firstLineChars="200"/>
        <w:rPr>
          <w:color w:val="auto"/>
          <w:szCs w:val="21"/>
          <w:highlight w:val="none"/>
        </w:rPr>
      </w:pPr>
      <w:r>
        <w:rPr>
          <w:rFonts w:hint="eastAsia"/>
          <w:color w:val="auto"/>
          <w:szCs w:val="21"/>
          <w:highlight w:val="none"/>
        </w:rPr>
        <w:t>f. 监理人未对风险等级为“可接受”、“低”、“中” 的风险进行监督、管控，未对风险等级为“高”及以上风险等级的施工作业任务进行安全旁站监理，并拍摄数码照片和填写监理旁站记录，对发现的施工违规作业行为及安全事故隐患未进行有效管控；</w:t>
      </w:r>
    </w:p>
    <w:p w14:paraId="3A1516CE">
      <w:pPr>
        <w:spacing w:line="360" w:lineRule="auto"/>
        <w:ind w:firstLine="422" w:firstLineChars="200"/>
        <w:rPr>
          <w:b/>
          <w:bCs/>
          <w:color w:val="auto"/>
          <w:szCs w:val="21"/>
          <w:highlight w:val="none"/>
        </w:rPr>
      </w:pPr>
      <w:r>
        <w:rPr>
          <w:rFonts w:hint="eastAsia"/>
          <w:b/>
          <w:bCs/>
          <w:color w:val="auto"/>
          <w:szCs w:val="21"/>
          <w:highlight w:val="none"/>
        </w:rPr>
        <w:t>C造价管理</w:t>
      </w:r>
    </w:p>
    <w:p w14:paraId="3588618B">
      <w:pPr>
        <w:spacing w:line="360" w:lineRule="auto"/>
        <w:ind w:firstLine="420" w:firstLineChars="200"/>
        <w:rPr>
          <w:color w:val="auto"/>
          <w:szCs w:val="21"/>
          <w:highlight w:val="none"/>
        </w:rPr>
      </w:pPr>
      <w:r>
        <w:rPr>
          <w:rFonts w:hint="eastAsia"/>
          <w:color w:val="auto"/>
          <w:szCs w:val="21"/>
          <w:highlight w:val="none"/>
        </w:rPr>
        <w:t>a. 监理人未履行合同约定造价管理义务，经三次书面警告仍未履行的；</w:t>
      </w:r>
    </w:p>
    <w:p w14:paraId="5F6F456F">
      <w:pPr>
        <w:spacing w:line="360" w:lineRule="auto"/>
        <w:ind w:firstLine="420" w:firstLineChars="200"/>
        <w:rPr>
          <w:color w:val="auto"/>
          <w:szCs w:val="21"/>
          <w:highlight w:val="none"/>
        </w:rPr>
      </w:pPr>
      <w:r>
        <w:rPr>
          <w:rFonts w:hint="eastAsia"/>
          <w:color w:val="auto"/>
          <w:szCs w:val="21"/>
          <w:highlight w:val="none"/>
        </w:rPr>
        <w:t>b. 未按要求及时完成完工工程量审核或审核错误；</w:t>
      </w:r>
    </w:p>
    <w:p w14:paraId="44454029">
      <w:pPr>
        <w:spacing w:line="360" w:lineRule="auto"/>
        <w:ind w:firstLine="422" w:firstLineChars="200"/>
        <w:rPr>
          <w:b/>
          <w:bCs/>
          <w:color w:val="auto"/>
          <w:szCs w:val="21"/>
          <w:highlight w:val="none"/>
        </w:rPr>
      </w:pPr>
      <w:r>
        <w:rPr>
          <w:rFonts w:hint="eastAsia"/>
          <w:b/>
          <w:bCs/>
          <w:color w:val="auto"/>
          <w:szCs w:val="21"/>
          <w:highlight w:val="none"/>
        </w:rPr>
        <w:t>D综合管理</w:t>
      </w:r>
    </w:p>
    <w:p w14:paraId="1F93ED5F">
      <w:pPr>
        <w:spacing w:line="360" w:lineRule="auto"/>
        <w:ind w:firstLine="420" w:firstLineChars="200"/>
        <w:rPr>
          <w:color w:val="auto"/>
          <w:szCs w:val="21"/>
          <w:highlight w:val="none"/>
        </w:rPr>
      </w:pPr>
      <w:r>
        <w:rPr>
          <w:rFonts w:hint="eastAsia"/>
          <w:color w:val="auto"/>
          <w:szCs w:val="21"/>
          <w:highlight w:val="none"/>
        </w:rPr>
        <w:t>监理人</w:t>
      </w:r>
      <w:r>
        <w:rPr>
          <w:rFonts w:hint="eastAsia"/>
          <w:color w:val="auto"/>
          <w:szCs w:val="21"/>
          <w:highlight w:val="none"/>
          <w:lang w:val="en-US" w:eastAsia="zh-CN"/>
        </w:rPr>
        <w:t>未</w:t>
      </w:r>
      <w:r>
        <w:rPr>
          <w:rFonts w:hint="eastAsia"/>
          <w:color w:val="auto"/>
          <w:szCs w:val="21"/>
          <w:highlight w:val="none"/>
        </w:rPr>
        <w:t>根据南方电网公司基建承包商管理要求做好登记建档工作，经三次警告后仍未按要求完成登记建档工作的；</w:t>
      </w:r>
    </w:p>
    <w:p w14:paraId="605E27FE">
      <w:pPr>
        <w:spacing w:line="360" w:lineRule="auto"/>
        <w:ind w:firstLine="422" w:firstLineChars="200"/>
        <w:rPr>
          <w:b/>
          <w:bCs/>
          <w:color w:val="auto"/>
          <w:szCs w:val="21"/>
          <w:highlight w:val="none"/>
        </w:rPr>
      </w:pPr>
      <w:r>
        <w:rPr>
          <w:rFonts w:cs="Calibri"/>
          <w:b/>
          <w:bCs/>
          <w:color w:val="auto"/>
          <w:szCs w:val="21"/>
          <w:highlight w:val="none"/>
        </w:rPr>
        <w:t>③</w:t>
      </w:r>
      <w:r>
        <w:rPr>
          <w:rFonts w:hint="eastAsia"/>
          <w:b/>
          <w:bCs/>
          <w:color w:val="auto"/>
          <w:szCs w:val="21"/>
          <w:highlight w:val="none"/>
        </w:rPr>
        <w:t>暂停合同</w:t>
      </w:r>
    </w:p>
    <w:p w14:paraId="312D21C2">
      <w:pPr>
        <w:spacing w:line="360" w:lineRule="auto"/>
        <w:ind w:firstLine="420" w:firstLineChars="200"/>
        <w:rPr>
          <w:color w:val="auto"/>
          <w:szCs w:val="21"/>
          <w:highlight w:val="none"/>
        </w:rPr>
      </w:pPr>
      <w:r>
        <w:rPr>
          <w:rFonts w:hint="eastAsia"/>
          <w:color w:val="auto"/>
          <w:szCs w:val="21"/>
          <w:highlight w:val="none"/>
        </w:rPr>
        <w:t>如果监理人有下列行为，委托人应有权向监理人提出暂停合同：</w:t>
      </w:r>
    </w:p>
    <w:p w14:paraId="60B028E5">
      <w:pPr>
        <w:spacing w:line="360" w:lineRule="auto"/>
        <w:ind w:firstLine="422" w:firstLineChars="200"/>
        <w:rPr>
          <w:b/>
          <w:bCs/>
          <w:color w:val="auto"/>
          <w:szCs w:val="21"/>
          <w:highlight w:val="none"/>
        </w:rPr>
      </w:pPr>
      <w:r>
        <w:rPr>
          <w:rFonts w:hint="eastAsia"/>
          <w:b/>
          <w:bCs/>
          <w:color w:val="auto"/>
          <w:szCs w:val="21"/>
          <w:highlight w:val="none"/>
        </w:rPr>
        <w:t>A采购管理</w:t>
      </w:r>
    </w:p>
    <w:p w14:paraId="0458D5E1">
      <w:pPr>
        <w:spacing w:line="360" w:lineRule="auto"/>
        <w:ind w:firstLine="420" w:firstLineChars="200"/>
        <w:rPr>
          <w:color w:val="auto"/>
          <w:szCs w:val="21"/>
          <w:highlight w:val="none"/>
        </w:rPr>
      </w:pPr>
      <w:r>
        <w:rPr>
          <w:rFonts w:hint="eastAsia"/>
          <w:color w:val="auto"/>
          <w:szCs w:val="21"/>
          <w:highlight w:val="none"/>
        </w:rPr>
        <w:t>a. 若发现监理人有伪造、变造企业资质资料、工程结算文件等不诚信行为。</w:t>
      </w:r>
    </w:p>
    <w:p w14:paraId="1C6784C8">
      <w:pPr>
        <w:spacing w:line="360" w:lineRule="auto"/>
        <w:ind w:firstLine="420" w:firstLineChars="200"/>
        <w:rPr>
          <w:color w:val="auto"/>
          <w:szCs w:val="21"/>
          <w:highlight w:val="none"/>
        </w:rPr>
      </w:pPr>
      <w:r>
        <w:rPr>
          <w:rFonts w:hint="eastAsia"/>
          <w:color w:val="auto"/>
          <w:szCs w:val="21"/>
          <w:highlight w:val="none"/>
        </w:rPr>
        <w:t xml:space="preserve">b. </w:t>
      </w:r>
      <w:r>
        <w:rPr>
          <w:color w:val="auto"/>
          <w:szCs w:val="21"/>
          <w:highlight w:val="none"/>
        </w:rPr>
        <w:t>在工程建设过程中</w:t>
      </w:r>
      <w:r>
        <w:rPr>
          <w:rFonts w:hint="eastAsia"/>
          <w:color w:val="auto"/>
          <w:szCs w:val="21"/>
          <w:highlight w:val="none"/>
        </w:rPr>
        <w:t>监理人</w:t>
      </w:r>
      <w:r>
        <w:rPr>
          <w:color w:val="auto"/>
          <w:szCs w:val="21"/>
          <w:highlight w:val="none"/>
        </w:rPr>
        <w:t>存在转包、</w:t>
      </w:r>
      <w:r>
        <w:rPr>
          <w:rFonts w:hint="eastAsia"/>
          <w:color w:val="auto"/>
          <w:szCs w:val="21"/>
          <w:highlight w:val="none"/>
        </w:rPr>
        <w:t>违法</w:t>
      </w:r>
      <w:r>
        <w:rPr>
          <w:color w:val="auto"/>
          <w:szCs w:val="21"/>
          <w:highlight w:val="none"/>
        </w:rPr>
        <w:t>分包及以包代管等触犯基建安全的行为</w:t>
      </w:r>
      <w:r>
        <w:rPr>
          <w:rFonts w:hint="eastAsia"/>
          <w:color w:val="auto"/>
          <w:szCs w:val="21"/>
          <w:highlight w:val="none"/>
        </w:rPr>
        <w:t>，且拒不整改；，除进行上述处罚外，还</w:t>
      </w:r>
      <w:r>
        <w:rPr>
          <w:color w:val="auto"/>
          <w:szCs w:val="21"/>
          <w:highlight w:val="none"/>
        </w:rPr>
        <w:t>停止其3- 12个月内参与投标资格</w:t>
      </w:r>
      <w:r>
        <w:rPr>
          <w:rFonts w:hint="eastAsia"/>
          <w:color w:val="auto"/>
          <w:szCs w:val="21"/>
          <w:highlight w:val="none"/>
        </w:rPr>
        <w:t>。</w:t>
      </w:r>
    </w:p>
    <w:p w14:paraId="4F0C262E">
      <w:pPr>
        <w:spacing w:line="360" w:lineRule="auto"/>
        <w:ind w:firstLine="422" w:firstLineChars="200"/>
        <w:rPr>
          <w:b/>
          <w:bCs/>
          <w:color w:val="auto"/>
          <w:szCs w:val="21"/>
          <w:highlight w:val="none"/>
        </w:rPr>
      </w:pPr>
      <w:r>
        <w:rPr>
          <w:rFonts w:hint="eastAsia"/>
          <w:b/>
          <w:bCs/>
          <w:color w:val="auto"/>
          <w:szCs w:val="21"/>
          <w:highlight w:val="none"/>
        </w:rPr>
        <w:t>B安全质量管理</w:t>
      </w:r>
    </w:p>
    <w:p w14:paraId="0AFC9D3D">
      <w:pPr>
        <w:spacing w:line="360" w:lineRule="auto"/>
        <w:ind w:firstLine="420" w:firstLineChars="200"/>
        <w:rPr>
          <w:color w:val="auto"/>
          <w:szCs w:val="21"/>
          <w:highlight w:val="none"/>
        </w:rPr>
      </w:pPr>
      <w:r>
        <w:rPr>
          <w:rFonts w:hint="eastAsia"/>
          <w:color w:val="auto"/>
          <w:szCs w:val="21"/>
          <w:highlight w:val="none"/>
        </w:rPr>
        <w:t>a. 发生较大及以上安全质量事故，并不配合事故调查的；</w:t>
      </w:r>
    </w:p>
    <w:p w14:paraId="2684D5FA">
      <w:pPr>
        <w:spacing w:line="360" w:lineRule="auto"/>
        <w:ind w:firstLine="420" w:firstLineChars="200"/>
        <w:rPr>
          <w:color w:val="auto"/>
          <w:szCs w:val="21"/>
          <w:highlight w:val="none"/>
        </w:rPr>
      </w:pPr>
      <w:r>
        <w:rPr>
          <w:rFonts w:hint="eastAsia"/>
          <w:color w:val="auto"/>
          <w:szCs w:val="21"/>
          <w:highlight w:val="none"/>
        </w:rPr>
        <w:t xml:space="preserve">b. </w:t>
      </w:r>
      <w:r>
        <w:rPr>
          <w:color w:val="auto"/>
          <w:szCs w:val="21"/>
          <w:highlight w:val="none"/>
        </w:rPr>
        <w:t>发生一般</w:t>
      </w:r>
      <w:r>
        <w:rPr>
          <w:rFonts w:hint="eastAsia"/>
          <w:color w:val="auto"/>
          <w:szCs w:val="21"/>
          <w:highlight w:val="none"/>
        </w:rPr>
        <w:t>电力</w:t>
      </w:r>
      <w:r>
        <w:rPr>
          <w:color w:val="auto"/>
          <w:szCs w:val="21"/>
          <w:highlight w:val="none"/>
        </w:rPr>
        <w:t>安全</w:t>
      </w:r>
      <w:r>
        <w:rPr>
          <w:rFonts w:hint="eastAsia"/>
          <w:color w:val="auto"/>
          <w:szCs w:val="21"/>
          <w:highlight w:val="none"/>
        </w:rPr>
        <w:t>质量</w:t>
      </w:r>
      <w:r>
        <w:rPr>
          <w:color w:val="auto"/>
          <w:szCs w:val="21"/>
          <w:highlight w:val="none"/>
        </w:rPr>
        <w:t>事故</w:t>
      </w:r>
      <w:r>
        <w:rPr>
          <w:rFonts w:hint="eastAsia"/>
          <w:color w:val="auto"/>
          <w:szCs w:val="21"/>
          <w:highlight w:val="none"/>
        </w:rPr>
        <w:t>，并不配合事故调查的；</w:t>
      </w:r>
    </w:p>
    <w:p w14:paraId="20D779F8">
      <w:pPr>
        <w:spacing w:line="360" w:lineRule="auto"/>
        <w:ind w:firstLine="420" w:firstLineChars="200"/>
        <w:rPr>
          <w:color w:val="auto"/>
          <w:szCs w:val="21"/>
          <w:highlight w:val="none"/>
        </w:rPr>
      </w:pPr>
      <w:r>
        <w:rPr>
          <w:rFonts w:hint="eastAsia"/>
          <w:color w:val="auto"/>
          <w:szCs w:val="21"/>
          <w:highlight w:val="none"/>
        </w:rPr>
        <w:t>c. 监理人隐瞒、包庇承包人</w:t>
      </w:r>
      <w:r>
        <w:rPr>
          <w:color w:val="auto"/>
          <w:szCs w:val="21"/>
          <w:highlight w:val="none"/>
        </w:rPr>
        <w:t>转包、</w:t>
      </w:r>
      <w:r>
        <w:rPr>
          <w:rFonts w:hint="eastAsia"/>
          <w:color w:val="auto"/>
          <w:szCs w:val="21"/>
          <w:highlight w:val="none"/>
        </w:rPr>
        <w:t>违法</w:t>
      </w:r>
      <w:r>
        <w:rPr>
          <w:color w:val="auto"/>
          <w:szCs w:val="21"/>
          <w:highlight w:val="none"/>
        </w:rPr>
        <w:t>分包等触犯基建安全行为</w:t>
      </w:r>
      <w:r>
        <w:rPr>
          <w:rFonts w:hint="eastAsia"/>
          <w:color w:val="auto"/>
          <w:szCs w:val="21"/>
          <w:highlight w:val="none"/>
        </w:rPr>
        <w:t>；</w:t>
      </w:r>
    </w:p>
    <w:p w14:paraId="50F5E802">
      <w:pPr>
        <w:spacing w:line="360" w:lineRule="auto"/>
        <w:ind w:firstLine="420" w:firstLineChars="200"/>
        <w:rPr>
          <w:color w:val="auto"/>
          <w:szCs w:val="21"/>
          <w:highlight w:val="none"/>
        </w:rPr>
      </w:pPr>
      <w:r>
        <w:rPr>
          <w:rFonts w:hint="eastAsia"/>
          <w:color w:val="auto"/>
          <w:szCs w:val="21"/>
          <w:highlight w:val="none"/>
        </w:rPr>
        <w:t>d. 监理人在发生电力安全质量事故、事件后,瞒报、虚报安全事件、事故。</w:t>
      </w:r>
    </w:p>
    <w:p w14:paraId="64EFD6AF">
      <w:pPr>
        <w:spacing w:line="360" w:lineRule="auto"/>
        <w:ind w:firstLine="422" w:firstLineChars="200"/>
        <w:rPr>
          <w:b/>
          <w:bCs/>
          <w:color w:val="auto"/>
          <w:szCs w:val="21"/>
          <w:highlight w:val="none"/>
        </w:rPr>
      </w:pPr>
      <w:r>
        <w:rPr>
          <w:rFonts w:hint="eastAsia"/>
          <w:b/>
          <w:bCs/>
          <w:color w:val="auto"/>
          <w:szCs w:val="21"/>
          <w:highlight w:val="none"/>
        </w:rPr>
        <w:t>C综合管理</w:t>
      </w:r>
    </w:p>
    <w:p w14:paraId="6D55BCBD">
      <w:pPr>
        <w:spacing w:line="360" w:lineRule="auto"/>
        <w:ind w:firstLine="420" w:firstLineChars="200"/>
        <w:rPr>
          <w:color w:val="auto"/>
          <w:szCs w:val="21"/>
          <w:highlight w:val="none"/>
        </w:rPr>
      </w:pPr>
      <w:r>
        <w:rPr>
          <w:rFonts w:hint="eastAsia"/>
          <w:color w:val="auto"/>
          <w:szCs w:val="21"/>
          <w:highlight w:val="none"/>
        </w:rPr>
        <w:t>a. 在工程建设过程中，由于监理人未按合同约定履行职责，给委托人造成巨大经济损失。</w:t>
      </w:r>
    </w:p>
    <w:p w14:paraId="5AC60BA4">
      <w:pPr>
        <w:spacing w:line="360" w:lineRule="auto"/>
        <w:ind w:firstLine="420" w:firstLineChars="200"/>
        <w:rPr>
          <w:color w:val="auto"/>
          <w:szCs w:val="21"/>
          <w:highlight w:val="none"/>
        </w:rPr>
      </w:pPr>
      <w:r>
        <w:rPr>
          <w:rFonts w:hint="eastAsia"/>
          <w:color w:val="auto"/>
          <w:szCs w:val="21"/>
          <w:highlight w:val="none"/>
        </w:rPr>
        <w:t>b. 监理人造成恶劣影响的社会事件的。</w:t>
      </w:r>
    </w:p>
    <w:p w14:paraId="6D03E6D9">
      <w:pPr>
        <w:spacing w:line="360" w:lineRule="auto"/>
        <w:ind w:firstLine="420" w:firstLineChars="200"/>
        <w:rPr>
          <w:b/>
          <w:bCs/>
          <w:color w:val="auto"/>
          <w:szCs w:val="21"/>
          <w:highlight w:val="none"/>
        </w:rPr>
      </w:pPr>
      <w:r>
        <w:rPr>
          <w:rFonts w:eastAsia="微软雅黑" w:cs="Calibri"/>
          <w:b/>
          <w:bCs/>
          <w:color w:val="auto"/>
          <w:szCs w:val="21"/>
          <w:highlight w:val="none"/>
        </w:rPr>
        <w:t>④</w:t>
      </w:r>
      <w:r>
        <w:rPr>
          <w:rFonts w:hint="eastAsia"/>
          <w:b/>
          <w:bCs/>
          <w:color w:val="auto"/>
          <w:szCs w:val="21"/>
          <w:highlight w:val="none"/>
        </w:rPr>
        <w:t>终止合同</w:t>
      </w:r>
    </w:p>
    <w:p w14:paraId="08B933BA">
      <w:pPr>
        <w:spacing w:line="360" w:lineRule="auto"/>
        <w:ind w:firstLine="420" w:firstLineChars="200"/>
        <w:rPr>
          <w:color w:val="auto"/>
          <w:szCs w:val="21"/>
          <w:highlight w:val="none"/>
        </w:rPr>
      </w:pPr>
      <w:r>
        <w:rPr>
          <w:rFonts w:hint="eastAsia"/>
          <w:color w:val="auto"/>
          <w:szCs w:val="21"/>
          <w:highlight w:val="none"/>
        </w:rPr>
        <w:t>如果监理人有下列行为，委托人应有权终止合同：</w:t>
      </w:r>
    </w:p>
    <w:p w14:paraId="327430F3">
      <w:pPr>
        <w:spacing w:line="360" w:lineRule="auto"/>
        <w:ind w:firstLine="422" w:firstLineChars="200"/>
        <w:rPr>
          <w:b/>
          <w:bCs/>
          <w:color w:val="auto"/>
          <w:szCs w:val="21"/>
          <w:highlight w:val="none"/>
        </w:rPr>
      </w:pPr>
      <w:r>
        <w:rPr>
          <w:rFonts w:hint="eastAsia"/>
          <w:b/>
          <w:bCs/>
          <w:color w:val="auto"/>
          <w:szCs w:val="21"/>
          <w:highlight w:val="none"/>
        </w:rPr>
        <w:t>A采购管理</w:t>
      </w:r>
    </w:p>
    <w:p w14:paraId="2F3D3FE5">
      <w:pPr>
        <w:spacing w:line="360" w:lineRule="auto"/>
        <w:ind w:firstLine="420" w:firstLineChars="200"/>
        <w:rPr>
          <w:color w:val="auto"/>
          <w:szCs w:val="21"/>
          <w:highlight w:val="none"/>
        </w:rPr>
      </w:pPr>
      <w:r>
        <w:rPr>
          <w:rFonts w:hint="eastAsia"/>
          <w:color w:val="auto"/>
          <w:szCs w:val="21"/>
          <w:highlight w:val="none"/>
        </w:rPr>
        <w:t>监理人被建设行政主管部门给予处罚，因企业资质等级降低或被吊销资质证书，导致</w:t>
      </w:r>
      <w:r>
        <w:rPr>
          <w:color w:val="auto"/>
          <w:szCs w:val="21"/>
          <w:highlight w:val="none"/>
        </w:rPr>
        <w:t>资质</w:t>
      </w:r>
      <w:r>
        <w:rPr>
          <w:rFonts w:hint="eastAsia"/>
          <w:color w:val="auto"/>
          <w:szCs w:val="21"/>
          <w:highlight w:val="none"/>
        </w:rPr>
        <w:t>等级已不满足</w:t>
      </w:r>
      <w:r>
        <w:rPr>
          <w:color w:val="auto"/>
          <w:szCs w:val="21"/>
          <w:highlight w:val="none"/>
        </w:rPr>
        <w:t>承揽</w:t>
      </w:r>
      <w:r>
        <w:rPr>
          <w:rFonts w:hint="eastAsia"/>
          <w:color w:val="auto"/>
          <w:szCs w:val="21"/>
          <w:highlight w:val="none"/>
        </w:rPr>
        <w:t>本合同</w:t>
      </w:r>
      <w:r>
        <w:rPr>
          <w:color w:val="auto"/>
          <w:szCs w:val="21"/>
          <w:highlight w:val="none"/>
        </w:rPr>
        <w:t>业务范围</w:t>
      </w:r>
      <w:r>
        <w:rPr>
          <w:rFonts w:hint="eastAsia"/>
          <w:color w:val="auto"/>
          <w:szCs w:val="21"/>
          <w:highlight w:val="none"/>
        </w:rPr>
        <w:t>；</w:t>
      </w:r>
    </w:p>
    <w:p w14:paraId="24EA3C99">
      <w:pPr>
        <w:spacing w:line="360" w:lineRule="auto"/>
        <w:ind w:firstLine="422" w:firstLineChars="200"/>
        <w:rPr>
          <w:b/>
          <w:bCs/>
          <w:color w:val="auto"/>
          <w:szCs w:val="21"/>
          <w:highlight w:val="none"/>
        </w:rPr>
      </w:pPr>
      <w:r>
        <w:rPr>
          <w:rFonts w:hint="eastAsia"/>
          <w:b/>
          <w:bCs/>
          <w:color w:val="auto"/>
          <w:szCs w:val="21"/>
          <w:highlight w:val="none"/>
        </w:rPr>
        <w:t>B质量安全管理</w:t>
      </w:r>
    </w:p>
    <w:p w14:paraId="07759E3F">
      <w:pPr>
        <w:spacing w:line="360" w:lineRule="auto"/>
        <w:ind w:firstLine="420" w:firstLineChars="200"/>
        <w:rPr>
          <w:color w:val="auto"/>
          <w:szCs w:val="21"/>
          <w:highlight w:val="none"/>
        </w:rPr>
      </w:pPr>
      <w:r>
        <w:rPr>
          <w:rFonts w:hint="eastAsia"/>
          <w:color w:val="auto"/>
          <w:szCs w:val="21"/>
          <w:highlight w:val="none"/>
        </w:rPr>
        <w:t>a. 监理人在施工中发生较大及以上电力安全质量事故，且恶意隐瞒事故或破坏现场；</w:t>
      </w:r>
    </w:p>
    <w:p w14:paraId="66861F2D">
      <w:pPr>
        <w:spacing w:line="360" w:lineRule="auto"/>
        <w:ind w:firstLine="420" w:firstLineChars="200"/>
        <w:rPr>
          <w:color w:val="auto"/>
          <w:szCs w:val="21"/>
          <w:highlight w:val="none"/>
        </w:rPr>
      </w:pPr>
      <w:r>
        <w:rPr>
          <w:rFonts w:hint="eastAsia"/>
          <w:color w:val="auto"/>
          <w:szCs w:val="21"/>
          <w:highlight w:val="none"/>
        </w:rPr>
        <w:t>b. 监理人在施工中发生一般电力安全质量事故，且恶意隐瞒事故或破坏现场，后果严重的；</w:t>
      </w:r>
    </w:p>
    <w:p w14:paraId="71A5B592">
      <w:pPr>
        <w:spacing w:line="360" w:lineRule="auto"/>
        <w:ind w:firstLine="422" w:firstLineChars="200"/>
        <w:rPr>
          <w:b/>
          <w:bCs/>
          <w:color w:val="auto"/>
          <w:szCs w:val="21"/>
          <w:highlight w:val="none"/>
        </w:rPr>
      </w:pPr>
      <w:r>
        <w:rPr>
          <w:rFonts w:hint="eastAsia"/>
          <w:b/>
          <w:bCs/>
          <w:color w:val="auto"/>
          <w:szCs w:val="21"/>
          <w:highlight w:val="none"/>
        </w:rPr>
        <w:t>C综合管理</w:t>
      </w:r>
    </w:p>
    <w:p w14:paraId="068DCDF2">
      <w:pPr>
        <w:spacing w:line="360" w:lineRule="auto"/>
        <w:ind w:firstLine="420" w:firstLineChars="200"/>
        <w:rPr>
          <w:color w:val="auto"/>
          <w:szCs w:val="21"/>
          <w:highlight w:val="none"/>
        </w:rPr>
      </w:pPr>
      <w:r>
        <w:rPr>
          <w:rFonts w:hint="eastAsia"/>
          <w:color w:val="auto"/>
          <w:szCs w:val="21"/>
          <w:highlight w:val="none"/>
        </w:rPr>
        <w:t>a. 监理人因违反国家有关的法律法规，并被政府部门追究民事责任、行政责任和刑事责任，不具备执行合同能力；</w:t>
      </w:r>
    </w:p>
    <w:p w14:paraId="10D35B2A">
      <w:pPr>
        <w:spacing w:line="360" w:lineRule="auto"/>
        <w:ind w:firstLine="420" w:firstLineChars="200"/>
        <w:rPr>
          <w:color w:val="auto"/>
          <w:szCs w:val="21"/>
          <w:highlight w:val="none"/>
        </w:rPr>
      </w:pPr>
      <w:r>
        <w:rPr>
          <w:rFonts w:hint="eastAsia"/>
          <w:color w:val="auto"/>
          <w:szCs w:val="21"/>
          <w:highlight w:val="none"/>
        </w:rPr>
        <w:t>b. 监理人造成恶劣影响社会事件，且不能容忍的。</w:t>
      </w:r>
    </w:p>
    <w:p w14:paraId="742ECF90">
      <w:pPr>
        <w:spacing w:line="360" w:lineRule="auto"/>
        <w:ind w:firstLine="420" w:firstLineChars="200"/>
        <w:rPr>
          <w:rFonts w:ascii="宋体" w:hAnsi="宋体" w:cs="宋体"/>
          <w:color w:val="auto"/>
          <w:kern w:val="0"/>
          <w:szCs w:val="21"/>
          <w:highlight w:val="none"/>
        </w:rPr>
      </w:pPr>
      <w:r>
        <w:rPr>
          <w:rFonts w:hint="eastAsia"/>
          <w:color w:val="auto"/>
          <w:szCs w:val="21"/>
          <w:highlight w:val="none"/>
        </w:rPr>
        <w:t xml:space="preserve">11.4.2 </w:t>
      </w:r>
      <w:r>
        <w:rPr>
          <w:rFonts w:hint="eastAsia" w:ascii="宋体" w:hAnsi="宋体" w:cs="宋体"/>
          <w:color w:val="auto"/>
          <w:kern w:val="0"/>
          <w:szCs w:val="21"/>
          <w:highlight w:val="none"/>
        </w:rPr>
        <w:t>对过期应付而未付的商定赔偿款：</w:t>
      </w:r>
      <w:permStart w:id="122" w:edGrp="everyone"/>
      <w:r>
        <w:rPr>
          <w:rFonts w:hint="eastAsia"/>
          <w:color w:val="auto"/>
          <w:szCs w:val="21"/>
          <w:highlight w:val="none"/>
          <w:u w:val="single"/>
        </w:rPr>
        <w:t xml:space="preserve"> 当期应付款总额×银行同期贷款利率×拖延支付天数 </w:t>
      </w:r>
      <w:r>
        <w:rPr>
          <w:rFonts w:hint="eastAsia" w:ascii="宋体" w:hAnsi="宋体" w:cs="宋体"/>
          <w:color w:val="auto"/>
          <w:kern w:val="0"/>
          <w:szCs w:val="21"/>
          <w:highlight w:val="none"/>
        </w:rPr>
        <w:t>。</w:t>
      </w:r>
    </w:p>
    <w:permEnd w:id="122"/>
    <w:p w14:paraId="2833092F">
      <w:pPr>
        <w:spacing w:line="360" w:lineRule="auto"/>
        <w:ind w:firstLine="420" w:firstLineChars="200"/>
        <w:rPr>
          <w:color w:val="auto"/>
          <w:szCs w:val="21"/>
          <w:highlight w:val="none"/>
          <w:lang w:val="zh-CN"/>
        </w:rPr>
      </w:pPr>
      <w:r>
        <w:rPr>
          <w:rFonts w:hint="eastAsia"/>
          <w:color w:val="auto"/>
          <w:szCs w:val="21"/>
          <w:highlight w:val="none"/>
        </w:rPr>
        <w:t xml:space="preserve">11.4.3 </w:t>
      </w:r>
      <w:r>
        <w:rPr>
          <w:rFonts w:hint="eastAsia"/>
          <w:color w:val="auto"/>
          <w:szCs w:val="21"/>
          <w:highlight w:val="none"/>
          <w:lang w:val="zh-CN"/>
        </w:rPr>
        <w:t>赔偿的限额：</w:t>
      </w:r>
      <w:permStart w:id="123" w:edGrp="everyone"/>
      <w:r>
        <w:rPr>
          <w:rFonts w:hint="eastAsia"/>
          <w:color w:val="auto"/>
          <w:szCs w:val="21"/>
          <w:highlight w:val="none"/>
          <w:u w:val="single"/>
        </w:rPr>
        <w:t xml:space="preserve"> 合同总价的100% </w:t>
      </w:r>
      <w:r>
        <w:rPr>
          <w:rFonts w:hint="eastAsia"/>
          <w:color w:val="auto"/>
          <w:szCs w:val="21"/>
          <w:highlight w:val="none"/>
          <w:lang w:val="zh-CN"/>
        </w:rPr>
        <w:t>。</w:t>
      </w:r>
      <w:permEnd w:id="123"/>
    </w:p>
    <w:p w14:paraId="02A73C27">
      <w:pPr>
        <w:autoSpaceDE w:val="0"/>
        <w:autoSpaceDN w:val="0"/>
        <w:adjustRightInd w:val="0"/>
        <w:spacing w:line="360" w:lineRule="auto"/>
        <w:ind w:firstLine="420" w:firstLineChars="200"/>
        <w:jc w:val="left"/>
        <w:rPr>
          <w:color w:val="auto"/>
          <w:szCs w:val="21"/>
          <w:highlight w:val="none"/>
        </w:rPr>
      </w:pPr>
      <w:r>
        <w:rPr>
          <w:rFonts w:hint="eastAsia"/>
          <w:color w:val="auto"/>
          <w:szCs w:val="21"/>
          <w:highlight w:val="none"/>
        </w:rPr>
        <w:t xml:space="preserve">11.4.4 </w:t>
      </w:r>
      <w:r>
        <w:rPr>
          <w:rFonts w:hint="eastAsia" w:ascii="宋体" w:hAnsi="宋体" w:cs="宋体"/>
          <w:color w:val="auto"/>
          <w:kern w:val="0"/>
          <w:szCs w:val="21"/>
          <w:highlight w:val="none"/>
          <w:lang w:val="zh-CN"/>
        </w:rPr>
        <w:t>除非在</w:t>
      </w:r>
      <w:permStart w:id="124" w:edGrp="everyone"/>
      <w:r>
        <w:rPr>
          <w:rFonts w:hint="eastAsia" w:ascii="宋体" w:hAnsi="宋体" w:cs="宋体"/>
          <w:color w:val="auto"/>
          <w:kern w:val="0"/>
          <w:szCs w:val="21"/>
          <w:highlight w:val="none"/>
          <w:u w:val="single"/>
        </w:rPr>
        <w:t>由索赔事件发生之日起，至本合同执行完毕</w:t>
      </w:r>
      <w:r>
        <w:rPr>
          <w:rFonts w:ascii="宋体" w:hAnsi="宋体" w:cs="宋体"/>
          <w:color w:val="auto"/>
          <w:kern w:val="0"/>
          <w:szCs w:val="21"/>
          <w:highlight w:val="none"/>
          <w:u w:val="single"/>
        </w:rPr>
        <w:t>180</w:t>
      </w:r>
      <w:r>
        <w:rPr>
          <w:rFonts w:hint="eastAsia" w:ascii="宋体" w:hAnsi="宋体" w:cs="宋体"/>
          <w:color w:val="auto"/>
          <w:kern w:val="0"/>
          <w:szCs w:val="21"/>
          <w:highlight w:val="none"/>
          <w:u w:val="single"/>
        </w:rPr>
        <w:t>日之内</w:t>
      </w:r>
      <w:r>
        <w:rPr>
          <w:rFonts w:hint="eastAsia" w:ascii="宋体" w:hAnsi="宋体" w:cs="宋体"/>
          <w:color w:val="auto"/>
          <w:kern w:val="0"/>
          <w:szCs w:val="21"/>
          <w:highlight w:val="none"/>
          <w:lang w:val="zh-CN"/>
        </w:rPr>
        <w:t>或</w:t>
      </w:r>
      <w:permEnd w:id="124"/>
      <w:r>
        <w:rPr>
          <w:rFonts w:hint="eastAsia" w:ascii="宋体" w:hAnsi="宋体" w:cs="宋体"/>
          <w:color w:val="auto"/>
          <w:kern w:val="0"/>
          <w:szCs w:val="21"/>
          <w:highlight w:val="none"/>
          <w:lang w:val="zh-CN"/>
        </w:rPr>
        <w:t>法律可能规定的更早日期之前，正式向委托人或监理人提出索赔，否则无论是委托人还是监理人均不应对由任何事件所引起的任何损失或损害负责。</w:t>
      </w:r>
    </w:p>
    <w:p w14:paraId="3CA2287A">
      <w:pPr>
        <w:spacing w:line="360" w:lineRule="auto"/>
        <w:ind w:firstLine="420" w:firstLineChars="200"/>
        <w:rPr>
          <w:color w:val="auto"/>
          <w:szCs w:val="21"/>
          <w:highlight w:val="none"/>
        </w:rPr>
      </w:pPr>
      <w:r>
        <w:rPr>
          <w:rFonts w:hint="eastAsia"/>
          <w:color w:val="auto"/>
          <w:szCs w:val="21"/>
          <w:highlight w:val="none"/>
        </w:rPr>
        <w:t xml:space="preserve">11.4.5 </w:t>
      </w:r>
      <w:r>
        <w:rPr>
          <w:rFonts w:hint="eastAsia"/>
          <w:color w:val="auto"/>
          <w:szCs w:val="21"/>
          <w:highlight w:val="none"/>
          <w:lang w:val="zh-CN"/>
        </w:rPr>
        <w:t>监理人发生以下情形时，在工程竣工结算时，最高扣减结算价款</w:t>
      </w:r>
      <w:sdt>
        <w:sdtPr>
          <w:rPr>
            <w:rFonts w:hint="eastAsia" w:asciiTheme="minorHAnsi" w:hAnsiTheme="minorHAnsi" w:eastAsiaTheme="minorEastAsia" w:cstheme="minorBidi"/>
            <w:color w:val="auto"/>
            <w:kern w:val="2"/>
            <w:sz w:val="28"/>
            <w:szCs w:val="36"/>
            <w:highlight w:val="none"/>
            <w:lang w:val="en-US" w:eastAsia="zh-CN" w:bidi="ar-SA"/>
          </w:rPr>
          <w:alias w:val="违约金不应过分高于或低于实际损失。"/>
          <w:tag w:val="违约金金额"/>
          <w:id w:val="147471471"/>
          <w:placeholder>
            <w:docPart w:val="{c0882042-40d6-45cb-bd2b-17254fc958f1}"/>
          </w:placeholder>
          <w:text w:multiLine="1"/>
        </w:sdtPr>
        <w:sdtEndPr>
          <w:rPr>
            <w:rFonts w:hint="eastAsia" w:asciiTheme="minorHAnsi" w:hAnsiTheme="minorHAnsi" w:eastAsiaTheme="minorEastAsia" w:cstheme="minorBidi"/>
            <w:color w:val="auto"/>
            <w:kern w:val="2"/>
            <w:sz w:val="28"/>
            <w:szCs w:val="36"/>
            <w:highlight w:val="none"/>
            <w:lang w:val="en-US" w:eastAsia="zh-CN" w:bidi="ar-SA"/>
          </w:rPr>
        </w:sdtEndPr>
        <w:sdtContent>
          <w:permStart w:id="125" w:edGrp="everyone"/>
          <w:r>
            <w:rPr>
              <w:rFonts w:hint="eastAsia" w:ascii="宋体" w:hAnsi="宋体" w:eastAsia="宋体" w:cs="宋体"/>
              <w:color w:val="auto"/>
              <w:kern w:val="2"/>
              <w:sz w:val="21"/>
              <w:szCs w:val="21"/>
              <w:highlight w:val="none"/>
              <w:u w:val="single"/>
              <w:lang w:val="en-US" w:eastAsia="zh-CN" w:bidi="ar-SA"/>
            </w:rPr>
            <w:t xml:space="preserve"> 5万元</w:t>
          </w:r>
          <w:permEnd w:id="125"/>
        </w:sdtContent>
      </w:sdt>
      <w:r>
        <w:rPr>
          <w:rFonts w:hint="eastAsia"/>
          <w:color w:val="auto"/>
          <w:szCs w:val="21"/>
          <w:highlight w:val="none"/>
        </w:rPr>
        <w:t>。</w:t>
      </w:r>
    </w:p>
    <w:p w14:paraId="3DCB14D6">
      <w:pPr>
        <w:spacing w:line="360" w:lineRule="auto"/>
        <w:ind w:firstLine="420" w:firstLineChars="200"/>
        <w:rPr>
          <w:color w:val="auto"/>
          <w:szCs w:val="21"/>
          <w:highlight w:val="none"/>
        </w:rPr>
      </w:pPr>
      <w:r>
        <w:rPr>
          <w:rFonts w:hint="eastAsia"/>
          <w:color w:val="auto"/>
          <w:szCs w:val="21"/>
          <w:highlight w:val="none"/>
        </w:rPr>
        <w:t>（1）监理人未能及时、准确、完整地将项目档案移交至委托人并经书面警告的，不能执行工程竣工结算。</w:t>
      </w:r>
    </w:p>
    <w:p w14:paraId="1BD3857F">
      <w:pPr>
        <w:spacing w:line="360" w:lineRule="auto"/>
        <w:ind w:firstLine="420" w:firstLineChars="200"/>
        <w:rPr>
          <w:color w:val="auto"/>
          <w:szCs w:val="21"/>
          <w:highlight w:val="none"/>
        </w:rPr>
      </w:pPr>
      <w:r>
        <w:rPr>
          <w:rFonts w:hint="eastAsia"/>
          <w:color w:val="auto"/>
          <w:szCs w:val="21"/>
          <w:highlight w:val="none"/>
        </w:rPr>
        <w:t>（2）已归档项目文件不满足档案归档要求，且不进行整改的。</w:t>
      </w:r>
    </w:p>
    <w:p w14:paraId="324CAEAA">
      <w:pPr>
        <w:spacing w:line="360" w:lineRule="auto"/>
        <w:ind w:firstLine="420" w:firstLineChars="200"/>
        <w:rPr>
          <w:color w:val="auto"/>
          <w:szCs w:val="21"/>
          <w:highlight w:val="none"/>
        </w:rPr>
      </w:pPr>
      <w:r>
        <w:rPr>
          <w:rFonts w:hint="eastAsia"/>
          <w:color w:val="auto"/>
          <w:szCs w:val="21"/>
          <w:highlight w:val="none"/>
        </w:rPr>
        <w:t>（3）工程实施过程中若因监理人过失造成重大安全、质量事故的。</w:t>
      </w:r>
    </w:p>
    <w:p w14:paraId="3A6BCA1E">
      <w:pPr>
        <w:spacing w:line="360" w:lineRule="auto"/>
        <w:ind w:firstLine="420" w:firstLineChars="200"/>
        <w:rPr>
          <w:color w:val="auto"/>
          <w:szCs w:val="21"/>
          <w:highlight w:val="none"/>
        </w:rPr>
      </w:pPr>
      <w:r>
        <w:rPr>
          <w:rFonts w:hint="eastAsia"/>
          <w:color w:val="auto"/>
          <w:szCs w:val="21"/>
          <w:highlight w:val="none"/>
        </w:rPr>
        <w:t>（4）由于监理人原因，未能及时、准确、完整地在企业级资产管理系统中录入、审批数据并经书面警告的。</w:t>
      </w:r>
    </w:p>
    <w:p w14:paraId="2C161CFD">
      <w:pPr>
        <w:spacing w:line="360" w:lineRule="auto"/>
        <w:ind w:firstLine="420" w:firstLineChars="200"/>
        <w:rPr>
          <w:color w:val="auto"/>
          <w:szCs w:val="21"/>
          <w:highlight w:val="none"/>
        </w:rPr>
      </w:pPr>
      <w:r>
        <w:rPr>
          <w:rFonts w:hint="eastAsia"/>
          <w:color w:val="auto"/>
          <w:szCs w:val="21"/>
          <w:highlight w:val="none"/>
        </w:rPr>
        <w:t>11.4.6 其他扣罚情形：以下扣罚属于单独的项目管理行为，与本条款外的合同条款其他处罚可分别进行。以下扣罚累计最多不超过</w:t>
      </w:r>
      <w:permStart w:id="126" w:edGrp="everyone"/>
      <w:r>
        <w:rPr>
          <w:rFonts w:hint="eastAsia"/>
          <w:color w:val="auto"/>
          <w:szCs w:val="21"/>
          <w:highlight w:val="none"/>
          <w:u w:val="single"/>
        </w:rPr>
        <w:t>合同总额的</w:t>
      </w:r>
      <w:sdt>
        <w:sdtPr>
          <w:rPr>
            <w:rFonts w:hint="eastAsia"/>
            <w:color w:val="auto"/>
            <w:szCs w:val="21"/>
            <w:highlight w:val="none"/>
            <w:u w:val="single"/>
            <w:lang w:val="en-US" w:eastAsia="zh-CN"/>
          </w:rPr>
          <w:alias w:val="违约金不应过分高于或低于实际损失。"/>
          <w:tag w:val="违约金比例"/>
          <w:id w:val="601498372"/>
          <w:placeholder>
            <w:docPart w:val="{9a8ee424-b870-4735-ab9d-33dddeb02b96}"/>
          </w:placeholder>
          <w:text w:multiLine="1"/>
        </w:sdtPr>
        <w:sdtEndPr>
          <w:rPr>
            <w:rFonts w:hint="eastAsia"/>
            <w:color w:val="auto"/>
            <w:szCs w:val="21"/>
            <w:highlight w:val="none"/>
            <w:u w:val="single"/>
            <w:lang w:val="en-US" w:eastAsia="zh-CN"/>
          </w:rPr>
        </w:sdtEndPr>
        <w:sdtContent>
          <w:r>
            <w:rPr>
              <w:rFonts w:hint="eastAsia"/>
              <w:color w:val="auto"/>
              <w:szCs w:val="21"/>
              <w:highlight w:val="none"/>
              <w:u w:val="single"/>
              <w:lang w:val="en-US" w:eastAsia="zh-CN"/>
            </w:rPr>
            <w:t>1%</w:t>
          </w:r>
          <w:permEnd w:id="126"/>
        </w:sdtContent>
      </w:sdt>
      <w:r>
        <w:rPr>
          <w:rFonts w:hint="eastAsia"/>
          <w:color w:val="auto"/>
          <w:szCs w:val="21"/>
          <w:highlight w:val="none"/>
        </w:rPr>
        <w:t>。</w:t>
      </w:r>
    </w:p>
    <w:p w14:paraId="21A44B59">
      <w:pPr>
        <w:spacing w:line="360" w:lineRule="auto"/>
        <w:ind w:firstLine="420" w:firstLineChars="200"/>
        <w:rPr>
          <w:color w:val="auto"/>
          <w:szCs w:val="21"/>
          <w:highlight w:val="none"/>
        </w:rPr>
      </w:pPr>
      <w:r>
        <w:rPr>
          <w:rFonts w:hint="eastAsia"/>
          <w:color w:val="auto"/>
          <w:szCs w:val="21"/>
          <w:highlight w:val="none"/>
        </w:rPr>
        <w:t>（1）监理人根据工程进展实际情况，及时更新信息系统数据，并保证数据质量，如发生监理人不配合完成信息系统填报的情况，每发生一次扣除合同总额的0.2%，最多可考核监理人合同总额的1%。</w:t>
      </w:r>
    </w:p>
    <w:p w14:paraId="3A551030">
      <w:pPr>
        <w:spacing w:line="360" w:lineRule="auto"/>
        <w:ind w:firstLine="420" w:firstLineChars="200"/>
        <w:rPr>
          <w:color w:val="auto"/>
          <w:szCs w:val="21"/>
          <w:highlight w:val="none"/>
        </w:rPr>
      </w:pPr>
      <w:r>
        <w:rPr>
          <w:rFonts w:hint="eastAsia"/>
          <w:color w:val="auto"/>
          <w:szCs w:val="21"/>
          <w:highlight w:val="none"/>
        </w:rPr>
        <w:t>（2）监理人根据</w:t>
      </w:r>
      <w:r>
        <w:rPr>
          <w:rFonts w:hint="eastAsia"/>
          <w:color w:val="auto"/>
          <w:szCs w:val="21"/>
          <w:highlight w:val="none"/>
          <w:lang w:val="en-US" w:eastAsia="zh-CN"/>
        </w:rPr>
        <w:t>中国</w:t>
      </w:r>
      <w:r>
        <w:rPr>
          <w:rFonts w:hint="eastAsia"/>
          <w:color w:val="auto"/>
          <w:szCs w:val="21"/>
          <w:highlight w:val="none"/>
        </w:rPr>
        <w:t>南方电网</w:t>
      </w:r>
      <w:r>
        <w:rPr>
          <w:rFonts w:hint="eastAsia"/>
          <w:color w:val="auto"/>
          <w:szCs w:val="21"/>
          <w:highlight w:val="none"/>
          <w:lang w:val="en-US" w:eastAsia="zh-CN"/>
        </w:rPr>
        <w:t>有限责任</w:t>
      </w:r>
      <w:r>
        <w:rPr>
          <w:rFonts w:hint="eastAsia"/>
          <w:color w:val="auto"/>
          <w:szCs w:val="21"/>
          <w:highlight w:val="none"/>
        </w:rPr>
        <w:t>公司基建管理相关规定，参与编制、督促执行二级进度计划，如因监理人原因发生工程进度失控，每发生一次扣除合同总额的0.2%，最多可考核监理人合同总额的1%。</w:t>
      </w:r>
    </w:p>
    <w:p w14:paraId="63360CCD">
      <w:pPr>
        <w:spacing w:line="360" w:lineRule="auto"/>
        <w:ind w:firstLine="420" w:firstLineChars="200"/>
        <w:rPr>
          <w:color w:val="auto"/>
          <w:szCs w:val="21"/>
          <w:highlight w:val="none"/>
        </w:rPr>
      </w:pPr>
      <w:r>
        <w:rPr>
          <w:rFonts w:hint="eastAsia"/>
          <w:color w:val="auto"/>
          <w:szCs w:val="21"/>
          <w:highlight w:val="none"/>
        </w:rPr>
        <w:t>（3）输变电工程投产后一个月内，业主项目部负责组织工程各参建单位审查工程竣工资料，审查通过后移交建设档案部门。建设单位档案部门在收到资料后15个工作日内提出需要整改的问题，业主项目部负责督促参建单位，在收到整改问题后在15个工作日内整改完毕并移交，未向委托人档案管理部门移交项目档案，档案资料不齐全，根据情节严重程度，最多可考核监理人合同总额的1%。</w:t>
      </w:r>
    </w:p>
    <w:p w14:paraId="3BB69EC6">
      <w:pPr>
        <w:spacing w:line="360" w:lineRule="auto"/>
        <w:ind w:firstLine="420" w:firstLineChars="200"/>
        <w:rPr>
          <w:color w:val="auto"/>
          <w:szCs w:val="21"/>
          <w:highlight w:val="none"/>
        </w:rPr>
      </w:pPr>
      <w:r>
        <w:rPr>
          <w:rFonts w:hint="eastAsia"/>
          <w:color w:val="auto"/>
          <w:szCs w:val="21"/>
          <w:highlight w:val="none"/>
        </w:rPr>
        <w:t>（4）确保工程安全、质量管理措施到位，如发生一般及以上事故，根据情节严重程度，最多可扣除合同额的1%。</w:t>
      </w:r>
    </w:p>
    <w:p w14:paraId="19E0560D">
      <w:pPr>
        <w:spacing w:line="360" w:lineRule="auto"/>
        <w:ind w:firstLine="420" w:firstLineChars="200"/>
        <w:rPr>
          <w:color w:val="auto"/>
          <w:szCs w:val="21"/>
          <w:highlight w:val="none"/>
        </w:rPr>
      </w:pPr>
      <w:r>
        <w:rPr>
          <w:rFonts w:hint="eastAsia"/>
          <w:color w:val="auto"/>
          <w:szCs w:val="21"/>
          <w:highlight w:val="none"/>
        </w:rPr>
        <w:t>11.4.7 监理人未履行责任构成违约的，每项违约责任扣减合同总额的</w:t>
      </w:r>
      <w:sdt>
        <w:sdtPr>
          <w:rPr>
            <w:rFonts w:hint="eastAsia" w:asciiTheme="minorHAnsi" w:hAnsiTheme="minorHAnsi" w:eastAsiaTheme="minorEastAsia" w:cstheme="minorBidi"/>
            <w:color w:val="auto"/>
            <w:kern w:val="2"/>
            <w:sz w:val="28"/>
            <w:szCs w:val="36"/>
            <w:highlight w:val="none"/>
            <w:u w:val="single"/>
            <w:lang w:val="en-US" w:eastAsia="zh-CN" w:bidi="ar-SA"/>
          </w:rPr>
          <w:alias w:val="违约金不应过分高于或低于实际损失。"/>
          <w:tag w:val="违约金比例"/>
          <w:id w:val="177611775"/>
          <w:placeholder>
            <w:docPart w:val="{a0c79a12-b0c7-4e1b-8e05-c3257e031f1b}"/>
          </w:placeholder>
          <w:text w:multiLine="1"/>
        </w:sdtPr>
        <w:sdtEndPr>
          <w:rPr>
            <w:rFonts w:hint="eastAsia" w:asciiTheme="minorHAnsi" w:hAnsiTheme="minorHAnsi" w:eastAsiaTheme="minorEastAsia" w:cstheme="minorBidi"/>
            <w:color w:val="auto"/>
            <w:kern w:val="2"/>
            <w:sz w:val="28"/>
            <w:szCs w:val="21"/>
            <w:highlight w:val="none"/>
            <w:u w:val="single"/>
            <w:lang w:val="en-US" w:eastAsia="zh-CN" w:bidi="ar-SA"/>
          </w:rPr>
        </w:sdtEndPr>
        <w:sdtContent>
          <w:permStart w:id="127" w:edGrp="everyone"/>
          <w:r>
            <w:rPr>
              <w:rFonts w:hint="eastAsia"/>
              <w:color w:val="auto"/>
              <w:szCs w:val="21"/>
              <w:highlight w:val="none"/>
              <w:u w:val="single"/>
              <w:lang w:val="en-US" w:eastAsia="zh-CN"/>
            </w:rPr>
            <w:t xml:space="preserve"> 10 %</w:t>
          </w:r>
          <w:permEnd w:id="127"/>
        </w:sdtContent>
      </w:sdt>
      <w:r>
        <w:rPr>
          <w:rFonts w:hint="eastAsia"/>
          <w:color w:val="auto"/>
          <w:szCs w:val="21"/>
          <w:highlight w:val="none"/>
        </w:rPr>
        <w:t>。</w:t>
      </w:r>
    </w:p>
    <w:p w14:paraId="0554B1A9">
      <w:pPr>
        <w:spacing w:line="360" w:lineRule="auto"/>
        <w:ind w:firstLine="420" w:firstLineChars="200"/>
        <w:rPr>
          <w:color w:val="auto"/>
          <w:szCs w:val="21"/>
          <w:highlight w:val="none"/>
        </w:rPr>
      </w:pPr>
      <w:r>
        <w:rPr>
          <w:rFonts w:hint="eastAsia"/>
          <w:color w:val="auto"/>
          <w:szCs w:val="21"/>
          <w:highlight w:val="none"/>
        </w:rPr>
        <w:t>11.4.8 未按要求及时完成完工工程量审核或审核错误，扣减合同总额</w:t>
      </w:r>
      <w:sdt>
        <w:sdtPr>
          <w:rPr>
            <w:rFonts w:hint="eastAsia" w:asciiTheme="minorHAnsi" w:hAnsiTheme="minorHAnsi" w:eastAsiaTheme="minorEastAsia" w:cstheme="minorBidi"/>
            <w:color w:val="auto"/>
            <w:kern w:val="2"/>
            <w:sz w:val="28"/>
            <w:szCs w:val="36"/>
            <w:highlight w:val="none"/>
            <w:u w:val="single"/>
            <w:lang w:val="en-US" w:eastAsia="zh-CN" w:bidi="ar-SA"/>
          </w:rPr>
          <w:alias w:val="违约金不应过分高于或低于实际损失。"/>
          <w:tag w:val="违约金比例"/>
          <w:id w:val="911811673"/>
          <w:placeholder>
            <w:docPart w:val="{9950b068-7972-4bbb-bef2-46edd902c052}"/>
          </w:placeholder>
          <w:text w:multiLine="1"/>
        </w:sdtPr>
        <w:sdtEndPr>
          <w:rPr>
            <w:rFonts w:hint="eastAsia" w:asciiTheme="minorHAnsi" w:hAnsiTheme="minorHAnsi" w:eastAsiaTheme="minorEastAsia" w:cstheme="minorBidi"/>
            <w:color w:val="auto"/>
            <w:kern w:val="2"/>
            <w:sz w:val="28"/>
            <w:szCs w:val="21"/>
            <w:highlight w:val="none"/>
            <w:u w:val="single"/>
            <w:lang w:val="en-US" w:eastAsia="zh-CN" w:bidi="ar-SA"/>
          </w:rPr>
        </w:sdtEndPr>
        <w:sdtContent>
          <w:permStart w:id="128" w:edGrp="everyone"/>
          <w:r>
            <w:rPr>
              <w:rFonts w:hint="eastAsia"/>
              <w:color w:val="auto"/>
              <w:szCs w:val="21"/>
              <w:highlight w:val="none"/>
              <w:u w:val="single"/>
              <w:lang w:val="en-US" w:eastAsia="zh-CN"/>
            </w:rPr>
            <w:t xml:space="preserve"> 10 %</w:t>
          </w:r>
          <w:permEnd w:id="128"/>
        </w:sdtContent>
      </w:sdt>
      <w:r>
        <w:rPr>
          <w:rFonts w:hint="eastAsia"/>
          <w:color w:val="auto"/>
          <w:szCs w:val="21"/>
          <w:highlight w:val="none"/>
        </w:rPr>
        <w:t>。</w:t>
      </w:r>
    </w:p>
    <w:p w14:paraId="33669170">
      <w:pPr>
        <w:pStyle w:val="3"/>
        <w:rPr>
          <w:rFonts w:hint="eastAsia"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3</w:t>
      </w:r>
      <w:r>
        <w:rPr>
          <w:rFonts w:ascii="Times New Roman" w:hAnsi="Times New Roman"/>
          <w:color w:val="auto"/>
          <w:highlight w:val="none"/>
        </w:rPr>
        <w:t xml:space="preserve">. </w:t>
      </w:r>
      <w:r>
        <w:rPr>
          <w:rFonts w:hint="eastAsia" w:ascii="Times New Roman" w:hAnsi="Times New Roman"/>
          <w:color w:val="auto"/>
          <w:highlight w:val="none"/>
        </w:rPr>
        <w:t>其他</w:t>
      </w:r>
    </w:p>
    <w:p w14:paraId="5C2215BB">
      <w:pPr>
        <w:rPr>
          <w:rFonts w:hint="eastAsia" w:ascii="Times New Roman" w:hAnsi="Times New Roman"/>
          <w:color w:val="auto"/>
          <w:highlight w:val="none"/>
        </w:rPr>
      </w:pPr>
    </w:p>
    <w:p w14:paraId="46F65BDC">
      <w:pPr>
        <w:pStyle w:val="9"/>
        <w:rPr>
          <w:rFonts w:hint="eastAsia" w:ascii="Times New Roman" w:hAnsi="Times New Roman"/>
          <w:color w:val="auto"/>
          <w:highlight w:val="none"/>
        </w:rPr>
      </w:pPr>
    </w:p>
    <w:p w14:paraId="4D61DEE0">
      <w:pPr>
        <w:pStyle w:val="9"/>
        <w:rPr>
          <w:rFonts w:hint="eastAsia" w:ascii="Times New Roman" w:hAnsi="Times New Roman"/>
          <w:color w:val="auto"/>
          <w:highlight w:val="none"/>
        </w:rPr>
      </w:pPr>
    </w:p>
    <w:p w14:paraId="759FC822">
      <w:pPr>
        <w:pStyle w:val="2"/>
        <w:pageBreakBefore/>
        <w:ind w:firstLine="883" w:firstLineChars="200"/>
        <w:jc w:val="center"/>
        <w:rPr>
          <w:rFonts w:ascii="Times New Roman" w:hAnsi="Times New Roman"/>
          <w:color w:val="auto"/>
          <w:highlight w:val="none"/>
        </w:rPr>
      </w:pPr>
      <w:permStart w:id="129" w:edGrp="everyone"/>
      <w:bookmarkStart w:id="248" w:name="_Toc13114"/>
      <w:r>
        <w:rPr>
          <w:rFonts w:ascii="Times New Roman" w:hAnsi="Times New Roman"/>
          <w:color w:val="auto"/>
          <w:highlight w:val="none"/>
        </w:rPr>
        <w:t>第</w:t>
      </w:r>
      <w:r>
        <w:rPr>
          <w:rFonts w:hint="eastAsia"/>
          <w:color w:val="auto"/>
          <w:highlight w:val="none"/>
          <w:lang w:val="en-US" w:eastAsia="zh-CN"/>
        </w:rPr>
        <w:t>四</w:t>
      </w:r>
      <w:r>
        <w:rPr>
          <w:rFonts w:ascii="Times New Roman" w:hAnsi="Times New Roman"/>
          <w:color w:val="auto"/>
          <w:highlight w:val="none"/>
        </w:rPr>
        <w:t>节</w:t>
      </w:r>
      <w:r>
        <w:rPr>
          <w:rFonts w:hint="eastAsia"/>
          <w:color w:val="auto"/>
          <w:highlight w:val="none"/>
          <w:lang w:val="en-US" w:eastAsia="zh-CN"/>
        </w:rPr>
        <w:t xml:space="preserve"> </w:t>
      </w:r>
      <w:r>
        <w:rPr>
          <w:rFonts w:ascii="Times New Roman" w:hAnsi="Times New Roman"/>
          <w:color w:val="auto"/>
          <w:highlight w:val="none"/>
        </w:rPr>
        <w:t>合同附件格式</w:t>
      </w:r>
      <w:bookmarkEnd w:id="248"/>
    </w:p>
    <w:p w14:paraId="3BA8808C">
      <w:pPr>
        <w:pStyle w:val="3"/>
        <w:ind w:firstLine="137"/>
        <w:jc w:val="left"/>
        <w:rPr>
          <w:rFonts w:ascii="Times New Roman"/>
          <w:color w:val="auto"/>
          <w:highlight w:val="none"/>
        </w:rPr>
      </w:pPr>
      <w:r>
        <w:rPr>
          <w:rFonts w:ascii="Times New Roman"/>
          <w:color w:val="auto"/>
          <w:highlight w:val="none"/>
        </w:rPr>
        <w:br w:type="page"/>
      </w:r>
      <w:bookmarkStart w:id="249" w:name="_Toc48"/>
      <w:bookmarkStart w:id="250" w:name="_Toc491798523"/>
      <w:r>
        <w:rPr>
          <w:rFonts w:hint="eastAsia" w:ascii="Times New Roman"/>
          <w:color w:val="auto"/>
          <w:highlight w:val="none"/>
        </w:rPr>
        <w:t>附件</w:t>
      </w:r>
      <w:r>
        <w:rPr>
          <w:rFonts w:hint="eastAsia" w:ascii="Times New Roman"/>
          <w:color w:val="auto"/>
          <w:highlight w:val="none"/>
          <w:lang w:val="en-US" w:eastAsia="zh-CN"/>
        </w:rPr>
        <w:t>一</w:t>
      </w:r>
      <w:r>
        <w:rPr>
          <w:rFonts w:hint="eastAsia" w:ascii="Times New Roman"/>
          <w:color w:val="auto"/>
          <w:highlight w:val="none"/>
        </w:rPr>
        <w:t>：</w:t>
      </w:r>
      <w:r>
        <w:rPr>
          <w:rFonts w:hint="eastAsia" w:ascii="宋体" w:hAnsi="宋体" w:cs="仿宋_GB2312"/>
          <w:color w:val="auto"/>
          <w:kern w:val="0"/>
          <w:szCs w:val="21"/>
          <w:highlight w:val="none"/>
        </w:rPr>
        <w:t>监理服务范围、内容和要求</w:t>
      </w:r>
      <w:bookmarkEnd w:id="249"/>
    </w:p>
    <w:p w14:paraId="767CA223">
      <w:pPr>
        <w:spacing w:line="440" w:lineRule="exact"/>
        <w:jc w:val="center"/>
        <w:rPr>
          <w:rFonts w:eastAsia="黑体"/>
          <w:color w:val="auto"/>
          <w:sz w:val="28"/>
          <w:highlight w:val="none"/>
        </w:rPr>
      </w:pPr>
      <w:r>
        <w:rPr>
          <w:rFonts w:hint="eastAsia" w:eastAsia="黑体"/>
          <w:color w:val="auto"/>
          <w:sz w:val="28"/>
          <w:highlight w:val="none"/>
        </w:rPr>
        <w:t>监理服务范围、内容和要求</w:t>
      </w:r>
    </w:p>
    <w:p w14:paraId="33517789">
      <w:pPr>
        <w:autoSpaceDE w:val="0"/>
        <w:autoSpaceDN w:val="0"/>
        <w:adjustRightInd w:val="0"/>
        <w:spacing w:line="360" w:lineRule="auto"/>
        <w:jc w:val="left"/>
        <w:rPr>
          <w:rFonts w:ascii="宋体" w:hAnsi="宋体"/>
          <w:color w:val="auto"/>
          <w:szCs w:val="21"/>
          <w:highlight w:val="none"/>
        </w:rPr>
      </w:pPr>
    </w:p>
    <w:p w14:paraId="030F3863">
      <w:pPr>
        <w:spacing w:line="440" w:lineRule="exact"/>
        <w:ind w:firstLine="422" w:firstLineChars="200"/>
        <w:rPr>
          <w:rFonts w:ascii="宋体" w:hAnsi="宋体" w:cs="宋体"/>
          <w:color w:val="auto"/>
          <w:szCs w:val="21"/>
          <w:highlight w:val="none"/>
          <w:u w:val="single"/>
        </w:rPr>
      </w:pPr>
      <w:r>
        <w:rPr>
          <w:rFonts w:hint="eastAsia" w:ascii="宋体" w:hAnsi="宋体" w:cs="宋体"/>
          <w:b/>
          <w:bCs/>
          <w:color w:val="auto"/>
          <w:szCs w:val="21"/>
          <w:highlight w:val="none"/>
        </w:rPr>
        <w:t>1 监理服务范围</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eastAsia="宋体" w:cs="宋体"/>
          <w:color w:val="auto"/>
          <w:sz w:val="21"/>
          <w:szCs w:val="21"/>
          <w:highlight w:val="none"/>
          <w:u w:val="single"/>
          <w:lang w:val="en-US" w:eastAsia="zh-CN"/>
        </w:rPr>
        <w:t>500千伏番南输变电工程（变电站建筑）监理服务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8592907">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 监理服务内容和要求</w:t>
      </w:r>
    </w:p>
    <w:p w14:paraId="406FAD11">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 监理工作职责</w:t>
      </w:r>
    </w:p>
    <w:p w14:paraId="2732C66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2.1.1职责</w:t>
      </w:r>
    </w:p>
    <w:p w14:paraId="6BE0B895">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2.1.1.1 委托人（业主项目部）负责对监理项目部进行监督、检查和评价。</w:t>
      </w:r>
    </w:p>
    <w:p w14:paraId="1C874CD7">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2.1.1.2 监理项目部应严格执行本手册，对发现的问题及时通过监理人向委托人和有关单位反馈。</w:t>
      </w:r>
    </w:p>
    <w:p w14:paraId="1417D262">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2.1.1.3</w:t>
      </w:r>
      <w:r>
        <w:rPr>
          <w:rFonts w:hint="eastAsia" w:ascii="宋体" w:hAnsi="宋体" w:cs="宋体"/>
          <w:color w:val="auto"/>
          <w:szCs w:val="21"/>
          <w:highlight w:val="none"/>
        </w:rPr>
        <w:t>监理项目部资源配置</w:t>
      </w:r>
    </w:p>
    <w:p w14:paraId="792906F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kern w:val="0"/>
          <w:szCs w:val="21"/>
          <w:highlight w:val="none"/>
        </w:rPr>
        <w:t>）</w:t>
      </w:r>
      <w:r>
        <w:rPr>
          <w:rFonts w:hint="eastAsia" w:ascii="宋体" w:hAnsi="宋体" w:cs="宋体"/>
          <w:color w:val="auto"/>
          <w:szCs w:val="21"/>
          <w:highlight w:val="none"/>
        </w:rPr>
        <w:t>监理项目部人员配置</w:t>
      </w:r>
    </w:p>
    <w:p w14:paraId="5D3DD993">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监理人应在建设工程监理合同订立后，及时将总监理工程师任命书及监理项目部人员组成一览表和相关设施配置一览表书面报送委托人。</w:t>
      </w:r>
    </w:p>
    <w:p w14:paraId="6D85CE30">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监理人需要调整总监理工程师的，应征得委托人同意并书面通知；需要调整专业监理工程师的，总监理工程师应书面通知委托人和施工项目部。监理项目部的人员配置应遵守监理人投标的承诺和满足工程建设的需要。</w:t>
      </w:r>
    </w:p>
    <w:p w14:paraId="79683AF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（1）监理人员配置基本要求</w:t>
      </w:r>
    </w:p>
    <w:p w14:paraId="717E7F2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监理人员配置基本要求见表1。</w:t>
      </w:r>
    </w:p>
    <w:p w14:paraId="5A9D57DA">
      <w:pPr>
        <w:autoSpaceDE w:val="0"/>
        <w:autoSpaceDN w:val="0"/>
        <w:adjustRightIn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表1 </w:t>
      </w:r>
      <w:r>
        <w:rPr>
          <w:rFonts w:hint="eastAsia" w:ascii="宋体" w:hAnsi="宋体" w:cs="宋体"/>
          <w:b/>
          <w:bCs/>
          <w:color w:val="auto"/>
          <w:kern w:val="0"/>
          <w:szCs w:val="21"/>
          <w:highlight w:val="none"/>
          <w:lang w:val="en-US" w:eastAsia="zh-CN"/>
        </w:rPr>
        <w:t>变电站建筑工程</w:t>
      </w:r>
      <w:r>
        <w:rPr>
          <w:rFonts w:hint="eastAsia" w:ascii="宋体" w:hAnsi="宋体" w:cs="宋体"/>
          <w:b/>
          <w:bCs/>
          <w:color w:val="auto"/>
          <w:kern w:val="0"/>
          <w:szCs w:val="21"/>
          <w:highlight w:val="none"/>
        </w:rPr>
        <w:t>监理人员配置基本要求</w:t>
      </w:r>
    </w:p>
    <w:tbl>
      <w:tblPr>
        <w:tblStyle w:val="11"/>
        <w:tblW w:w="910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4"/>
        <w:gridCol w:w="1379"/>
        <w:gridCol w:w="700"/>
        <w:gridCol w:w="1596"/>
        <w:gridCol w:w="874"/>
        <w:gridCol w:w="808"/>
        <w:gridCol w:w="817"/>
        <w:gridCol w:w="999"/>
        <w:gridCol w:w="868"/>
        <w:gridCol w:w="706"/>
      </w:tblGrid>
      <w:tr w14:paraId="7AF2FF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354" w:type="dxa"/>
            <w:vMerge w:val="restart"/>
            <w:noWrap w:val="0"/>
            <w:vAlign w:val="center"/>
          </w:tcPr>
          <w:p w14:paraId="75F3DB15">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379" w:type="dxa"/>
            <w:vMerge w:val="restart"/>
            <w:noWrap w:val="0"/>
            <w:vAlign w:val="center"/>
          </w:tcPr>
          <w:p w14:paraId="20BF1704">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监理项目部名称</w:t>
            </w:r>
          </w:p>
        </w:tc>
        <w:tc>
          <w:tcPr>
            <w:tcW w:w="700" w:type="dxa"/>
            <w:vMerge w:val="restart"/>
            <w:noWrap w:val="0"/>
            <w:vAlign w:val="center"/>
          </w:tcPr>
          <w:p w14:paraId="54770071">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总监理工程师</w:t>
            </w:r>
          </w:p>
        </w:tc>
        <w:tc>
          <w:tcPr>
            <w:tcW w:w="1596" w:type="dxa"/>
            <w:vMerge w:val="restart"/>
            <w:noWrap w:val="0"/>
            <w:vAlign w:val="center"/>
          </w:tcPr>
          <w:p w14:paraId="12CD3352">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总监理工程师代表或副总监理工程师</w:t>
            </w:r>
          </w:p>
        </w:tc>
        <w:tc>
          <w:tcPr>
            <w:tcW w:w="1682" w:type="dxa"/>
            <w:gridSpan w:val="2"/>
            <w:noWrap w:val="0"/>
            <w:vAlign w:val="center"/>
          </w:tcPr>
          <w:p w14:paraId="0CEEC531">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专业监理工程师</w:t>
            </w:r>
          </w:p>
        </w:tc>
        <w:tc>
          <w:tcPr>
            <w:tcW w:w="817" w:type="dxa"/>
            <w:vMerge w:val="restart"/>
            <w:noWrap w:val="0"/>
            <w:vAlign w:val="center"/>
          </w:tcPr>
          <w:p w14:paraId="075A3BA6">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安全监理工程师</w:t>
            </w:r>
          </w:p>
        </w:tc>
        <w:tc>
          <w:tcPr>
            <w:tcW w:w="999" w:type="dxa"/>
            <w:vMerge w:val="restart"/>
            <w:noWrap w:val="0"/>
            <w:vAlign w:val="center"/>
          </w:tcPr>
          <w:p w14:paraId="3C7D81B5">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监理员</w:t>
            </w:r>
          </w:p>
        </w:tc>
        <w:tc>
          <w:tcPr>
            <w:tcW w:w="868" w:type="dxa"/>
            <w:vMerge w:val="restart"/>
            <w:noWrap w:val="0"/>
            <w:vAlign w:val="center"/>
          </w:tcPr>
          <w:p w14:paraId="1B04DE0C">
            <w:pPr>
              <w:spacing w:line="360" w:lineRule="auto"/>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造价</w:t>
            </w:r>
          </w:p>
          <w:p w14:paraId="2593E1ED">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人员</w:t>
            </w:r>
          </w:p>
        </w:tc>
        <w:tc>
          <w:tcPr>
            <w:tcW w:w="706" w:type="dxa"/>
            <w:vMerge w:val="restart"/>
            <w:noWrap w:val="0"/>
            <w:vAlign w:val="center"/>
          </w:tcPr>
          <w:p w14:paraId="3F75E6DE">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信息管理人员</w:t>
            </w:r>
          </w:p>
        </w:tc>
      </w:tr>
      <w:tr w14:paraId="158068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354" w:type="dxa"/>
            <w:vMerge w:val="continue"/>
            <w:noWrap w:val="0"/>
            <w:vAlign w:val="center"/>
          </w:tcPr>
          <w:p w14:paraId="40570EFC">
            <w:pPr>
              <w:spacing w:line="360" w:lineRule="auto"/>
              <w:jc w:val="center"/>
              <w:rPr>
                <w:rFonts w:ascii="宋体" w:hAnsi="宋体" w:cs="宋体"/>
                <w:color w:val="auto"/>
                <w:szCs w:val="21"/>
                <w:highlight w:val="none"/>
              </w:rPr>
            </w:pPr>
          </w:p>
        </w:tc>
        <w:tc>
          <w:tcPr>
            <w:tcW w:w="1379" w:type="dxa"/>
            <w:vMerge w:val="continue"/>
            <w:noWrap w:val="0"/>
            <w:vAlign w:val="center"/>
          </w:tcPr>
          <w:p w14:paraId="79BCC493">
            <w:pPr>
              <w:spacing w:line="360" w:lineRule="auto"/>
              <w:jc w:val="center"/>
              <w:rPr>
                <w:rFonts w:ascii="宋体" w:hAnsi="宋体" w:cs="宋体"/>
                <w:color w:val="auto"/>
                <w:szCs w:val="21"/>
                <w:highlight w:val="none"/>
              </w:rPr>
            </w:pPr>
          </w:p>
        </w:tc>
        <w:tc>
          <w:tcPr>
            <w:tcW w:w="700" w:type="dxa"/>
            <w:vMerge w:val="continue"/>
            <w:noWrap w:val="0"/>
            <w:vAlign w:val="center"/>
          </w:tcPr>
          <w:p w14:paraId="4AA6BD79">
            <w:pPr>
              <w:spacing w:line="360" w:lineRule="auto"/>
              <w:jc w:val="center"/>
              <w:rPr>
                <w:rFonts w:ascii="宋体" w:hAnsi="宋体" w:cs="宋体"/>
                <w:color w:val="auto"/>
                <w:szCs w:val="21"/>
                <w:highlight w:val="none"/>
              </w:rPr>
            </w:pPr>
          </w:p>
        </w:tc>
        <w:tc>
          <w:tcPr>
            <w:tcW w:w="1596" w:type="dxa"/>
            <w:vMerge w:val="continue"/>
            <w:noWrap w:val="0"/>
            <w:vAlign w:val="center"/>
          </w:tcPr>
          <w:p w14:paraId="7D2BFB0F">
            <w:pPr>
              <w:spacing w:line="360" w:lineRule="auto"/>
              <w:jc w:val="center"/>
              <w:rPr>
                <w:rFonts w:ascii="宋体" w:hAnsi="宋体" w:cs="宋体"/>
                <w:color w:val="auto"/>
                <w:szCs w:val="21"/>
                <w:highlight w:val="none"/>
              </w:rPr>
            </w:pPr>
          </w:p>
        </w:tc>
        <w:tc>
          <w:tcPr>
            <w:tcW w:w="874" w:type="dxa"/>
            <w:noWrap w:val="0"/>
            <w:vAlign w:val="center"/>
          </w:tcPr>
          <w:p w14:paraId="1A0D2BD3">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土建</w:t>
            </w:r>
          </w:p>
        </w:tc>
        <w:tc>
          <w:tcPr>
            <w:tcW w:w="808" w:type="dxa"/>
            <w:noWrap w:val="0"/>
            <w:vAlign w:val="center"/>
          </w:tcPr>
          <w:p w14:paraId="76B97ED7">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电气</w:t>
            </w:r>
          </w:p>
        </w:tc>
        <w:tc>
          <w:tcPr>
            <w:tcW w:w="817" w:type="dxa"/>
            <w:vMerge w:val="continue"/>
            <w:noWrap w:val="0"/>
            <w:vAlign w:val="center"/>
          </w:tcPr>
          <w:p w14:paraId="33FEE3A4">
            <w:pPr>
              <w:spacing w:line="360" w:lineRule="auto"/>
              <w:jc w:val="center"/>
              <w:rPr>
                <w:rFonts w:ascii="宋体" w:hAnsi="宋体" w:cs="宋体"/>
                <w:color w:val="auto"/>
                <w:szCs w:val="21"/>
                <w:highlight w:val="none"/>
              </w:rPr>
            </w:pPr>
          </w:p>
        </w:tc>
        <w:tc>
          <w:tcPr>
            <w:tcW w:w="999" w:type="dxa"/>
            <w:vMerge w:val="continue"/>
            <w:noWrap w:val="0"/>
            <w:vAlign w:val="center"/>
          </w:tcPr>
          <w:p w14:paraId="168D49E8">
            <w:pPr>
              <w:spacing w:line="360" w:lineRule="auto"/>
              <w:jc w:val="center"/>
              <w:rPr>
                <w:rFonts w:ascii="宋体" w:hAnsi="宋体" w:cs="宋体"/>
                <w:color w:val="auto"/>
                <w:szCs w:val="21"/>
                <w:highlight w:val="none"/>
              </w:rPr>
            </w:pPr>
          </w:p>
        </w:tc>
        <w:tc>
          <w:tcPr>
            <w:tcW w:w="868" w:type="dxa"/>
            <w:vMerge w:val="continue"/>
            <w:noWrap w:val="0"/>
            <w:vAlign w:val="center"/>
          </w:tcPr>
          <w:p w14:paraId="140A91C7">
            <w:pPr>
              <w:spacing w:line="360" w:lineRule="auto"/>
              <w:jc w:val="center"/>
              <w:rPr>
                <w:rFonts w:ascii="宋体" w:hAnsi="宋体" w:cs="宋体"/>
                <w:color w:val="auto"/>
                <w:szCs w:val="21"/>
                <w:highlight w:val="none"/>
              </w:rPr>
            </w:pPr>
          </w:p>
        </w:tc>
        <w:tc>
          <w:tcPr>
            <w:tcW w:w="706" w:type="dxa"/>
            <w:vMerge w:val="continue"/>
            <w:noWrap w:val="0"/>
            <w:vAlign w:val="center"/>
          </w:tcPr>
          <w:p w14:paraId="370F6B81">
            <w:pPr>
              <w:spacing w:line="360" w:lineRule="auto"/>
              <w:jc w:val="center"/>
              <w:rPr>
                <w:rFonts w:ascii="宋体" w:hAnsi="宋体" w:cs="宋体"/>
                <w:color w:val="auto"/>
                <w:szCs w:val="21"/>
                <w:highlight w:val="none"/>
              </w:rPr>
            </w:pPr>
          </w:p>
        </w:tc>
      </w:tr>
      <w:tr w14:paraId="380260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40" w:hRule="atLeast"/>
          <w:jc w:val="center"/>
        </w:trPr>
        <w:tc>
          <w:tcPr>
            <w:tcW w:w="354" w:type="dxa"/>
            <w:noWrap w:val="0"/>
            <w:vAlign w:val="center"/>
          </w:tcPr>
          <w:p w14:paraId="1B171A40">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1379" w:type="dxa"/>
            <w:noWrap w:val="0"/>
            <w:vAlign w:val="center"/>
          </w:tcPr>
          <w:p w14:paraId="3E38DB8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500千伏番南输变电工程（变电站建筑）</w:t>
            </w:r>
            <w:bookmarkStart w:id="393" w:name="_GoBack"/>
            <w:bookmarkEnd w:id="393"/>
          </w:p>
        </w:tc>
        <w:tc>
          <w:tcPr>
            <w:tcW w:w="700" w:type="dxa"/>
            <w:noWrap w:val="0"/>
            <w:vAlign w:val="center"/>
          </w:tcPr>
          <w:p w14:paraId="0DCD162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596" w:type="dxa"/>
            <w:noWrap w:val="0"/>
            <w:vAlign w:val="center"/>
          </w:tcPr>
          <w:p w14:paraId="3331E21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根据需要配备</w:t>
            </w:r>
          </w:p>
        </w:tc>
        <w:tc>
          <w:tcPr>
            <w:tcW w:w="874" w:type="dxa"/>
            <w:noWrap w:val="0"/>
            <w:vAlign w:val="center"/>
          </w:tcPr>
          <w:p w14:paraId="11E3ED2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808" w:type="dxa"/>
            <w:noWrap w:val="0"/>
            <w:vAlign w:val="center"/>
          </w:tcPr>
          <w:p w14:paraId="7B33A6C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817" w:type="dxa"/>
            <w:noWrap w:val="0"/>
            <w:vAlign w:val="center"/>
          </w:tcPr>
          <w:p w14:paraId="6ECB97C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999" w:type="dxa"/>
            <w:noWrap w:val="0"/>
            <w:vAlign w:val="center"/>
          </w:tcPr>
          <w:p w14:paraId="070472B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按专业需要配置</w:t>
            </w:r>
          </w:p>
        </w:tc>
        <w:tc>
          <w:tcPr>
            <w:tcW w:w="868" w:type="dxa"/>
            <w:noWrap w:val="0"/>
            <w:vAlign w:val="center"/>
          </w:tcPr>
          <w:p w14:paraId="0F64917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兼1</w:t>
            </w:r>
          </w:p>
        </w:tc>
        <w:tc>
          <w:tcPr>
            <w:tcW w:w="706" w:type="dxa"/>
            <w:noWrap w:val="0"/>
            <w:vAlign w:val="center"/>
          </w:tcPr>
          <w:p w14:paraId="2260542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r>
    </w:tbl>
    <w:p w14:paraId="4AE4ED00">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．上表为</w:t>
      </w:r>
      <w:r>
        <w:rPr>
          <w:rFonts w:hint="eastAsia" w:ascii="宋体" w:hAnsi="宋体" w:cs="宋体"/>
          <w:color w:val="auto"/>
          <w:kern w:val="0"/>
          <w:szCs w:val="21"/>
          <w:highlight w:val="none"/>
          <w:lang w:val="en-US" w:eastAsia="zh-CN"/>
        </w:rPr>
        <w:t>本项目</w:t>
      </w:r>
      <w:r>
        <w:rPr>
          <w:rFonts w:hint="eastAsia" w:ascii="宋体" w:hAnsi="宋体" w:cs="宋体"/>
          <w:b/>
          <w:bCs/>
          <w:color w:val="auto"/>
          <w:kern w:val="0"/>
          <w:szCs w:val="21"/>
          <w:highlight w:val="none"/>
          <w:lang w:val="en-US" w:eastAsia="zh-CN"/>
        </w:rPr>
        <w:t>变电站建筑工程</w:t>
      </w:r>
      <w:r>
        <w:rPr>
          <w:rFonts w:hint="eastAsia" w:ascii="宋体" w:hAnsi="宋体" w:cs="宋体"/>
          <w:color w:val="auto"/>
          <w:kern w:val="0"/>
          <w:szCs w:val="21"/>
          <w:highlight w:val="none"/>
        </w:rPr>
        <w:t>监理人员配置基本要求</w:t>
      </w:r>
    </w:p>
    <w:p w14:paraId="576245E7">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当总监理工程师需同时兼任多个监理项目部总监工作时，应征得委托人同意。</w:t>
      </w:r>
    </w:p>
    <w:p w14:paraId="00246AF3">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．监理人应根据工程进展情况和工程施工强度及时派驻人员进场。在施工高峰期或针对特殊工程项目应适当增加监理人员数量。</w:t>
      </w:r>
    </w:p>
    <w:p w14:paraId="74981CC3">
      <w:pPr>
        <w:autoSpaceDE w:val="0"/>
        <w:autoSpaceDN w:val="0"/>
        <w:adjustRightIn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2）监理项目部各岗位人员任职资格及条件</w:t>
      </w:r>
    </w:p>
    <w:p w14:paraId="115A78F1">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（1）总监理工程师的任职资格及条件：具有《注册监理工程师执业资格证》，年龄在65周岁以下，身体健康，并具有三年及以上同类工程监理工作经验。</w:t>
      </w:r>
    </w:p>
    <w:p w14:paraId="3AADEAFE">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（2）总监理工程师代表或副总监理工程师任职资格及条件：具有《注册监理工程师执业资格证》，年龄在65周岁以下，身体健康，并具有三年以上同类工程监理工作经验。</w:t>
      </w:r>
    </w:p>
    <w:p w14:paraId="45DFBBAB">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（3）专业监理工程师任职资格及条件：具有《注册监理工程师执业资格证》或工程类注册执业资格或中级及以上专业技术职称，年龄在65周岁以下，身体健康，并具有两年以上同类工程监理工作经验。</w:t>
      </w:r>
    </w:p>
    <w:p w14:paraId="208E47A7">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（4）安全监理工程师任职资格及条件：具有《注册监理工程师执业资格证》或《注册安全工程师执业资格证》,年龄在60周岁以下，身体健康，熟悉电力建设工程管理，并具有两年以上工程管理工作经验。</w:t>
      </w:r>
    </w:p>
    <w:p w14:paraId="60DDA5B8">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（5）造价人员任职资格及条件：具有国家注册造价工程师执业资格或具有电力工程造价工程师执业资格证书，年龄在65周岁以下，身体健康，并具有一年以上同类工程造价工作经验。</w:t>
      </w:r>
    </w:p>
    <w:p w14:paraId="173F53B2">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（6）监理员任职资格及条件：具有中专及以上学历并经过电力建设工程监理业务培训，并取得电力工程监理从业人员培训合格证书或省级建设监理协会颁发的监理员岗位证书，年龄在65周岁以下，身体健康。</w:t>
      </w:r>
    </w:p>
    <w:p w14:paraId="74F7CBCE">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（7）信息管理员任职资格及条件：熟悉电力建设监理信息档案管理知识，具备熟练的计算机操作技能，经监理公司内部培训合格。</w:t>
      </w:r>
    </w:p>
    <w:p w14:paraId="3E236576">
      <w:pPr>
        <w:autoSpaceDE w:val="0"/>
        <w:autoSpaceDN w:val="0"/>
        <w:adjustRightIn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3）监理项目部基本设备配置</w:t>
      </w:r>
    </w:p>
    <w:p w14:paraId="7F4C3CA1">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监理项目部应根据工程项目类别、规模、技术复杂程度、工程项目所在地的环境条件，按建设工程监理合同的约定，配备满足监理工作需要的常规检测设备、工具和办公设备。</w:t>
      </w:r>
    </w:p>
    <w:p w14:paraId="191A700D">
      <w:pPr>
        <w:autoSpaceDE w:val="0"/>
        <w:autoSpaceDN w:val="0"/>
        <w:adjustRightIn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4）监理项目部技术标准基本配置</w:t>
      </w:r>
    </w:p>
    <w:p w14:paraId="5377EB35">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监理项目部应配置基本的法律法规、规程规章规范、技术标准。在工程实施前监理项目部根据工程实际情况及建设工程监理合同的约定，在此基础上进行补充，并建立监理项目部具体的《监理项目部法律、法规、规程规章规范、技术标准配置清单》。相应的法律、法规、规程规章规范、技术标准可用纸质版或电子版，同时应对其实施动态管理，以保证使用最新版本。</w:t>
      </w:r>
    </w:p>
    <w:p w14:paraId="70D4C21A">
      <w:pPr>
        <w:autoSpaceDE w:val="0"/>
        <w:autoSpaceDN w:val="0"/>
        <w:adjustRightIn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5） 监理项目部标识标志</w:t>
      </w:r>
    </w:p>
    <w:p w14:paraId="6741E4D3">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（1）监理项目部应在办公室门外悬挂监理项目部铭牌，规格（600*400mm)。铭牌应清晰、简洁，并有监理人标志及名称、监理项目部名称。</w:t>
      </w:r>
    </w:p>
    <w:p w14:paraId="5B0DC9CC">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（2）监理项目部办公室内墙标识标志主要应有：</w:t>
      </w:r>
    </w:p>
    <w:p w14:paraId="34BB2332">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a）监理项目部组织机构及人员分工图，规格（400*600mm)。</w:t>
      </w:r>
    </w:p>
    <w:p w14:paraId="14BA20BF">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b）监理人员工作守则，规格（400*600mm)。</w:t>
      </w:r>
    </w:p>
    <w:p w14:paraId="6A856435">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c）二级进度计划控制图（动态）。</w:t>
      </w:r>
    </w:p>
    <w:p w14:paraId="04384189">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d）质量控制点（WHS）设置表（动态）。</w:t>
      </w:r>
    </w:p>
    <w:p w14:paraId="60F73286">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e）安全风险评价表（动态）。</w:t>
      </w:r>
    </w:p>
    <w:p w14:paraId="11FCBADD">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2.1.2 管理组织关系</w:t>
      </w:r>
    </w:p>
    <w:p w14:paraId="0D22A19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2.1.2.1 监理人受委托人委托，根据建设工程监理合同约定的监理服务期限、监理范围和监理工作内容开展监理工作。委托人和监理人应依据建设工程监理合同履行双方的权利、责任和义务。</w:t>
      </w:r>
    </w:p>
    <w:p w14:paraId="1D665450">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2.1.2.2 监理项目部与业主项目部根据相关工作规则履行职能。</w:t>
      </w:r>
    </w:p>
    <w:p w14:paraId="04CD749A">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2.1.2.3 监理项目部与施工项目部：监理与被监理的关系。监理项目部根据建设工程监理合同和施工合同，围绕工程开展协调工作并对建设工程的质量、安全风险、进度、造价进行控制，对合同、信息进行管理。</w:t>
      </w:r>
    </w:p>
    <w:p w14:paraId="23A13EF1">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2.1.2.</w:t>
      </w: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zh-CN"/>
        </w:rPr>
        <w:t xml:space="preserve"> 监理项目部与设计人：监理项目部协助委托人协调设计文件的提交进度以满足工程建设的需要。在工程实施阶段及时提出所发现的设计问题，经设计人确认后监督落实。</w:t>
      </w:r>
    </w:p>
    <w:p w14:paraId="6DDB5B9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2.1.2.5 监理项目部与物资供应商：通过委托人围绕工程建设开展的协调关系。监理项目部参加由物流中心组织的主要设备开箱检验，重点关注甲供物资的供货进度、到达现场物资的质量。</w:t>
      </w:r>
    </w:p>
    <w:p w14:paraId="6D95D40B">
      <w:pPr>
        <w:autoSpaceDE w:val="0"/>
        <w:autoSpaceDN w:val="0"/>
        <w:adjustRightInd w:val="0"/>
        <w:spacing w:line="360" w:lineRule="auto"/>
        <w:ind w:firstLine="420" w:firstLineChars="200"/>
        <w:jc w:val="left"/>
        <w:rPr>
          <w:rFonts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2.1.3 监理项目部职责</w:t>
      </w:r>
    </w:p>
    <w:p w14:paraId="716D2D3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2.1.3.1 严格履行建设工程监理合同赋予的职责、权利和义务，负责组织实施工程项目监理服务的具体工作。确保工程各项目标的实现。</w:t>
      </w:r>
    </w:p>
    <w:p w14:paraId="4405EB2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2.1.3.2 按照法律法规和工程建设强制性标准实施监理，履行电力建设工程安全生产管理的监理职责。监理单位资源配置应当满足工程监理要求，依据合同约定履行电力建设工程施工安全监理职责。</w:t>
      </w:r>
    </w:p>
    <w:p w14:paraId="6442192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2.1.3.3 建立健全安全监理工作制度，编制含有安全监理内容的监理规划和监理实施细则，明确监理人员安全职责以及相关工作安全监理措施和目标。</w:t>
      </w:r>
    </w:p>
    <w:p w14:paraId="74979F68">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2.1.3.4 组织或参加各类安全检查活动，掌握现场安全生产动态，建立安全管理台帐。重点审查、监督下列工作： </w:t>
      </w:r>
    </w:p>
    <w:p w14:paraId="45F07098">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a按照工程建设强制性标准和安全生产标准及时审查施工组织设计中的安全技术措施和专项施工方案； </w:t>
      </w:r>
    </w:p>
    <w:p w14:paraId="484F3F6E">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b审查和验证分包单位的资质文件和拟签订的分包合同、人员资质、安全协议；</w:t>
      </w:r>
    </w:p>
    <w:p w14:paraId="777E5B72">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c审查安全管理人员、特种作业人员、特种设备操作人员资格证明文件和主要施工机械、工器具、安全用具的安全性能证明文件是否符合国家有关标准；检查现场作业人员及设备配置是否满足安全施工的要求； </w:t>
      </w:r>
    </w:p>
    <w:p w14:paraId="6CF52C0B">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d对大中型起重机械、脚手架、跨越架、施工用电、危险品库房等重要施工设施投入使用前进行安全检查签证。土建交付安装、安装交付调试及整套启动等重大工序交接前进行安全检查签证；</w:t>
      </w:r>
    </w:p>
    <w:p w14:paraId="2FD47CB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e对工程关键部位、关键工序、特殊作业和危险作业进行旁站监理；对复杂自然条件、复杂结构、技术难度大及危险性较大分部分项工程专项施工方案的实施进行现场监理；监督交叉作业和工序交接中的安全施工措施的落实；</w:t>
      </w:r>
    </w:p>
    <w:p w14:paraId="449B6D90">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f监督施工单位安全生产费的使用、安全教育培训情况。</w:t>
      </w:r>
    </w:p>
    <w:p w14:paraId="62D54DEE">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2.1.3.5在实施监理过程中，发现存在生产安全事故隐患的，应当要求施工单位及时整改；情节严重的，应当要求施工单位暂时或部分停止施工，并及时报告委托人。施工单位拒不整改或者不停止施工的，监理单位应当及时向国家能源局派出机构和政府有关部门报告。</w:t>
      </w:r>
    </w:p>
    <w:p w14:paraId="3B98C688">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2.1.3.6按照相关规定设置安全管理机构，配置符合要求的安全管理人员，服从委托人管理，定期参加安全会议，协调解决项目建设中的安全管理问题，并及时督促各参建单位贯彻落实安委会会议纪要的要求。</w:t>
      </w:r>
    </w:p>
    <w:p w14:paraId="564DF959">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2.1.3.7必须依据中国南方电网公司安全风险管理文件中的有关规定，开展基建项目监理安全工作。建立健全安全风险管理体系，落实监理项目部的安全责任制及岗位职责，进行危险源和环境因素的辨识、评价与控制。在安委会领导下或自主开展各项安全活动，履行安全风险管理职能，做好安全预控措施。按规定程序上报安全事故，参加安全事故调查。</w:t>
      </w:r>
    </w:p>
    <w:p w14:paraId="2E5492A7">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2.1.3.8监理项目部在基建安全管理中须贯彻安全生产方针，制定安全生产责任制。</w:t>
      </w:r>
    </w:p>
    <w:p w14:paraId="24EB598E">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2.1.3.9建立健全质量管理体系，落实质量责任制及岗位职责，履行质量管理职能。严格执行国家及行业施工规范、规程、标准、强制性条文件, 根据质量验收评定标准落实质量控制工作，保证工序质量。按规定程序上报质量事故，参加质量事故调查。</w:t>
      </w:r>
    </w:p>
    <w:p w14:paraId="7E2D62A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2.1.3.10按照国家、电力行业和中国南方电网公司的有关质量标准和规定，建立、健全质量管理体系并有效运转，监理项目部从组织机构、质量管理、技术管理制度等方面审查承包人的质量管理体系，满足要求时予以确认。</w:t>
      </w:r>
    </w:p>
    <w:p w14:paraId="2F69002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2.1.3.11监理单位承诺建立工程质量责任终身制，并层层分解质量管理责任。</w:t>
      </w:r>
    </w:p>
    <w:p w14:paraId="1B4F902C">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2.1.3.12进行工程造价控制，严格执行工程变更的管理程序；审核工程进度款支付申请，配合建设单位进行竣工结算；按索赔的管理程序，收集参建各方索赔的证据和资料。</w:t>
      </w:r>
    </w:p>
    <w:p w14:paraId="57F8D188">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2.1.3.13审查施工项目部编制的三级施工进度计划，并督促实施；分析进度偏差的原因，提出监理意见，督促施工项目部落实进度纠偏措施。</w:t>
      </w:r>
    </w:p>
    <w:p w14:paraId="2CE842E4">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2.1.3.14在建设单位的委托范围内进行合同管理。督促施工项目部严格按照施工合同履行义务。</w:t>
      </w:r>
    </w:p>
    <w:p w14:paraId="559F1E14">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2.1.3.15进行工程信息管理，完成工程监理资料的收集、整理、上报、移交工作，督促施工资料的归档移交工作。</w:t>
      </w:r>
    </w:p>
    <w:p w14:paraId="6614254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2.1.3.16做好与业主项目部、施工项目部、设计单位的协调工作，协助做好物资供应商的协调工作。</w:t>
      </w:r>
    </w:p>
    <w:p w14:paraId="1361CD0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2.1.3.17 鼓励监理项目部在施工现场积极推进QC小组活动，进行质量管理思路、方法创新。</w:t>
      </w:r>
    </w:p>
    <w:p w14:paraId="6CCD8BFE">
      <w:pPr>
        <w:autoSpaceDE w:val="0"/>
        <w:autoSpaceDN w:val="0"/>
        <w:adjustRightInd w:val="0"/>
        <w:spacing w:line="360" w:lineRule="auto"/>
        <w:ind w:firstLine="422" w:firstLineChars="200"/>
        <w:jc w:val="left"/>
        <w:rPr>
          <w:rFonts w:ascii="宋体" w:hAnsi="宋体" w:cs="宋体"/>
          <w:b/>
          <w:color w:val="auto"/>
          <w:kern w:val="0"/>
          <w:szCs w:val="21"/>
          <w:highlight w:val="none"/>
          <w:lang w:val="zh-CN"/>
        </w:rPr>
      </w:pPr>
      <w:r>
        <w:rPr>
          <w:rFonts w:hint="eastAsia" w:ascii="宋体" w:hAnsi="宋体" w:cs="宋体"/>
          <w:b/>
          <w:color w:val="auto"/>
          <w:kern w:val="0"/>
          <w:szCs w:val="21"/>
          <w:highlight w:val="none"/>
          <w:lang w:val="zh-CN"/>
        </w:rPr>
        <w:t>2.2</w:t>
      </w:r>
      <w:r>
        <w:rPr>
          <w:rFonts w:hint="eastAsia" w:ascii="宋体" w:hAnsi="宋体" w:cs="宋体"/>
          <w:b/>
          <w:color w:val="auto"/>
          <w:kern w:val="0"/>
          <w:szCs w:val="21"/>
          <w:highlight w:val="none"/>
        </w:rPr>
        <w:t xml:space="preserve"> </w:t>
      </w:r>
      <w:r>
        <w:rPr>
          <w:rFonts w:hint="eastAsia" w:ascii="宋体" w:hAnsi="宋体" w:cs="宋体"/>
          <w:b/>
          <w:color w:val="auto"/>
          <w:kern w:val="0"/>
          <w:szCs w:val="21"/>
          <w:highlight w:val="none"/>
          <w:lang w:val="zh-CN"/>
        </w:rPr>
        <w:t>安全管理</w:t>
      </w:r>
    </w:p>
    <w:p w14:paraId="7EA6C520">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监理项目部应根据法律法规、工程建设强制性标准，履行建设工程安全生产管理的监理职责，监理工作的主要内容包括危害辨识与风险评估、安全监理策划、风险管控（含防风防汛）、分包安全管理、文明施工管理（含“</w:t>
      </w: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zh-CN"/>
        </w:rPr>
        <w:t>S”管理）、环保与水保管理、征地移民、应急与事故事件管理、安全监理总结等。</w:t>
      </w:r>
    </w:p>
    <w:p w14:paraId="2B9678FB">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2.2.1 施工准备阶段</w:t>
      </w:r>
    </w:p>
    <w:p w14:paraId="745F89AD">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（1）危害辨识与风险评估</w:t>
      </w:r>
    </w:p>
    <w:p w14:paraId="5A7D936A">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监理项目部应督促施工项目部以电网建设施工作业指导书为主线，结合工程实际情况开展项目作业危害辨识与风险评估，并初步制定预控措施。</w:t>
      </w:r>
    </w:p>
    <w:p w14:paraId="0A72B5A0">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（2）工作策划</w:t>
      </w:r>
    </w:p>
    <w:p w14:paraId="0DF86674">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总监理工程师根据国家现行的法律、法规、规定及项目监理合同、项目特点、施工现场实际情况在监理规划及监理实施细则中明确安全监理的目标、范围、内容、工作程序、方法和措施，并重点阐述危险性较大分部分项工程或“高风险”及以上风险的监理管控要求。</w:t>
      </w:r>
    </w:p>
    <w:p w14:paraId="3D7CA649">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2）依据</w:t>
      </w:r>
      <w:r>
        <w:rPr>
          <w:rFonts w:hint="eastAsia" w:ascii="宋体" w:hAnsi="宋体" w:cs="宋体"/>
          <w:color w:val="auto"/>
          <w:kern w:val="0"/>
          <w:szCs w:val="21"/>
          <w:highlight w:val="none"/>
          <w:lang w:val="en-US" w:eastAsia="zh-CN"/>
        </w:rPr>
        <w:t>中国南方电网有限责任</w:t>
      </w:r>
      <w:r>
        <w:rPr>
          <w:rFonts w:hint="eastAsia" w:ascii="宋体" w:hAnsi="宋体" w:cs="宋体"/>
          <w:color w:val="auto"/>
          <w:kern w:val="0"/>
          <w:szCs w:val="21"/>
          <w:highlight w:val="none"/>
          <w:lang w:val="zh-CN"/>
        </w:rPr>
        <w:t>公司《基建项目作业环境管理（7S）工作指引》编制项目现场7S管理措施，融入监理规划和监理细则中。</w:t>
      </w:r>
    </w:p>
    <w:p w14:paraId="68BFEE1A">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3）制订《监理项目部应急处置方案》，报业主项目部备案。</w:t>
      </w:r>
    </w:p>
    <w:p w14:paraId="71B2359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4）基于现场监理风险为监理人员配备满足监理工作需要的个人防护用品。</w:t>
      </w:r>
    </w:p>
    <w:p w14:paraId="2210523E">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5）总监理工程师应根据项目危害辨识与风险评估情况组织监理项目部人员学习并进行交底，并形成安全风险监理工作交底记录。</w:t>
      </w:r>
    </w:p>
    <w:p w14:paraId="47C18A0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（3）施工安全准备工作审查</w:t>
      </w:r>
    </w:p>
    <w:p w14:paraId="556F9541">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1）总监理工程师应组织监理项目部人员审查施工单位提交的施工组织设计或专项方案中的安全技术措施是否符合工程建设强制性标准，符合要求的由总监理工程师签字确认报建设单位审批。</w:t>
      </w:r>
    </w:p>
    <w:p w14:paraId="620A50A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2）审查施工项目部报送的《人员资格报审表》，主要包括项目经理、专职安全生产管理人员、特殊工种人员和特种作业人员等资格证明文件，证件应合法有效，符合要求后才准予上岗。</w:t>
      </w:r>
    </w:p>
    <w:p w14:paraId="24F33A00">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3）依据公司《施工机械（具）和设备管理业务指导书》审查施工单位报送的《主要施工机械/工器具/安全用具报审表》中主要施工机械/工器具/安全用具安全性能文件。</w:t>
      </w:r>
    </w:p>
    <w:p w14:paraId="07A403FE">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4）核查施工项目部人员“三级”安全生产培训记录,督促施工项目部对施工人员进行安全产生教育培训，培训考试合格方能进场。</w:t>
      </w:r>
    </w:p>
    <w:p w14:paraId="59FA15AD">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5）审查施工单位的《安全文明施工措施费使用计划》，安全生产投入计划是否符合安全生产要求。</w:t>
      </w:r>
    </w:p>
    <w:p w14:paraId="7F29167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6）审查施工单位报送的《工程建设强制性条文实施计划》中安全方面的“强条”内容，应符合工程实际要求，条文正确、完整。</w:t>
      </w:r>
    </w:p>
    <w:p w14:paraId="75802D8A">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（4）分包单位资质审查</w:t>
      </w:r>
    </w:p>
    <w:p w14:paraId="526B25AC">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工程有分包的，监理项目部应在分包项目开工前，依据国家相关法律、法规及公司《基建项目承包商管理业务指导书》、《分包管理业务指导书》进行分包资质审查，审查施工单位报送《分包单位资格报审表》及附件，符合规定后由总监理工程师签认，报业主项目部审批。施工项目部应对所报送分包单位的资质文件真实性负责。 </w:t>
      </w:r>
    </w:p>
    <w:p w14:paraId="01E91DA2">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2.2.2 施工阶段</w:t>
      </w:r>
    </w:p>
    <w:p w14:paraId="736106C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（1）风险管控</w:t>
      </w:r>
    </w:p>
    <w:p w14:paraId="78C866A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监理项目部应基于项目危害辨识与风险评估情况，有针对性的开展安全监理工作，督促施工项目部针对不同的风险种类、风险等级采取有效的风险防范措施。对一般风险的施工作业任务，监理项目部通过安全巡查、会议、评价等方式实施管控，督促施工项目部落实安全风险管理工作。对“高风险”施工作业任务或危险性较大分部分项工程进行安全旁站，并拍摄数码照片和填写检查记录。</w:t>
      </w:r>
    </w:p>
    <w:p w14:paraId="2805A71A">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（2）“四步法”管理</w:t>
      </w:r>
    </w:p>
    <w:p w14:paraId="6A07531C">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监理项目部日常应坚持对施工单位“四步法”实施情况进行监督，重点关注是否正确使用作业指导书并进行差异化分析；风险辨识与分析是否符合实际，预控措施是否有效；是否正确使用施工安全作业票，签字齐全；并检查施工项目部是否按规定召开“站班会”，督促施工项目部对参加作业人员进行“三交”和“三查”。</w:t>
      </w:r>
    </w:p>
    <w:p w14:paraId="4D9A8190">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（3）施工机械（具）和设备管理</w:t>
      </w:r>
    </w:p>
    <w:p w14:paraId="576DC552">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核查施工项目部执行施工机（具）和设备管理情况，督促施工项目部按公司《施工机械（具）和设备管理业务指导书》做好施工机械（具）和设备的管理工作，由专人管理并建立档案。</w:t>
      </w:r>
    </w:p>
    <w:p w14:paraId="3440BA7C">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（4）人员持证管理</w:t>
      </w:r>
    </w:p>
    <w:p w14:paraId="4131CA6B">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施工过程中，通过文件审查、现场抽查等方式，对施工人员持证情况进行管理，按照公司基建承包商人员持证上岗工作要求，现场检查特殊工种、特种作业人员持证上岗情况。</w:t>
      </w:r>
    </w:p>
    <w:p w14:paraId="4D48644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（5）7S管理</w:t>
      </w:r>
    </w:p>
    <w:p w14:paraId="79EACB78">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监理项目部依据公司《基建项目作业环境管理（7S）工作指引》开展5S管理巡视与评价。</w:t>
      </w:r>
    </w:p>
    <w:p w14:paraId="3682AA5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（6）日常安全管理及检查</w:t>
      </w:r>
    </w:p>
    <w:p w14:paraId="5535BA1B">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施工过程中，通过文件审查、现场巡视检查、定期检查与评价等方式开展日常安全监理工作，填写安全检查记录，督促施工单位进行安全自查工作，核查施工项目部是否按施工组织设计、施工方案、作业指导书等组织施工。</w:t>
      </w:r>
    </w:p>
    <w:p w14:paraId="46AABCCC">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（7）分包安全管理</w:t>
      </w:r>
    </w:p>
    <w:p w14:paraId="073D9AEC">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工程存在分包时，监理项目部应按照公司《基建工程安全管理业务指导书》及《分包管理业务指导书》的要求做好分包人员、机具、材料、社会保险、现场管理等工作。</w:t>
      </w:r>
    </w:p>
    <w:p w14:paraId="199B4C01">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（8）环保与水保管理</w:t>
      </w:r>
    </w:p>
    <w:p w14:paraId="5D81C19D">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1）环保与水保工作内容按监理合同要求执行。</w:t>
      </w:r>
    </w:p>
    <w:p w14:paraId="026E5528">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2）项目区环境保护与水土保持措施及运行应执行“同时设计、同时建设、同时投运”的三同时原则，实施与运行情况应符合施工合同规定和设计技术要求。</w:t>
      </w:r>
    </w:p>
    <w:p w14:paraId="37CABAE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3）根据相关行政主管部门批复的水土保持和环境保护方案，督促施工项目部实施水土保持和环境保护措施。</w:t>
      </w:r>
    </w:p>
    <w:p w14:paraId="00FCC23A">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4）加强施工环保与水保的监督检查，督促施工项目部采取有效措施减少临时占地，严格按照设计施工，避免大开挖，采取表土剥离单独堆放，做到工完料尽场地清，不发生环境二次污染。</w:t>
      </w:r>
    </w:p>
    <w:p w14:paraId="51008D1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5）在有水土流失的地方施工时，按照“先防护后施工”的原则对施工项目部的施工情况进行监督。</w:t>
      </w:r>
    </w:p>
    <w:p w14:paraId="4303D5AB">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6）施工用水宜循环利用，防止地表水土流失而引起下游河床淤积，必须排放的施工弃水、生产废水、生活污水、施工粉尘、废气、废油等，应按规定进行处理。</w:t>
      </w:r>
    </w:p>
    <w:p w14:paraId="71D3CACB">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7）督促施工项目部按照承包合同约定，做好施工界区之内的施工环境保护工作。</w:t>
      </w:r>
    </w:p>
    <w:p w14:paraId="5BD70430">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8）督促施工项目部按照批准的弃土方案施工，取弃土结束后要采取有效的排水、植被恢复等措施。</w:t>
      </w:r>
    </w:p>
    <w:p w14:paraId="1725AE9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9）督促施工项目部进入现场的材料和设备有序地放置，防止任意堆放，污染环境。</w:t>
      </w:r>
    </w:p>
    <w:p w14:paraId="48240119">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10）督促施工项目部遵守有关环境保护法律法规，在施工现场采取措施，防止或减少粉尘、废气、废水、废油、固体废物、噪声、振动和施工照明对人和环境的危害和污染。</w:t>
      </w:r>
    </w:p>
    <w:p w14:paraId="0F65F697">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11）督促施工项目部在完工后按照合同约定或相关规定，拆除不需要保留的施工临时设施，清理场地，恢复植被，并办理移交手续。</w:t>
      </w:r>
    </w:p>
    <w:p w14:paraId="68CF02A0">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12）配合环保与水保的专项验收。</w:t>
      </w:r>
    </w:p>
    <w:p w14:paraId="681F699A">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（9）应急与事故事件管理</w:t>
      </w:r>
    </w:p>
    <w:p w14:paraId="7C033262">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1）制订《应急处置方案》，并报业主项目部备案。</w:t>
      </w:r>
    </w:p>
    <w:p w14:paraId="5C2F177A">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督促施工项目部定期检查应急物资，并按应急处置预案要求定期演练，针对不足及时制定改进措施，确保应急处置预案的有效性；当发生安全事故事件时，监理项目部应按《中国南方电网有限责任公司电力事故事件调查规程》规定程序及时上报，保护现场、取证收集资料，配合事故事件调查，根据处理意见督促施工单位整改落实。</w:t>
      </w:r>
    </w:p>
    <w:p w14:paraId="388143D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2.2.3 总结评价阶段</w:t>
      </w:r>
    </w:p>
    <w:p w14:paraId="77C3816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在《监理工作总结》中对工程安全风险控制工作进行总结评价。</w:t>
      </w:r>
    </w:p>
    <w:p w14:paraId="3513689B">
      <w:pPr>
        <w:autoSpaceDE w:val="0"/>
        <w:autoSpaceDN w:val="0"/>
        <w:adjustRightInd w:val="0"/>
        <w:spacing w:line="360" w:lineRule="auto"/>
        <w:ind w:firstLine="422" w:firstLineChars="200"/>
        <w:jc w:val="left"/>
        <w:rPr>
          <w:rFonts w:ascii="宋体" w:hAnsi="宋体" w:cs="宋体"/>
          <w:b/>
          <w:bCs/>
          <w:color w:val="auto"/>
          <w:kern w:val="0"/>
          <w:szCs w:val="21"/>
          <w:highlight w:val="none"/>
          <w:lang w:val="zh-CN"/>
        </w:rPr>
      </w:pPr>
      <w:r>
        <w:rPr>
          <w:rFonts w:hint="eastAsia" w:ascii="宋体" w:hAnsi="宋体" w:cs="宋体"/>
          <w:b/>
          <w:bCs/>
          <w:color w:val="auto"/>
          <w:kern w:val="0"/>
          <w:szCs w:val="21"/>
          <w:highlight w:val="none"/>
          <w:lang w:val="zh-CN"/>
        </w:rPr>
        <w:t>2.3 质量控制</w:t>
      </w:r>
    </w:p>
    <w:p w14:paraId="7943336C">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质量控制范围主要包括项目建设施工准备阶段质量控制、施工阶段质量控制、工程竣工验收阶段质量控制、总结评价阶段质量控制等四方面内容。</w:t>
      </w:r>
    </w:p>
    <w:p w14:paraId="40089CA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251" w:name="_Toc298848085"/>
      <w:bookmarkStart w:id="252" w:name="_Toc296669140"/>
      <w:bookmarkStart w:id="253" w:name="_Toc295810502"/>
      <w:bookmarkStart w:id="254" w:name="_Toc295815732"/>
      <w:r>
        <w:rPr>
          <w:rFonts w:hint="eastAsia" w:ascii="宋体" w:hAnsi="宋体" w:cs="宋体"/>
          <w:color w:val="auto"/>
          <w:kern w:val="0"/>
          <w:szCs w:val="21"/>
          <w:highlight w:val="none"/>
          <w:lang w:val="zh-CN"/>
        </w:rPr>
        <w:t>2.3.1 施工准备阶段</w:t>
      </w:r>
      <w:bookmarkEnd w:id="251"/>
      <w:bookmarkEnd w:id="252"/>
      <w:bookmarkEnd w:id="253"/>
      <w:bookmarkEnd w:id="254"/>
    </w:p>
    <w:p w14:paraId="06CAB237">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（1）质量监理工作策划</w:t>
      </w:r>
    </w:p>
    <w:p w14:paraId="203D08E1">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在签订建设工程监理合同及收到设计文件后，监理项目部应依据《建设工程监理合同》、设计文件、《监理大纲》,由总监理工程师主持、专业监理工程师参加编制《监理规划》，并经监理单位技术负责人批准后报建设单位备案后实施。</w:t>
      </w:r>
    </w:p>
    <w:p w14:paraId="153EDCCC">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专业监理工程师按照已批准的《监理规划》、与专业工程相关的标准、设计文件、技术资料及施工组织设计编制《专业监理实施细则》、《旁站监理实施细则》、《工程建设标准强制性条文监理实施细则》、《安全风险及文明施工监理实施细则》等监理实施细则，由总监理工程师审批后下发执行。对于规模较小、技术较简单的工程且有成熟管理经验和措施的配网工程、改扩建（技改）工程可不必单独编制《监理实施细则》。</w:t>
      </w:r>
    </w:p>
    <w:p w14:paraId="43320FB7">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（2）施工项目部质量管理体系审查</w:t>
      </w:r>
    </w:p>
    <w:p w14:paraId="0049646E">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由总监理工程师组织审查施工项目部的质量管理体系，应审查以下内容：</w:t>
      </w:r>
    </w:p>
    <w:p w14:paraId="53292CFA">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1）组织机构；</w:t>
      </w:r>
    </w:p>
    <w:p w14:paraId="16B52E08">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2）质量管理、技术管理制度；</w:t>
      </w:r>
    </w:p>
    <w:p w14:paraId="44650320">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3）主要管理人员资格证，特别是项目经理和专职质量管理人员。</w:t>
      </w:r>
    </w:p>
    <w:p w14:paraId="5FDFF4A0">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（3）施工图审查、图纸会审及设计交底</w:t>
      </w:r>
    </w:p>
    <w:p w14:paraId="20BF1F18">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1）应业主要求参加施工图审查。根据施工图设计文件审查制度，监理工作应当以施工图审查机构审查合格的施工图为依据。</w:t>
      </w:r>
    </w:p>
    <w:p w14:paraId="5238DCD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2）参加由业主项目部组织的设计交底会议。</w:t>
      </w:r>
    </w:p>
    <w:p w14:paraId="09AF7760">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3）参加业主项目部组织的图纸会审会议。在会审前，总监理工程师应组织监理项目部人员对施工图进行预审，并形成《施工图纸预审意见》。监理项目部负责编写《施工图纸会审纪要》。</w:t>
      </w:r>
    </w:p>
    <w:p w14:paraId="0FFD62D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（4）施工组织设计、（专项）施工方案审查</w:t>
      </w:r>
    </w:p>
    <w:p w14:paraId="6F615A6B">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审查施工项目部报送的《施工组织设计》，编审程序应符合相关规定，施工进度、施工方案及工程质量保证措施应符合施工合同要求，资源（资金、劳动力、材料、设备）供应计划应满足工程施工需要，安全技术措施应符合工程建设强制性标准，施工总平面布置应科学合理</w:t>
      </w:r>
      <w:bookmarkStart w:id="255" w:name="_Toc277853436"/>
      <w:bookmarkStart w:id="256" w:name="_Toc277843116"/>
      <w:r>
        <w:rPr>
          <w:rFonts w:hint="eastAsia" w:ascii="宋体" w:hAnsi="宋体" w:cs="宋体"/>
          <w:color w:val="auto"/>
          <w:kern w:val="0"/>
          <w:szCs w:val="21"/>
          <w:highlight w:val="none"/>
          <w:lang w:val="zh-CN"/>
        </w:rPr>
        <w:t>。</w:t>
      </w:r>
      <w:bookmarkEnd w:id="255"/>
      <w:bookmarkEnd w:id="256"/>
    </w:p>
    <w:p w14:paraId="22B3ACB7">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2）审核施工项目部报审的重要作业、重点部位、关键工序的《专项施工方案》、《特殊试验方案》，主要审核编审程序应符合相关规定、安全技术措施应符合工程建设强制性标准。</w:t>
      </w:r>
    </w:p>
    <w:p w14:paraId="33877231">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3）审查施工项目部报送的工程建设标准强制性条文实施方案。</w:t>
      </w:r>
    </w:p>
    <w:p w14:paraId="4BC7F16C">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（5）其他施工准备审查</w:t>
      </w:r>
    </w:p>
    <w:p w14:paraId="3B429D1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监理项目部组织审查《施工质量验收及评定项目划分报审表》、《试验/供货单位资质报审表》、《主要测量计量器具/试验设备检验报审表》、《施工控制测量成果报验表》《人员资格报审表》，审查要点可参考“典表”的“填写说明及要求”。</w:t>
      </w:r>
    </w:p>
    <w:p w14:paraId="00A438E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（6）WHS质量控制点设置</w:t>
      </w:r>
    </w:p>
    <w:p w14:paraId="24CE9C69">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工程开工前，监理项目部应根据基建工程质量控制点设置要求和工程实际，筛选确定适用于本工程的WHS质量控制点（并可根据现场需要适当增设），分专业编制完成WHS质量控制点设置表。</w:t>
      </w:r>
    </w:p>
    <w:p w14:paraId="729B19DB">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（7）工程创优策划</w:t>
      </w:r>
    </w:p>
    <w:p w14:paraId="4B19DCA1">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对于有创行优、国优工程奖要求的工程项目，依据监理合同的约定和公司《优质工程评选管理规定》以及业主项目部下发的《项目总体策划》，总监理工程师组织编写《工程创优监理实施细则》。</w:t>
      </w:r>
    </w:p>
    <w:p w14:paraId="38F61B3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（8）开工条件确认</w:t>
      </w:r>
    </w:p>
    <w:p w14:paraId="2354AA01">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专业监理工程师审查施工项目部报审的《工程开工报审表》及附件，并进行现场核查，符合条件时，由总监理工程师签认，报业主项目部批准。</w:t>
      </w:r>
    </w:p>
    <w:p w14:paraId="3DA9280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总监理工程师应在业主项目部批准《工程开工报审表》后，签发《工程开工令》。</w:t>
      </w:r>
    </w:p>
    <w:p w14:paraId="2BBD6898">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257" w:name="_Toc295815733"/>
      <w:bookmarkStart w:id="258" w:name="_Toc295810503"/>
      <w:bookmarkStart w:id="259" w:name="_Toc298848086"/>
      <w:bookmarkStart w:id="260" w:name="_Toc296669141"/>
      <w:r>
        <w:rPr>
          <w:rFonts w:hint="eastAsia" w:ascii="宋体" w:hAnsi="宋体" w:cs="宋体"/>
          <w:color w:val="auto"/>
          <w:kern w:val="0"/>
          <w:szCs w:val="21"/>
          <w:highlight w:val="none"/>
          <w:lang w:val="zh-CN"/>
        </w:rPr>
        <w:t>2.3.2  施工阶段</w:t>
      </w:r>
      <w:bookmarkEnd w:id="257"/>
      <w:bookmarkEnd w:id="258"/>
      <w:bookmarkEnd w:id="259"/>
      <w:bookmarkEnd w:id="260"/>
    </w:p>
    <w:p w14:paraId="7E62ED24">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（1）落实标准设计</w:t>
      </w:r>
    </w:p>
    <w:p w14:paraId="74D85442">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督促落实标准设计，履行施工图和工程变更管理职责，加强设计质量管理。</w:t>
      </w:r>
    </w:p>
    <w:p w14:paraId="054AA5C0">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1）审查《设计变更联系单》，从技术、造价等方面进行判断是否需要变更；《设计变更联系单》经业主项目部审批后，由设计单位出具《设计变更通知单》。</w:t>
      </w:r>
    </w:p>
    <w:p w14:paraId="21516E8B">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2）审查《设计变更通知单》，审查对质量、造价和工期的影响是否在可控范围内。</w:t>
      </w:r>
    </w:p>
    <w:p w14:paraId="1110190A">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3）监督设计变更的实施，根据实施情况审核已完成的《设计变更通知单》，并提交业主项目部。</w:t>
      </w:r>
    </w:p>
    <w:p w14:paraId="5B684881">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（2）施工作业指导书应用</w:t>
      </w:r>
    </w:p>
    <w:p w14:paraId="45B3E22C">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落实南方电网施工作业指导书的全面应用，监督施工单位执行施工作业指导书“筛选—分析—审批—应用”四步骤。</w:t>
      </w:r>
    </w:p>
    <w:p w14:paraId="6543ED0B">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（3）工程WHS质量控制点应用</w:t>
      </w:r>
    </w:p>
    <w:p w14:paraId="42D592B9">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1）WHS质量控制点实施检查</w:t>
      </w:r>
    </w:p>
    <w:p w14:paraId="2965605C">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工程施工过程中，专业监理工程师应根据工程实际进度，按基建工程质量控制（WHS）标准及时检查WHS质量控制点的实体质量，填写相应的检查表，及时组卷、存档。 </w:t>
      </w:r>
    </w:p>
    <w:p w14:paraId="3C26A11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（4）施工过程质量检查</w:t>
      </w:r>
    </w:p>
    <w:p w14:paraId="03CC409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根据施工进展，对施工现场进行巡视，重点检查施工质量管理是否到位、施工作业是否满足规范和设计要求，发现问题及时纠正。监理人员应将检查情况记录在《监理日志》中。</w:t>
      </w:r>
    </w:p>
    <w:p w14:paraId="46ECE9C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（5）工程建设强制性条文执行</w:t>
      </w:r>
    </w:p>
    <w:p w14:paraId="2CB8693A">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督促施工项目部落实《工程建设标准强制性条文实施方案》，施工单位相关责任人应根据工程进展按分项工程及时记录强制条文的执行情况，如实填写《工程施工强制性条文执行检查表》，并由专业监理工程师同步对施工单位强制性条文执行情况进行核查，签填核查情况及整改要求，存在整改要求的，应及时下达《监理通知单》，要求责任单位限期整改，完成整改后报监理项目部复检，闭环。</w:t>
      </w:r>
    </w:p>
    <w:p w14:paraId="4172F5B8">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（6）工程质量验收与评定标准应用</w:t>
      </w:r>
    </w:p>
    <w:p w14:paraId="098CD49E">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监理项目部按照《基建项目投产及移交管理业务指导书》、《10kV～500kV输变电及配电工程质量验收与评定标准》、《基建验收管理业务指导书》组织或参与验收工作，并完成各阶段（中间）验收及竣工验收所需监理资料。监理项目部应要求各施工项目部使用统一的验评表格。</w:t>
      </w:r>
    </w:p>
    <w:p w14:paraId="543BBCA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（7）缺陷管理</w:t>
      </w:r>
    </w:p>
    <w:p w14:paraId="0444FE69">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监理项目部按《10kV～500kV输变电及配电工程质量验收及评定标准》等相关标准进行检查验收，检查出属于《南方电网公司输变电设备缺陷定级标准》的质量缺陷，应向责任单位发出《质量缺陷通知单》。责任单位应按照整改要求在规定的时限内对质量缺陷进行整改，并使用《质量缺陷整改回复》（包括佐证影像资料）报监理项目部复查。监理项目部对质量缺陷初验合格后，由设计/物资单位验收（必要时），并报建设单位（业主项目部）确认。</w:t>
      </w:r>
    </w:p>
    <w:p w14:paraId="31D9A6C2">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（8）质量事故调查与处理</w:t>
      </w:r>
    </w:p>
    <w:p w14:paraId="1A5599F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当发现施工中存在重大质量隐患时，监理项目部首先口头指令暂停施工，然后在报业主项目部同意后，及时签发《工程暂停令》，要求施工项目部停工整改并报送整改方案，整改完毕后填报《工程复工报审表》,并经监理人员复查，符合规定要求后，监理项目部及时报业主项目部同意后签署《工程复工报审表》，总监理工程师应在经业主项目部批准复工后签发《工程复工令》。</w:t>
      </w:r>
    </w:p>
    <w:p w14:paraId="7C386CE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当发生质量事故/事件时，监理项目部应立即向业主项目部经理上报有关事故/事件情况，并协助业主项目部经理按照《中国南方电网有限责任公司电力事故事件调查规程》的相关要求上报上级主管部门。同时监理项目部应督促事故责任单位立即采取措施，防止事故扩大，并参加有关部门组织的质量事故调查，提出监理处理建议，并监督事故处理方案的实施。</w:t>
      </w:r>
    </w:p>
    <w:p w14:paraId="0382A4D2">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（9）基建承包商日常检查扣分管理</w:t>
      </w:r>
    </w:p>
    <w:p w14:paraId="43D9821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根据《基建项目承包商管理业务指导书》的相关要求做好以下工作：</w:t>
      </w:r>
    </w:p>
    <w:p w14:paraId="7DD91F61">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1）对施工现场有违反承包商违章扣分处罚条款的质量方面行为需立即责令整改，并发出《监理通知单》，情节严重的可建议业主项目部对责任单位进行违章扣分。</w:t>
      </w:r>
    </w:p>
    <w:p w14:paraId="1D647391">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2）按照时间承包商评价的时间节点要求，负责对承包商进行项目履约评价。</w:t>
      </w:r>
    </w:p>
    <w:p w14:paraId="098219AB">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（10）QC管理</w:t>
      </w:r>
    </w:p>
    <w:p w14:paraId="0A5E26B4">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监理项目部可联合各参建单位或独立开展QC活动，持续开展基建质量改进活动，形成QC成果。</w:t>
      </w:r>
    </w:p>
    <w:p w14:paraId="1A86201B">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261" w:name="_Toc295815734"/>
      <w:bookmarkStart w:id="262" w:name="_Toc295810504"/>
      <w:bookmarkStart w:id="263" w:name="_Toc298848087"/>
      <w:bookmarkStart w:id="264" w:name="_Toc296669142"/>
      <w:r>
        <w:rPr>
          <w:rFonts w:hint="eastAsia" w:ascii="宋体" w:hAnsi="宋体" w:cs="宋体"/>
          <w:color w:val="auto"/>
          <w:kern w:val="0"/>
          <w:szCs w:val="21"/>
          <w:highlight w:val="none"/>
          <w:lang w:val="zh-CN"/>
        </w:rPr>
        <w:t>2.3.3  工程竣工验收阶段</w:t>
      </w:r>
      <w:bookmarkEnd w:id="261"/>
      <w:bookmarkEnd w:id="262"/>
      <w:bookmarkEnd w:id="263"/>
      <w:bookmarkEnd w:id="264"/>
    </w:p>
    <w:p w14:paraId="68B1DB00">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（1）工程竣工验收程序</w:t>
      </w:r>
    </w:p>
    <w:p w14:paraId="1E5787D4">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按照公司《基建验收管理业务指导书》，监理项目部在收到《工程启动/竣工验收报审表》后对施工项目部报送的竣工资料进行审查，于7日内组织工程竣工阶段初检工作，并按照《10kV～500kV输变电及配电工程质量验收与评定标准》/《水电站基本建设工程验收规程》DL /T5123-2000进行验收。对发现属于《南方电网公司输变电设备缺陷定级标准》的质量缺陷，发出《质量缺陷通知单》,由施工项目部编制整改措施并实施，整改完毕后使用《质量缺陷整改回复单》报监理项目部组织复查。</w:t>
      </w:r>
    </w:p>
    <w:p w14:paraId="404504B0">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2）监理初检合格后，由监理项目部提交《工程监理竣工初检报告》和施工项目部《工程竣工验收报审表》报业主项目部审批。</w:t>
      </w:r>
    </w:p>
    <w:p w14:paraId="562F1979">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3）依据公司《基建验收管理业务指导书》参加启动验收及竣工验收，对验收中提出的问题和缺陷，督促责任单位进行整改后复检；参加工程启动会议，提交汇报资料。</w:t>
      </w:r>
    </w:p>
    <w:p w14:paraId="78412128">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4）参加工程项目系统调试、启动、试运行。</w:t>
      </w:r>
    </w:p>
    <w:p w14:paraId="64AA9E7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（2）工程总体质量评估</w:t>
      </w:r>
    </w:p>
    <w:p w14:paraId="2FC5E99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在监理初检的同时进行整体工程质量验收汇总工作，审查施工项目部报审的《工程质量验评记录汇总报审表》（小型基建工程除外），并形成《工程质量评估报告》。</w:t>
      </w:r>
    </w:p>
    <w:p w14:paraId="0393F38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（3）专项工程验收</w:t>
      </w:r>
    </w:p>
    <w:p w14:paraId="2F3BFA9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1）特种设备安装完毕后，配合特种设备安全监督管理部门（技术监督局）检查、检验，督促处理存在的问题。</w:t>
      </w:r>
    </w:p>
    <w:p w14:paraId="53CFF5C7">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2）消防工程完成后，配合公安消防部门检查验收，督促处理存在的问题。</w:t>
      </w:r>
    </w:p>
    <w:p w14:paraId="196401AC">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265" w:name="_Toc295815735"/>
      <w:bookmarkStart w:id="266" w:name="_Toc296669143"/>
      <w:bookmarkStart w:id="267" w:name="_Toc298848088"/>
      <w:bookmarkStart w:id="268" w:name="_Toc295810505"/>
      <w:r>
        <w:rPr>
          <w:rFonts w:hint="eastAsia" w:ascii="宋体" w:hAnsi="宋体" w:cs="宋体"/>
          <w:color w:val="auto"/>
          <w:kern w:val="0"/>
          <w:szCs w:val="21"/>
          <w:highlight w:val="none"/>
          <w:lang w:val="zh-CN"/>
        </w:rPr>
        <w:t>2.3.4  总结评价阶段</w:t>
      </w:r>
      <w:bookmarkEnd w:id="265"/>
      <w:bookmarkEnd w:id="266"/>
      <w:bookmarkEnd w:id="267"/>
      <w:bookmarkEnd w:id="268"/>
    </w:p>
    <w:p w14:paraId="7012E24B">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（1）质量总结</w:t>
      </w:r>
    </w:p>
    <w:p w14:paraId="35B93C6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总结质量监理工作经验，对质量控制工作进行评价，并按要求完成《监理工作总结》质量控制部分的编写。</w:t>
      </w:r>
    </w:p>
    <w:p w14:paraId="4A7A137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（2）质量保修</w:t>
      </w:r>
    </w:p>
    <w:p w14:paraId="31DF53A9">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1）对工程质量缺陷进行检查、记录、调查分析，并与建设单位及参建单位共同确定责任归属。</w:t>
      </w:r>
    </w:p>
    <w:p w14:paraId="6868AC4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2）对施工原因造成的工程质量缺陷，监理项目部应督促施工项目部及时修复，对无法修复部分进行重建。</w:t>
      </w:r>
    </w:p>
    <w:p w14:paraId="31FCE7E4">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3）参与修复和重建工程的质量验收。</w:t>
      </w:r>
    </w:p>
    <w:p w14:paraId="7F2C0B3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（3）资料、档案移交</w:t>
      </w:r>
    </w:p>
    <w:p w14:paraId="52F8FE41">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工程竣工后，监理项目部负责整理、移交监理档案资料，督促施工项目部及时编制完整、准确的竣工草图，对竣工图进行审核、签认。</w:t>
      </w:r>
    </w:p>
    <w:p w14:paraId="45A7DDE2">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（4）达标创优</w:t>
      </w:r>
    </w:p>
    <w:p w14:paraId="4676BB32">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1）对于有达标投产、创优要求的工程，按照建设工程监理合同的要求以及公司《基建达标投产及工程评优管理业务指导书》，进行自检并参加达标投产、创优工作。</w:t>
      </w:r>
    </w:p>
    <w:p w14:paraId="03727781">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2）按照建设工程监理合同的要求参加相关单位组织的后评价工作。</w:t>
      </w:r>
    </w:p>
    <w:p w14:paraId="0F7FD303">
      <w:pPr>
        <w:autoSpaceDE w:val="0"/>
        <w:autoSpaceDN w:val="0"/>
        <w:adjustRightInd w:val="0"/>
        <w:spacing w:line="360" w:lineRule="auto"/>
        <w:ind w:firstLine="422" w:firstLineChars="200"/>
        <w:jc w:val="left"/>
        <w:rPr>
          <w:rFonts w:ascii="宋体" w:hAnsi="宋体" w:cs="宋体"/>
          <w:b/>
          <w:bCs/>
          <w:color w:val="auto"/>
          <w:kern w:val="0"/>
          <w:szCs w:val="21"/>
          <w:highlight w:val="none"/>
          <w:lang w:val="zh-CN"/>
        </w:rPr>
      </w:pPr>
      <w:r>
        <w:rPr>
          <w:rFonts w:hint="eastAsia" w:ascii="宋体" w:hAnsi="宋体" w:cs="宋体"/>
          <w:b/>
          <w:bCs/>
          <w:color w:val="auto"/>
          <w:kern w:val="0"/>
          <w:szCs w:val="21"/>
          <w:highlight w:val="none"/>
          <w:lang w:val="zh-CN"/>
        </w:rPr>
        <w:t>2.4 进度控制</w:t>
      </w:r>
    </w:p>
    <w:p w14:paraId="77D00CF0">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269" w:name="_Toc278988461"/>
      <w:bookmarkStart w:id="270" w:name="_Toc278619713"/>
      <w:bookmarkStart w:id="271" w:name="_Toc278621096"/>
      <w:bookmarkStart w:id="272" w:name="_Toc278372200"/>
      <w:bookmarkStart w:id="273" w:name="_Toc278629419"/>
      <w:r>
        <w:rPr>
          <w:rFonts w:hint="eastAsia" w:ascii="宋体" w:hAnsi="宋体" w:cs="宋体"/>
          <w:color w:val="auto"/>
          <w:kern w:val="0"/>
          <w:szCs w:val="21"/>
          <w:highlight w:val="none"/>
          <w:lang w:val="zh-CN"/>
        </w:rPr>
        <w:t>建设工程进度控制是指对工程项目建设施工阶段的工作内容、工作程序、持续时间和衔接关系根据进度控制里程碑计划及资源优化配置的原则编制计划并付诸实施，在进度计划的实施过程中检查实际进度是否按计划要求进行，对出现的偏差情况进行分析，要求施工项目部采取补救措施或调整、修改原计划后再付诸实施，如此循环直到建设工程竣工验收交付使用。项目实施过程中，工程进度和质量、成本、安全等因素相互影响、息息相关，是工程项目实施中的重点控制内容之一。进度控制的目的是在保证工程安全与质量的前提下，按资源优化配置的原则合理安排资源供应、节约工程成本，确保工程项目的既定目标工期的实现。</w:t>
      </w:r>
    </w:p>
    <w:p w14:paraId="44113FB9">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274" w:name="_Toc298848113"/>
      <w:bookmarkStart w:id="275" w:name="_Toc304925811"/>
      <w:bookmarkStart w:id="276" w:name="_Toc295815759"/>
      <w:r>
        <w:rPr>
          <w:rFonts w:hint="eastAsia" w:ascii="宋体" w:hAnsi="宋体" w:cs="宋体"/>
          <w:color w:val="auto"/>
          <w:kern w:val="0"/>
          <w:szCs w:val="21"/>
          <w:highlight w:val="none"/>
          <w:lang w:val="zh-CN"/>
        </w:rPr>
        <w:t xml:space="preserve">2.4.1 </w:t>
      </w:r>
      <w:bookmarkEnd w:id="274"/>
      <w:r>
        <w:rPr>
          <w:rFonts w:hint="eastAsia" w:ascii="宋体" w:hAnsi="宋体" w:cs="宋体"/>
          <w:color w:val="auto"/>
          <w:kern w:val="0"/>
          <w:szCs w:val="21"/>
          <w:highlight w:val="none"/>
          <w:lang w:val="zh-CN"/>
        </w:rPr>
        <w:t>工作内容与方法</w:t>
      </w:r>
      <w:bookmarkEnd w:id="275"/>
    </w:p>
    <w:p w14:paraId="40C3D83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277" w:name="_Toc298848114"/>
      <w:r>
        <w:rPr>
          <w:rFonts w:hint="eastAsia" w:ascii="宋体" w:hAnsi="宋体" w:cs="宋体"/>
          <w:color w:val="auto"/>
          <w:kern w:val="0"/>
          <w:szCs w:val="21"/>
          <w:highlight w:val="none"/>
          <w:lang w:val="zh-CN"/>
        </w:rPr>
        <w:t>2.4.1.1 监理项目部应依据施工合同有关条款、设计文件及经过批准的施工组织设计制定施工进度控制方案，对进度目标进行风险分析，制定防范性对策。</w:t>
      </w:r>
      <w:bookmarkEnd w:id="276"/>
      <w:bookmarkEnd w:id="277"/>
      <w:bookmarkStart w:id="278" w:name="_Toc295815802"/>
      <w:bookmarkStart w:id="279" w:name="_Toc298848157"/>
    </w:p>
    <w:p w14:paraId="1756E96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2.4.1.2 进度控制准备</w:t>
      </w:r>
      <w:bookmarkEnd w:id="278"/>
      <w:bookmarkEnd w:id="279"/>
    </w:p>
    <w:p w14:paraId="10D8483D">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1）收集、整理进度控制依据，如施工合同、工程前期资料、工程内容、范围、工程性质、工程量及工程地点、交通、环境、气候等。</w:t>
      </w:r>
    </w:p>
    <w:p w14:paraId="6024DC4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2）根据业主项目部一级进度计划和工程项目关键节点控制的要求，审核施工项目部编制的二级进度计划，确定进度控制目标。</w:t>
      </w:r>
    </w:p>
    <w:p w14:paraId="7AFA548C">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在《监理实施细则》中应编写进度控制的内容，结合工程实际，从设计、施工技术、自然环境、社会环境、组织管理、材料、设备供应、资金投入等方面分析可能影响工程进度的因素，提出预控措施；明确进度检查、统计周期、数据采集方式、进度报表格式（《业主项目部工作手册》7B04附件）、统计分析方法、控制网络图等要素。</w:t>
      </w:r>
    </w:p>
    <w:p w14:paraId="7796B85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4）监理项目部应根据开工条件审查情况，对满足开工要求的，及时签署《工程开工报审表》的审查意见。</w:t>
      </w:r>
    </w:p>
    <w:p w14:paraId="523518E9">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280" w:name="_Toc298848158"/>
      <w:bookmarkStart w:id="281" w:name="_Toc295815803"/>
      <w:r>
        <w:rPr>
          <w:rFonts w:hint="eastAsia" w:ascii="宋体" w:hAnsi="宋体" w:cs="宋体"/>
          <w:color w:val="auto"/>
          <w:kern w:val="0"/>
          <w:szCs w:val="21"/>
          <w:highlight w:val="none"/>
          <w:lang w:val="zh-CN"/>
        </w:rPr>
        <w:t>2.4.1.3 进度计划审查</w:t>
      </w:r>
      <w:bookmarkEnd w:id="280"/>
      <w:bookmarkEnd w:id="281"/>
    </w:p>
    <w:p w14:paraId="2E0A745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1）施工单位在监理转达二级进度计划后，根据二级计划编制三级进度计划并上报监理人审批。</w:t>
      </w:r>
    </w:p>
    <w:p w14:paraId="43B1DDD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2）审核物资供应商提出的供货计划，并协助业主项目部督促其执行。</w:t>
      </w:r>
    </w:p>
    <w:p w14:paraId="400D93D1">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3）督促施工项目部根据停电作业的需求，及时编制停电计划，并及时上报相应单位审批。</w:t>
      </w:r>
    </w:p>
    <w:p w14:paraId="0620CAB8">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4）督促施工项目部就冬雨季施工编制合理的施工方案与施工计划，充分考虑天气、温度等自然因素对施工的影响，提前进行合理安排。</w:t>
      </w:r>
    </w:p>
    <w:p w14:paraId="787DA300">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282" w:name="_Toc298848159"/>
      <w:bookmarkStart w:id="283" w:name="_Toc295815804"/>
      <w:r>
        <w:rPr>
          <w:rFonts w:hint="eastAsia" w:ascii="宋体" w:hAnsi="宋体" w:cs="宋体"/>
          <w:color w:val="auto"/>
          <w:kern w:val="0"/>
          <w:szCs w:val="21"/>
          <w:highlight w:val="none"/>
          <w:lang w:val="zh-CN"/>
        </w:rPr>
        <w:t>2.4.1.4 进度计划检查与调整</w:t>
      </w:r>
      <w:bookmarkEnd w:id="282"/>
      <w:bookmarkEnd w:id="283"/>
    </w:p>
    <w:p w14:paraId="029E4DEC">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1）监理项目部应根据审批的施工进度计划和设计图纸交付计划对工程实际进度进行跟踪检查，掌握现场人员、材料、设备、机械、环境等情况，并做好相应记录。</w:t>
      </w:r>
    </w:p>
    <w:p w14:paraId="35C95EE1">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2）专业监理工程师注意收集工程进度信息，了解工程进度计划中各分项、分部工程施工的实际进度情况，并与计划对比分析。</w:t>
      </w:r>
    </w:p>
    <w:p w14:paraId="25834F5B">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3）对进度检查结果与进度计划进行比较、分析，发生偏差（不影响工程关键节点进度）时应发出《监理通知单》或召开协调会，要求责任单位及时采取调整措施，以实现进度目标。</w:t>
      </w:r>
    </w:p>
    <w:p w14:paraId="2B27C68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4）工程实际进度与计划进度发生严重偏差时，监理项目部应召集参建各方召开专题会议分析偏差产生原因，提出改善意见及建议，督促施工项目部调整施工计划采取有效措施保证进度目标的实现。</w:t>
      </w:r>
    </w:p>
    <w:p w14:paraId="595172EB">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5）在每月的《监理月报》中应向业主项目部报告工程实际进展情况，分析实际情况与计划进度的偏差，叙述本月监理所采取的控制措施，以及措施的执行情况。</w:t>
      </w:r>
    </w:p>
    <w:p w14:paraId="4949CB59">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工程实施过程中，应避免施工项目部因抢工期而出现安全隐患或工程质量下降，甚至不合格的情况出现；否则应发出《监理通知单》，要求施工项目部整改，整改完成后向监理项目部报送《监理通知回复单》，经监理项目部复查合格后签字闭环；必要时总监理工程师可发出《工程暂停令》，要求施工项目部停工整改，整改完毕并经监理人员复查，符合规定要求后，总监理工程师应及时签署《工程复工报审表》，经业主项目部审批同意后复工。</w:t>
      </w:r>
    </w:p>
    <w:p w14:paraId="3DC683C1">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7）由非施工项目部原因引起的工程延期，监理项目部应根据施工合同中有关工程延期的约定，根据工期延期原因和实际影响工期的程度，对工期事件进行量化，审查《费用索赔报审表》。</w:t>
      </w:r>
    </w:p>
    <w:p w14:paraId="3C64296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284" w:name="_Toc295815805"/>
      <w:bookmarkStart w:id="285" w:name="_Toc298848160"/>
      <w:r>
        <w:rPr>
          <w:rFonts w:hint="eastAsia" w:ascii="宋体" w:hAnsi="宋体" w:cs="宋体"/>
          <w:color w:val="auto"/>
          <w:kern w:val="0"/>
          <w:szCs w:val="21"/>
          <w:highlight w:val="none"/>
          <w:lang w:val="zh-CN"/>
        </w:rPr>
        <w:t>2.4.1.5 进度文件管理</w:t>
      </w:r>
      <w:bookmarkEnd w:id="284"/>
      <w:bookmarkEnd w:id="285"/>
    </w:p>
    <w:p w14:paraId="23C121B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1）及时整理、收集工程进度有关资料，按公司文件管理的规定做好监理资料的归档。</w:t>
      </w:r>
    </w:p>
    <w:p w14:paraId="1E1407C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2）工程结束后，总监理工程师应及时组织项目监理人员进行总结，编写工程进度控制监理工作总结。</w:t>
      </w:r>
    </w:p>
    <w:p w14:paraId="5925E6FE">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3）工程竣工后根据竣工档案资料移交的要求，督促设计人编制竣工图，并及时交付。</w:t>
      </w:r>
    </w:p>
    <w:bookmarkEnd w:id="269"/>
    <w:bookmarkEnd w:id="270"/>
    <w:bookmarkEnd w:id="271"/>
    <w:bookmarkEnd w:id="272"/>
    <w:bookmarkEnd w:id="273"/>
    <w:p w14:paraId="36E9C051">
      <w:pPr>
        <w:autoSpaceDE w:val="0"/>
        <w:autoSpaceDN w:val="0"/>
        <w:adjustRightInd w:val="0"/>
        <w:spacing w:line="360" w:lineRule="auto"/>
        <w:ind w:firstLine="422" w:firstLineChars="200"/>
        <w:jc w:val="left"/>
        <w:rPr>
          <w:rFonts w:ascii="宋体" w:hAnsi="宋体" w:cs="宋体"/>
          <w:b/>
          <w:bCs/>
          <w:color w:val="auto"/>
          <w:kern w:val="0"/>
          <w:szCs w:val="21"/>
          <w:highlight w:val="none"/>
          <w:lang w:val="zh-CN"/>
        </w:rPr>
      </w:pPr>
      <w:r>
        <w:rPr>
          <w:rFonts w:hint="eastAsia" w:ascii="宋体" w:hAnsi="宋体" w:cs="宋体"/>
          <w:b/>
          <w:bCs/>
          <w:color w:val="auto"/>
          <w:kern w:val="0"/>
          <w:szCs w:val="21"/>
          <w:highlight w:val="none"/>
          <w:lang w:val="zh-CN"/>
        </w:rPr>
        <w:t>2.5  造价控制</w:t>
      </w:r>
    </w:p>
    <w:p w14:paraId="6D021A8C">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286" w:name="_Toc295810516"/>
      <w:bookmarkStart w:id="287" w:name="_Toc295815746"/>
      <w:bookmarkStart w:id="288" w:name="_Toc304925807"/>
      <w:bookmarkStart w:id="289" w:name="_Toc296669152"/>
      <w:bookmarkStart w:id="290" w:name="_Toc298848101"/>
      <w:r>
        <w:rPr>
          <w:rFonts w:hint="eastAsia" w:ascii="宋体" w:hAnsi="宋体" w:cs="宋体"/>
          <w:color w:val="auto"/>
          <w:kern w:val="0"/>
          <w:szCs w:val="21"/>
          <w:highlight w:val="none"/>
          <w:lang w:val="zh-CN"/>
        </w:rPr>
        <w:t>2.5.</w:t>
      </w:r>
      <w:r>
        <w:rPr>
          <w:color w:val="auto"/>
          <w:highlight w:val="none"/>
        </w:rPr>
        <w:fldChar w:fldCharType="begin"/>
      </w:r>
      <w:r>
        <w:rPr>
          <w:color w:val="auto"/>
          <w:highlight w:val="none"/>
        </w:rPr>
        <w:instrText xml:space="preserve"> HYPERLINK "file:///C:\\Documents%20and%20Settings\\talhm\\桌面\\南网监理项目部标准化工作手册\\《监理项目部标准化工作手册》编写造价控制部分.doc" \l "_Toc255562809" </w:instrText>
      </w:r>
      <w:r>
        <w:rPr>
          <w:color w:val="auto"/>
          <w:highlight w:val="none"/>
        </w:rPr>
        <w:fldChar w:fldCharType="separate"/>
      </w:r>
      <w:r>
        <w:rPr>
          <w:rFonts w:hint="eastAsia" w:ascii="宋体" w:hAnsi="宋体" w:cs="宋体"/>
          <w:color w:val="auto"/>
          <w:kern w:val="0"/>
          <w:szCs w:val="21"/>
          <w:highlight w:val="none"/>
          <w:lang w:val="zh-CN"/>
        </w:rPr>
        <w:t>1 工作内容</w:t>
      </w:r>
      <w:r>
        <w:rPr>
          <w:rFonts w:ascii="宋体" w:hAnsi="宋体" w:cs="宋体"/>
          <w:color w:val="auto"/>
          <w:kern w:val="0"/>
          <w:szCs w:val="21"/>
          <w:highlight w:val="none"/>
          <w:lang w:val="zh-CN"/>
        </w:rPr>
        <w:fldChar w:fldCharType="end"/>
      </w:r>
      <w:r>
        <w:rPr>
          <w:rFonts w:hint="eastAsia" w:ascii="宋体" w:hAnsi="宋体" w:cs="宋体"/>
          <w:color w:val="auto"/>
          <w:kern w:val="0"/>
          <w:szCs w:val="21"/>
          <w:highlight w:val="none"/>
          <w:lang w:val="zh-CN"/>
        </w:rPr>
        <w:t>与方法</w:t>
      </w:r>
      <w:bookmarkEnd w:id="286"/>
      <w:bookmarkEnd w:id="287"/>
      <w:bookmarkEnd w:id="288"/>
      <w:bookmarkEnd w:id="289"/>
      <w:bookmarkEnd w:id="290"/>
    </w:p>
    <w:p w14:paraId="2C19B924">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291" w:name="_Toc295815747"/>
      <w:bookmarkStart w:id="292" w:name="_Toc296669153"/>
      <w:bookmarkStart w:id="293" w:name="_Toc295810517"/>
      <w:bookmarkStart w:id="294" w:name="_Toc298848102"/>
      <w:bookmarkStart w:id="295" w:name="_Toc295815751"/>
      <w:bookmarkStart w:id="296" w:name="_Toc295810521"/>
      <w:bookmarkStart w:id="297" w:name="_Toc296669157"/>
      <w:r>
        <w:rPr>
          <w:rFonts w:hint="eastAsia" w:ascii="宋体" w:hAnsi="宋体" w:cs="宋体"/>
          <w:color w:val="auto"/>
          <w:kern w:val="0"/>
          <w:szCs w:val="21"/>
          <w:highlight w:val="none"/>
          <w:lang w:val="zh-CN"/>
        </w:rPr>
        <w:t>2.5.1.1 施工准备阶段</w:t>
      </w:r>
      <w:bookmarkEnd w:id="291"/>
      <w:bookmarkEnd w:id="292"/>
      <w:bookmarkEnd w:id="293"/>
      <w:bookmarkEnd w:id="294"/>
    </w:p>
    <w:p w14:paraId="479025A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1）依据中国南方电网有限责任公司《基建项目造价管理业务指导书》在《监理规划》中编制造价控制的内容。</w:t>
      </w:r>
    </w:p>
    <w:p w14:paraId="7E16631A">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2）建立工程计量、工程款支付签证制度。</w:t>
      </w:r>
    </w:p>
    <w:p w14:paraId="38D378DB">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3）收集造价控制方面的基础资料。依据施工合同有关条款、设计及施工文件，对工程造价进行风险分析，并向业主项目部提出防范性对策和建议。</w:t>
      </w:r>
    </w:p>
    <w:p w14:paraId="7243618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298" w:name="_Toc298848103"/>
      <w:bookmarkStart w:id="299" w:name="_Toc295815748"/>
      <w:bookmarkStart w:id="300" w:name="_Toc295810518"/>
      <w:bookmarkStart w:id="301" w:name="_Toc296669154"/>
      <w:r>
        <w:rPr>
          <w:rFonts w:hint="eastAsia" w:ascii="宋体" w:hAnsi="宋体" w:cs="宋体"/>
          <w:color w:val="auto"/>
          <w:kern w:val="0"/>
          <w:szCs w:val="21"/>
          <w:highlight w:val="none"/>
          <w:lang w:val="zh-CN"/>
        </w:rPr>
        <w:t>2.5.1.2 施工阶段</w:t>
      </w:r>
      <w:bookmarkEnd w:id="298"/>
      <w:bookmarkEnd w:id="299"/>
      <w:bookmarkEnd w:id="300"/>
      <w:bookmarkEnd w:id="301"/>
    </w:p>
    <w:p w14:paraId="5A024251">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1）工程计量与工程款支付审核</w:t>
      </w:r>
    </w:p>
    <w:p w14:paraId="1C85EFCE">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（1）依据施工合同约定，对施工项目部提交的《工程款支付报审表》进行审核和签认，报业主项目部审批。</w:t>
      </w:r>
    </w:p>
    <w:p w14:paraId="5F5D705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专业监理工程师依据清单报价和设计图纸对已经验收合格的工程实施工程计量，审核施工项目部填报的工程量清单和《工程款支付报审表》，报总监理工程师；总监理工程师审核和签认，并同《工程支付证书》一起报业主项目部审批。</w:t>
      </w:r>
    </w:p>
    <w:p w14:paraId="097C514D">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工程款支付申请的审查要点：审查申报完成的工程量是否为已报监理项目部质量验收合格；审查工程量统计是否准确，工程款计算是否正确；对施工项目部超出设计图纸范围和因施工项目部原因造成返工的工程量，监理项目部不予计量；未经监理项目部质量验收合格的工程量或不符合承包合同约定的工程量，监理项目部应拒绝计量和拒绝签认该部分的工程款支付申请。</w:t>
      </w:r>
    </w:p>
    <w:p w14:paraId="332A09E8">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（4）依据有关合同规定审核其它费用付款申请。</w:t>
      </w:r>
    </w:p>
    <w:p w14:paraId="09FE2472">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2）工程变更费用审查</w:t>
      </w:r>
    </w:p>
    <w:p w14:paraId="573DBDBB">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（1）依据施工合同及在业主项目部授权范围内，在工程变更实施前对《设计变更通知单》的变更费用预算进行审查。</w:t>
      </w:r>
    </w:p>
    <w:p w14:paraId="0DB5D82A">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（2）施工项目部提出的工程变更应按照施工合同的约定，编制工程变更预算书，报送监理项目部审核，经业主项目部认可后，方可进入计量和工程款支付程序。</w:t>
      </w:r>
    </w:p>
    <w:p w14:paraId="6A708F42">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依据工程变更文件，查验现场执行情况并对工程量实施计量，该工程变更项目完成后，在施工合同约定的限期内，业主项目部、施工项目部和监理项目部三方共同会签《工程量签证单》(见附表2)。逾期办理的《工程量签证单》，监理项目部不得予以计量。未经总监理工程师审查同意而实施的工程变更，监理项目部不得予以计量。</w:t>
      </w:r>
    </w:p>
    <w:p w14:paraId="7DF789DD">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在业主项目部和施工项目部未能就工程变更的费用等方面达成协议时，监理项目部可以协调提出一个暂定的价格，作为临时支付工程进度款的依据。该项工程款最终结算时，应以业主项目部和施工项目部达成的协议为依据。</w:t>
      </w:r>
    </w:p>
    <w:p w14:paraId="496D6AAB">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3）工程造价控制分析</w:t>
      </w:r>
    </w:p>
    <w:p w14:paraId="4F5FB8CD">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建立工程量统计报表，对实际完成情况和计划完成情况进行比较、分析，向委托人提出调整建议。</w:t>
      </w:r>
    </w:p>
    <w:p w14:paraId="27E6A0D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302" w:name="_Toc295815749"/>
      <w:bookmarkStart w:id="303" w:name="_Toc304925808"/>
      <w:bookmarkStart w:id="304" w:name="_Toc295810519"/>
      <w:bookmarkStart w:id="305" w:name="_Toc296669155"/>
      <w:bookmarkStart w:id="306" w:name="_Toc298848104"/>
      <w:r>
        <w:rPr>
          <w:rFonts w:hint="eastAsia" w:ascii="宋体" w:hAnsi="宋体" w:cs="宋体"/>
          <w:color w:val="auto"/>
          <w:kern w:val="0"/>
          <w:szCs w:val="21"/>
          <w:highlight w:val="none"/>
          <w:lang w:val="zh-CN"/>
        </w:rPr>
        <w:t>2.5.1.3 竣工验收阶段</w:t>
      </w:r>
      <w:bookmarkEnd w:id="302"/>
      <w:bookmarkEnd w:id="303"/>
      <w:bookmarkEnd w:id="304"/>
      <w:bookmarkEnd w:id="305"/>
      <w:bookmarkEnd w:id="306"/>
    </w:p>
    <w:p w14:paraId="685C1C07">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1）监理费用结算</w:t>
      </w:r>
    </w:p>
    <w:p w14:paraId="6BB0BD9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按合同规定定期申报监理费，竣工结算时申请结清监理费。</w:t>
      </w:r>
    </w:p>
    <w:p w14:paraId="46D637AA">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2）工程结算审核</w:t>
      </w:r>
    </w:p>
    <w:p w14:paraId="13B3BAB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依据施工合同以及中国南方电网有限责任公司《基建项目造价管理业务指导书》审核施工项目部提交的《工程竣工结算报告》，提出监理书面意见和建议，报业主项目审批。</w:t>
      </w:r>
    </w:p>
    <w:p w14:paraId="0B59756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307" w:name="_Toc298848105"/>
      <w:bookmarkStart w:id="308" w:name="_Toc295810520"/>
      <w:bookmarkStart w:id="309" w:name="_Toc295815750"/>
      <w:bookmarkStart w:id="310" w:name="_Toc296669156"/>
      <w:r>
        <w:rPr>
          <w:rFonts w:hint="eastAsia" w:ascii="宋体" w:hAnsi="宋体" w:cs="宋体"/>
          <w:color w:val="auto"/>
          <w:kern w:val="0"/>
          <w:szCs w:val="21"/>
          <w:highlight w:val="none"/>
          <w:lang w:val="zh-CN"/>
        </w:rPr>
        <w:t>2.5.1.4 工程总结评价阶段</w:t>
      </w:r>
      <w:bookmarkEnd w:id="307"/>
      <w:bookmarkEnd w:id="308"/>
      <w:bookmarkEnd w:id="309"/>
      <w:bookmarkEnd w:id="310"/>
    </w:p>
    <w:p w14:paraId="4991D17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在监理工作总结中对造价控制工作进行总结，并整理归档造价控制的相关资料。</w:t>
      </w:r>
    </w:p>
    <w:bookmarkEnd w:id="295"/>
    <w:bookmarkEnd w:id="296"/>
    <w:bookmarkEnd w:id="297"/>
    <w:p w14:paraId="20013DF3">
      <w:pPr>
        <w:autoSpaceDE w:val="0"/>
        <w:autoSpaceDN w:val="0"/>
        <w:adjustRightInd w:val="0"/>
        <w:spacing w:line="360" w:lineRule="auto"/>
        <w:ind w:firstLine="422" w:firstLineChars="200"/>
        <w:jc w:val="left"/>
        <w:rPr>
          <w:rFonts w:ascii="宋体" w:hAnsi="宋体" w:cs="宋体"/>
          <w:b/>
          <w:bCs/>
          <w:color w:val="auto"/>
          <w:kern w:val="0"/>
          <w:szCs w:val="21"/>
          <w:highlight w:val="none"/>
          <w:lang w:val="zh-CN"/>
        </w:rPr>
      </w:pPr>
      <w:r>
        <w:rPr>
          <w:rFonts w:hint="eastAsia" w:ascii="宋体" w:hAnsi="宋体" w:cs="宋体"/>
          <w:b/>
          <w:bCs/>
          <w:color w:val="auto"/>
          <w:kern w:val="0"/>
          <w:szCs w:val="21"/>
          <w:highlight w:val="none"/>
          <w:lang w:val="zh-CN"/>
        </w:rPr>
        <w:t>2.6 合同管理</w:t>
      </w:r>
    </w:p>
    <w:p w14:paraId="740F16A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311" w:name="_Toc296669221"/>
      <w:bookmarkStart w:id="312" w:name="_Toc295810536"/>
      <w:bookmarkStart w:id="313" w:name="_Toc295815816"/>
      <w:r>
        <w:rPr>
          <w:rFonts w:hint="eastAsia" w:ascii="宋体" w:hAnsi="宋体" w:cs="宋体"/>
          <w:color w:val="auto"/>
          <w:kern w:val="0"/>
          <w:szCs w:val="21"/>
          <w:highlight w:val="none"/>
          <w:lang w:val="zh-CN"/>
        </w:rPr>
        <w:t>监理项目部应根据国家法律法规和中国南方电网有限责任公司的有关规定，促使工程参建各方依法履行合同，对合同的争议和纠纷进行调解，使工程项目顺利进行。</w:t>
      </w:r>
    </w:p>
    <w:p w14:paraId="224B4AF7">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监理项目部在合同管理方面的工作包括：代表委托人对工程质量、进度、造价、安全等进行监督管理；工程暂停及复工的管理；工程延期及工程延误的处理；费用索赔的处理；合同争议的调解和合同的解除、分包合同的管理。</w:t>
      </w:r>
    </w:p>
    <w:p w14:paraId="1ABFD90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314" w:name="_Toc295810529"/>
      <w:bookmarkStart w:id="315" w:name="_Toc295815809"/>
      <w:bookmarkStart w:id="316" w:name="_Toc296669214"/>
      <w:bookmarkStart w:id="317" w:name="_Toc298848163"/>
      <w:bookmarkStart w:id="318" w:name="_Toc304925814"/>
      <w:r>
        <w:rPr>
          <w:rFonts w:hint="eastAsia" w:ascii="宋体" w:hAnsi="宋体" w:cs="宋体"/>
          <w:color w:val="auto"/>
          <w:kern w:val="0"/>
          <w:szCs w:val="21"/>
          <w:highlight w:val="none"/>
          <w:lang w:val="zh-CN"/>
        </w:rPr>
        <w:t xml:space="preserve">2.6.1 </w:t>
      </w:r>
      <w:bookmarkEnd w:id="314"/>
      <w:bookmarkEnd w:id="315"/>
      <w:bookmarkEnd w:id="316"/>
      <w:bookmarkEnd w:id="317"/>
      <w:r>
        <w:rPr>
          <w:rFonts w:hint="eastAsia" w:ascii="宋体" w:hAnsi="宋体" w:cs="宋体"/>
          <w:color w:val="auto"/>
          <w:kern w:val="0"/>
          <w:szCs w:val="21"/>
          <w:highlight w:val="none"/>
          <w:lang w:val="zh-CN"/>
        </w:rPr>
        <w:t>工作内容与方法</w:t>
      </w:r>
      <w:bookmarkEnd w:id="318"/>
    </w:p>
    <w:p w14:paraId="2B358F81">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319" w:name="_Toc296669217"/>
      <w:bookmarkStart w:id="320" w:name="_Toc295815812"/>
      <w:bookmarkStart w:id="321" w:name="_Toc298848166"/>
      <w:bookmarkStart w:id="322" w:name="_Toc295810532"/>
      <w:r>
        <w:rPr>
          <w:rFonts w:hint="eastAsia" w:ascii="宋体" w:hAnsi="宋体" w:cs="宋体"/>
          <w:color w:val="auto"/>
          <w:kern w:val="0"/>
          <w:szCs w:val="21"/>
          <w:highlight w:val="none"/>
          <w:lang w:val="zh-CN"/>
        </w:rPr>
        <w:t>2.6.1.1 施工准备阶段的合同管理</w:t>
      </w:r>
      <w:bookmarkEnd w:id="319"/>
      <w:bookmarkEnd w:id="320"/>
      <w:bookmarkEnd w:id="321"/>
      <w:bookmarkEnd w:id="322"/>
    </w:p>
    <w:p w14:paraId="1E346250">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1）在《监理规划》等文件中明确各级监理人员合同管理职责和工作内容。</w:t>
      </w:r>
    </w:p>
    <w:p w14:paraId="264FEBE1">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2）总监理工程师向监理项目部成员进行监理合同和施工合同交底，组织学习合同关键条款，形成书面交底记录。监理合同交底的主要内容是监理合同中的合同协议书和专用条款。施工合同交底的主要内容如下： </w:t>
      </w:r>
    </w:p>
    <w:p w14:paraId="486D5721">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（1）工程概况及施工项目部的承包方式。</w:t>
      </w:r>
    </w:p>
    <w:p w14:paraId="656785D8">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（2）合同工期控制总目标及阶段控制目标。</w:t>
      </w:r>
    </w:p>
    <w:p w14:paraId="1AC13B2D">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（3）合同质量控制目标及合同规定执行的规范、标准和验收程序。</w:t>
      </w:r>
    </w:p>
    <w:p w14:paraId="32078FC9">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（4）合同对本工程的材料、设备采购、验收的规定。</w:t>
      </w:r>
    </w:p>
    <w:p w14:paraId="06E6F532">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（5）造价及成本控制目标，特别是合同价款的支付及调整的条件、方式和程序。</w:t>
      </w:r>
    </w:p>
    <w:p w14:paraId="025EA060">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（6）安全控制目标及安全风险管理要求。</w:t>
      </w:r>
    </w:p>
    <w:p w14:paraId="614D9C2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（7）合同争议的调解方式、程序和要求。</w:t>
      </w:r>
    </w:p>
    <w:p w14:paraId="198F3972">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（8）索赔的处理。</w:t>
      </w:r>
    </w:p>
    <w:p w14:paraId="23D2411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（9）甲供材料和设备的品种、规格、型号、数量、质量等级、提供时间、地点等。</w:t>
      </w:r>
    </w:p>
    <w:p w14:paraId="4AE7EEAA">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（10）约定由施工项目部采购的材料、设备明细。</w:t>
      </w:r>
    </w:p>
    <w:p w14:paraId="0C67F6E2">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323" w:name="_Toc296669218"/>
      <w:bookmarkStart w:id="324" w:name="_Toc295810533"/>
      <w:bookmarkStart w:id="325" w:name="_Toc298848167"/>
      <w:bookmarkStart w:id="326" w:name="_Toc295815813"/>
      <w:r>
        <w:rPr>
          <w:rFonts w:hint="eastAsia" w:ascii="宋体" w:hAnsi="宋体" w:cs="宋体"/>
          <w:color w:val="auto"/>
          <w:kern w:val="0"/>
          <w:szCs w:val="21"/>
          <w:highlight w:val="none"/>
          <w:lang w:val="zh-CN"/>
        </w:rPr>
        <w:t>2.6.1.2 施工阶段的合同管理</w:t>
      </w:r>
      <w:bookmarkEnd w:id="323"/>
      <w:bookmarkEnd w:id="324"/>
      <w:bookmarkEnd w:id="325"/>
      <w:bookmarkEnd w:id="326"/>
    </w:p>
    <w:p w14:paraId="6858D3B4">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1）督促施工项目部严格按照建设工程施工合同履行责任和义务。</w:t>
      </w:r>
    </w:p>
    <w:p w14:paraId="420B2A52">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2）要求施工项目部严格按照分包合同管理分包单位，分包单位所有文件须经施工项目部签认后报监理项目部。</w:t>
      </w:r>
    </w:p>
    <w:p w14:paraId="47481749">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327" w:name="_Toc295815814"/>
      <w:bookmarkStart w:id="328" w:name="_Toc295810534"/>
      <w:bookmarkStart w:id="329" w:name="_Toc296669219"/>
      <w:bookmarkStart w:id="330" w:name="_Toc298848168"/>
      <w:r>
        <w:rPr>
          <w:rFonts w:hint="eastAsia" w:ascii="宋体" w:hAnsi="宋体" w:cs="宋体"/>
          <w:color w:val="auto"/>
          <w:kern w:val="0"/>
          <w:szCs w:val="21"/>
          <w:highlight w:val="none"/>
          <w:lang w:val="zh-CN"/>
        </w:rPr>
        <w:t>2.6.1.3 竣工阶段的合同管理</w:t>
      </w:r>
      <w:bookmarkEnd w:id="327"/>
      <w:bookmarkEnd w:id="328"/>
      <w:bookmarkEnd w:id="329"/>
      <w:bookmarkEnd w:id="330"/>
    </w:p>
    <w:p w14:paraId="6709D15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在《监理工作总结》中对工程合同履行情况进行总结评价。</w:t>
      </w:r>
    </w:p>
    <w:p w14:paraId="373F6204">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331" w:name="_Toc296669220"/>
      <w:bookmarkStart w:id="332" w:name="_Toc298848169"/>
      <w:bookmarkStart w:id="333" w:name="_Toc295815815"/>
      <w:bookmarkStart w:id="334" w:name="_Toc295810535"/>
      <w:r>
        <w:rPr>
          <w:rFonts w:hint="eastAsia" w:ascii="宋体" w:hAnsi="宋体" w:cs="宋体"/>
          <w:color w:val="auto"/>
          <w:kern w:val="0"/>
          <w:szCs w:val="21"/>
          <w:highlight w:val="none"/>
          <w:lang w:val="zh-CN"/>
        </w:rPr>
        <w:t>2.6.1.4 合同管理的其他工作</w:t>
      </w:r>
      <w:bookmarkEnd w:id="331"/>
      <w:bookmarkEnd w:id="332"/>
      <w:bookmarkEnd w:id="333"/>
      <w:bookmarkEnd w:id="334"/>
    </w:p>
    <w:p w14:paraId="4592C239">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1）工程暂停及复工</w:t>
      </w:r>
    </w:p>
    <w:p w14:paraId="5E97A8D4">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（1）出现下列情形之一的，总监理工程师应签发《工程暂停令》：</w:t>
      </w:r>
    </w:p>
    <w:p w14:paraId="2555BDC9">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a 业主项目部要求暂停施工的；</w:t>
      </w:r>
    </w:p>
    <w:p w14:paraId="71F91810">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b 为保证工程质量而需要进行停工处理的；</w:t>
      </w:r>
    </w:p>
    <w:p w14:paraId="060F364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c 发现生产安全事故隐患，有必要停工以消除隐患的；</w:t>
      </w:r>
    </w:p>
    <w:p w14:paraId="2E9A6B3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d 超过一定规模的危险性较大的分部分项工程未按照已通过专家论证的方案施工的；</w:t>
      </w:r>
    </w:p>
    <w:p w14:paraId="74BF5D42">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e 发生必须暂时停止施工的紧急事件的；</w:t>
      </w:r>
    </w:p>
    <w:p w14:paraId="414B0EA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f 施工项目部未经许可擅自施工，或拒绝执行监理项目部指令的。</w:t>
      </w:r>
    </w:p>
    <w:p w14:paraId="634C93ED">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（2）总监理工程师签发工程暂停令时，应根据停工原因的影响范围和影响程度，确定工程项目停工范围。</w:t>
      </w:r>
    </w:p>
    <w:p w14:paraId="7E90DBEA">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（3）总监理工程师签发工程暂停令，应事先征得业主项目部同意，在紧急情况下未能事先报告的，则应在24小时内向业主项目部作出书面报告。</w:t>
      </w:r>
    </w:p>
    <w:p w14:paraId="19B9E49C">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（4）因非施工项目部原因造成施工暂停的，总监理工程师应协助业主项目部与施工项目部协商有关工期和费用索赔等事宜。</w:t>
      </w:r>
    </w:p>
    <w:p w14:paraId="7E1A077E">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因非施工项目部原因暂停施工的，监理项目部应如实记录所发生的实际情况。总监理工程师应在暂停施工原因消失，具备复工条件时，及时签署《工程复工报审表》和《工程复工令》。或指令施工项目部恢复施工。</w:t>
      </w:r>
    </w:p>
    <w:p w14:paraId="46D504A7">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因施工项目部原因暂停施工，具备复工条件的，监理项目部应审查施工项目部报送的复工申请及有关材料，满足要求后由总监理工程师签署《工程复工报审表》和《工程复工令，经业主项目部同意后，施工项目部继续施工。</w:t>
      </w:r>
    </w:p>
    <w:p w14:paraId="19F2829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2）工程变更的管理</w:t>
      </w:r>
    </w:p>
    <w:p w14:paraId="71CDAEF9">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工程变更是指在工程项目实施过程中，按照合同约定的程序对部分或全部在材料、结构、工艺、功能、尺寸、技术指标、工程量等方面做出的改变。</w:t>
      </w:r>
    </w:p>
    <w:p w14:paraId="338A53D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（1）工程变更的一般规定</w:t>
      </w:r>
    </w:p>
    <w:p w14:paraId="1AAE3AC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a 工程变更可以由业主项目部、也可以由监理项目部、设计人或施工项目部提出，并填写《设计变更联系单》。</w:t>
      </w:r>
    </w:p>
    <w:p w14:paraId="5DB0EBAE">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b 工程变更的申报、审查、批准等过程与依据文件，必须是有效的书面文件。</w:t>
      </w:r>
    </w:p>
    <w:p w14:paraId="062E3300">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c 监理项目部对工程变更的审查、批准权限及审批程序，应根据建设工程监理合同和业主项目部的授权进行。</w:t>
      </w:r>
    </w:p>
    <w:p w14:paraId="7BFB89BC">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d 工程变更指令由监理项目部审查、总监理工程师签署，业主项目部批准后发出。</w:t>
      </w:r>
    </w:p>
    <w:p w14:paraId="256EC46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e 当工程变更完工后，监理项目部必须在完工后5日内签字确认，如属隐蔽工程，必须在其覆盖之前在《工程变更通知单》上签字确认。</w:t>
      </w:r>
    </w:p>
    <w:p w14:paraId="2D528DEC">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（2）监理项目部按下列程序处理工程变更。 </w:t>
      </w:r>
    </w:p>
    <w:p w14:paraId="682EFD6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a 由施工项目部或物资供应商提出的工程变更应填报《设计变更联系单》，由总监理工程师组织专业监理工程师审查后报业主项目部，由业主项目部转交设计人编制设计变更单。</w:t>
      </w:r>
    </w:p>
    <w:p w14:paraId="290626AC">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b 当工程变更涉及消防、安全、环境保护等内容时，应按规定报有关部门审批。</w:t>
      </w:r>
    </w:p>
    <w:p w14:paraId="207B1C14">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c 监理工程师应了解实际情况并收集与工程变更有关的资料。 </w:t>
      </w:r>
    </w:p>
    <w:p w14:paraId="706D773C">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d 总监理工程师必须根据实际情况、设计变更文件和其它有关资料，按照施工合同的有关条款，在指定专业监理工程师完成确定工程变更项目与原工程项目之间的类似程度和难易程度、确定工程变更项目的工程量以及确定工程变更的单价或总价后，对工程变更的费用和工期做出评估。</w:t>
      </w:r>
    </w:p>
    <w:p w14:paraId="4F6CA8B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e 总监理工程师就工程变更费用及工期的评估情况与施工项目部和业主项目部进行协调。</w:t>
      </w:r>
    </w:p>
    <w:p w14:paraId="78914AE8">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f 总监理工程师签发工程变更申请单。工程变更应包括工程变更要求、工程变更说明、工程变更费用和工期、必要的附件等内容。</w:t>
      </w:r>
    </w:p>
    <w:p w14:paraId="76571E40">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g 监理项目部根据《工程变更通知单》监督施工项目部实施工程变更。监理项目部应监督施工项目部执行《工程变更通知单》，并要求施工项目部填写《工程变更汇总表》。</w:t>
      </w:r>
    </w:p>
    <w:p w14:paraId="3E1C3BA8">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（3）监理项目部处理工程变更应符合下列要求：</w:t>
      </w:r>
    </w:p>
    <w:p w14:paraId="45EE2B6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a 监理项目部在工程变更的质量、费用和工期方面取得业主项目部授权后，总监理工程师按施工合同规定与施工项目部进行协商，经协商达成一致后，将协商结果向业主项目部通报，并由业主项目部与施工项目部在变更文件上签字。 </w:t>
      </w:r>
    </w:p>
    <w:p w14:paraId="6D57376B">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b 在监理项目部未能就工程变更的质量、费用和工期方面取得业主项目部授权时，总监理工程师应协助业主项目部和施工项目部进行协商。 </w:t>
      </w:r>
    </w:p>
    <w:p w14:paraId="4B82DBFB">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c 在业主项目部和施工项目部未能就工程变更的费用等方面达成协议时，监理项目部应提出一个暂定的价格，作为临时支付工程进度款的依据。该项工程款最终结算时，应以业主项目部和施工项目部达成的书面协议为依据。</w:t>
      </w:r>
    </w:p>
    <w:p w14:paraId="06F7AD30">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e 在总监理工程师签发工程变更单之前，施工项目部不得实施工程变更。 </w:t>
      </w:r>
    </w:p>
    <w:p w14:paraId="20EA7354">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f 未经总监理工程师审查同意而实施的工程变更，监理项目部不得予以计量。</w:t>
      </w:r>
    </w:p>
    <w:p w14:paraId="11DCB424">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g 施工项目部对原设计提出的变更包括合理化建议、修改施工方案、原设计材料代用等的变更应在征得总监理工程师、业主项目部同意后，送设计人审查，在取得相应的变更图纸和说明后执行。</w:t>
      </w:r>
    </w:p>
    <w:p w14:paraId="64E0A9A4">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h 由于设计错漏发生的设计变更，设计人应及时出具设计变更通知单。设计人对原设计提出的工程变更，要编制设计变更文件和施工预算。</w:t>
      </w:r>
    </w:p>
    <w:p w14:paraId="4B3CB810">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j 由于工程建设过程中实际情况变化等原因，业主项目部可直接以《工程联系单》（见附表1）的形式提出设计变更，设计人据此开展设计变更。 </w:t>
      </w:r>
    </w:p>
    <w:p w14:paraId="436302D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（4）监理项目部应及时组织有关单位审核设计变更图纸等文件。现场监理人员须对变更全过程进行监督和管理。如属隐蔽工程，必须在其覆盖之前在设计变更通知单上签字确认。</w:t>
      </w:r>
    </w:p>
    <w:p w14:paraId="148C2B4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3）费用索赔的处理</w:t>
      </w:r>
    </w:p>
    <w:p w14:paraId="517C304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（1）监理项目部处理合同索赔应依据下列内容：</w:t>
      </w:r>
    </w:p>
    <w:p w14:paraId="11125E22">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a 国家的有关法律、法规和工程项目所在地的地方法规。</w:t>
      </w:r>
    </w:p>
    <w:p w14:paraId="732864AC">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b 本工程的勘察、设计文件，施工合同文件。</w:t>
      </w:r>
    </w:p>
    <w:p w14:paraId="7208277A">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c 国家、部门和地方有关的标准和定额。</w:t>
      </w:r>
    </w:p>
    <w:p w14:paraId="7F151F30">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d 施工合同履行过程中与索赔事件有关的凭证。</w:t>
      </w:r>
    </w:p>
    <w:p w14:paraId="7EADC64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（2）当提出合同索赔的理由同时满足以下条件时，监理项目部应予受理：</w:t>
      </w:r>
    </w:p>
    <w:p w14:paraId="081063F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a 索赔事件造成了索赔方直接经济损失。</w:t>
      </w:r>
    </w:p>
    <w:p w14:paraId="49134A59">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b 索赔事件是由于非索赔方的责任发生的。</w:t>
      </w:r>
    </w:p>
    <w:p w14:paraId="4CAF147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c《费用索赔报审表》。</w:t>
      </w:r>
    </w:p>
    <w:p w14:paraId="185FADAC">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（3）监理项目部接到索赔报告后，应在建设工程监理合同规定的时限进行审核，并提出处理意见。</w:t>
      </w:r>
    </w:p>
    <w:p w14:paraId="323A3402">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（4）施工项目部向业主项目部提出费用索赔，监理项目部按下列程序处理：</w:t>
      </w:r>
    </w:p>
    <w:p w14:paraId="3D9902F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a 施工项目部在施工合同规定的期限内向监理提交对业主项目部的费用索赔意向通知书。 </w:t>
      </w:r>
    </w:p>
    <w:p w14:paraId="1E218640">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b 总监理工程师指定专业监理工程师收集与索赔有关的资料。 </w:t>
      </w:r>
    </w:p>
    <w:p w14:paraId="2A9F31A2">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c 施工项目部在施工合同规定的期限内向监理项目部提交对业主项目部的费用索赔申请表和相关证明材料。 </w:t>
      </w:r>
    </w:p>
    <w:p w14:paraId="3BEAE7E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d 总监理工程师初步审查费用索赔申请，同时满足2.6.1.4  3）费用索赔的处理的第（2）条所规定的三个条件时予以受理。</w:t>
      </w:r>
    </w:p>
    <w:p w14:paraId="68330BB0">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e 总监理工程师进行费用索赔审查，并在初步确定一个额度后，与施工项目部和业主项目部进行协商。</w:t>
      </w:r>
    </w:p>
    <w:p w14:paraId="12720C00">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f 总监理工程师应在施工合同规定的期限内签署费用索赔审批表，或在施工合同规定的期限内发出要求施工项目部提交有关索赔报告的进一步详细资料的通知。待收到施工项目部提交的详细资料后，再按以上费用索赔审批的程序进行。</w:t>
      </w:r>
    </w:p>
    <w:p w14:paraId="2AF20E80">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（5）当施工项目部的费用索赔要求与工程延期要求相关联时，总监理工程师综合提出费用索赔和工程延期的处理意见。</w:t>
      </w:r>
    </w:p>
    <w:p w14:paraId="0A528891">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（6）由于施工项目部的原因造成业主项目部的额外损失，业主项目部向施工项目部提出费用索赔时，总监理工程师在审查索赔报告后，应公平地与业主项目部和施工项目部进行协商，并及时提出处理意见。</w:t>
      </w:r>
    </w:p>
    <w:p w14:paraId="12858B9B">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4）工程延期及工期延误的处理</w:t>
      </w:r>
    </w:p>
    <w:p w14:paraId="289E63E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（1）当施工项目部提出工程延期要求符合施工合同文件的规定条件时，监理项目部应予以受理。</w:t>
      </w:r>
    </w:p>
    <w:p w14:paraId="50EC6BAC">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当影响工期事件具有持续性时，监理项目部可在收到施工项目部提交的《工程临时/最终延期报审表》并经过审查后，由总监理工程师签署《工程临时/最终延期报审表》后报业主项目部批准。当施工项目部提交最终的工程延期申请表后，监理项目部应复查工程延期及临时延期情况，由总监理工程师签署《工程最终延期审批表》后报业主项目部批准。工程延期或临时延期获得批准后使用《施工进度计划报审表》重新报审。</w:t>
      </w:r>
    </w:p>
    <w:p w14:paraId="40379B5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（3）监理项目部在作出临时工程延期批准或最终工程延期获得批准之前，均应与业主项目部和施工项目部进行协商。</w:t>
      </w:r>
    </w:p>
    <w:p w14:paraId="359790B7">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（4）监理项目部在审查工程延期时，应依下列情况审核工程延期的时间：</w:t>
      </w:r>
    </w:p>
    <w:p w14:paraId="16066FCD">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a 施工合同中有关工程延期的约定。</w:t>
      </w:r>
    </w:p>
    <w:p w14:paraId="5B3363CB">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b 工期拖延和影响工期事件的事实和程度。</w:t>
      </w:r>
    </w:p>
    <w:p w14:paraId="70B8920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c 影响工期事件对工期影响的量化程度。</w:t>
      </w:r>
    </w:p>
    <w:p w14:paraId="1FE5C179">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（5）工程延期造成施工项目部提出费用索赔时，监理项目部应按2.6.1.4 3）费用索赔的处理的第（4）条规定处理。</w:t>
      </w:r>
    </w:p>
    <w:p w14:paraId="4199E141">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（6）当施工项目部未能按照施工合同要求的工期竣工交付造成工期延误时，监理项目部应按施工合同规定从施工项目部应得款项中扣除误期损害赔偿费。</w:t>
      </w:r>
    </w:p>
    <w:p w14:paraId="5280625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5）合同争议的调解  </w:t>
      </w:r>
    </w:p>
    <w:p w14:paraId="355E9B59">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（1）监理项目部接到合同争议的调解要求后应进行以下工作：</w:t>
      </w:r>
    </w:p>
    <w:p w14:paraId="280029C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a 调查和取证、及时了解合同争议的全部情况。</w:t>
      </w:r>
    </w:p>
    <w:p w14:paraId="5D960B5E">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b 及时与合同争议的双方进行磋商。</w:t>
      </w:r>
    </w:p>
    <w:p w14:paraId="71E457E1">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c 在监理项目部提出调解方案后，由总监理工程师进行争议调解。</w:t>
      </w:r>
    </w:p>
    <w:p w14:paraId="14A8C2D2">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d 当调解未能达成一致时，总监理工程师应在施工合同规定的期限内提出处理该合同争议的意见。</w:t>
      </w:r>
    </w:p>
    <w:p w14:paraId="71D46CE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e 在争议调解过程中，除已达到了施工合同规定的暂停履行合同的条件之外，监理项目部应要求施工合同的双方继续履行施工合同。</w:t>
      </w:r>
    </w:p>
    <w:p w14:paraId="5F6D2C1E">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（2）在总监理工程师签署合同争议处理意见后，业主项目部或施工项目部在施工合同规定的期限内未对合同争议处理决定提出异议，在符合施工合同的前提下，此意见应成为最后的决定，双方必须执行。</w:t>
      </w:r>
    </w:p>
    <w:p w14:paraId="041E91E1">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（3）在合同争议的仲裁或诉讼过程中，监理项目部接到仲裁机关或法院要求提供有关证据的通知后，应向仲裁机关或法院提供与争议有关的证据。</w:t>
      </w:r>
    </w:p>
    <w:p w14:paraId="1F751AC2">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6）合同的解除</w:t>
      </w:r>
    </w:p>
    <w:p w14:paraId="5FACC0D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（1）施工合同的解除必须符合法律程序。</w:t>
      </w:r>
    </w:p>
    <w:p w14:paraId="0688FC2D">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当业主项目部违约导致施工合同最终解除时，监理项目部应就施工项目部按施工合同规定应得到的款项与业主项目部和施工项目部进行协商，并应按施工合同的规定从下列应得的款项中确定施工项目部应得到的全部款项，并书面通知业主项目部和施工项目部：</w:t>
      </w:r>
    </w:p>
    <w:p w14:paraId="5E2105FA">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a 施工项目部已完成的工程量表中所列的各项工作所应得的款项。</w:t>
      </w:r>
    </w:p>
    <w:p w14:paraId="3C7B5CA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b 按批准的采购计划订购工程材料、设备、半成品、构配件的款项。</w:t>
      </w:r>
    </w:p>
    <w:p w14:paraId="393A7B21">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c 施工项目部撤离施工设备至原基地或其他目的地的合理费用。</w:t>
      </w:r>
    </w:p>
    <w:p w14:paraId="2399942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d 施工项目部所有人员的合理遣返费用。</w:t>
      </w:r>
    </w:p>
    <w:p w14:paraId="5B5DAD7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e 合理的利润补偿。</w:t>
      </w:r>
    </w:p>
    <w:p w14:paraId="427B2CF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f 施工合同约定的业主项目部应支付的违约金。</w:t>
      </w:r>
    </w:p>
    <w:p w14:paraId="55DC5524">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（3）由于施工项目部违约导致施工合同终止后，监理项目部应按下列程序清理施工项目部的应得款项，或偿还业主项目部的相关款项，并书面通知业主项目部和施工项目部：</w:t>
      </w:r>
    </w:p>
    <w:p w14:paraId="5144076A">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a 施工合同终止时，清理施工项目部已按施工合同规定实际完成的工作所应得的款项和已经得到支付的款项。</w:t>
      </w:r>
    </w:p>
    <w:p w14:paraId="4F489B88">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b 施工现场余留的材料、设备及临时工程的价值。</w:t>
      </w:r>
    </w:p>
    <w:p w14:paraId="4AAE0EC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c 对已完工程进行检查和验收、移交工程资料、该部分工程的清理、质量缺陷修复等所需的费用。</w:t>
      </w:r>
    </w:p>
    <w:p w14:paraId="7CF08D1E">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d 施工合同约定的施工项目部应支付的违约金；</w:t>
      </w:r>
    </w:p>
    <w:p w14:paraId="6E282CF2">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e 总监理工程师按照承包合同的约定，在与业主项目部和施工项目部协商后，书面提交施工项目部应得款项或偿还业主项目部款项的证明。</w:t>
      </w:r>
    </w:p>
    <w:p w14:paraId="686C5DB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（4）由于不可抗力或非业主项目部、施工项目部原因导致施工合同终止时，监理项目部应按施工合同规定处理合同解除后的有关事宜。</w:t>
      </w:r>
    </w:p>
    <w:bookmarkEnd w:id="311"/>
    <w:bookmarkEnd w:id="312"/>
    <w:bookmarkEnd w:id="313"/>
    <w:p w14:paraId="37A250CE">
      <w:pPr>
        <w:autoSpaceDE w:val="0"/>
        <w:autoSpaceDN w:val="0"/>
        <w:adjustRightInd w:val="0"/>
        <w:spacing w:line="360" w:lineRule="auto"/>
        <w:ind w:firstLine="422" w:firstLineChars="200"/>
        <w:jc w:val="left"/>
        <w:rPr>
          <w:rFonts w:ascii="宋体" w:hAnsi="宋体" w:cs="宋体"/>
          <w:b/>
          <w:bCs/>
          <w:color w:val="auto"/>
          <w:kern w:val="0"/>
          <w:szCs w:val="21"/>
          <w:highlight w:val="none"/>
          <w:lang w:val="zh-CN"/>
        </w:rPr>
      </w:pPr>
      <w:r>
        <w:rPr>
          <w:rFonts w:hint="eastAsia" w:ascii="宋体" w:hAnsi="宋体" w:cs="宋体"/>
          <w:b/>
          <w:bCs/>
          <w:color w:val="auto"/>
          <w:kern w:val="0"/>
          <w:szCs w:val="21"/>
          <w:highlight w:val="none"/>
          <w:lang w:val="zh-CN"/>
        </w:rPr>
        <w:t>2.7 环保、水保</w:t>
      </w:r>
    </w:p>
    <w:p w14:paraId="65843828">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2.7.1 负责识别环境因素，并制定相应的监理措施，建立环保管理体系和制度，监督环评报告及其批复意见在设计、施工中落实，控制施工过程对环境的影响。</w:t>
      </w:r>
    </w:p>
    <w:p w14:paraId="699FA7F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2.7.2 选派的管理和作业人员应符合环保、水保管理工作的要求，环保、水保管理应指定专人。</w:t>
      </w:r>
    </w:p>
    <w:p w14:paraId="03C3BECC">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2.7.3 监理规划、监理实施细则中要写入环保、水保的相关内容，并编制环保、水保控制实施方案。分部工程开工前，结合现场的实际情况进行环境因素识别，制定控制措施。</w:t>
      </w:r>
    </w:p>
    <w:p w14:paraId="099DF0C9">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2.7.4 将环境保护教育纳入教育培训计划，在各层次技术交底中，要对环保、水保措施交底。</w:t>
      </w:r>
    </w:p>
    <w:p w14:paraId="04B175C0">
      <w:pPr>
        <w:autoSpaceDE w:val="0"/>
        <w:autoSpaceDN w:val="0"/>
        <w:adjustRightInd w:val="0"/>
        <w:spacing w:line="360" w:lineRule="auto"/>
        <w:ind w:firstLine="422" w:firstLineChars="200"/>
        <w:jc w:val="left"/>
        <w:rPr>
          <w:rFonts w:ascii="宋体" w:hAnsi="宋体" w:cs="宋体"/>
          <w:b/>
          <w:bCs/>
          <w:color w:val="auto"/>
          <w:kern w:val="0"/>
          <w:szCs w:val="21"/>
          <w:highlight w:val="none"/>
          <w:lang w:val="zh-CN"/>
        </w:rPr>
      </w:pPr>
      <w:r>
        <w:rPr>
          <w:rFonts w:hint="eastAsia" w:ascii="宋体" w:hAnsi="宋体" w:cs="宋体"/>
          <w:b/>
          <w:bCs/>
          <w:color w:val="auto"/>
          <w:kern w:val="0"/>
          <w:szCs w:val="21"/>
          <w:highlight w:val="none"/>
          <w:lang w:val="zh-CN"/>
        </w:rPr>
        <w:t>2.8信息管理</w:t>
      </w:r>
    </w:p>
    <w:p w14:paraId="68C2305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335" w:name="_Toc295815831"/>
      <w:bookmarkStart w:id="336" w:name="_Toc295810551"/>
      <w:bookmarkStart w:id="337" w:name="_Toc296669235"/>
      <w:r>
        <w:rPr>
          <w:rFonts w:hint="eastAsia" w:ascii="宋体" w:hAnsi="宋体" w:cs="宋体"/>
          <w:color w:val="auto"/>
          <w:kern w:val="0"/>
          <w:szCs w:val="21"/>
          <w:highlight w:val="none"/>
          <w:lang w:val="zh-CN"/>
        </w:rPr>
        <w:t>监理项目部按照《建设工程监理合同》及基建信息与档案管理规定履行监理的信息与档案管理职责，主动配合业主项目部基建信息系统管理工作，满足业主项目部的数字化、电子化信息管理、WHS运行资料要求。</w:t>
      </w:r>
    </w:p>
    <w:p w14:paraId="4A7B864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338" w:name="_Toc296669226"/>
      <w:bookmarkStart w:id="339" w:name="_Toc295810542"/>
      <w:bookmarkStart w:id="340" w:name="_Toc295815822"/>
      <w:bookmarkStart w:id="341" w:name="_Toc298848173"/>
      <w:bookmarkStart w:id="342" w:name="_Toc304925817"/>
      <w:r>
        <w:rPr>
          <w:rFonts w:hint="eastAsia" w:ascii="宋体" w:hAnsi="宋体" w:cs="宋体"/>
          <w:color w:val="auto"/>
          <w:kern w:val="0"/>
          <w:szCs w:val="21"/>
          <w:highlight w:val="none"/>
          <w:lang w:val="zh-CN"/>
        </w:rPr>
        <w:t xml:space="preserve">2.8.1 </w:t>
      </w:r>
      <w:bookmarkEnd w:id="338"/>
      <w:bookmarkEnd w:id="339"/>
      <w:bookmarkEnd w:id="340"/>
      <w:bookmarkEnd w:id="341"/>
      <w:r>
        <w:rPr>
          <w:rFonts w:hint="eastAsia" w:ascii="宋体" w:hAnsi="宋体" w:cs="宋体"/>
          <w:color w:val="auto"/>
          <w:kern w:val="0"/>
          <w:szCs w:val="21"/>
          <w:highlight w:val="none"/>
          <w:lang w:val="zh-CN"/>
        </w:rPr>
        <w:t>工作内容与方法</w:t>
      </w:r>
      <w:bookmarkEnd w:id="342"/>
    </w:p>
    <w:p w14:paraId="60C3342E">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343" w:name="_Toc298848174"/>
      <w:bookmarkStart w:id="344" w:name="_Toc295810543"/>
      <w:bookmarkStart w:id="345" w:name="_Toc295815823"/>
      <w:bookmarkStart w:id="346" w:name="_Toc296669227"/>
      <w:r>
        <w:rPr>
          <w:rFonts w:hint="eastAsia" w:ascii="宋体" w:hAnsi="宋体" w:cs="宋体"/>
          <w:color w:val="auto"/>
          <w:kern w:val="0"/>
          <w:szCs w:val="21"/>
          <w:highlight w:val="none"/>
          <w:lang w:val="zh-CN"/>
        </w:rPr>
        <w:t>2.8.1.1 信息管理</w:t>
      </w:r>
      <w:bookmarkEnd w:id="343"/>
    </w:p>
    <w:bookmarkEnd w:id="344"/>
    <w:bookmarkEnd w:id="345"/>
    <w:bookmarkEnd w:id="346"/>
    <w:p w14:paraId="6298239A">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1）落实工程信息文件传递流程和包括质量、安全风险、造价、进度控制及合同管理的信息管理制度。</w:t>
      </w:r>
    </w:p>
    <w:p w14:paraId="7B850678">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工程开工前，监理项目部参加的第一次工地例会应含有信息管理内容，明确信息管理分工与职责、收集方式、信息范围、记录要求及提交的份数，要求各参建单位确定工程信息管理负责人及沟通方式，形成具有地址、姓名、职务、手机、电话、电子邮箱等详细信息的通信录。</w:t>
      </w:r>
    </w:p>
    <w:p w14:paraId="03A2A938">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3）监理项目部应要求施工项目部将信息管理人员作为主要施工管理人员，信息管理人员宜具有档案管理岗位证书，必须参加业主项目部组织的工程信息管理培训，并不得随意变动。</w:t>
      </w:r>
    </w:p>
    <w:p w14:paraId="3D2A6381">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4）采集整理工程建设过程中质量、安全风险、造价、进度控制及合同管理等信息，按照建设工程监理合同的要求协助做好基建信息系统相关信息的录入和业务流转，确保提供的监理数据及时、准确和完整。</w:t>
      </w:r>
    </w:p>
    <w:p w14:paraId="285FFBFA">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5）采集工程信息介质包括监理工作范围内的文字、图形、图像、语言和数字信息。</w:t>
      </w:r>
    </w:p>
    <w:p w14:paraId="6A2D2CBC">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6）督促参建单位及时报送工程报表和工程信息文件，配合业主项目部完成工程数据信息统计报送。</w:t>
      </w:r>
    </w:p>
    <w:p w14:paraId="76783ABD">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7）存贮于计算机中的重要工程信息每月定期需进行备份，或传递到中国南方电网有限责任公司信息管理部门异地备份，以防遗失。</w:t>
      </w:r>
    </w:p>
    <w:p w14:paraId="0B30D798">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8）每月25日前编制《监理月报》报送业主项目部，总监理工程师应定期对《监理日志》记录的真实性、完整性进行检查并签认；监理文件格式应统一，形成标准化模式。</w:t>
      </w:r>
    </w:p>
    <w:p w14:paraId="35CBFA27">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9）信息管理人员应参加现场工地例会、专题会议，及时掌握工程动态。</w:t>
      </w:r>
    </w:p>
    <w:p w14:paraId="208EE457">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10）工程信息传递应及时、真实、准确和全面，信息分类管理，实施文件的收发登记，填写《接收文件登记表》及《发出文件登记表》，建立健全信息资源利用制度。</w:t>
      </w:r>
    </w:p>
    <w:p w14:paraId="6FFCDA19">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11）对具有密级的工程信息应按公司保密制度妥善管理。</w:t>
      </w:r>
    </w:p>
    <w:p w14:paraId="70871E0B">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347" w:name="_Toc298848175"/>
      <w:r>
        <w:rPr>
          <w:rFonts w:hint="eastAsia" w:ascii="宋体" w:hAnsi="宋体" w:cs="宋体"/>
          <w:color w:val="auto"/>
          <w:kern w:val="0"/>
          <w:szCs w:val="21"/>
          <w:highlight w:val="none"/>
          <w:lang w:val="zh-CN"/>
        </w:rPr>
        <w:t>2.8.1.2 档案管理</w:t>
      </w:r>
      <w:bookmarkEnd w:id="347"/>
    </w:p>
    <w:p w14:paraId="517693C1">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总监理工程师是工程监理文件管理第一责任人，各专业监理工程师对工作范围内的监理文件的完整性、真实性、是否符合归档质量要求承担主要责任，信息管理人员根据工程建设进展进行监理文件的收集整理和流转工作，并对监理文件质量进行检查，不符合归档要求的文件，及时向责任人提出，整改落实后再进行文件处理。</w:t>
      </w:r>
    </w:p>
    <w:p w14:paraId="4E62A1DE">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2）监理项目部根据业主项目部的基建项目档案管理要求，建立预立卷制度。</w:t>
      </w:r>
    </w:p>
    <w:p w14:paraId="3E535FB9">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3）预立卷方式是按照工程档案来源性原则设置若干预立卷盒，预立卷盒背脊上有明显标识，设有卷内目录，分类放置在资料柜中；预立卷盒标识、卷内目录格式应统一，形成标准化模式。</w:t>
      </w:r>
    </w:p>
    <w:p w14:paraId="75237494">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专业监理工程师分阶段对施工项目部形成的施工文件和记录进行检查，对不符合项目档案管理要求和发生错、漏或延迟归入预立卷盒的文件和记录应责成施工项目部及时补充完整，在《监理日志》上写好检查记录。</w:t>
      </w:r>
    </w:p>
    <w:p w14:paraId="0FA623E0">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5）对工程建设过程档案中间检查中发现缺失、造假等重大违反项目档案管理的问题，项目总监理工程师应结合工程进度情况签发工程暂停令，当日通知业主项目部，必须整改落实后才予以继续施工。</w:t>
      </w:r>
    </w:p>
    <w:p w14:paraId="233F2E47">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6）参与委托人、业主项目部组织的档案资料中间检查及验收，并根据意见在规定时间内进行整改和完善。</w:t>
      </w:r>
    </w:p>
    <w:p w14:paraId="4C0A69F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7）在文件传递过程中，对符合归档要求的文件经各级签审后，按程序及时分发到相关参建方。对不符合归档要求的文件，填写收发文表后及时退回提交方。</w:t>
      </w:r>
    </w:p>
    <w:p w14:paraId="6B80791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8）监理文件应保存电子和纸质介质文件。项目总监理工程师、专业监理工程师应及时提供纸质文件记录、电子文件、数码工程图片及相片等满足档案管理六要素要求的信息给信息管理员统一管理，信息管理员每月进行自查和备份，按类别建立监理文件、资料分类台账，以方便查询、归档。</w:t>
      </w:r>
    </w:p>
    <w:p w14:paraId="74389552">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9）总监理工程师组织各专业监理工程师对照设计变更通知、工程联系单等记录审核施工项目部和设计人编制的竣工文件及竣工图的真实性、完整性和准确性。</w:t>
      </w:r>
    </w:p>
    <w:p w14:paraId="6BB1A81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10）对施工项目部移交的档案进行监理初步验收，同意移交后在施工项目部的《基建项目档案移交表》（《基建项目档案管理规定》附录1）上签署监理意见。</w:t>
      </w:r>
    </w:p>
    <w:p w14:paraId="049356B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监理项目部按照中国南方电网有限责任公司基建项目档案管理规定对监理资料进行分类整理、组卷，归档范围和案卷质量必须满足中国南方电网有限责任公司基建项目档案管理规定，录入各分子公司工程档案信息管理系统，编写监理档案信息管理说明。监理文件自检合格后，在工程投产后45天内提交委托人验收，验收合格才能移交归档。</w:t>
      </w:r>
    </w:p>
    <w:p w14:paraId="01C81874">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12）填写《基建项目档案移交表》并附移交清册，一式三份。经核对无误后各方签字盖章确认后，移交手续完成。</w:t>
      </w:r>
    </w:p>
    <w:p w14:paraId="69058EFD">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13）监理项目部完成工程监理档案向委托人归档后15天内，整理监理内部档案及印章，同时向监理人档案部门移交纸质档案和电子档案各一份。工程竣工签证书、竣工报告、获奖材料等后续文件由项目总监理工程师继续收集整理，及时向监理人归档。</w:t>
      </w:r>
    </w:p>
    <w:p w14:paraId="5C3A923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348" w:name="_Toc295815828"/>
      <w:bookmarkStart w:id="349" w:name="_Toc296669232"/>
      <w:bookmarkStart w:id="350" w:name="_Toc295810548"/>
      <w:r>
        <w:rPr>
          <w:rFonts w:hint="eastAsia" w:ascii="宋体" w:hAnsi="宋体" w:cs="宋体"/>
          <w:color w:val="auto"/>
          <w:kern w:val="0"/>
          <w:szCs w:val="21"/>
          <w:highlight w:val="none"/>
          <w:lang w:val="zh-CN"/>
        </w:rPr>
        <w:t>14）监理项目部全面</w:t>
      </w:r>
      <w:bookmarkEnd w:id="348"/>
      <w:bookmarkEnd w:id="349"/>
      <w:bookmarkEnd w:id="350"/>
      <w:r>
        <w:rPr>
          <w:rFonts w:hint="eastAsia" w:ascii="宋体" w:hAnsi="宋体" w:cs="宋体"/>
          <w:color w:val="auto"/>
          <w:kern w:val="0"/>
          <w:szCs w:val="21"/>
          <w:highlight w:val="none"/>
          <w:lang w:val="zh-CN"/>
        </w:rPr>
        <w:t>应用中国南方电网有限责任公司工程信息管理系统，监理人</w:t>
      </w:r>
      <w:bookmarkStart w:id="351" w:name="_Toc295810549"/>
      <w:bookmarkStart w:id="352" w:name="_Toc295815829"/>
      <w:bookmarkStart w:id="353" w:name="_Toc296669233"/>
      <w:r>
        <w:rPr>
          <w:rFonts w:hint="eastAsia" w:ascii="宋体" w:hAnsi="宋体" w:cs="宋体"/>
          <w:color w:val="auto"/>
          <w:kern w:val="0"/>
          <w:szCs w:val="21"/>
          <w:highlight w:val="none"/>
          <w:lang w:val="zh-CN"/>
        </w:rPr>
        <w:t xml:space="preserve">的监理信息管理系统应与中国南方电网工程信息管理系统相适应。 </w:t>
      </w:r>
    </w:p>
    <w:p w14:paraId="0F19C40E">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（15）监理人按要求参加南网基建管理信息系统使用培训，并按南方电网公司管理要求，及时、准确的在管理信息系统中录入监理人负责的相关数据，并通过审核,具体需使用的功能要求见下表:</w:t>
      </w:r>
    </w:p>
    <w:tbl>
      <w:tblPr>
        <w:tblStyle w:val="11"/>
        <w:tblW w:w="0" w:type="auto"/>
        <w:jc w:val="center"/>
        <w:tblLayout w:type="fixed"/>
        <w:tblCellMar>
          <w:top w:w="0" w:type="dxa"/>
          <w:left w:w="108" w:type="dxa"/>
          <w:bottom w:w="0" w:type="dxa"/>
          <w:right w:w="108" w:type="dxa"/>
        </w:tblCellMar>
      </w:tblPr>
      <w:tblGrid>
        <w:gridCol w:w="700"/>
        <w:gridCol w:w="760"/>
        <w:gridCol w:w="2123"/>
        <w:gridCol w:w="2477"/>
        <w:gridCol w:w="2059"/>
        <w:gridCol w:w="1399"/>
      </w:tblGrid>
      <w:tr w14:paraId="16A52D71">
        <w:tblPrEx>
          <w:tblCellMar>
            <w:top w:w="0" w:type="dxa"/>
            <w:left w:w="108" w:type="dxa"/>
            <w:bottom w:w="0" w:type="dxa"/>
            <w:right w:w="108" w:type="dxa"/>
          </w:tblCellMar>
        </w:tblPrEx>
        <w:trPr>
          <w:trHeight w:val="585"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0800F3F8">
            <w:pPr>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编号</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7B5BFD41">
            <w:pPr>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主/配网</w:t>
            </w:r>
          </w:p>
        </w:tc>
        <w:tc>
          <w:tcPr>
            <w:tcW w:w="2123" w:type="dxa"/>
            <w:tcBorders>
              <w:top w:val="single" w:color="auto" w:sz="4" w:space="0"/>
              <w:left w:val="single" w:color="auto" w:sz="4" w:space="0"/>
              <w:bottom w:val="single" w:color="auto" w:sz="4" w:space="0"/>
              <w:right w:val="single" w:color="auto" w:sz="4" w:space="0"/>
            </w:tcBorders>
            <w:noWrap w:val="0"/>
            <w:vAlign w:val="center"/>
          </w:tcPr>
          <w:p w14:paraId="54391D2F">
            <w:pPr>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功能名称</w:t>
            </w:r>
          </w:p>
        </w:tc>
        <w:tc>
          <w:tcPr>
            <w:tcW w:w="2477" w:type="dxa"/>
            <w:tcBorders>
              <w:top w:val="single" w:color="auto" w:sz="4" w:space="0"/>
              <w:left w:val="single" w:color="auto" w:sz="4" w:space="0"/>
              <w:bottom w:val="single" w:color="auto" w:sz="4" w:space="0"/>
              <w:right w:val="single" w:color="auto" w:sz="4" w:space="0"/>
            </w:tcBorders>
            <w:noWrap w:val="0"/>
            <w:vAlign w:val="center"/>
          </w:tcPr>
          <w:p w14:paraId="0BA6788A">
            <w:pPr>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需操作内容</w:t>
            </w:r>
          </w:p>
        </w:tc>
        <w:tc>
          <w:tcPr>
            <w:tcW w:w="2059" w:type="dxa"/>
            <w:tcBorders>
              <w:top w:val="single" w:color="auto" w:sz="4" w:space="0"/>
              <w:left w:val="single" w:color="auto" w:sz="4" w:space="0"/>
              <w:bottom w:val="single" w:color="auto" w:sz="4" w:space="0"/>
              <w:right w:val="single" w:color="auto" w:sz="4" w:space="0"/>
            </w:tcBorders>
            <w:noWrap w:val="0"/>
            <w:vAlign w:val="center"/>
          </w:tcPr>
          <w:p w14:paraId="3396FD46">
            <w:pPr>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录入时间要求</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7E280DCC">
            <w:pPr>
              <w:jc w:val="center"/>
              <w:rPr>
                <w:rFonts w:ascii="宋体" w:hAnsi="宋体" w:cs="宋体"/>
                <w:b/>
                <w:bCs/>
                <w:color w:val="auto"/>
                <w:kern w:val="0"/>
                <w:sz w:val="22"/>
                <w:highlight w:val="none"/>
              </w:rPr>
            </w:pPr>
            <w:r>
              <w:rPr>
                <w:rFonts w:hint="eastAsia" w:ascii="宋体" w:hAnsi="宋体" w:cs="宋体"/>
                <w:b/>
                <w:bCs/>
                <w:color w:val="auto"/>
                <w:kern w:val="0"/>
                <w:sz w:val="22"/>
                <w:highlight w:val="none"/>
              </w:rPr>
              <w:t>录入质量</w:t>
            </w:r>
          </w:p>
        </w:tc>
      </w:tr>
      <w:tr w14:paraId="4B900E53">
        <w:tblPrEx>
          <w:tblCellMar>
            <w:top w:w="0" w:type="dxa"/>
            <w:left w:w="108" w:type="dxa"/>
            <w:bottom w:w="0" w:type="dxa"/>
            <w:right w:w="108" w:type="dxa"/>
          </w:tblCellMar>
        </w:tblPrEx>
        <w:trPr>
          <w:trHeight w:val="585" w:hRule="atLeast"/>
          <w:jc w:val="center"/>
        </w:trPr>
        <w:tc>
          <w:tcPr>
            <w:tcW w:w="700" w:type="dxa"/>
            <w:tcBorders>
              <w:top w:val="nil"/>
              <w:left w:val="single" w:color="auto" w:sz="4" w:space="0"/>
              <w:bottom w:val="single" w:color="auto" w:sz="4" w:space="0"/>
              <w:right w:val="single" w:color="auto" w:sz="4" w:space="0"/>
            </w:tcBorders>
            <w:noWrap w:val="0"/>
            <w:vAlign w:val="center"/>
          </w:tcPr>
          <w:p w14:paraId="31502871">
            <w:pPr>
              <w:jc w:val="center"/>
              <w:rPr>
                <w:rFonts w:ascii="宋体" w:hAnsi="宋体" w:cs="宋体"/>
                <w:color w:val="auto"/>
                <w:kern w:val="0"/>
                <w:sz w:val="22"/>
                <w:highlight w:val="none"/>
              </w:rPr>
            </w:pPr>
            <w:r>
              <w:rPr>
                <w:rFonts w:hint="eastAsia" w:ascii="宋体" w:hAnsi="宋体" w:cs="宋体"/>
                <w:color w:val="auto"/>
                <w:kern w:val="0"/>
                <w:sz w:val="22"/>
                <w:highlight w:val="none"/>
              </w:rPr>
              <w:t>1</w:t>
            </w:r>
          </w:p>
        </w:tc>
        <w:tc>
          <w:tcPr>
            <w:tcW w:w="760" w:type="dxa"/>
            <w:tcBorders>
              <w:top w:val="nil"/>
              <w:left w:val="nil"/>
              <w:bottom w:val="single" w:color="auto" w:sz="4" w:space="0"/>
              <w:right w:val="single" w:color="auto" w:sz="4" w:space="0"/>
            </w:tcBorders>
            <w:noWrap w:val="0"/>
            <w:vAlign w:val="center"/>
          </w:tcPr>
          <w:p w14:paraId="415BCC04">
            <w:pPr>
              <w:jc w:val="center"/>
              <w:rPr>
                <w:rFonts w:ascii="宋体" w:hAnsi="宋体" w:cs="宋体"/>
                <w:color w:val="auto"/>
                <w:kern w:val="0"/>
                <w:sz w:val="22"/>
                <w:highlight w:val="none"/>
              </w:rPr>
            </w:pPr>
            <w:r>
              <w:rPr>
                <w:rFonts w:hint="eastAsia" w:ascii="宋体" w:hAnsi="宋体" w:cs="宋体"/>
                <w:color w:val="auto"/>
                <w:kern w:val="0"/>
                <w:sz w:val="22"/>
                <w:highlight w:val="none"/>
              </w:rPr>
              <w:t>主网</w:t>
            </w:r>
          </w:p>
        </w:tc>
        <w:tc>
          <w:tcPr>
            <w:tcW w:w="2123" w:type="dxa"/>
            <w:tcBorders>
              <w:top w:val="nil"/>
              <w:left w:val="nil"/>
              <w:bottom w:val="single" w:color="auto" w:sz="4" w:space="0"/>
              <w:right w:val="single" w:color="auto" w:sz="4" w:space="0"/>
            </w:tcBorders>
            <w:noWrap w:val="0"/>
            <w:vAlign w:val="center"/>
          </w:tcPr>
          <w:p w14:paraId="660D9DBD">
            <w:pPr>
              <w:jc w:val="center"/>
              <w:rPr>
                <w:rFonts w:ascii="宋体" w:hAnsi="宋体" w:cs="宋体"/>
                <w:color w:val="auto"/>
                <w:kern w:val="0"/>
                <w:sz w:val="22"/>
                <w:highlight w:val="none"/>
              </w:rPr>
            </w:pPr>
            <w:r>
              <w:rPr>
                <w:rFonts w:hint="eastAsia" w:ascii="宋体" w:hAnsi="宋体" w:cs="宋体"/>
                <w:color w:val="auto"/>
                <w:kern w:val="0"/>
                <w:sz w:val="22"/>
                <w:highlight w:val="none"/>
              </w:rPr>
              <w:t>合同录入</w:t>
            </w:r>
          </w:p>
        </w:tc>
        <w:tc>
          <w:tcPr>
            <w:tcW w:w="2477" w:type="dxa"/>
            <w:tcBorders>
              <w:top w:val="nil"/>
              <w:left w:val="nil"/>
              <w:bottom w:val="single" w:color="auto" w:sz="4" w:space="0"/>
              <w:right w:val="single" w:color="auto" w:sz="4" w:space="0"/>
            </w:tcBorders>
            <w:noWrap w:val="0"/>
            <w:vAlign w:val="center"/>
          </w:tcPr>
          <w:p w14:paraId="02E1907E">
            <w:pPr>
              <w:jc w:val="center"/>
              <w:rPr>
                <w:rFonts w:ascii="宋体" w:hAnsi="宋体" w:cs="宋体"/>
                <w:color w:val="auto"/>
                <w:kern w:val="0"/>
                <w:sz w:val="22"/>
                <w:highlight w:val="none"/>
              </w:rPr>
            </w:pPr>
            <w:r>
              <w:rPr>
                <w:rFonts w:hint="eastAsia" w:ascii="宋体" w:hAnsi="宋体" w:cs="宋体"/>
                <w:color w:val="auto"/>
                <w:kern w:val="0"/>
                <w:sz w:val="22"/>
                <w:highlight w:val="none"/>
              </w:rPr>
              <w:t>录入合同</w:t>
            </w:r>
          </w:p>
        </w:tc>
        <w:tc>
          <w:tcPr>
            <w:tcW w:w="2059" w:type="dxa"/>
            <w:tcBorders>
              <w:top w:val="nil"/>
              <w:left w:val="nil"/>
              <w:bottom w:val="single" w:color="auto" w:sz="4" w:space="0"/>
              <w:right w:val="single" w:color="auto" w:sz="4" w:space="0"/>
            </w:tcBorders>
            <w:noWrap w:val="0"/>
            <w:vAlign w:val="center"/>
          </w:tcPr>
          <w:p w14:paraId="7DFBE6A6">
            <w:pPr>
              <w:jc w:val="center"/>
              <w:rPr>
                <w:rFonts w:ascii="宋体" w:hAnsi="宋体" w:cs="宋体"/>
                <w:color w:val="auto"/>
                <w:kern w:val="0"/>
                <w:sz w:val="22"/>
                <w:highlight w:val="none"/>
              </w:rPr>
            </w:pPr>
            <w:r>
              <w:rPr>
                <w:rFonts w:hint="eastAsia" w:ascii="宋体" w:hAnsi="宋体" w:cs="宋体"/>
                <w:color w:val="auto"/>
                <w:kern w:val="0"/>
                <w:sz w:val="22"/>
                <w:highlight w:val="none"/>
              </w:rPr>
              <w:t>合同签订后3天</w:t>
            </w:r>
          </w:p>
        </w:tc>
        <w:tc>
          <w:tcPr>
            <w:tcW w:w="1399" w:type="dxa"/>
            <w:tcBorders>
              <w:top w:val="nil"/>
              <w:left w:val="nil"/>
              <w:bottom w:val="single" w:color="auto" w:sz="4" w:space="0"/>
              <w:right w:val="single" w:color="auto" w:sz="4" w:space="0"/>
            </w:tcBorders>
            <w:noWrap w:val="0"/>
            <w:vAlign w:val="center"/>
          </w:tcPr>
          <w:p w14:paraId="3444B93B">
            <w:pPr>
              <w:jc w:val="center"/>
              <w:rPr>
                <w:rFonts w:ascii="宋体" w:hAnsi="宋体" w:cs="宋体"/>
                <w:color w:val="auto"/>
                <w:kern w:val="0"/>
                <w:sz w:val="22"/>
                <w:highlight w:val="none"/>
              </w:rPr>
            </w:pPr>
            <w:r>
              <w:rPr>
                <w:rFonts w:hint="eastAsia" w:ascii="宋体" w:hAnsi="宋体" w:cs="宋体"/>
                <w:color w:val="auto"/>
                <w:kern w:val="0"/>
                <w:sz w:val="22"/>
                <w:highlight w:val="none"/>
              </w:rPr>
              <w:t>与实际相符</w:t>
            </w:r>
          </w:p>
        </w:tc>
      </w:tr>
      <w:tr w14:paraId="7A1EDFFC">
        <w:tblPrEx>
          <w:tblCellMar>
            <w:top w:w="0" w:type="dxa"/>
            <w:left w:w="108" w:type="dxa"/>
            <w:bottom w:w="0" w:type="dxa"/>
            <w:right w:w="108" w:type="dxa"/>
          </w:tblCellMar>
        </w:tblPrEx>
        <w:trPr>
          <w:trHeight w:val="585" w:hRule="atLeast"/>
          <w:jc w:val="center"/>
        </w:trPr>
        <w:tc>
          <w:tcPr>
            <w:tcW w:w="700" w:type="dxa"/>
            <w:tcBorders>
              <w:top w:val="nil"/>
              <w:left w:val="single" w:color="auto" w:sz="4" w:space="0"/>
              <w:bottom w:val="single" w:color="auto" w:sz="4" w:space="0"/>
              <w:right w:val="single" w:color="auto" w:sz="4" w:space="0"/>
            </w:tcBorders>
            <w:noWrap w:val="0"/>
            <w:vAlign w:val="center"/>
          </w:tcPr>
          <w:p w14:paraId="31081F2C">
            <w:pPr>
              <w:jc w:val="center"/>
              <w:rPr>
                <w:rFonts w:ascii="宋体" w:hAnsi="宋体" w:cs="宋体"/>
                <w:color w:val="auto"/>
                <w:kern w:val="0"/>
                <w:sz w:val="22"/>
                <w:highlight w:val="none"/>
              </w:rPr>
            </w:pPr>
            <w:r>
              <w:rPr>
                <w:rFonts w:hint="eastAsia" w:ascii="宋体" w:hAnsi="宋体" w:cs="宋体"/>
                <w:color w:val="auto"/>
                <w:kern w:val="0"/>
                <w:sz w:val="22"/>
                <w:highlight w:val="none"/>
              </w:rPr>
              <w:t>2</w:t>
            </w:r>
          </w:p>
        </w:tc>
        <w:tc>
          <w:tcPr>
            <w:tcW w:w="760" w:type="dxa"/>
            <w:tcBorders>
              <w:top w:val="nil"/>
              <w:left w:val="nil"/>
              <w:bottom w:val="single" w:color="auto" w:sz="4" w:space="0"/>
              <w:right w:val="single" w:color="auto" w:sz="4" w:space="0"/>
            </w:tcBorders>
            <w:noWrap w:val="0"/>
            <w:vAlign w:val="center"/>
          </w:tcPr>
          <w:p w14:paraId="4334BD7C">
            <w:pPr>
              <w:jc w:val="center"/>
              <w:rPr>
                <w:rFonts w:ascii="宋体" w:hAnsi="宋体" w:cs="宋体"/>
                <w:color w:val="auto"/>
                <w:kern w:val="0"/>
                <w:sz w:val="22"/>
                <w:highlight w:val="none"/>
              </w:rPr>
            </w:pPr>
            <w:r>
              <w:rPr>
                <w:rFonts w:hint="eastAsia" w:ascii="宋体" w:hAnsi="宋体" w:cs="宋体"/>
                <w:color w:val="auto"/>
                <w:kern w:val="0"/>
                <w:sz w:val="22"/>
                <w:highlight w:val="none"/>
              </w:rPr>
              <w:t>主网</w:t>
            </w:r>
          </w:p>
        </w:tc>
        <w:tc>
          <w:tcPr>
            <w:tcW w:w="2123" w:type="dxa"/>
            <w:tcBorders>
              <w:top w:val="nil"/>
              <w:left w:val="nil"/>
              <w:bottom w:val="single" w:color="auto" w:sz="4" w:space="0"/>
              <w:right w:val="single" w:color="auto" w:sz="4" w:space="0"/>
            </w:tcBorders>
            <w:noWrap w:val="0"/>
            <w:vAlign w:val="center"/>
          </w:tcPr>
          <w:p w14:paraId="465AB58B">
            <w:pPr>
              <w:jc w:val="center"/>
              <w:rPr>
                <w:rFonts w:ascii="宋体" w:hAnsi="宋体" w:cs="宋体"/>
                <w:color w:val="auto"/>
                <w:kern w:val="0"/>
                <w:sz w:val="22"/>
                <w:highlight w:val="none"/>
              </w:rPr>
            </w:pPr>
            <w:r>
              <w:rPr>
                <w:rFonts w:hint="eastAsia" w:ascii="宋体" w:hAnsi="宋体" w:cs="宋体"/>
                <w:color w:val="auto"/>
                <w:kern w:val="0"/>
                <w:sz w:val="22"/>
                <w:highlight w:val="none"/>
              </w:rPr>
              <w:t>合同补充管理</w:t>
            </w:r>
          </w:p>
        </w:tc>
        <w:tc>
          <w:tcPr>
            <w:tcW w:w="2477" w:type="dxa"/>
            <w:tcBorders>
              <w:top w:val="nil"/>
              <w:left w:val="nil"/>
              <w:bottom w:val="single" w:color="auto" w:sz="4" w:space="0"/>
              <w:right w:val="single" w:color="auto" w:sz="4" w:space="0"/>
            </w:tcBorders>
            <w:noWrap w:val="0"/>
            <w:vAlign w:val="center"/>
          </w:tcPr>
          <w:p w14:paraId="0BBE6DCF">
            <w:pPr>
              <w:jc w:val="center"/>
              <w:rPr>
                <w:rFonts w:ascii="宋体" w:hAnsi="宋体" w:cs="宋体"/>
                <w:color w:val="auto"/>
                <w:kern w:val="0"/>
                <w:sz w:val="22"/>
                <w:highlight w:val="none"/>
              </w:rPr>
            </w:pPr>
            <w:r>
              <w:rPr>
                <w:rFonts w:hint="eastAsia" w:ascii="宋体" w:hAnsi="宋体" w:cs="宋体"/>
                <w:color w:val="auto"/>
                <w:kern w:val="0"/>
                <w:sz w:val="22"/>
                <w:highlight w:val="none"/>
              </w:rPr>
              <w:t>录入合同</w:t>
            </w:r>
          </w:p>
        </w:tc>
        <w:tc>
          <w:tcPr>
            <w:tcW w:w="2059" w:type="dxa"/>
            <w:tcBorders>
              <w:top w:val="nil"/>
              <w:left w:val="nil"/>
              <w:bottom w:val="single" w:color="auto" w:sz="4" w:space="0"/>
              <w:right w:val="single" w:color="auto" w:sz="4" w:space="0"/>
            </w:tcBorders>
            <w:noWrap w:val="0"/>
            <w:vAlign w:val="center"/>
          </w:tcPr>
          <w:p w14:paraId="074B617B">
            <w:pPr>
              <w:jc w:val="center"/>
              <w:rPr>
                <w:rFonts w:ascii="宋体" w:hAnsi="宋体" w:cs="宋体"/>
                <w:color w:val="auto"/>
                <w:kern w:val="0"/>
                <w:sz w:val="22"/>
                <w:highlight w:val="none"/>
              </w:rPr>
            </w:pPr>
            <w:r>
              <w:rPr>
                <w:rFonts w:hint="eastAsia" w:ascii="宋体" w:hAnsi="宋体" w:cs="宋体"/>
                <w:color w:val="auto"/>
                <w:kern w:val="0"/>
                <w:sz w:val="22"/>
                <w:highlight w:val="none"/>
              </w:rPr>
              <w:t>合同签订后3天</w:t>
            </w:r>
          </w:p>
        </w:tc>
        <w:tc>
          <w:tcPr>
            <w:tcW w:w="1399" w:type="dxa"/>
            <w:tcBorders>
              <w:top w:val="nil"/>
              <w:left w:val="nil"/>
              <w:bottom w:val="single" w:color="auto" w:sz="4" w:space="0"/>
              <w:right w:val="single" w:color="auto" w:sz="4" w:space="0"/>
            </w:tcBorders>
            <w:noWrap w:val="0"/>
            <w:vAlign w:val="center"/>
          </w:tcPr>
          <w:p w14:paraId="68B8DBC3">
            <w:pPr>
              <w:jc w:val="center"/>
              <w:rPr>
                <w:rFonts w:ascii="宋体" w:hAnsi="宋体" w:cs="宋体"/>
                <w:color w:val="auto"/>
                <w:kern w:val="0"/>
                <w:sz w:val="22"/>
                <w:highlight w:val="none"/>
              </w:rPr>
            </w:pPr>
            <w:r>
              <w:rPr>
                <w:rFonts w:hint="eastAsia" w:ascii="宋体" w:hAnsi="宋体" w:cs="宋体"/>
                <w:color w:val="auto"/>
                <w:kern w:val="0"/>
                <w:sz w:val="22"/>
                <w:highlight w:val="none"/>
              </w:rPr>
              <w:t>与实际相符</w:t>
            </w:r>
          </w:p>
        </w:tc>
      </w:tr>
      <w:tr w14:paraId="3D34DE36">
        <w:tblPrEx>
          <w:tblCellMar>
            <w:top w:w="0" w:type="dxa"/>
            <w:left w:w="108" w:type="dxa"/>
            <w:bottom w:w="0" w:type="dxa"/>
            <w:right w:w="108" w:type="dxa"/>
          </w:tblCellMar>
        </w:tblPrEx>
        <w:trPr>
          <w:trHeight w:val="585" w:hRule="atLeast"/>
          <w:jc w:val="center"/>
        </w:trPr>
        <w:tc>
          <w:tcPr>
            <w:tcW w:w="700" w:type="dxa"/>
            <w:tcBorders>
              <w:top w:val="nil"/>
              <w:left w:val="single" w:color="auto" w:sz="4" w:space="0"/>
              <w:bottom w:val="single" w:color="auto" w:sz="4" w:space="0"/>
              <w:right w:val="single" w:color="auto" w:sz="4" w:space="0"/>
            </w:tcBorders>
            <w:noWrap w:val="0"/>
            <w:vAlign w:val="center"/>
          </w:tcPr>
          <w:p w14:paraId="1F241906">
            <w:pPr>
              <w:jc w:val="center"/>
              <w:rPr>
                <w:rFonts w:ascii="宋体" w:hAnsi="宋体" w:cs="宋体"/>
                <w:color w:val="auto"/>
                <w:kern w:val="0"/>
                <w:sz w:val="22"/>
                <w:highlight w:val="none"/>
              </w:rPr>
            </w:pPr>
            <w:r>
              <w:rPr>
                <w:rFonts w:hint="eastAsia" w:ascii="宋体" w:hAnsi="宋体" w:cs="宋体"/>
                <w:color w:val="auto"/>
                <w:kern w:val="0"/>
                <w:sz w:val="22"/>
                <w:highlight w:val="none"/>
              </w:rPr>
              <w:t>3</w:t>
            </w:r>
          </w:p>
        </w:tc>
        <w:tc>
          <w:tcPr>
            <w:tcW w:w="760" w:type="dxa"/>
            <w:tcBorders>
              <w:top w:val="nil"/>
              <w:left w:val="nil"/>
              <w:bottom w:val="single" w:color="auto" w:sz="4" w:space="0"/>
              <w:right w:val="single" w:color="auto" w:sz="4" w:space="0"/>
            </w:tcBorders>
            <w:noWrap w:val="0"/>
            <w:vAlign w:val="center"/>
          </w:tcPr>
          <w:p w14:paraId="3F1B58F3">
            <w:pPr>
              <w:jc w:val="center"/>
              <w:rPr>
                <w:rFonts w:ascii="宋体" w:hAnsi="宋体" w:cs="宋体"/>
                <w:color w:val="auto"/>
                <w:kern w:val="0"/>
                <w:sz w:val="22"/>
                <w:highlight w:val="none"/>
              </w:rPr>
            </w:pPr>
            <w:r>
              <w:rPr>
                <w:rFonts w:hint="eastAsia" w:ascii="宋体" w:hAnsi="宋体" w:cs="宋体"/>
                <w:color w:val="auto"/>
                <w:kern w:val="0"/>
                <w:sz w:val="22"/>
                <w:highlight w:val="none"/>
              </w:rPr>
              <w:t>主网</w:t>
            </w:r>
          </w:p>
        </w:tc>
        <w:tc>
          <w:tcPr>
            <w:tcW w:w="2123" w:type="dxa"/>
            <w:tcBorders>
              <w:top w:val="nil"/>
              <w:left w:val="nil"/>
              <w:bottom w:val="single" w:color="auto" w:sz="4" w:space="0"/>
              <w:right w:val="single" w:color="auto" w:sz="4" w:space="0"/>
            </w:tcBorders>
            <w:noWrap w:val="0"/>
            <w:vAlign w:val="center"/>
          </w:tcPr>
          <w:p w14:paraId="7B6B28B7">
            <w:pPr>
              <w:jc w:val="center"/>
              <w:rPr>
                <w:rFonts w:ascii="宋体" w:hAnsi="宋体" w:cs="宋体"/>
                <w:color w:val="auto"/>
                <w:kern w:val="0"/>
                <w:sz w:val="22"/>
                <w:highlight w:val="none"/>
              </w:rPr>
            </w:pPr>
            <w:r>
              <w:rPr>
                <w:rFonts w:hint="eastAsia" w:ascii="宋体" w:hAnsi="宋体" w:cs="宋体"/>
                <w:color w:val="auto"/>
                <w:kern w:val="0"/>
                <w:sz w:val="22"/>
                <w:highlight w:val="none"/>
              </w:rPr>
              <w:t>分包检查</w:t>
            </w:r>
          </w:p>
        </w:tc>
        <w:tc>
          <w:tcPr>
            <w:tcW w:w="2477" w:type="dxa"/>
            <w:tcBorders>
              <w:top w:val="nil"/>
              <w:left w:val="nil"/>
              <w:bottom w:val="single" w:color="auto" w:sz="4" w:space="0"/>
              <w:right w:val="single" w:color="auto" w:sz="4" w:space="0"/>
            </w:tcBorders>
            <w:noWrap w:val="0"/>
            <w:vAlign w:val="center"/>
          </w:tcPr>
          <w:p w14:paraId="68C78882">
            <w:pPr>
              <w:jc w:val="center"/>
              <w:rPr>
                <w:rFonts w:ascii="宋体" w:hAnsi="宋体" w:cs="宋体"/>
                <w:color w:val="auto"/>
                <w:kern w:val="0"/>
                <w:sz w:val="22"/>
                <w:highlight w:val="none"/>
              </w:rPr>
            </w:pPr>
            <w:r>
              <w:rPr>
                <w:rFonts w:hint="eastAsia" w:ascii="宋体" w:hAnsi="宋体" w:cs="宋体"/>
                <w:color w:val="auto"/>
                <w:kern w:val="0"/>
                <w:sz w:val="22"/>
                <w:highlight w:val="none"/>
              </w:rPr>
              <w:t>录入分包检查</w:t>
            </w:r>
          </w:p>
        </w:tc>
        <w:tc>
          <w:tcPr>
            <w:tcW w:w="2059" w:type="dxa"/>
            <w:tcBorders>
              <w:top w:val="nil"/>
              <w:left w:val="nil"/>
              <w:bottom w:val="single" w:color="auto" w:sz="4" w:space="0"/>
              <w:right w:val="single" w:color="auto" w:sz="4" w:space="0"/>
            </w:tcBorders>
            <w:noWrap w:val="0"/>
            <w:vAlign w:val="center"/>
          </w:tcPr>
          <w:p w14:paraId="11734CE3">
            <w:pPr>
              <w:jc w:val="center"/>
              <w:rPr>
                <w:rFonts w:ascii="宋体" w:hAnsi="宋体" w:cs="宋体"/>
                <w:color w:val="auto"/>
                <w:kern w:val="0"/>
                <w:sz w:val="22"/>
                <w:highlight w:val="none"/>
              </w:rPr>
            </w:pPr>
            <w:r>
              <w:rPr>
                <w:rFonts w:hint="eastAsia" w:ascii="宋体" w:hAnsi="宋体" w:cs="宋体"/>
                <w:color w:val="auto"/>
                <w:kern w:val="0"/>
                <w:sz w:val="22"/>
                <w:highlight w:val="none"/>
              </w:rPr>
              <w:t>施工合同签订后，开工前30天</w:t>
            </w:r>
          </w:p>
        </w:tc>
        <w:tc>
          <w:tcPr>
            <w:tcW w:w="1399" w:type="dxa"/>
            <w:tcBorders>
              <w:top w:val="nil"/>
              <w:left w:val="nil"/>
              <w:bottom w:val="single" w:color="auto" w:sz="4" w:space="0"/>
              <w:right w:val="single" w:color="auto" w:sz="4" w:space="0"/>
            </w:tcBorders>
            <w:noWrap w:val="0"/>
            <w:vAlign w:val="center"/>
          </w:tcPr>
          <w:p w14:paraId="4F79F589">
            <w:pPr>
              <w:jc w:val="center"/>
              <w:rPr>
                <w:rFonts w:ascii="宋体" w:hAnsi="宋体" w:cs="宋体"/>
                <w:color w:val="auto"/>
                <w:kern w:val="0"/>
                <w:sz w:val="22"/>
                <w:highlight w:val="none"/>
              </w:rPr>
            </w:pPr>
            <w:r>
              <w:rPr>
                <w:rFonts w:hint="eastAsia" w:ascii="宋体" w:hAnsi="宋体" w:cs="宋体"/>
                <w:color w:val="auto"/>
                <w:kern w:val="0"/>
                <w:sz w:val="22"/>
                <w:highlight w:val="none"/>
              </w:rPr>
              <w:t>与实际相符</w:t>
            </w:r>
          </w:p>
        </w:tc>
      </w:tr>
      <w:tr w14:paraId="3619FAB9">
        <w:tblPrEx>
          <w:tblCellMar>
            <w:top w:w="0" w:type="dxa"/>
            <w:left w:w="108" w:type="dxa"/>
            <w:bottom w:w="0" w:type="dxa"/>
            <w:right w:w="108" w:type="dxa"/>
          </w:tblCellMar>
        </w:tblPrEx>
        <w:trPr>
          <w:trHeight w:val="585" w:hRule="atLeast"/>
          <w:jc w:val="center"/>
        </w:trPr>
        <w:tc>
          <w:tcPr>
            <w:tcW w:w="700" w:type="dxa"/>
            <w:tcBorders>
              <w:top w:val="nil"/>
              <w:left w:val="single" w:color="auto" w:sz="4" w:space="0"/>
              <w:bottom w:val="single" w:color="auto" w:sz="4" w:space="0"/>
              <w:right w:val="single" w:color="auto" w:sz="4" w:space="0"/>
            </w:tcBorders>
            <w:noWrap w:val="0"/>
            <w:vAlign w:val="center"/>
          </w:tcPr>
          <w:p w14:paraId="041ABB87">
            <w:pPr>
              <w:jc w:val="center"/>
              <w:rPr>
                <w:rFonts w:ascii="宋体" w:hAnsi="宋体" w:cs="宋体"/>
                <w:color w:val="auto"/>
                <w:kern w:val="0"/>
                <w:sz w:val="22"/>
                <w:highlight w:val="none"/>
              </w:rPr>
            </w:pPr>
            <w:r>
              <w:rPr>
                <w:rFonts w:hint="eastAsia" w:ascii="宋体" w:hAnsi="宋体" w:cs="宋体"/>
                <w:color w:val="auto"/>
                <w:kern w:val="0"/>
                <w:sz w:val="22"/>
                <w:highlight w:val="none"/>
              </w:rPr>
              <w:t>4</w:t>
            </w:r>
          </w:p>
        </w:tc>
        <w:tc>
          <w:tcPr>
            <w:tcW w:w="760" w:type="dxa"/>
            <w:tcBorders>
              <w:top w:val="nil"/>
              <w:left w:val="nil"/>
              <w:bottom w:val="single" w:color="auto" w:sz="4" w:space="0"/>
              <w:right w:val="single" w:color="auto" w:sz="4" w:space="0"/>
            </w:tcBorders>
            <w:noWrap w:val="0"/>
            <w:vAlign w:val="center"/>
          </w:tcPr>
          <w:p w14:paraId="73E104E1">
            <w:pPr>
              <w:jc w:val="center"/>
              <w:rPr>
                <w:rFonts w:ascii="宋体" w:hAnsi="宋体" w:cs="宋体"/>
                <w:color w:val="auto"/>
                <w:kern w:val="0"/>
                <w:sz w:val="22"/>
                <w:highlight w:val="none"/>
              </w:rPr>
            </w:pPr>
            <w:r>
              <w:rPr>
                <w:rFonts w:hint="eastAsia" w:ascii="宋体" w:hAnsi="宋体" w:cs="宋体"/>
                <w:color w:val="auto"/>
                <w:kern w:val="0"/>
                <w:sz w:val="22"/>
                <w:highlight w:val="none"/>
              </w:rPr>
              <w:t>主网</w:t>
            </w:r>
          </w:p>
        </w:tc>
        <w:tc>
          <w:tcPr>
            <w:tcW w:w="2123" w:type="dxa"/>
            <w:tcBorders>
              <w:top w:val="nil"/>
              <w:left w:val="nil"/>
              <w:bottom w:val="single" w:color="auto" w:sz="4" w:space="0"/>
              <w:right w:val="single" w:color="auto" w:sz="4" w:space="0"/>
            </w:tcBorders>
            <w:noWrap w:val="0"/>
            <w:vAlign w:val="center"/>
          </w:tcPr>
          <w:p w14:paraId="6067D0A3">
            <w:pPr>
              <w:jc w:val="center"/>
              <w:rPr>
                <w:rFonts w:ascii="宋体" w:hAnsi="宋体" w:cs="宋体"/>
                <w:color w:val="auto"/>
                <w:kern w:val="0"/>
                <w:sz w:val="22"/>
                <w:highlight w:val="none"/>
              </w:rPr>
            </w:pPr>
            <w:r>
              <w:rPr>
                <w:rFonts w:hint="eastAsia" w:ascii="宋体" w:hAnsi="宋体" w:cs="宋体"/>
                <w:color w:val="auto"/>
                <w:kern w:val="0"/>
                <w:sz w:val="22"/>
                <w:highlight w:val="none"/>
              </w:rPr>
              <w:t>施工单位项目履约情况评价</w:t>
            </w:r>
          </w:p>
        </w:tc>
        <w:tc>
          <w:tcPr>
            <w:tcW w:w="2477" w:type="dxa"/>
            <w:tcBorders>
              <w:top w:val="nil"/>
              <w:left w:val="nil"/>
              <w:bottom w:val="single" w:color="auto" w:sz="4" w:space="0"/>
              <w:right w:val="single" w:color="auto" w:sz="4" w:space="0"/>
            </w:tcBorders>
            <w:noWrap w:val="0"/>
            <w:vAlign w:val="center"/>
          </w:tcPr>
          <w:p w14:paraId="1532DC2A">
            <w:pPr>
              <w:jc w:val="center"/>
              <w:rPr>
                <w:rFonts w:ascii="宋体" w:hAnsi="宋体" w:cs="宋体"/>
                <w:color w:val="auto"/>
                <w:kern w:val="0"/>
                <w:sz w:val="22"/>
                <w:highlight w:val="none"/>
              </w:rPr>
            </w:pPr>
            <w:r>
              <w:rPr>
                <w:rFonts w:hint="eastAsia" w:ascii="宋体" w:hAnsi="宋体" w:cs="宋体"/>
                <w:color w:val="auto"/>
                <w:kern w:val="0"/>
                <w:sz w:val="22"/>
                <w:highlight w:val="none"/>
              </w:rPr>
              <w:t>录入评价内容</w:t>
            </w:r>
          </w:p>
        </w:tc>
        <w:tc>
          <w:tcPr>
            <w:tcW w:w="2059" w:type="dxa"/>
            <w:tcBorders>
              <w:top w:val="nil"/>
              <w:left w:val="nil"/>
              <w:bottom w:val="single" w:color="auto" w:sz="4" w:space="0"/>
              <w:right w:val="single" w:color="auto" w:sz="4" w:space="0"/>
            </w:tcBorders>
            <w:noWrap w:val="0"/>
            <w:vAlign w:val="center"/>
          </w:tcPr>
          <w:p w14:paraId="3ADB3D38">
            <w:pPr>
              <w:jc w:val="center"/>
              <w:rPr>
                <w:rFonts w:ascii="宋体" w:hAnsi="宋体" w:cs="宋体"/>
                <w:color w:val="auto"/>
                <w:kern w:val="0"/>
                <w:sz w:val="22"/>
                <w:highlight w:val="none"/>
              </w:rPr>
            </w:pPr>
            <w:r>
              <w:rPr>
                <w:rFonts w:hint="eastAsia" w:ascii="宋体" w:hAnsi="宋体" w:cs="宋体"/>
                <w:color w:val="auto"/>
                <w:kern w:val="0"/>
                <w:sz w:val="22"/>
                <w:highlight w:val="none"/>
              </w:rPr>
              <w:t>业主项目部对施工单位履约评价完成后5个工作日内</w:t>
            </w:r>
          </w:p>
        </w:tc>
        <w:tc>
          <w:tcPr>
            <w:tcW w:w="1399" w:type="dxa"/>
            <w:tcBorders>
              <w:top w:val="nil"/>
              <w:left w:val="nil"/>
              <w:bottom w:val="single" w:color="auto" w:sz="4" w:space="0"/>
              <w:right w:val="single" w:color="auto" w:sz="4" w:space="0"/>
            </w:tcBorders>
            <w:noWrap w:val="0"/>
            <w:vAlign w:val="center"/>
          </w:tcPr>
          <w:p w14:paraId="35585246">
            <w:pPr>
              <w:jc w:val="center"/>
              <w:rPr>
                <w:rFonts w:ascii="宋体" w:hAnsi="宋体" w:cs="宋体"/>
                <w:color w:val="auto"/>
                <w:kern w:val="0"/>
                <w:sz w:val="22"/>
                <w:highlight w:val="none"/>
              </w:rPr>
            </w:pPr>
            <w:r>
              <w:rPr>
                <w:rFonts w:hint="eastAsia" w:ascii="宋体" w:hAnsi="宋体" w:cs="宋体"/>
                <w:color w:val="auto"/>
                <w:kern w:val="0"/>
                <w:sz w:val="22"/>
                <w:highlight w:val="none"/>
              </w:rPr>
              <w:t>与实际相符</w:t>
            </w:r>
          </w:p>
        </w:tc>
      </w:tr>
      <w:tr w14:paraId="1AE8AF3C">
        <w:tblPrEx>
          <w:tblCellMar>
            <w:top w:w="0" w:type="dxa"/>
            <w:left w:w="108" w:type="dxa"/>
            <w:bottom w:w="0" w:type="dxa"/>
            <w:right w:w="108" w:type="dxa"/>
          </w:tblCellMar>
        </w:tblPrEx>
        <w:trPr>
          <w:trHeight w:val="585" w:hRule="atLeast"/>
          <w:jc w:val="center"/>
        </w:trPr>
        <w:tc>
          <w:tcPr>
            <w:tcW w:w="700" w:type="dxa"/>
            <w:tcBorders>
              <w:top w:val="nil"/>
              <w:left w:val="single" w:color="auto" w:sz="4" w:space="0"/>
              <w:bottom w:val="single" w:color="auto" w:sz="4" w:space="0"/>
              <w:right w:val="single" w:color="auto" w:sz="4" w:space="0"/>
            </w:tcBorders>
            <w:noWrap w:val="0"/>
            <w:vAlign w:val="center"/>
          </w:tcPr>
          <w:p w14:paraId="76D51269">
            <w:pPr>
              <w:jc w:val="center"/>
              <w:rPr>
                <w:rFonts w:ascii="宋体" w:hAnsi="宋体" w:cs="宋体"/>
                <w:color w:val="auto"/>
                <w:kern w:val="0"/>
                <w:sz w:val="22"/>
                <w:highlight w:val="none"/>
              </w:rPr>
            </w:pPr>
            <w:r>
              <w:rPr>
                <w:rFonts w:hint="eastAsia" w:ascii="宋体" w:hAnsi="宋体" w:cs="宋体"/>
                <w:color w:val="auto"/>
                <w:kern w:val="0"/>
                <w:sz w:val="22"/>
                <w:highlight w:val="none"/>
              </w:rPr>
              <w:t>5</w:t>
            </w:r>
          </w:p>
        </w:tc>
        <w:tc>
          <w:tcPr>
            <w:tcW w:w="760" w:type="dxa"/>
            <w:tcBorders>
              <w:top w:val="nil"/>
              <w:left w:val="nil"/>
              <w:bottom w:val="single" w:color="auto" w:sz="4" w:space="0"/>
              <w:right w:val="single" w:color="auto" w:sz="4" w:space="0"/>
            </w:tcBorders>
            <w:noWrap w:val="0"/>
            <w:vAlign w:val="center"/>
          </w:tcPr>
          <w:p w14:paraId="2C86576F">
            <w:pPr>
              <w:jc w:val="center"/>
              <w:rPr>
                <w:rFonts w:ascii="宋体" w:hAnsi="宋体" w:cs="宋体"/>
                <w:color w:val="auto"/>
                <w:kern w:val="0"/>
                <w:sz w:val="22"/>
                <w:highlight w:val="none"/>
              </w:rPr>
            </w:pPr>
            <w:r>
              <w:rPr>
                <w:rFonts w:hint="eastAsia" w:ascii="宋体" w:hAnsi="宋体" w:cs="宋体"/>
                <w:color w:val="auto"/>
                <w:kern w:val="0"/>
                <w:sz w:val="22"/>
                <w:highlight w:val="none"/>
              </w:rPr>
              <w:t>主网</w:t>
            </w:r>
          </w:p>
        </w:tc>
        <w:tc>
          <w:tcPr>
            <w:tcW w:w="2123" w:type="dxa"/>
            <w:tcBorders>
              <w:top w:val="nil"/>
              <w:left w:val="nil"/>
              <w:bottom w:val="single" w:color="auto" w:sz="4" w:space="0"/>
              <w:right w:val="single" w:color="auto" w:sz="4" w:space="0"/>
            </w:tcBorders>
            <w:noWrap w:val="0"/>
            <w:vAlign w:val="center"/>
          </w:tcPr>
          <w:p w14:paraId="0E83C946">
            <w:pPr>
              <w:jc w:val="center"/>
              <w:rPr>
                <w:rFonts w:ascii="宋体" w:hAnsi="宋体" w:cs="宋体"/>
                <w:color w:val="auto"/>
                <w:kern w:val="0"/>
                <w:sz w:val="22"/>
                <w:highlight w:val="none"/>
              </w:rPr>
            </w:pPr>
            <w:r>
              <w:rPr>
                <w:rFonts w:hint="eastAsia" w:ascii="宋体" w:hAnsi="宋体" w:cs="宋体"/>
                <w:color w:val="auto"/>
                <w:kern w:val="0"/>
                <w:sz w:val="22"/>
                <w:highlight w:val="none"/>
              </w:rPr>
              <w:t>处罚通知单录入与整改</w:t>
            </w:r>
          </w:p>
        </w:tc>
        <w:tc>
          <w:tcPr>
            <w:tcW w:w="2477" w:type="dxa"/>
            <w:tcBorders>
              <w:top w:val="nil"/>
              <w:left w:val="nil"/>
              <w:bottom w:val="single" w:color="auto" w:sz="4" w:space="0"/>
              <w:right w:val="single" w:color="auto" w:sz="4" w:space="0"/>
            </w:tcBorders>
            <w:noWrap w:val="0"/>
            <w:vAlign w:val="center"/>
          </w:tcPr>
          <w:p w14:paraId="63A5622C">
            <w:pPr>
              <w:jc w:val="center"/>
              <w:rPr>
                <w:rFonts w:ascii="宋体" w:hAnsi="宋体" w:cs="宋体"/>
                <w:color w:val="auto"/>
                <w:kern w:val="0"/>
                <w:sz w:val="22"/>
                <w:highlight w:val="none"/>
              </w:rPr>
            </w:pPr>
            <w:r>
              <w:rPr>
                <w:rFonts w:hint="eastAsia" w:ascii="宋体" w:hAnsi="宋体" w:cs="宋体"/>
                <w:color w:val="auto"/>
                <w:kern w:val="0"/>
                <w:sz w:val="22"/>
                <w:highlight w:val="none"/>
              </w:rPr>
              <w:t>审核处罚单数据</w:t>
            </w:r>
          </w:p>
        </w:tc>
        <w:tc>
          <w:tcPr>
            <w:tcW w:w="2059" w:type="dxa"/>
            <w:tcBorders>
              <w:top w:val="nil"/>
              <w:left w:val="nil"/>
              <w:bottom w:val="single" w:color="auto" w:sz="4" w:space="0"/>
              <w:right w:val="single" w:color="auto" w:sz="4" w:space="0"/>
            </w:tcBorders>
            <w:noWrap w:val="0"/>
            <w:vAlign w:val="center"/>
          </w:tcPr>
          <w:p w14:paraId="1596C1E9">
            <w:pPr>
              <w:jc w:val="center"/>
              <w:rPr>
                <w:rFonts w:ascii="宋体" w:hAnsi="宋体" w:cs="宋体"/>
                <w:color w:val="auto"/>
                <w:kern w:val="0"/>
                <w:sz w:val="22"/>
                <w:highlight w:val="none"/>
              </w:rPr>
            </w:pPr>
            <w:r>
              <w:rPr>
                <w:rFonts w:hint="eastAsia" w:ascii="宋体" w:hAnsi="宋体" w:cs="宋体"/>
                <w:color w:val="auto"/>
                <w:kern w:val="0"/>
                <w:sz w:val="22"/>
                <w:highlight w:val="none"/>
              </w:rPr>
              <w:t>整改完成时间之前</w:t>
            </w:r>
          </w:p>
        </w:tc>
        <w:tc>
          <w:tcPr>
            <w:tcW w:w="1399" w:type="dxa"/>
            <w:tcBorders>
              <w:top w:val="nil"/>
              <w:left w:val="nil"/>
              <w:bottom w:val="single" w:color="auto" w:sz="4" w:space="0"/>
              <w:right w:val="single" w:color="auto" w:sz="4" w:space="0"/>
            </w:tcBorders>
            <w:noWrap w:val="0"/>
            <w:vAlign w:val="center"/>
          </w:tcPr>
          <w:p w14:paraId="4EC40FE7">
            <w:pPr>
              <w:jc w:val="center"/>
              <w:rPr>
                <w:rFonts w:ascii="宋体" w:hAnsi="宋体" w:cs="宋体"/>
                <w:color w:val="auto"/>
                <w:kern w:val="0"/>
                <w:sz w:val="22"/>
                <w:highlight w:val="none"/>
              </w:rPr>
            </w:pPr>
            <w:r>
              <w:rPr>
                <w:rFonts w:hint="eastAsia" w:ascii="宋体" w:hAnsi="宋体" w:cs="宋体"/>
                <w:color w:val="auto"/>
                <w:kern w:val="0"/>
                <w:sz w:val="22"/>
                <w:highlight w:val="none"/>
              </w:rPr>
              <w:t>与实际相符</w:t>
            </w:r>
          </w:p>
        </w:tc>
      </w:tr>
      <w:tr w14:paraId="54188DFD">
        <w:tblPrEx>
          <w:tblCellMar>
            <w:top w:w="0" w:type="dxa"/>
            <w:left w:w="108" w:type="dxa"/>
            <w:bottom w:w="0" w:type="dxa"/>
            <w:right w:w="108" w:type="dxa"/>
          </w:tblCellMar>
        </w:tblPrEx>
        <w:trPr>
          <w:trHeight w:val="585" w:hRule="atLeast"/>
          <w:jc w:val="center"/>
        </w:trPr>
        <w:tc>
          <w:tcPr>
            <w:tcW w:w="700" w:type="dxa"/>
            <w:tcBorders>
              <w:top w:val="nil"/>
              <w:left w:val="single" w:color="auto" w:sz="4" w:space="0"/>
              <w:bottom w:val="single" w:color="auto" w:sz="4" w:space="0"/>
              <w:right w:val="single" w:color="auto" w:sz="4" w:space="0"/>
            </w:tcBorders>
            <w:noWrap w:val="0"/>
            <w:vAlign w:val="center"/>
          </w:tcPr>
          <w:p w14:paraId="206005D1">
            <w:pPr>
              <w:jc w:val="center"/>
              <w:rPr>
                <w:rFonts w:ascii="宋体" w:hAnsi="宋体" w:cs="宋体"/>
                <w:color w:val="auto"/>
                <w:kern w:val="0"/>
                <w:sz w:val="22"/>
                <w:highlight w:val="none"/>
              </w:rPr>
            </w:pPr>
            <w:r>
              <w:rPr>
                <w:rFonts w:hint="eastAsia" w:ascii="宋体" w:hAnsi="宋体" w:cs="宋体"/>
                <w:color w:val="auto"/>
                <w:kern w:val="0"/>
                <w:sz w:val="22"/>
                <w:highlight w:val="none"/>
              </w:rPr>
              <w:t>6</w:t>
            </w:r>
          </w:p>
        </w:tc>
        <w:tc>
          <w:tcPr>
            <w:tcW w:w="760" w:type="dxa"/>
            <w:tcBorders>
              <w:top w:val="nil"/>
              <w:left w:val="nil"/>
              <w:bottom w:val="single" w:color="auto" w:sz="4" w:space="0"/>
              <w:right w:val="single" w:color="auto" w:sz="4" w:space="0"/>
            </w:tcBorders>
            <w:noWrap w:val="0"/>
            <w:vAlign w:val="center"/>
          </w:tcPr>
          <w:p w14:paraId="540D41B2">
            <w:pPr>
              <w:jc w:val="center"/>
              <w:rPr>
                <w:rFonts w:ascii="宋体" w:hAnsi="宋体" w:cs="宋体"/>
                <w:color w:val="auto"/>
                <w:kern w:val="0"/>
                <w:sz w:val="22"/>
                <w:highlight w:val="none"/>
              </w:rPr>
            </w:pPr>
            <w:r>
              <w:rPr>
                <w:rFonts w:hint="eastAsia" w:ascii="宋体" w:hAnsi="宋体" w:cs="宋体"/>
                <w:color w:val="auto"/>
                <w:kern w:val="0"/>
                <w:sz w:val="22"/>
                <w:highlight w:val="none"/>
              </w:rPr>
              <w:t>主网</w:t>
            </w:r>
          </w:p>
        </w:tc>
        <w:tc>
          <w:tcPr>
            <w:tcW w:w="2123" w:type="dxa"/>
            <w:tcBorders>
              <w:top w:val="nil"/>
              <w:left w:val="nil"/>
              <w:bottom w:val="single" w:color="auto" w:sz="4" w:space="0"/>
              <w:right w:val="single" w:color="auto" w:sz="4" w:space="0"/>
            </w:tcBorders>
            <w:noWrap w:val="0"/>
            <w:vAlign w:val="center"/>
          </w:tcPr>
          <w:p w14:paraId="6882E743">
            <w:pPr>
              <w:jc w:val="center"/>
              <w:rPr>
                <w:rFonts w:ascii="宋体" w:hAnsi="宋体" w:cs="宋体"/>
                <w:color w:val="auto"/>
                <w:kern w:val="0"/>
                <w:sz w:val="22"/>
                <w:highlight w:val="none"/>
              </w:rPr>
            </w:pPr>
            <w:r>
              <w:rPr>
                <w:rFonts w:hint="eastAsia" w:ascii="宋体" w:hAnsi="宋体" w:cs="宋体"/>
                <w:color w:val="auto"/>
                <w:kern w:val="0"/>
                <w:sz w:val="22"/>
                <w:highlight w:val="none"/>
              </w:rPr>
              <w:t>安全文明检查评价</w:t>
            </w:r>
          </w:p>
        </w:tc>
        <w:tc>
          <w:tcPr>
            <w:tcW w:w="2477" w:type="dxa"/>
            <w:tcBorders>
              <w:top w:val="nil"/>
              <w:left w:val="nil"/>
              <w:bottom w:val="single" w:color="auto" w:sz="4" w:space="0"/>
              <w:right w:val="single" w:color="auto" w:sz="4" w:space="0"/>
            </w:tcBorders>
            <w:noWrap w:val="0"/>
            <w:vAlign w:val="center"/>
          </w:tcPr>
          <w:p w14:paraId="2D836242">
            <w:pPr>
              <w:jc w:val="center"/>
              <w:rPr>
                <w:rFonts w:ascii="宋体" w:hAnsi="宋体" w:cs="宋体"/>
                <w:color w:val="auto"/>
                <w:kern w:val="0"/>
                <w:sz w:val="22"/>
                <w:highlight w:val="none"/>
              </w:rPr>
            </w:pPr>
            <w:r>
              <w:rPr>
                <w:rFonts w:hint="eastAsia" w:ascii="宋体" w:hAnsi="宋体" w:cs="宋体"/>
                <w:color w:val="auto"/>
                <w:kern w:val="0"/>
                <w:sz w:val="22"/>
                <w:highlight w:val="none"/>
              </w:rPr>
              <w:t>录入及审核</w:t>
            </w:r>
          </w:p>
        </w:tc>
        <w:tc>
          <w:tcPr>
            <w:tcW w:w="2059" w:type="dxa"/>
            <w:tcBorders>
              <w:top w:val="nil"/>
              <w:left w:val="nil"/>
              <w:bottom w:val="single" w:color="auto" w:sz="4" w:space="0"/>
              <w:right w:val="single" w:color="auto" w:sz="4" w:space="0"/>
            </w:tcBorders>
            <w:noWrap w:val="0"/>
            <w:vAlign w:val="center"/>
          </w:tcPr>
          <w:p w14:paraId="3EFA5700">
            <w:pPr>
              <w:jc w:val="center"/>
              <w:rPr>
                <w:rFonts w:ascii="宋体" w:hAnsi="宋体" w:cs="宋体"/>
                <w:color w:val="auto"/>
                <w:kern w:val="0"/>
                <w:sz w:val="22"/>
                <w:highlight w:val="none"/>
              </w:rPr>
            </w:pPr>
            <w:r>
              <w:rPr>
                <w:rFonts w:hint="eastAsia" w:ascii="宋体" w:hAnsi="宋体" w:cs="宋体"/>
                <w:color w:val="auto"/>
                <w:kern w:val="0"/>
                <w:sz w:val="22"/>
                <w:highlight w:val="none"/>
              </w:rPr>
              <w:t>检查评价发生后</w:t>
            </w:r>
          </w:p>
        </w:tc>
        <w:tc>
          <w:tcPr>
            <w:tcW w:w="1399" w:type="dxa"/>
            <w:tcBorders>
              <w:top w:val="nil"/>
              <w:left w:val="nil"/>
              <w:bottom w:val="single" w:color="auto" w:sz="4" w:space="0"/>
              <w:right w:val="single" w:color="auto" w:sz="4" w:space="0"/>
            </w:tcBorders>
            <w:noWrap w:val="0"/>
            <w:vAlign w:val="center"/>
          </w:tcPr>
          <w:p w14:paraId="74EF6A30">
            <w:pPr>
              <w:jc w:val="center"/>
              <w:rPr>
                <w:rFonts w:ascii="宋体" w:hAnsi="宋体" w:cs="宋体"/>
                <w:color w:val="auto"/>
                <w:kern w:val="0"/>
                <w:sz w:val="22"/>
                <w:highlight w:val="none"/>
              </w:rPr>
            </w:pPr>
            <w:r>
              <w:rPr>
                <w:rFonts w:hint="eastAsia" w:ascii="宋体" w:hAnsi="宋体" w:cs="宋体"/>
                <w:color w:val="auto"/>
                <w:kern w:val="0"/>
                <w:sz w:val="22"/>
                <w:highlight w:val="none"/>
              </w:rPr>
              <w:t>与实际相符</w:t>
            </w:r>
          </w:p>
        </w:tc>
      </w:tr>
      <w:tr w14:paraId="22CE8E86">
        <w:tblPrEx>
          <w:tblCellMar>
            <w:top w:w="0" w:type="dxa"/>
            <w:left w:w="108" w:type="dxa"/>
            <w:bottom w:w="0" w:type="dxa"/>
            <w:right w:w="108" w:type="dxa"/>
          </w:tblCellMar>
        </w:tblPrEx>
        <w:trPr>
          <w:trHeight w:val="585" w:hRule="atLeast"/>
          <w:jc w:val="center"/>
        </w:trPr>
        <w:tc>
          <w:tcPr>
            <w:tcW w:w="700" w:type="dxa"/>
            <w:tcBorders>
              <w:top w:val="nil"/>
              <w:left w:val="single" w:color="auto" w:sz="4" w:space="0"/>
              <w:bottom w:val="single" w:color="auto" w:sz="4" w:space="0"/>
              <w:right w:val="single" w:color="auto" w:sz="4" w:space="0"/>
            </w:tcBorders>
            <w:noWrap w:val="0"/>
            <w:vAlign w:val="center"/>
          </w:tcPr>
          <w:p w14:paraId="1831F498">
            <w:pPr>
              <w:jc w:val="center"/>
              <w:rPr>
                <w:rFonts w:ascii="宋体" w:hAnsi="宋体" w:cs="宋体"/>
                <w:color w:val="auto"/>
                <w:kern w:val="0"/>
                <w:sz w:val="22"/>
                <w:highlight w:val="none"/>
              </w:rPr>
            </w:pPr>
            <w:r>
              <w:rPr>
                <w:rFonts w:hint="eastAsia" w:ascii="宋体" w:hAnsi="宋体" w:cs="宋体"/>
                <w:color w:val="auto"/>
                <w:kern w:val="0"/>
                <w:sz w:val="22"/>
                <w:highlight w:val="none"/>
              </w:rPr>
              <w:t>7</w:t>
            </w:r>
          </w:p>
        </w:tc>
        <w:tc>
          <w:tcPr>
            <w:tcW w:w="760" w:type="dxa"/>
            <w:tcBorders>
              <w:top w:val="nil"/>
              <w:left w:val="nil"/>
              <w:bottom w:val="single" w:color="auto" w:sz="4" w:space="0"/>
              <w:right w:val="single" w:color="auto" w:sz="4" w:space="0"/>
            </w:tcBorders>
            <w:noWrap w:val="0"/>
            <w:vAlign w:val="center"/>
          </w:tcPr>
          <w:p w14:paraId="5B78039E">
            <w:pPr>
              <w:jc w:val="center"/>
              <w:rPr>
                <w:rFonts w:ascii="宋体" w:hAnsi="宋体" w:cs="宋体"/>
                <w:color w:val="auto"/>
                <w:kern w:val="0"/>
                <w:sz w:val="22"/>
                <w:highlight w:val="none"/>
              </w:rPr>
            </w:pPr>
            <w:r>
              <w:rPr>
                <w:rFonts w:hint="eastAsia" w:ascii="宋体" w:hAnsi="宋体" w:cs="宋体"/>
                <w:color w:val="auto"/>
                <w:kern w:val="0"/>
                <w:sz w:val="22"/>
                <w:highlight w:val="none"/>
              </w:rPr>
              <w:t>主网</w:t>
            </w:r>
          </w:p>
        </w:tc>
        <w:tc>
          <w:tcPr>
            <w:tcW w:w="2123" w:type="dxa"/>
            <w:tcBorders>
              <w:top w:val="nil"/>
              <w:left w:val="nil"/>
              <w:bottom w:val="single" w:color="auto" w:sz="4" w:space="0"/>
              <w:right w:val="single" w:color="auto" w:sz="4" w:space="0"/>
            </w:tcBorders>
            <w:noWrap w:val="0"/>
            <w:vAlign w:val="center"/>
          </w:tcPr>
          <w:p w14:paraId="16526700">
            <w:pPr>
              <w:jc w:val="center"/>
              <w:rPr>
                <w:rFonts w:ascii="宋体" w:hAnsi="宋体" w:cs="宋体"/>
                <w:color w:val="auto"/>
                <w:kern w:val="0"/>
                <w:sz w:val="22"/>
                <w:highlight w:val="none"/>
              </w:rPr>
            </w:pPr>
            <w:r>
              <w:rPr>
                <w:rFonts w:hint="eastAsia" w:ascii="宋体" w:hAnsi="宋体" w:cs="宋体"/>
                <w:color w:val="auto"/>
                <w:kern w:val="0"/>
                <w:sz w:val="22"/>
                <w:highlight w:val="none"/>
              </w:rPr>
              <w:t>安全文明检查整改通知</w:t>
            </w:r>
          </w:p>
        </w:tc>
        <w:tc>
          <w:tcPr>
            <w:tcW w:w="2477" w:type="dxa"/>
            <w:tcBorders>
              <w:top w:val="nil"/>
              <w:left w:val="nil"/>
              <w:bottom w:val="single" w:color="auto" w:sz="4" w:space="0"/>
              <w:right w:val="single" w:color="auto" w:sz="4" w:space="0"/>
            </w:tcBorders>
            <w:noWrap w:val="0"/>
            <w:vAlign w:val="center"/>
          </w:tcPr>
          <w:p w14:paraId="4318304D">
            <w:pPr>
              <w:jc w:val="center"/>
              <w:rPr>
                <w:rFonts w:ascii="宋体" w:hAnsi="宋体" w:cs="宋体"/>
                <w:color w:val="auto"/>
                <w:kern w:val="0"/>
                <w:sz w:val="22"/>
                <w:highlight w:val="none"/>
              </w:rPr>
            </w:pPr>
            <w:r>
              <w:rPr>
                <w:rFonts w:hint="eastAsia" w:ascii="宋体" w:hAnsi="宋体" w:cs="宋体"/>
                <w:color w:val="auto"/>
                <w:kern w:val="0"/>
                <w:sz w:val="22"/>
                <w:highlight w:val="none"/>
              </w:rPr>
              <w:t>录入</w:t>
            </w:r>
          </w:p>
        </w:tc>
        <w:tc>
          <w:tcPr>
            <w:tcW w:w="2059" w:type="dxa"/>
            <w:tcBorders>
              <w:top w:val="nil"/>
              <w:left w:val="nil"/>
              <w:bottom w:val="single" w:color="auto" w:sz="4" w:space="0"/>
              <w:right w:val="single" w:color="auto" w:sz="4" w:space="0"/>
            </w:tcBorders>
            <w:noWrap w:val="0"/>
            <w:vAlign w:val="center"/>
          </w:tcPr>
          <w:p w14:paraId="6E622B89">
            <w:pPr>
              <w:jc w:val="center"/>
              <w:rPr>
                <w:rFonts w:ascii="宋体" w:hAnsi="宋体" w:cs="宋体"/>
                <w:color w:val="auto"/>
                <w:kern w:val="0"/>
                <w:sz w:val="22"/>
                <w:highlight w:val="none"/>
              </w:rPr>
            </w:pPr>
            <w:r>
              <w:rPr>
                <w:rFonts w:hint="eastAsia" w:ascii="宋体" w:hAnsi="宋体" w:cs="宋体"/>
                <w:color w:val="auto"/>
                <w:kern w:val="0"/>
                <w:sz w:val="22"/>
                <w:highlight w:val="none"/>
              </w:rPr>
              <w:t>整改完成时间之前</w:t>
            </w:r>
          </w:p>
        </w:tc>
        <w:tc>
          <w:tcPr>
            <w:tcW w:w="1399" w:type="dxa"/>
            <w:tcBorders>
              <w:top w:val="nil"/>
              <w:left w:val="nil"/>
              <w:bottom w:val="single" w:color="auto" w:sz="4" w:space="0"/>
              <w:right w:val="single" w:color="auto" w:sz="4" w:space="0"/>
            </w:tcBorders>
            <w:noWrap w:val="0"/>
            <w:vAlign w:val="center"/>
          </w:tcPr>
          <w:p w14:paraId="75C1E433">
            <w:pPr>
              <w:jc w:val="center"/>
              <w:rPr>
                <w:rFonts w:ascii="宋体" w:hAnsi="宋体" w:cs="宋体"/>
                <w:color w:val="auto"/>
                <w:kern w:val="0"/>
                <w:sz w:val="22"/>
                <w:highlight w:val="none"/>
              </w:rPr>
            </w:pPr>
            <w:r>
              <w:rPr>
                <w:rFonts w:hint="eastAsia" w:ascii="宋体" w:hAnsi="宋体" w:cs="宋体"/>
                <w:color w:val="auto"/>
                <w:kern w:val="0"/>
                <w:sz w:val="22"/>
                <w:highlight w:val="none"/>
              </w:rPr>
              <w:t>与实际相符</w:t>
            </w:r>
          </w:p>
        </w:tc>
      </w:tr>
      <w:tr w14:paraId="3EBD7CB0">
        <w:tblPrEx>
          <w:tblCellMar>
            <w:top w:w="0" w:type="dxa"/>
            <w:left w:w="108" w:type="dxa"/>
            <w:bottom w:w="0" w:type="dxa"/>
            <w:right w:w="108" w:type="dxa"/>
          </w:tblCellMar>
        </w:tblPrEx>
        <w:trPr>
          <w:trHeight w:val="585" w:hRule="atLeast"/>
          <w:jc w:val="center"/>
        </w:trPr>
        <w:tc>
          <w:tcPr>
            <w:tcW w:w="700" w:type="dxa"/>
            <w:tcBorders>
              <w:top w:val="nil"/>
              <w:left w:val="single" w:color="auto" w:sz="4" w:space="0"/>
              <w:bottom w:val="single" w:color="auto" w:sz="4" w:space="0"/>
              <w:right w:val="single" w:color="auto" w:sz="4" w:space="0"/>
            </w:tcBorders>
            <w:noWrap w:val="0"/>
            <w:vAlign w:val="center"/>
          </w:tcPr>
          <w:p w14:paraId="256DA687">
            <w:pPr>
              <w:jc w:val="center"/>
              <w:rPr>
                <w:rFonts w:ascii="宋体" w:hAnsi="宋体" w:cs="宋体"/>
                <w:color w:val="auto"/>
                <w:kern w:val="0"/>
                <w:sz w:val="22"/>
                <w:highlight w:val="none"/>
              </w:rPr>
            </w:pPr>
            <w:r>
              <w:rPr>
                <w:rFonts w:hint="eastAsia" w:ascii="宋体" w:hAnsi="宋体" w:cs="宋体"/>
                <w:color w:val="auto"/>
                <w:kern w:val="0"/>
                <w:sz w:val="22"/>
                <w:highlight w:val="none"/>
              </w:rPr>
              <w:t>8</w:t>
            </w:r>
          </w:p>
        </w:tc>
        <w:tc>
          <w:tcPr>
            <w:tcW w:w="760" w:type="dxa"/>
            <w:tcBorders>
              <w:top w:val="nil"/>
              <w:left w:val="nil"/>
              <w:bottom w:val="single" w:color="auto" w:sz="4" w:space="0"/>
              <w:right w:val="single" w:color="auto" w:sz="4" w:space="0"/>
            </w:tcBorders>
            <w:noWrap w:val="0"/>
            <w:vAlign w:val="center"/>
          </w:tcPr>
          <w:p w14:paraId="2C2A5B45">
            <w:pPr>
              <w:jc w:val="center"/>
              <w:rPr>
                <w:rFonts w:ascii="宋体" w:hAnsi="宋体" w:cs="宋体"/>
                <w:color w:val="auto"/>
                <w:kern w:val="0"/>
                <w:sz w:val="22"/>
                <w:highlight w:val="none"/>
              </w:rPr>
            </w:pPr>
            <w:r>
              <w:rPr>
                <w:rFonts w:hint="eastAsia" w:ascii="宋体" w:hAnsi="宋体" w:cs="宋体"/>
                <w:color w:val="auto"/>
                <w:kern w:val="0"/>
                <w:sz w:val="22"/>
                <w:highlight w:val="none"/>
              </w:rPr>
              <w:t>主网</w:t>
            </w:r>
          </w:p>
        </w:tc>
        <w:tc>
          <w:tcPr>
            <w:tcW w:w="2123" w:type="dxa"/>
            <w:tcBorders>
              <w:top w:val="nil"/>
              <w:left w:val="nil"/>
              <w:bottom w:val="single" w:color="auto" w:sz="4" w:space="0"/>
              <w:right w:val="single" w:color="auto" w:sz="4" w:space="0"/>
            </w:tcBorders>
            <w:noWrap w:val="0"/>
            <w:vAlign w:val="center"/>
          </w:tcPr>
          <w:p w14:paraId="069CC896">
            <w:pPr>
              <w:jc w:val="center"/>
              <w:rPr>
                <w:rFonts w:ascii="宋体" w:hAnsi="宋体" w:cs="宋体"/>
                <w:color w:val="auto"/>
                <w:kern w:val="0"/>
                <w:sz w:val="22"/>
                <w:highlight w:val="none"/>
              </w:rPr>
            </w:pPr>
            <w:r>
              <w:rPr>
                <w:rFonts w:hint="eastAsia" w:ascii="宋体" w:hAnsi="宋体" w:cs="宋体"/>
                <w:color w:val="auto"/>
                <w:kern w:val="0"/>
                <w:sz w:val="22"/>
                <w:highlight w:val="none"/>
              </w:rPr>
              <w:t>设备检查</w:t>
            </w:r>
          </w:p>
        </w:tc>
        <w:tc>
          <w:tcPr>
            <w:tcW w:w="2477" w:type="dxa"/>
            <w:tcBorders>
              <w:top w:val="nil"/>
              <w:left w:val="nil"/>
              <w:bottom w:val="single" w:color="auto" w:sz="4" w:space="0"/>
              <w:right w:val="single" w:color="auto" w:sz="4" w:space="0"/>
            </w:tcBorders>
            <w:noWrap w:val="0"/>
            <w:vAlign w:val="center"/>
          </w:tcPr>
          <w:p w14:paraId="353BDBED">
            <w:pPr>
              <w:jc w:val="center"/>
              <w:rPr>
                <w:rFonts w:ascii="宋体" w:hAnsi="宋体" w:cs="宋体"/>
                <w:color w:val="auto"/>
                <w:kern w:val="0"/>
                <w:sz w:val="22"/>
                <w:highlight w:val="none"/>
              </w:rPr>
            </w:pPr>
            <w:r>
              <w:rPr>
                <w:rFonts w:hint="eastAsia" w:ascii="宋体" w:hAnsi="宋体" w:cs="宋体"/>
                <w:color w:val="auto"/>
                <w:kern w:val="0"/>
                <w:sz w:val="22"/>
                <w:highlight w:val="none"/>
              </w:rPr>
              <w:t>审核</w:t>
            </w:r>
          </w:p>
        </w:tc>
        <w:tc>
          <w:tcPr>
            <w:tcW w:w="2059" w:type="dxa"/>
            <w:tcBorders>
              <w:top w:val="nil"/>
              <w:left w:val="nil"/>
              <w:bottom w:val="single" w:color="auto" w:sz="4" w:space="0"/>
              <w:right w:val="single" w:color="auto" w:sz="4" w:space="0"/>
            </w:tcBorders>
            <w:noWrap w:val="0"/>
            <w:vAlign w:val="center"/>
          </w:tcPr>
          <w:p w14:paraId="10890E07">
            <w:pPr>
              <w:jc w:val="center"/>
              <w:rPr>
                <w:rFonts w:ascii="宋体" w:hAnsi="宋体" w:cs="宋体"/>
                <w:color w:val="auto"/>
                <w:kern w:val="0"/>
                <w:sz w:val="22"/>
                <w:highlight w:val="none"/>
              </w:rPr>
            </w:pPr>
            <w:r>
              <w:rPr>
                <w:rFonts w:hint="eastAsia" w:ascii="宋体" w:hAnsi="宋体" w:cs="宋体"/>
                <w:color w:val="auto"/>
                <w:kern w:val="0"/>
                <w:sz w:val="22"/>
                <w:highlight w:val="none"/>
              </w:rPr>
              <w:t>检查合格有效期满前1个月</w:t>
            </w:r>
          </w:p>
        </w:tc>
        <w:tc>
          <w:tcPr>
            <w:tcW w:w="1399" w:type="dxa"/>
            <w:tcBorders>
              <w:top w:val="nil"/>
              <w:left w:val="nil"/>
              <w:bottom w:val="single" w:color="auto" w:sz="4" w:space="0"/>
              <w:right w:val="single" w:color="auto" w:sz="4" w:space="0"/>
            </w:tcBorders>
            <w:noWrap w:val="0"/>
            <w:vAlign w:val="center"/>
          </w:tcPr>
          <w:p w14:paraId="2C83D489">
            <w:pPr>
              <w:jc w:val="center"/>
              <w:rPr>
                <w:rFonts w:ascii="宋体" w:hAnsi="宋体" w:cs="宋体"/>
                <w:color w:val="auto"/>
                <w:kern w:val="0"/>
                <w:sz w:val="22"/>
                <w:highlight w:val="none"/>
              </w:rPr>
            </w:pPr>
            <w:r>
              <w:rPr>
                <w:rFonts w:hint="eastAsia" w:ascii="宋体" w:hAnsi="宋体" w:cs="宋体"/>
                <w:color w:val="auto"/>
                <w:kern w:val="0"/>
                <w:sz w:val="22"/>
                <w:highlight w:val="none"/>
              </w:rPr>
              <w:t>与实际相符</w:t>
            </w:r>
          </w:p>
        </w:tc>
      </w:tr>
      <w:tr w14:paraId="12C76523">
        <w:tblPrEx>
          <w:tblCellMar>
            <w:top w:w="0" w:type="dxa"/>
            <w:left w:w="108" w:type="dxa"/>
            <w:bottom w:w="0" w:type="dxa"/>
            <w:right w:w="108" w:type="dxa"/>
          </w:tblCellMar>
        </w:tblPrEx>
        <w:trPr>
          <w:trHeight w:val="585" w:hRule="atLeast"/>
          <w:jc w:val="center"/>
        </w:trPr>
        <w:tc>
          <w:tcPr>
            <w:tcW w:w="700" w:type="dxa"/>
            <w:tcBorders>
              <w:top w:val="nil"/>
              <w:left w:val="single" w:color="auto" w:sz="4" w:space="0"/>
              <w:bottom w:val="single" w:color="auto" w:sz="4" w:space="0"/>
              <w:right w:val="single" w:color="auto" w:sz="4" w:space="0"/>
            </w:tcBorders>
            <w:noWrap w:val="0"/>
            <w:vAlign w:val="center"/>
          </w:tcPr>
          <w:p w14:paraId="45D7A5B6">
            <w:pPr>
              <w:jc w:val="center"/>
              <w:rPr>
                <w:rFonts w:ascii="宋体" w:hAnsi="宋体" w:cs="宋体"/>
                <w:color w:val="auto"/>
                <w:kern w:val="0"/>
                <w:sz w:val="22"/>
                <w:highlight w:val="none"/>
              </w:rPr>
            </w:pPr>
            <w:r>
              <w:rPr>
                <w:rFonts w:hint="eastAsia" w:ascii="宋体" w:hAnsi="宋体" w:cs="宋体"/>
                <w:color w:val="auto"/>
                <w:kern w:val="0"/>
                <w:sz w:val="22"/>
                <w:highlight w:val="none"/>
              </w:rPr>
              <w:t>9</w:t>
            </w:r>
          </w:p>
        </w:tc>
        <w:tc>
          <w:tcPr>
            <w:tcW w:w="760" w:type="dxa"/>
            <w:tcBorders>
              <w:top w:val="nil"/>
              <w:left w:val="nil"/>
              <w:bottom w:val="single" w:color="auto" w:sz="4" w:space="0"/>
              <w:right w:val="single" w:color="auto" w:sz="4" w:space="0"/>
            </w:tcBorders>
            <w:noWrap w:val="0"/>
            <w:vAlign w:val="center"/>
          </w:tcPr>
          <w:p w14:paraId="54829996">
            <w:pPr>
              <w:jc w:val="center"/>
              <w:rPr>
                <w:rFonts w:ascii="宋体" w:hAnsi="宋体" w:cs="宋体"/>
                <w:color w:val="auto"/>
                <w:kern w:val="0"/>
                <w:sz w:val="22"/>
                <w:highlight w:val="none"/>
              </w:rPr>
            </w:pPr>
            <w:r>
              <w:rPr>
                <w:rFonts w:hint="eastAsia" w:ascii="宋体" w:hAnsi="宋体" w:cs="宋体"/>
                <w:color w:val="auto"/>
                <w:kern w:val="0"/>
                <w:sz w:val="22"/>
                <w:highlight w:val="none"/>
              </w:rPr>
              <w:t>主网</w:t>
            </w:r>
          </w:p>
        </w:tc>
        <w:tc>
          <w:tcPr>
            <w:tcW w:w="2123" w:type="dxa"/>
            <w:tcBorders>
              <w:top w:val="nil"/>
              <w:left w:val="nil"/>
              <w:bottom w:val="single" w:color="auto" w:sz="4" w:space="0"/>
              <w:right w:val="single" w:color="auto" w:sz="4" w:space="0"/>
            </w:tcBorders>
            <w:noWrap w:val="0"/>
            <w:vAlign w:val="center"/>
          </w:tcPr>
          <w:p w14:paraId="41F624A9">
            <w:pPr>
              <w:jc w:val="center"/>
              <w:rPr>
                <w:rFonts w:ascii="宋体" w:hAnsi="宋体" w:cs="宋体"/>
                <w:color w:val="auto"/>
                <w:kern w:val="0"/>
                <w:sz w:val="22"/>
                <w:highlight w:val="none"/>
              </w:rPr>
            </w:pPr>
            <w:r>
              <w:rPr>
                <w:rFonts w:hint="eastAsia" w:ascii="宋体" w:hAnsi="宋体" w:cs="宋体"/>
                <w:color w:val="auto"/>
                <w:kern w:val="0"/>
                <w:sz w:val="22"/>
                <w:highlight w:val="none"/>
              </w:rPr>
              <w:t>安全应急预案与演练</w:t>
            </w:r>
          </w:p>
        </w:tc>
        <w:tc>
          <w:tcPr>
            <w:tcW w:w="2477" w:type="dxa"/>
            <w:tcBorders>
              <w:top w:val="nil"/>
              <w:left w:val="nil"/>
              <w:bottom w:val="single" w:color="auto" w:sz="4" w:space="0"/>
              <w:right w:val="single" w:color="auto" w:sz="4" w:space="0"/>
            </w:tcBorders>
            <w:noWrap w:val="0"/>
            <w:vAlign w:val="center"/>
          </w:tcPr>
          <w:p w14:paraId="22D2D911">
            <w:pPr>
              <w:jc w:val="center"/>
              <w:rPr>
                <w:rFonts w:ascii="宋体" w:hAnsi="宋体" w:cs="宋体"/>
                <w:color w:val="auto"/>
                <w:kern w:val="0"/>
                <w:sz w:val="22"/>
                <w:highlight w:val="none"/>
              </w:rPr>
            </w:pPr>
            <w:r>
              <w:rPr>
                <w:rFonts w:hint="eastAsia" w:ascii="宋体" w:hAnsi="宋体" w:cs="宋体"/>
                <w:color w:val="auto"/>
                <w:kern w:val="0"/>
                <w:sz w:val="22"/>
                <w:highlight w:val="none"/>
              </w:rPr>
              <w:t>审核</w:t>
            </w:r>
          </w:p>
        </w:tc>
        <w:tc>
          <w:tcPr>
            <w:tcW w:w="2059" w:type="dxa"/>
            <w:tcBorders>
              <w:top w:val="nil"/>
              <w:left w:val="nil"/>
              <w:bottom w:val="single" w:color="auto" w:sz="4" w:space="0"/>
              <w:right w:val="single" w:color="auto" w:sz="4" w:space="0"/>
            </w:tcBorders>
            <w:noWrap w:val="0"/>
            <w:vAlign w:val="center"/>
          </w:tcPr>
          <w:p w14:paraId="47CB0599">
            <w:pPr>
              <w:jc w:val="center"/>
              <w:rPr>
                <w:rFonts w:ascii="宋体" w:hAnsi="宋体" w:cs="宋体"/>
                <w:color w:val="auto"/>
                <w:kern w:val="0"/>
                <w:sz w:val="22"/>
                <w:highlight w:val="none"/>
              </w:rPr>
            </w:pPr>
            <w:r>
              <w:rPr>
                <w:rFonts w:hint="eastAsia" w:ascii="宋体" w:hAnsi="宋体" w:cs="宋体"/>
                <w:color w:val="auto"/>
                <w:kern w:val="0"/>
                <w:sz w:val="22"/>
                <w:highlight w:val="none"/>
              </w:rPr>
              <w:t>应急预案上报到监理节点后3个工作日内</w:t>
            </w:r>
          </w:p>
        </w:tc>
        <w:tc>
          <w:tcPr>
            <w:tcW w:w="1399" w:type="dxa"/>
            <w:tcBorders>
              <w:top w:val="nil"/>
              <w:left w:val="nil"/>
              <w:bottom w:val="single" w:color="auto" w:sz="4" w:space="0"/>
              <w:right w:val="single" w:color="auto" w:sz="4" w:space="0"/>
            </w:tcBorders>
            <w:noWrap w:val="0"/>
            <w:vAlign w:val="center"/>
          </w:tcPr>
          <w:p w14:paraId="675383B0">
            <w:pPr>
              <w:jc w:val="center"/>
              <w:rPr>
                <w:rFonts w:ascii="宋体" w:hAnsi="宋体" w:cs="宋体"/>
                <w:color w:val="auto"/>
                <w:kern w:val="0"/>
                <w:sz w:val="22"/>
                <w:highlight w:val="none"/>
              </w:rPr>
            </w:pPr>
            <w:r>
              <w:rPr>
                <w:rFonts w:hint="eastAsia" w:ascii="宋体" w:hAnsi="宋体" w:cs="宋体"/>
                <w:color w:val="auto"/>
                <w:kern w:val="0"/>
                <w:sz w:val="22"/>
                <w:highlight w:val="none"/>
              </w:rPr>
              <w:t>与实际相符</w:t>
            </w:r>
          </w:p>
        </w:tc>
      </w:tr>
      <w:tr w14:paraId="2F331811">
        <w:tblPrEx>
          <w:tblCellMar>
            <w:top w:w="0" w:type="dxa"/>
            <w:left w:w="108" w:type="dxa"/>
            <w:bottom w:w="0" w:type="dxa"/>
            <w:right w:w="108" w:type="dxa"/>
          </w:tblCellMar>
        </w:tblPrEx>
        <w:trPr>
          <w:trHeight w:val="585" w:hRule="atLeast"/>
          <w:jc w:val="center"/>
        </w:trPr>
        <w:tc>
          <w:tcPr>
            <w:tcW w:w="700" w:type="dxa"/>
            <w:tcBorders>
              <w:top w:val="nil"/>
              <w:left w:val="single" w:color="auto" w:sz="4" w:space="0"/>
              <w:bottom w:val="single" w:color="auto" w:sz="4" w:space="0"/>
              <w:right w:val="single" w:color="auto" w:sz="4" w:space="0"/>
            </w:tcBorders>
            <w:noWrap w:val="0"/>
            <w:vAlign w:val="center"/>
          </w:tcPr>
          <w:p w14:paraId="49779B8A">
            <w:pPr>
              <w:jc w:val="center"/>
              <w:rPr>
                <w:rFonts w:ascii="宋体" w:hAnsi="宋体" w:cs="宋体"/>
                <w:color w:val="auto"/>
                <w:kern w:val="0"/>
                <w:sz w:val="22"/>
                <w:highlight w:val="none"/>
              </w:rPr>
            </w:pPr>
            <w:r>
              <w:rPr>
                <w:rFonts w:hint="eastAsia" w:ascii="宋体" w:hAnsi="宋体" w:cs="宋体"/>
                <w:color w:val="auto"/>
                <w:kern w:val="0"/>
                <w:sz w:val="22"/>
                <w:highlight w:val="none"/>
              </w:rPr>
              <w:t>10</w:t>
            </w:r>
          </w:p>
        </w:tc>
        <w:tc>
          <w:tcPr>
            <w:tcW w:w="760" w:type="dxa"/>
            <w:tcBorders>
              <w:top w:val="nil"/>
              <w:left w:val="nil"/>
              <w:bottom w:val="single" w:color="auto" w:sz="4" w:space="0"/>
              <w:right w:val="single" w:color="auto" w:sz="4" w:space="0"/>
            </w:tcBorders>
            <w:noWrap w:val="0"/>
            <w:vAlign w:val="center"/>
          </w:tcPr>
          <w:p w14:paraId="5E23205D">
            <w:pPr>
              <w:jc w:val="center"/>
              <w:rPr>
                <w:rFonts w:ascii="宋体" w:hAnsi="宋体" w:cs="宋体"/>
                <w:color w:val="auto"/>
                <w:kern w:val="0"/>
                <w:sz w:val="22"/>
                <w:highlight w:val="none"/>
              </w:rPr>
            </w:pPr>
            <w:r>
              <w:rPr>
                <w:rFonts w:hint="eastAsia" w:ascii="宋体" w:hAnsi="宋体" w:cs="宋体"/>
                <w:color w:val="auto"/>
                <w:kern w:val="0"/>
                <w:sz w:val="22"/>
                <w:highlight w:val="none"/>
              </w:rPr>
              <w:t>主网</w:t>
            </w:r>
          </w:p>
        </w:tc>
        <w:tc>
          <w:tcPr>
            <w:tcW w:w="2123" w:type="dxa"/>
            <w:tcBorders>
              <w:top w:val="nil"/>
              <w:left w:val="nil"/>
              <w:bottom w:val="single" w:color="auto" w:sz="4" w:space="0"/>
              <w:right w:val="single" w:color="auto" w:sz="4" w:space="0"/>
            </w:tcBorders>
            <w:noWrap w:val="0"/>
            <w:vAlign w:val="center"/>
          </w:tcPr>
          <w:p w14:paraId="396E439A">
            <w:pPr>
              <w:jc w:val="center"/>
              <w:rPr>
                <w:rFonts w:ascii="宋体" w:hAnsi="宋体" w:cs="宋体"/>
                <w:color w:val="auto"/>
                <w:kern w:val="0"/>
                <w:sz w:val="22"/>
                <w:highlight w:val="none"/>
              </w:rPr>
            </w:pPr>
            <w:r>
              <w:rPr>
                <w:rFonts w:hint="eastAsia" w:ascii="宋体" w:hAnsi="宋体" w:cs="宋体"/>
                <w:color w:val="auto"/>
                <w:kern w:val="0"/>
                <w:sz w:val="22"/>
                <w:highlight w:val="none"/>
              </w:rPr>
              <w:t>质量控制点设置</w:t>
            </w:r>
          </w:p>
        </w:tc>
        <w:tc>
          <w:tcPr>
            <w:tcW w:w="2477" w:type="dxa"/>
            <w:tcBorders>
              <w:top w:val="nil"/>
              <w:left w:val="nil"/>
              <w:bottom w:val="single" w:color="auto" w:sz="4" w:space="0"/>
              <w:right w:val="single" w:color="auto" w:sz="4" w:space="0"/>
            </w:tcBorders>
            <w:noWrap w:val="0"/>
            <w:vAlign w:val="center"/>
          </w:tcPr>
          <w:p w14:paraId="50A3F7E8">
            <w:pPr>
              <w:jc w:val="center"/>
              <w:rPr>
                <w:rFonts w:ascii="宋体" w:hAnsi="宋体" w:cs="宋体"/>
                <w:color w:val="auto"/>
                <w:kern w:val="0"/>
                <w:sz w:val="22"/>
                <w:highlight w:val="none"/>
              </w:rPr>
            </w:pPr>
            <w:r>
              <w:rPr>
                <w:rFonts w:hint="eastAsia" w:ascii="宋体" w:hAnsi="宋体" w:cs="宋体"/>
                <w:color w:val="auto"/>
                <w:kern w:val="0"/>
                <w:sz w:val="22"/>
                <w:highlight w:val="none"/>
              </w:rPr>
              <w:t>审核</w:t>
            </w:r>
          </w:p>
        </w:tc>
        <w:tc>
          <w:tcPr>
            <w:tcW w:w="2059" w:type="dxa"/>
            <w:tcBorders>
              <w:top w:val="nil"/>
              <w:left w:val="nil"/>
              <w:bottom w:val="single" w:color="auto" w:sz="4" w:space="0"/>
              <w:right w:val="single" w:color="auto" w:sz="4" w:space="0"/>
            </w:tcBorders>
            <w:noWrap w:val="0"/>
            <w:vAlign w:val="center"/>
          </w:tcPr>
          <w:p w14:paraId="4680401E">
            <w:pPr>
              <w:jc w:val="center"/>
              <w:rPr>
                <w:rFonts w:ascii="宋体" w:hAnsi="宋体" w:cs="宋体"/>
                <w:color w:val="auto"/>
                <w:kern w:val="0"/>
                <w:sz w:val="22"/>
                <w:highlight w:val="none"/>
              </w:rPr>
            </w:pPr>
            <w:r>
              <w:rPr>
                <w:rFonts w:hint="eastAsia" w:ascii="宋体" w:hAnsi="宋体" w:cs="宋体"/>
                <w:color w:val="auto"/>
                <w:kern w:val="0"/>
                <w:sz w:val="22"/>
                <w:highlight w:val="none"/>
              </w:rPr>
              <w:t>工程开工前</w:t>
            </w:r>
          </w:p>
        </w:tc>
        <w:tc>
          <w:tcPr>
            <w:tcW w:w="1399" w:type="dxa"/>
            <w:tcBorders>
              <w:top w:val="nil"/>
              <w:left w:val="nil"/>
              <w:bottom w:val="single" w:color="auto" w:sz="4" w:space="0"/>
              <w:right w:val="single" w:color="auto" w:sz="4" w:space="0"/>
            </w:tcBorders>
            <w:noWrap w:val="0"/>
            <w:vAlign w:val="center"/>
          </w:tcPr>
          <w:p w14:paraId="552551F0">
            <w:pPr>
              <w:jc w:val="center"/>
              <w:rPr>
                <w:rFonts w:ascii="宋体" w:hAnsi="宋体" w:cs="宋体"/>
                <w:color w:val="auto"/>
                <w:kern w:val="0"/>
                <w:sz w:val="22"/>
                <w:highlight w:val="none"/>
              </w:rPr>
            </w:pPr>
            <w:r>
              <w:rPr>
                <w:rFonts w:hint="eastAsia" w:ascii="宋体" w:hAnsi="宋体" w:cs="宋体"/>
                <w:color w:val="auto"/>
                <w:kern w:val="0"/>
                <w:sz w:val="22"/>
                <w:highlight w:val="none"/>
              </w:rPr>
              <w:t>与实际相符</w:t>
            </w:r>
          </w:p>
        </w:tc>
      </w:tr>
      <w:tr w14:paraId="6851AD63">
        <w:tblPrEx>
          <w:tblCellMar>
            <w:top w:w="0" w:type="dxa"/>
            <w:left w:w="108" w:type="dxa"/>
            <w:bottom w:w="0" w:type="dxa"/>
            <w:right w:w="108" w:type="dxa"/>
          </w:tblCellMar>
        </w:tblPrEx>
        <w:trPr>
          <w:trHeight w:val="585" w:hRule="atLeast"/>
          <w:jc w:val="center"/>
        </w:trPr>
        <w:tc>
          <w:tcPr>
            <w:tcW w:w="700" w:type="dxa"/>
            <w:tcBorders>
              <w:top w:val="nil"/>
              <w:left w:val="single" w:color="auto" w:sz="4" w:space="0"/>
              <w:bottom w:val="single" w:color="auto" w:sz="4" w:space="0"/>
              <w:right w:val="single" w:color="auto" w:sz="4" w:space="0"/>
            </w:tcBorders>
            <w:noWrap w:val="0"/>
            <w:vAlign w:val="center"/>
          </w:tcPr>
          <w:p w14:paraId="29496AF1">
            <w:pPr>
              <w:jc w:val="center"/>
              <w:rPr>
                <w:rFonts w:ascii="宋体" w:hAnsi="宋体" w:cs="宋体"/>
                <w:color w:val="auto"/>
                <w:kern w:val="0"/>
                <w:sz w:val="22"/>
                <w:highlight w:val="none"/>
              </w:rPr>
            </w:pPr>
            <w:r>
              <w:rPr>
                <w:rFonts w:hint="eastAsia" w:ascii="宋体" w:hAnsi="宋体" w:cs="宋体"/>
                <w:color w:val="auto"/>
                <w:kern w:val="0"/>
                <w:sz w:val="22"/>
                <w:highlight w:val="none"/>
              </w:rPr>
              <w:t>11</w:t>
            </w:r>
          </w:p>
        </w:tc>
        <w:tc>
          <w:tcPr>
            <w:tcW w:w="760" w:type="dxa"/>
            <w:tcBorders>
              <w:top w:val="nil"/>
              <w:left w:val="nil"/>
              <w:bottom w:val="single" w:color="auto" w:sz="4" w:space="0"/>
              <w:right w:val="single" w:color="auto" w:sz="4" w:space="0"/>
            </w:tcBorders>
            <w:noWrap w:val="0"/>
            <w:vAlign w:val="center"/>
          </w:tcPr>
          <w:p w14:paraId="6F0D77E3">
            <w:pPr>
              <w:jc w:val="center"/>
              <w:rPr>
                <w:rFonts w:ascii="宋体" w:hAnsi="宋体" w:cs="宋体"/>
                <w:color w:val="auto"/>
                <w:kern w:val="0"/>
                <w:sz w:val="22"/>
                <w:highlight w:val="none"/>
              </w:rPr>
            </w:pPr>
            <w:r>
              <w:rPr>
                <w:rFonts w:hint="eastAsia" w:ascii="宋体" w:hAnsi="宋体" w:cs="宋体"/>
                <w:color w:val="auto"/>
                <w:kern w:val="0"/>
                <w:sz w:val="22"/>
                <w:highlight w:val="none"/>
              </w:rPr>
              <w:t>主网</w:t>
            </w:r>
          </w:p>
        </w:tc>
        <w:tc>
          <w:tcPr>
            <w:tcW w:w="2123" w:type="dxa"/>
            <w:tcBorders>
              <w:top w:val="nil"/>
              <w:left w:val="nil"/>
              <w:bottom w:val="single" w:color="auto" w:sz="4" w:space="0"/>
              <w:right w:val="single" w:color="auto" w:sz="4" w:space="0"/>
            </w:tcBorders>
            <w:noWrap w:val="0"/>
            <w:vAlign w:val="center"/>
          </w:tcPr>
          <w:p w14:paraId="7B2C4280">
            <w:pPr>
              <w:jc w:val="center"/>
              <w:rPr>
                <w:rFonts w:ascii="宋体" w:hAnsi="宋体" w:cs="宋体"/>
                <w:color w:val="auto"/>
                <w:kern w:val="0"/>
                <w:sz w:val="22"/>
                <w:highlight w:val="none"/>
              </w:rPr>
            </w:pPr>
            <w:r>
              <w:rPr>
                <w:rFonts w:hint="eastAsia" w:ascii="宋体" w:hAnsi="宋体" w:cs="宋体"/>
                <w:color w:val="auto"/>
                <w:kern w:val="0"/>
                <w:sz w:val="22"/>
                <w:highlight w:val="none"/>
              </w:rPr>
              <w:t>WHS执行检查及评价</w:t>
            </w:r>
          </w:p>
        </w:tc>
        <w:tc>
          <w:tcPr>
            <w:tcW w:w="2477" w:type="dxa"/>
            <w:tcBorders>
              <w:top w:val="nil"/>
              <w:left w:val="nil"/>
              <w:bottom w:val="single" w:color="auto" w:sz="4" w:space="0"/>
              <w:right w:val="single" w:color="auto" w:sz="4" w:space="0"/>
            </w:tcBorders>
            <w:noWrap w:val="0"/>
            <w:vAlign w:val="center"/>
          </w:tcPr>
          <w:p w14:paraId="0FD65093">
            <w:pPr>
              <w:jc w:val="center"/>
              <w:rPr>
                <w:rFonts w:ascii="宋体" w:hAnsi="宋体" w:cs="宋体"/>
                <w:color w:val="auto"/>
                <w:kern w:val="0"/>
                <w:sz w:val="22"/>
                <w:highlight w:val="none"/>
              </w:rPr>
            </w:pPr>
            <w:r>
              <w:rPr>
                <w:rFonts w:hint="eastAsia" w:ascii="宋体" w:hAnsi="宋体" w:cs="宋体"/>
                <w:color w:val="auto"/>
                <w:kern w:val="0"/>
                <w:sz w:val="22"/>
                <w:highlight w:val="none"/>
              </w:rPr>
              <w:t>录入</w:t>
            </w:r>
          </w:p>
        </w:tc>
        <w:tc>
          <w:tcPr>
            <w:tcW w:w="2059" w:type="dxa"/>
            <w:tcBorders>
              <w:top w:val="nil"/>
              <w:left w:val="nil"/>
              <w:bottom w:val="single" w:color="auto" w:sz="4" w:space="0"/>
              <w:right w:val="single" w:color="auto" w:sz="4" w:space="0"/>
            </w:tcBorders>
            <w:noWrap w:val="0"/>
            <w:vAlign w:val="center"/>
          </w:tcPr>
          <w:p w14:paraId="6F8268B5">
            <w:pPr>
              <w:jc w:val="center"/>
              <w:rPr>
                <w:rFonts w:ascii="宋体" w:hAnsi="宋体" w:cs="宋体"/>
                <w:color w:val="auto"/>
                <w:kern w:val="0"/>
                <w:sz w:val="22"/>
                <w:highlight w:val="none"/>
              </w:rPr>
            </w:pPr>
            <w:r>
              <w:rPr>
                <w:rFonts w:hint="eastAsia" w:ascii="宋体" w:hAnsi="宋体" w:cs="宋体"/>
                <w:color w:val="auto"/>
                <w:kern w:val="0"/>
                <w:sz w:val="22"/>
                <w:highlight w:val="none"/>
              </w:rPr>
              <w:t>每月30号前</w:t>
            </w:r>
          </w:p>
        </w:tc>
        <w:tc>
          <w:tcPr>
            <w:tcW w:w="1399" w:type="dxa"/>
            <w:tcBorders>
              <w:top w:val="nil"/>
              <w:left w:val="nil"/>
              <w:bottom w:val="single" w:color="auto" w:sz="4" w:space="0"/>
              <w:right w:val="single" w:color="auto" w:sz="4" w:space="0"/>
            </w:tcBorders>
            <w:noWrap w:val="0"/>
            <w:vAlign w:val="center"/>
          </w:tcPr>
          <w:p w14:paraId="6CDDC1B7">
            <w:pPr>
              <w:jc w:val="center"/>
              <w:rPr>
                <w:rFonts w:ascii="宋体" w:hAnsi="宋体" w:cs="宋体"/>
                <w:color w:val="auto"/>
                <w:kern w:val="0"/>
                <w:sz w:val="22"/>
                <w:highlight w:val="none"/>
              </w:rPr>
            </w:pPr>
            <w:r>
              <w:rPr>
                <w:rFonts w:hint="eastAsia" w:ascii="宋体" w:hAnsi="宋体" w:cs="宋体"/>
                <w:color w:val="auto"/>
                <w:kern w:val="0"/>
                <w:sz w:val="22"/>
                <w:highlight w:val="none"/>
              </w:rPr>
              <w:t>与实际相符</w:t>
            </w:r>
          </w:p>
        </w:tc>
      </w:tr>
      <w:tr w14:paraId="3B1D9FAE">
        <w:tblPrEx>
          <w:tblCellMar>
            <w:top w:w="0" w:type="dxa"/>
            <w:left w:w="108" w:type="dxa"/>
            <w:bottom w:w="0" w:type="dxa"/>
            <w:right w:w="108" w:type="dxa"/>
          </w:tblCellMar>
        </w:tblPrEx>
        <w:trPr>
          <w:trHeight w:val="585" w:hRule="atLeast"/>
          <w:jc w:val="center"/>
        </w:trPr>
        <w:tc>
          <w:tcPr>
            <w:tcW w:w="700" w:type="dxa"/>
            <w:tcBorders>
              <w:top w:val="nil"/>
              <w:left w:val="single" w:color="auto" w:sz="4" w:space="0"/>
              <w:bottom w:val="single" w:color="auto" w:sz="4" w:space="0"/>
              <w:right w:val="single" w:color="auto" w:sz="4" w:space="0"/>
            </w:tcBorders>
            <w:noWrap w:val="0"/>
            <w:vAlign w:val="center"/>
          </w:tcPr>
          <w:p w14:paraId="043F444B">
            <w:pPr>
              <w:jc w:val="center"/>
              <w:rPr>
                <w:rFonts w:ascii="宋体" w:hAnsi="宋体" w:cs="宋体"/>
                <w:color w:val="auto"/>
                <w:kern w:val="0"/>
                <w:sz w:val="22"/>
                <w:highlight w:val="none"/>
              </w:rPr>
            </w:pPr>
            <w:r>
              <w:rPr>
                <w:rFonts w:hint="eastAsia" w:ascii="宋体" w:hAnsi="宋体" w:cs="宋体"/>
                <w:color w:val="auto"/>
                <w:kern w:val="0"/>
                <w:sz w:val="22"/>
                <w:highlight w:val="none"/>
              </w:rPr>
              <w:t>12</w:t>
            </w:r>
          </w:p>
        </w:tc>
        <w:tc>
          <w:tcPr>
            <w:tcW w:w="760" w:type="dxa"/>
            <w:tcBorders>
              <w:top w:val="nil"/>
              <w:left w:val="nil"/>
              <w:bottom w:val="single" w:color="auto" w:sz="4" w:space="0"/>
              <w:right w:val="single" w:color="auto" w:sz="4" w:space="0"/>
            </w:tcBorders>
            <w:noWrap w:val="0"/>
            <w:vAlign w:val="center"/>
          </w:tcPr>
          <w:p w14:paraId="477649F0">
            <w:pPr>
              <w:jc w:val="center"/>
              <w:rPr>
                <w:rFonts w:ascii="宋体" w:hAnsi="宋体" w:cs="宋体"/>
                <w:color w:val="auto"/>
                <w:kern w:val="0"/>
                <w:sz w:val="22"/>
                <w:highlight w:val="none"/>
              </w:rPr>
            </w:pPr>
            <w:r>
              <w:rPr>
                <w:rFonts w:hint="eastAsia" w:ascii="宋体" w:hAnsi="宋体" w:cs="宋体"/>
                <w:color w:val="auto"/>
                <w:kern w:val="0"/>
                <w:sz w:val="22"/>
                <w:highlight w:val="none"/>
              </w:rPr>
              <w:t>主网</w:t>
            </w:r>
          </w:p>
        </w:tc>
        <w:tc>
          <w:tcPr>
            <w:tcW w:w="2123" w:type="dxa"/>
            <w:tcBorders>
              <w:top w:val="nil"/>
              <w:left w:val="nil"/>
              <w:bottom w:val="single" w:color="auto" w:sz="4" w:space="0"/>
              <w:right w:val="single" w:color="auto" w:sz="4" w:space="0"/>
            </w:tcBorders>
            <w:noWrap w:val="0"/>
            <w:vAlign w:val="center"/>
          </w:tcPr>
          <w:p w14:paraId="5D9CA769">
            <w:pPr>
              <w:jc w:val="center"/>
              <w:rPr>
                <w:rFonts w:ascii="宋体" w:hAnsi="宋体" w:cs="宋体"/>
                <w:color w:val="auto"/>
                <w:kern w:val="0"/>
                <w:sz w:val="22"/>
                <w:highlight w:val="none"/>
              </w:rPr>
            </w:pPr>
            <w:r>
              <w:rPr>
                <w:rFonts w:hint="eastAsia" w:ascii="宋体" w:hAnsi="宋体" w:cs="宋体"/>
                <w:color w:val="auto"/>
                <w:kern w:val="0"/>
                <w:sz w:val="22"/>
                <w:highlight w:val="none"/>
              </w:rPr>
              <w:t>Qc活动</w:t>
            </w:r>
          </w:p>
        </w:tc>
        <w:tc>
          <w:tcPr>
            <w:tcW w:w="2477" w:type="dxa"/>
            <w:tcBorders>
              <w:top w:val="nil"/>
              <w:left w:val="nil"/>
              <w:bottom w:val="single" w:color="auto" w:sz="4" w:space="0"/>
              <w:right w:val="single" w:color="auto" w:sz="4" w:space="0"/>
            </w:tcBorders>
            <w:noWrap w:val="0"/>
            <w:vAlign w:val="center"/>
          </w:tcPr>
          <w:p w14:paraId="79AFD69A">
            <w:pPr>
              <w:jc w:val="center"/>
              <w:rPr>
                <w:rFonts w:ascii="宋体" w:hAnsi="宋体" w:cs="宋体"/>
                <w:color w:val="auto"/>
                <w:kern w:val="0"/>
                <w:sz w:val="22"/>
                <w:highlight w:val="none"/>
              </w:rPr>
            </w:pPr>
            <w:r>
              <w:rPr>
                <w:rFonts w:hint="eastAsia" w:ascii="宋体" w:hAnsi="宋体" w:cs="宋体"/>
                <w:color w:val="auto"/>
                <w:kern w:val="0"/>
                <w:sz w:val="22"/>
                <w:highlight w:val="none"/>
              </w:rPr>
              <w:t>录入</w:t>
            </w:r>
          </w:p>
        </w:tc>
        <w:tc>
          <w:tcPr>
            <w:tcW w:w="2059" w:type="dxa"/>
            <w:tcBorders>
              <w:top w:val="nil"/>
              <w:left w:val="nil"/>
              <w:bottom w:val="single" w:color="auto" w:sz="4" w:space="0"/>
              <w:right w:val="single" w:color="auto" w:sz="4" w:space="0"/>
            </w:tcBorders>
            <w:noWrap w:val="0"/>
            <w:vAlign w:val="center"/>
          </w:tcPr>
          <w:p w14:paraId="720B8A38">
            <w:pPr>
              <w:jc w:val="center"/>
              <w:rPr>
                <w:rFonts w:ascii="宋体" w:hAnsi="宋体" w:cs="宋体"/>
                <w:color w:val="auto"/>
                <w:kern w:val="0"/>
                <w:sz w:val="22"/>
                <w:highlight w:val="none"/>
              </w:rPr>
            </w:pPr>
            <w:r>
              <w:rPr>
                <w:rFonts w:hint="eastAsia" w:ascii="宋体" w:hAnsi="宋体" w:cs="宋体"/>
                <w:color w:val="auto"/>
                <w:kern w:val="0"/>
                <w:sz w:val="22"/>
                <w:highlight w:val="none"/>
              </w:rPr>
              <w:t>业务发生后5个工作日内</w:t>
            </w:r>
          </w:p>
        </w:tc>
        <w:tc>
          <w:tcPr>
            <w:tcW w:w="1399" w:type="dxa"/>
            <w:tcBorders>
              <w:top w:val="nil"/>
              <w:left w:val="nil"/>
              <w:bottom w:val="single" w:color="auto" w:sz="4" w:space="0"/>
              <w:right w:val="single" w:color="auto" w:sz="4" w:space="0"/>
            </w:tcBorders>
            <w:noWrap w:val="0"/>
            <w:vAlign w:val="center"/>
          </w:tcPr>
          <w:p w14:paraId="22FA4B83">
            <w:pPr>
              <w:jc w:val="center"/>
              <w:rPr>
                <w:rFonts w:ascii="宋体" w:hAnsi="宋体" w:cs="宋体"/>
                <w:color w:val="auto"/>
                <w:kern w:val="0"/>
                <w:sz w:val="22"/>
                <w:highlight w:val="none"/>
              </w:rPr>
            </w:pPr>
            <w:r>
              <w:rPr>
                <w:rFonts w:hint="eastAsia" w:ascii="宋体" w:hAnsi="宋体" w:cs="宋体"/>
                <w:color w:val="auto"/>
                <w:kern w:val="0"/>
                <w:sz w:val="22"/>
                <w:highlight w:val="none"/>
              </w:rPr>
              <w:t>与实际相符</w:t>
            </w:r>
          </w:p>
        </w:tc>
      </w:tr>
      <w:tr w14:paraId="7382D59C">
        <w:tblPrEx>
          <w:tblCellMar>
            <w:top w:w="0" w:type="dxa"/>
            <w:left w:w="108" w:type="dxa"/>
            <w:bottom w:w="0" w:type="dxa"/>
            <w:right w:w="108" w:type="dxa"/>
          </w:tblCellMar>
        </w:tblPrEx>
        <w:trPr>
          <w:trHeight w:val="585" w:hRule="atLeast"/>
          <w:jc w:val="center"/>
        </w:trPr>
        <w:tc>
          <w:tcPr>
            <w:tcW w:w="700" w:type="dxa"/>
            <w:tcBorders>
              <w:top w:val="nil"/>
              <w:left w:val="single" w:color="auto" w:sz="4" w:space="0"/>
              <w:bottom w:val="single" w:color="auto" w:sz="4" w:space="0"/>
              <w:right w:val="single" w:color="auto" w:sz="4" w:space="0"/>
            </w:tcBorders>
            <w:noWrap w:val="0"/>
            <w:vAlign w:val="center"/>
          </w:tcPr>
          <w:p w14:paraId="7954F2A6">
            <w:pPr>
              <w:jc w:val="center"/>
              <w:rPr>
                <w:rFonts w:ascii="宋体" w:hAnsi="宋体" w:cs="宋体"/>
                <w:color w:val="auto"/>
                <w:kern w:val="0"/>
                <w:sz w:val="22"/>
                <w:highlight w:val="none"/>
              </w:rPr>
            </w:pPr>
            <w:r>
              <w:rPr>
                <w:rFonts w:hint="eastAsia" w:ascii="宋体" w:hAnsi="宋体" w:cs="宋体"/>
                <w:color w:val="auto"/>
                <w:kern w:val="0"/>
                <w:sz w:val="22"/>
                <w:highlight w:val="none"/>
              </w:rPr>
              <w:t>13</w:t>
            </w:r>
          </w:p>
        </w:tc>
        <w:tc>
          <w:tcPr>
            <w:tcW w:w="760" w:type="dxa"/>
            <w:tcBorders>
              <w:top w:val="nil"/>
              <w:left w:val="nil"/>
              <w:bottom w:val="single" w:color="auto" w:sz="4" w:space="0"/>
              <w:right w:val="single" w:color="auto" w:sz="4" w:space="0"/>
            </w:tcBorders>
            <w:noWrap w:val="0"/>
            <w:vAlign w:val="center"/>
          </w:tcPr>
          <w:p w14:paraId="6984EE2C">
            <w:pPr>
              <w:jc w:val="center"/>
              <w:rPr>
                <w:rFonts w:ascii="宋体" w:hAnsi="宋体" w:cs="宋体"/>
                <w:color w:val="auto"/>
                <w:kern w:val="0"/>
                <w:sz w:val="22"/>
                <w:highlight w:val="none"/>
              </w:rPr>
            </w:pPr>
            <w:r>
              <w:rPr>
                <w:rFonts w:hint="eastAsia" w:ascii="宋体" w:hAnsi="宋体" w:cs="宋体"/>
                <w:color w:val="auto"/>
                <w:kern w:val="0"/>
                <w:sz w:val="22"/>
                <w:highlight w:val="none"/>
              </w:rPr>
              <w:t>主网</w:t>
            </w:r>
          </w:p>
        </w:tc>
        <w:tc>
          <w:tcPr>
            <w:tcW w:w="2123" w:type="dxa"/>
            <w:tcBorders>
              <w:top w:val="nil"/>
              <w:left w:val="nil"/>
              <w:bottom w:val="single" w:color="auto" w:sz="4" w:space="0"/>
              <w:right w:val="single" w:color="auto" w:sz="4" w:space="0"/>
            </w:tcBorders>
            <w:noWrap w:val="0"/>
            <w:vAlign w:val="center"/>
          </w:tcPr>
          <w:p w14:paraId="3F8BB4D0">
            <w:pPr>
              <w:jc w:val="center"/>
              <w:rPr>
                <w:rFonts w:ascii="宋体" w:hAnsi="宋体" w:cs="宋体"/>
                <w:color w:val="auto"/>
                <w:kern w:val="0"/>
                <w:sz w:val="22"/>
                <w:highlight w:val="none"/>
              </w:rPr>
            </w:pPr>
            <w:r>
              <w:rPr>
                <w:rFonts w:hint="eastAsia" w:ascii="宋体" w:hAnsi="宋体" w:cs="宋体"/>
                <w:color w:val="auto"/>
                <w:kern w:val="0"/>
                <w:sz w:val="22"/>
                <w:highlight w:val="none"/>
              </w:rPr>
              <w:t>质量教育培训</w:t>
            </w:r>
          </w:p>
        </w:tc>
        <w:tc>
          <w:tcPr>
            <w:tcW w:w="2477" w:type="dxa"/>
            <w:tcBorders>
              <w:top w:val="nil"/>
              <w:left w:val="nil"/>
              <w:bottom w:val="single" w:color="auto" w:sz="4" w:space="0"/>
              <w:right w:val="single" w:color="auto" w:sz="4" w:space="0"/>
            </w:tcBorders>
            <w:noWrap w:val="0"/>
            <w:vAlign w:val="center"/>
          </w:tcPr>
          <w:p w14:paraId="15412319">
            <w:pPr>
              <w:jc w:val="center"/>
              <w:rPr>
                <w:rFonts w:ascii="宋体" w:hAnsi="宋体" w:cs="宋体"/>
                <w:color w:val="auto"/>
                <w:kern w:val="0"/>
                <w:sz w:val="22"/>
                <w:highlight w:val="none"/>
              </w:rPr>
            </w:pPr>
            <w:r>
              <w:rPr>
                <w:rFonts w:hint="eastAsia" w:ascii="宋体" w:hAnsi="宋体" w:cs="宋体"/>
                <w:color w:val="auto"/>
                <w:kern w:val="0"/>
                <w:sz w:val="22"/>
                <w:highlight w:val="none"/>
              </w:rPr>
              <w:t>录入</w:t>
            </w:r>
          </w:p>
        </w:tc>
        <w:tc>
          <w:tcPr>
            <w:tcW w:w="2059" w:type="dxa"/>
            <w:tcBorders>
              <w:top w:val="nil"/>
              <w:left w:val="nil"/>
              <w:bottom w:val="single" w:color="auto" w:sz="4" w:space="0"/>
              <w:right w:val="single" w:color="auto" w:sz="4" w:space="0"/>
            </w:tcBorders>
            <w:noWrap w:val="0"/>
            <w:vAlign w:val="center"/>
          </w:tcPr>
          <w:p w14:paraId="5D5C1130">
            <w:pPr>
              <w:jc w:val="center"/>
              <w:rPr>
                <w:rFonts w:ascii="宋体" w:hAnsi="宋体" w:cs="宋体"/>
                <w:color w:val="auto"/>
                <w:kern w:val="0"/>
                <w:sz w:val="22"/>
                <w:highlight w:val="none"/>
              </w:rPr>
            </w:pPr>
            <w:r>
              <w:rPr>
                <w:rFonts w:hint="eastAsia" w:ascii="宋体" w:hAnsi="宋体" w:cs="宋体"/>
                <w:color w:val="auto"/>
                <w:kern w:val="0"/>
                <w:sz w:val="22"/>
                <w:highlight w:val="none"/>
              </w:rPr>
              <w:t>业务发生后5个工作日内</w:t>
            </w:r>
          </w:p>
        </w:tc>
        <w:tc>
          <w:tcPr>
            <w:tcW w:w="1399" w:type="dxa"/>
            <w:tcBorders>
              <w:top w:val="nil"/>
              <w:left w:val="nil"/>
              <w:bottom w:val="single" w:color="auto" w:sz="4" w:space="0"/>
              <w:right w:val="single" w:color="auto" w:sz="4" w:space="0"/>
            </w:tcBorders>
            <w:noWrap w:val="0"/>
            <w:vAlign w:val="center"/>
          </w:tcPr>
          <w:p w14:paraId="766D4228">
            <w:pPr>
              <w:jc w:val="center"/>
              <w:rPr>
                <w:rFonts w:ascii="宋体" w:hAnsi="宋体" w:cs="宋体"/>
                <w:color w:val="auto"/>
                <w:kern w:val="0"/>
                <w:sz w:val="22"/>
                <w:highlight w:val="none"/>
              </w:rPr>
            </w:pPr>
            <w:r>
              <w:rPr>
                <w:rFonts w:hint="eastAsia" w:ascii="宋体" w:hAnsi="宋体" w:cs="宋体"/>
                <w:color w:val="auto"/>
                <w:kern w:val="0"/>
                <w:sz w:val="22"/>
                <w:highlight w:val="none"/>
              </w:rPr>
              <w:t>与实际相符</w:t>
            </w:r>
          </w:p>
        </w:tc>
      </w:tr>
      <w:tr w14:paraId="3A05FABF">
        <w:tblPrEx>
          <w:tblCellMar>
            <w:top w:w="0" w:type="dxa"/>
            <w:left w:w="108" w:type="dxa"/>
            <w:bottom w:w="0" w:type="dxa"/>
            <w:right w:w="108" w:type="dxa"/>
          </w:tblCellMar>
        </w:tblPrEx>
        <w:trPr>
          <w:trHeight w:val="585" w:hRule="atLeast"/>
          <w:jc w:val="center"/>
        </w:trPr>
        <w:tc>
          <w:tcPr>
            <w:tcW w:w="700" w:type="dxa"/>
            <w:tcBorders>
              <w:top w:val="nil"/>
              <w:left w:val="single" w:color="auto" w:sz="4" w:space="0"/>
              <w:bottom w:val="single" w:color="auto" w:sz="4" w:space="0"/>
              <w:right w:val="single" w:color="auto" w:sz="4" w:space="0"/>
            </w:tcBorders>
            <w:noWrap w:val="0"/>
            <w:vAlign w:val="center"/>
          </w:tcPr>
          <w:p w14:paraId="0831AD35">
            <w:pPr>
              <w:jc w:val="center"/>
              <w:rPr>
                <w:rFonts w:ascii="宋体" w:hAnsi="宋体" w:cs="宋体"/>
                <w:color w:val="auto"/>
                <w:kern w:val="0"/>
                <w:sz w:val="22"/>
                <w:highlight w:val="none"/>
              </w:rPr>
            </w:pPr>
            <w:r>
              <w:rPr>
                <w:rFonts w:hint="eastAsia" w:ascii="宋体" w:hAnsi="宋体" w:cs="宋体"/>
                <w:color w:val="auto"/>
                <w:kern w:val="0"/>
                <w:sz w:val="22"/>
                <w:highlight w:val="none"/>
              </w:rPr>
              <w:t>14</w:t>
            </w:r>
          </w:p>
        </w:tc>
        <w:tc>
          <w:tcPr>
            <w:tcW w:w="760" w:type="dxa"/>
            <w:tcBorders>
              <w:top w:val="nil"/>
              <w:left w:val="nil"/>
              <w:bottom w:val="single" w:color="auto" w:sz="4" w:space="0"/>
              <w:right w:val="single" w:color="auto" w:sz="4" w:space="0"/>
            </w:tcBorders>
            <w:noWrap w:val="0"/>
            <w:vAlign w:val="center"/>
          </w:tcPr>
          <w:p w14:paraId="4DDD5649">
            <w:pPr>
              <w:jc w:val="center"/>
              <w:rPr>
                <w:rFonts w:ascii="宋体" w:hAnsi="宋体" w:cs="宋体"/>
                <w:color w:val="auto"/>
                <w:kern w:val="0"/>
                <w:sz w:val="22"/>
                <w:highlight w:val="none"/>
              </w:rPr>
            </w:pPr>
            <w:r>
              <w:rPr>
                <w:rFonts w:hint="eastAsia" w:ascii="宋体" w:hAnsi="宋体" w:cs="宋体"/>
                <w:color w:val="auto"/>
                <w:kern w:val="0"/>
                <w:sz w:val="22"/>
                <w:highlight w:val="none"/>
              </w:rPr>
              <w:t>主网</w:t>
            </w:r>
          </w:p>
        </w:tc>
        <w:tc>
          <w:tcPr>
            <w:tcW w:w="2123" w:type="dxa"/>
            <w:tcBorders>
              <w:top w:val="nil"/>
              <w:left w:val="nil"/>
              <w:bottom w:val="single" w:color="auto" w:sz="4" w:space="0"/>
              <w:right w:val="single" w:color="auto" w:sz="4" w:space="0"/>
            </w:tcBorders>
            <w:noWrap w:val="0"/>
            <w:vAlign w:val="center"/>
          </w:tcPr>
          <w:p w14:paraId="629729BA">
            <w:pPr>
              <w:jc w:val="center"/>
              <w:rPr>
                <w:rFonts w:ascii="宋体" w:hAnsi="宋体" w:cs="宋体"/>
                <w:color w:val="auto"/>
                <w:kern w:val="0"/>
                <w:sz w:val="22"/>
                <w:highlight w:val="none"/>
              </w:rPr>
            </w:pPr>
            <w:r>
              <w:rPr>
                <w:rFonts w:hint="eastAsia" w:ascii="宋体" w:hAnsi="宋体" w:cs="宋体"/>
                <w:color w:val="auto"/>
                <w:kern w:val="0"/>
                <w:sz w:val="22"/>
                <w:highlight w:val="none"/>
              </w:rPr>
              <w:t>标准表式管理</w:t>
            </w:r>
          </w:p>
        </w:tc>
        <w:tc>
          <w:tcPr>
            <w:tcW w:w="2477" w:type="dxa"/>
            <w:tcBorders>
              <w:top w:val="nil"/>
              <w:left w:val="nil"/>
              <w:bottom w:val="single" w:color="auto" w:sz="4" w:space="0"/>
              <w:right w:val="single" w:color="auto" w:sz="4" w:space="0"/>
            </w:tcBorders>
            <w:noWrap w:val="0"/>
            <w:vAlign w:val="center"/>
          </w:tcPr>
          <w:p w14:paraId="35F989BD">
            <w:pPr>
              <w:jc w:val="center"/>
              <w:rPr>
                <w:rFonts w:ascii="宋体" w:hAnsi="宋体" w:cs="宋体"/>
                <w:color w:val="auto"/>
                <w:kern w:val="0"/>
                <w:sz w:val="22"/>
                <w:highlight w:val="none"/>
              </w:rPr>
            </w:pPr>
            <w:r>
              <w:rPr>
                <w:rFonts w:hint="eastAsia" w:ascii="宋体" w:hAnsi="宋体" w:cs="宋体"/>
                <w:color w:val="auto"/>
                <w:kern w:val="0"/>
                <w:sz w:val="22"/>
                <w:highlight w:val="none"/>
              </w:rPr>
              <w:t>审核</w:t>
            </w:r>
          </w:p>
        </w:tc>
        <w:tc>
          <w:tcPr>
            <w:tcW w:w="2059" w:type="dxa"/>
            <w:tcBorders>
              <w:top w:val="nil"/>
              <w:left w:val="nil"/>
              <w:bottom w:val="single" w:color="auto" w:sz="4" w:space="0"/>
              <w:right w:val="single" w:color="auto" w:sz="4" w:space="0"/>
            </w:tcBorders>
            <w:noWrap w:val="0"/>
            <w:vAlign w:val="center"/>
          </w:tcPr>
          <w:p w14:paraId="4508B51C">
            <w:pPr>
              <w:jc w:val="center"/>
              <w:rPr>
                <w:rFonts w:ascii="宋体" w:hAnsi="宋体" w:cs="宋体"/>
                <w:color w:val="auto"/>
                <w:kern w:val="0"/>
                <w:sz w:val="22"/>
                <w:highlight w:val="none"/>
              </w:rPr>
            </w:pPr>
            <w:r>
              <w:rPr>
                <w:rFonts w:hint="eastAsia" w:ascii="宋体" w:hAnsi="宋体" w:cs="宋体"/>
                <w:color w:val="auto"/>
                <w:kern w:val="0"/>
                <w:sz w:val="22"/>
                <w:highlight w:val="none"/>
              </w:rPr>
              <w:t>单据上报到监理节点后3个工作日内</w:t>
            </w:r>
          </w:p>
        </w:tc>
        <w:tc>
          <w:tcPr>
            <w:tcW w:w="1399" w:type="dxa"/>
            <w:tcBorders>
              <w:top w:val="nil"/>
              <w:left w:val="nil"/>
              <w:bottom w:val="single" w:color="auto" w:sz="4" w:space="0"/>
              <w:right w:val="single" w:color="auto" w:sz="4" w:space="0"/>
            </w:tcBorders>
            <w:noWrap w:val="0"/>
            <w:vAlign w:val="center"/>
          </w:tcPr>
          <w:p w14:paraId="55874D13">
            <w:pPr>
              <w:jc w:val="center"/>
              <w:rPr>
                <w:rFonts w:ascii="宋体" w:hAnsi="宋体" w:cs="宋体"/>
                <w:color w:val="auto"/>
                <w:kern w:val="0"/>
                <w:sz w:val="22"/>
                <w:highlight w:val="none"/>
              </w:rPr>
            </w:pPr>
            <w:r>
              <w:rPr>
                <w:rFonts w:hint="eastAsia" w:ascii="宋体" w:hAnsi="宋体" w:cs="宋体"/>
                <w:color w:val="auto"/>
                <w:kern w:val="0"/>
                <w:sz w:val="22"/>
                <w:highlight w:val="none"/>
              </w:rPr>
              <w:t>与实际相符</w:t>
            </w:r>
          </w:p>
        </w:tc>
      </w:tr>
      <w:tr w14:paraId="4D82FF55">
        <w:tblPrEx>
          <w:tblCellMar>
            <w:top w:w="0" w:type="dxa"/>
            <w:left w:w="108" w:type="dxa"/>
            <w:bottom w:w="0" w:type="dxa"/>
            <w:right w:w="108" w:type="dxa"/>
          </w:tblCellMar>
        </w:tblPrEx>
        <w:trPr>
          <w:trHeight w:val="585" w:hRule="atLeast"/>
          <w:jc w:val="center"/>
        </w:trPr>
        <w:tc>
          <w:tcPr>
            <w:tcW w:w="700" w:type="dxa"/>
            <w:tcBorders>
              <w:top w:val="nil"/>
              <w:left w:val="single" w:color="auto" w:sz="4" w:space="0"/>
              <w:bottom w:val="single" w:color="auto" w:sz="4" w:space="0"/>
              <w:right w:val="single" w:color="auto" w:sz="4" w:space="0"/>
            </w:tcBorders>
            <w:noWrap w:val="0"/>
            <w:vAlign w:val="center"/>
          </w:tcPr>
          <w:p w14:paraId="471C4E37">
            <w:pPr>
              <w:jc w:val="center"/>
              <w:rPr>
                <w:rFonts w:ascii="宋体" w:hAnsi="宋体" w:cs="宋体"/>
                <w:color w:val="auto"/>
                <w:kern w:val="0"/>
                <w:sz w:val="22"/>
                <w:highlight w:val="none"/>
              </w:rPr>
            </w:pPr>
            <w:r>
              <w:rPr>
                <w:rFonts w:hint="eastAsia" w:ascii="宋体" w:hAnsi="宋体" w:cs="宋体"/>
                <w:color w:val="auto"/>
                <w:kern w:val="0"/>
                <w:sz w:val="22"/>
                <w:highlight w:val="none"/>
              </w:rPr>
              <w:t>15</w:t>
            </w:r>
          </w:p>
        </w:tc>
        <w:tc>
          <w:tcPr>
            <w:tcW w:w="760" w:type="dxa"/>
            <w:tcBorders>
              <w:top w:val="nil"/>
              <w:left w:val="nil"/>
              <w:bottom w:val="single" w:color="auto" w:sz="4" w:space="0"/>
              <w:right w:val="single" w:color="auto" w:sz="4" w:space="0"/>
            </w:tcBorders>
            <w:noWrap w:val="0"/>
            <w:vAlign w:val="center"/>
          </w:tcPr>
          <w:p w14:paraId="47CD64E6">
            <w:pPr>
              <w:jc w:val="center"/>
              <w:rPr>
                <w:rFonts w:ascii="宋体" w:hAnsi="宋体" w:cs="宋体"/>
                <w:color w:val="auto"/>
                <w:kern w:val="0"/>
                <w:sz w:val="22"/>
                <w:highlight w:val="none"/>
              </w:rPr>
            </w:pPr>
            <w:r>
              <w:rPr>
                <w:rFonts w:hint="eastAsia" w:ascii="宋体" w:hAnsi="宋体" w:cs="宋体"/>
                <w:color w:val="auto"/>
                <w:kern w:val="0"/>
                <w:sz w:val="22"/>
                <w:highlight w:val="none"/>
              </w:rPr>
              <w:t>主网</w:t>
            </w:r>
          </w:p>
        </w:tc>
        <w:tc>
          <w:tcPr>
            <w:tcW w:w="2123" w:type="dxa"/>
            <w:tcBorders>
              <w:top w:val="nil"/>
              <w:left w:val="nil"/>
              <w:bottom w:val="single" w:color="auto" w:sz="4" w:space="0"/>
              <w:right w:val="single" w:color="auto" w:sz="4" w:space="0"/>
            </w:tcBorders>
            <w:noWrap w:val="0"/>
            <w:vAlign w:val="center"/>
          </w:tcPr>
          <w:p w14:paraId="6A156BC4">
            <w:pPr>
              <w:jc w:val="center"/>
              <w:rPr>
                <w:rFonts w:ascii="宋体" w:hAnsi="宋体" w:cs="宋体"/>
                <w:color w:val="auto"/>
                <w:kern w:val="0"/>
                <w:sz w:val="22"/>
                <w:highlight w:val="none"/>
              </w:rPr>
            </w:pPr>
            <w:r>
              <w:rPr>
                <w:rFonts w:hint="eastAsia" w:ascii="宋体" w:hAnsi="宋体" w:cs="宋体"/>
                <w:color w:val="auto"/>
                <w:kern w:val="0"/>
                <w:sz w:val="22"/>
                <w:highlight w:val="none"/>
              </w:rPr>
              <w:t>缺陷管理填报（在建阶段）</w:t>
            </w:r>
          </w:p>
        </w:tc>
        <w:tc>
          <w:tcPr>
            <w:tcW w:w="2477" w:type="dxa"/>
            <w:tcBorders>
              <w:top w:val="nil"/>
              <w:left w:val="nil"/>
              <w:bottom w:val="single" w:color="auto" w:sz="4" w:space="0"/>
              <w:right w:val="single" w:color="auto" w:sz="4" w:space="0"/>
            </w:tcBorders>
            <w:noWrap w:val="0"/>
            <w:vAlign w:val="center"/>
          </w:tcPr>
          <w:p w14:paraId="799456D5">
            <w:pPr>
              <w:jc w:val="center"/>
              <w:rPr>
                <w:rFonts w:ascii="宋体" w:hAnsi="宋体" w:cs="宋体"/>
                <w:color w:val="auto"/>
                <w:kern w:val="0"/>
                <w:sz w:val="22"/>
                <w:highlight w:val="none"/>
              </w:rPr>
            </w:pPr>
            <w:r>
              <w:rPr>
                <w:rFonts w:hint="eastAsia" w:ascii="宋体" w:hAnsi="宋体" w:cs="宋体"/>
                <w:color w:val="auto"/>
                <w:kern w:val="0"/>
                <w:sz w:val="22"/>
                <w:highlight w:val="none"/>
              </w:rPr>
              <w:t>录入</w:t>
            </w:r>
          </w:p>
        </w:tc>
        <w:tc>
          <w:tcPr>
            <w:tcW w:w="2059" w:type="dxa"/>
            <w:tcBorders>
              <w:top w:val="nil"/>
              <w:left w:val="nil"/>
              <w:bottom w:val="single" w:color="auto" w:sz="4" w:space="0"/>
              <w:right w:val="single" w:color="auto" w:sz="4" w:space="0"/>
            </w:tcBorders>
            <w:noWrap w:val="0"/>
            <w:vAlign w:val="center"/>
          </w:tcPr>
          <w:p w14:paraId="42BE2098">
            <w:pPr>
              <w:jc w:val="center"/>
              <w:rPr>
                <w:rFonts w:ascii="宋体" w:hAnsi="宋体" w:cs="宋体"/>
                <w:color w:val="auto"/>
                <w:kern w:val="0"/>
                <w:sz w:val="22"/>
                <w:highlight w:val="none"/>
              </w:rPr>
            </w:pPr>
            <w:r>
              <w:rPr>
                <w:rFonts w:hint="eastAsia" w:ascii="宋体" w:hAnsi="宋体" w:cs="宋体"/>
                <w:color w:val="auto"/>
                <w:kern w:val="0"/>
                <w:sz w:val="22"/>
                <w:highlight w:val="none"/>
              </w:rPr>
              <w:t>缺陷发现后，整改日期前</w:t>
            </w:r>
          </w:p>
        </w:tc>
        <w:tc>
          <w:tcPr>
            <w:tcW w:w="1399" w:type="dxa"/>
            <w:tcBorders>
              <w:top w:val="nil"/>
              <w:left w:val="nil"/>
              <w:bottom w:val="single" w:color="auto" w:sz="4" w:space="0"/>
              <w:right w:val="single" w:color="auto" w:sz="4" w:space="0"/>
            </w:tcBorders>
            <w:noWrap w:val="0"/>
            <w:vAlign w:val="center"/>
          </w:tcPr>
          <w:p w14:paraId="1A37BB40">
            <w:pPr>
              <w:jc w:val="center"/>
              <w:rPr>
                <w:rFonts w:ascii="宋体" w:hAnsi="宋体" w:cs="宋体"/>
                <w:color w:val="auto"/>
                <w:kern w:val="0"/>
                <w:sz w:val="22"/>
                <w:highlight w:val="none"/>
              </w:rPr>
            </w:pPr>
            <w:r>
              <w:rPr>
                <w:rFonts w:hint="eastAsia" w:ascii="宋体" w:hAnsi="宋体" w:cs="宋体"/>
                <w:color w:val="auto"/>
                <w:kern w:val="0"/>
                <w:sz w:val="22"/>
                <w:highlight w:val="none"/>
              </w:rPr>
              <w:t>与实际相符</w:t>
            </w:r>
          </w:p>
        </w:tc>
      </w:tr>
      <w:tr w14:paraId="73DEFC8E">
        <w:tblPrEx>
          <w:tblCellMar>
            <w:top w:w="0" w:type="dxa"/>
            <w:left w:w="108" w:type="dxa"/>
            <w:bottom w:w="0" w:type="dxa"/>
            <w:right w:w="108" w:type="dxa"/>
          </w:tblCellMar>
        </w:tblPrEx>
        <w:trPr>
          <w:trHeight w:val="585" w:hRule="atLeast"/>
          <w:jc w:val="center"/>
        </w:trPr>
        <w:tc>
          <w:tcPr>
            <w:tcW w:w="700" w:type="dxa"/>
            <w:tcBorders>
              <w:top w:val="nil"/>
              <w:left w:val="single" w:color="auto" w:sz="4" w:space="0"/>
              <w:bottom w:val="single" w:color="auto" w:sz="4" w:space="0"/>
              <w:right w:val="single" w:color="auto" w:sz="4" w:space="0"/>
            </w:tcBorders>
            <w:noWrap w:val="0"/>
            <w:vAlign w:val="center"/>
          </w:tcPr>
          <w:p w14:paraId="40502A4E">
            <w:pPr>
              <w:jc w:val="center"/>
              <w:rPr>
                <w:rFonts w:ascii="宋体" w:hAnsi="宋体" w:cs="宋体"/>
                <w:color w:val="auto"/>
                <w:kern w:val="0"/>
                <w:sz w:val="22"/>
                <w:highlight w:val="none"/>
              </w:rPr>
            </w:pPr>
            <w:r>
              <w:rPr>
                <w:rFonts w:hint="eastAsia" w:ascii="宋体" w:hAnsi="宋体" w:cs="宋体"/>
                <w:color w:val="auto"/>
                <w:kern w:val="0"/>
                <w:sz w:val="22"/>
                <w:highlight w:val="none"/>
              </w:rPr>
              <w:t>16</w:t>
            </w:r>
          </w:p>
        </w:tc>
        <w:tc>
          <w:tcPr>
            <w:tcW w:w="760" w:type="dxa"/>
            <w:tcBorders>
              <w:top w:val="nil"/>
              <w:left w:val="nil"/>
              <w:bottom w:val="single" w:color="auto" w:sz="4" w:space="0"/>
              <w:right w:val="single" w:color="auto" w:sz="4" w:space="0"/>
            </w:tcBorders>
            <w:noWrap w:val="0"/>
            <w:vAlign w:val="center"/>
          </w:tcPr>
          <w:p w14:paraId="068BCB89">
            <w:pPr>
              <w:jc w:val="center"/>
              <w:rPr>
                <w:rFonts w:ascii="宋体" w:hAnsi="宋体" w:cs="宋体"/>
                <w:color w:val="auto"/>
                <w:kern w:val="0"/>
                <w:sz w:val="22"/>
                <w:highlight w:val="none"/>
              </w:rPr>
            </w:pPr>
            <w:r>
              <w:rPr>
                <w:rFonts w:hint="eastAsia" w:ascii="宋体" w:hAnsi="宋体" w:cs="宋体"/>
                <w:color w:val="auto"/>
                <w:kern w:val="0"/>
                <w:sz w:val="22"/>
                <w:highlight w:val="none"/>
              </w:rPr>
              <w:t>主网</w:t>
            </w:r>
          </w:p>
        </w:tc>
        <w:tc>
          <w:tcPr>
            <w:tcW w:w="2123" w:type="dxa"/>
            <w:tcBorders>
              <w:top w:val="nil"/>
              <w:left w:val="nil"/>
              <w:bottom w:val="single" w:color="auto" w:sz="4" w:space="0"/>
              <w:right w:val="single" w:color="auto" w:sz="4" w:space="0"/>
            </w:tcBorders>
            <w:noWrap w:val="0"/>
            <w:vAlign w:val="center"/>
          </w:tcPr>
          <w:p w14:paraId="6D81AC6F">
            <w:pPr>
              <w:jc w:val="center"/>
              <w:rPr>
                <w:rFonts w:ascii="宋体" w:hAnsi="宋体" w:cs="宋体"/>
                <w:color w:val="auto"/>
                <w:kern w:val="0"/>
                <w:sz w:val="22"/>
                <w:highlight w:val="none"/>
              </w:rPr>
            </w:pPr>
            <w:r>
              <w:rPr>
                <w:rFonts w:hint="eastAsia" w:ascii="宋体" w:hAnsi="宋体" w:cs="宋体"/>
                <w:color w:val="auto"/>
                <w:kern w:val="0"/>
                <w:sz w:val="22"/>
                <w:highlight w:val="none"/>
              </w:rPr>
              <w:t>项目组织结构</w:t>
            </w:r>
          </w:p>
        </w:tc>
        <w:tc>
          <w:tcPr>
            <w:tcW w:w="2477" w:type="dxa"/>
            <w:tcBorders>
              <w:top w:val="nil"/>
              <w:left w:val="nil"/>
              <w:bottom w:val="single" w:color="auto" w:sz="4" w:space="0"/>
              <w:right w:val="single" w:color="auto" w:sz="4" w:space="0"/>
            </w:tcBorders>
            <w:noWrap w:val="0"/>
            <w:vAlign w:val="center"/>
          </w:tcPr>
          <w:p w14:paraId="013581FC">
            <w:pPr>
              <w:jc w:val="center"/>
              <w:rPr>
                <w:rFonts w:ascii="宋体" w:hAnsi="宋体" w:cs="宋体"/>
                <w:color w:val="auto"/>
                <w:kern w:val="0"/>
                <w:sz w:val="22"/>
                <w:highlight w:val="none"/>
              </w:rPr>
            </w:pPr>
            <w:r>
              <w:rPr>
                <w:rFonts w:hint="eastAsia" w:ascii="宋体" w:hAnsi="宋体" w:cs="宋体"/>
                <w:color w:val="auto"/>
                <w:kern w:val="0"/>
                <w:sz w:val="22"/>
                <w:highlight w:val="none"/>
              </w:rPr>
              <w:t>录入</w:t>
            </w:r>
          </w:p>
        </w:tc>
        <w:tc>
          <w:tcPr>
            <w:tcW w:w="2059" w:type="dxa"/>
            <w:tcBorders>
              <w:top w:val="nil"/>
              <w:left w:val="nil"/>
              <w:bottom w:val="single" w:color="auto" w:sz="4" w:space="0"/>
              <w:right w:val="single" w:color="auto" w:sz="4" w:space="0"/>
            </w:tcBorders>
            <w:noWrap w:val="0"/>
            <w:vAlign w:val="center"/>
          </w:tcPr>
          <w:p w14:paraId="6C2DA066">
            <w:pPr>
              <w:jc w:val="center"/>
              <w:rPr>
                <w:rFonts w:ascii="宋体" w:hAnsi="宋体" w:cs="宋体"/>
                <w:color w:val="auto"/>
                <w:kern w:val="0"/>
                <w:sz w:val="22"/>
                <w:highlight w:val="none"/>
              </w:rPr>
            </w:pPr>
            <w:r>
              <w:rPr>
                <w:rFonts w:hint="eastAsia" w:ascii="宋体" w:hAnsi="宋体" w:cs="宋体"/>
                <w:color w:val="auto"/>
                <w:kern w:val="0"/>
                <w:sz w:val="22"/>
                <w:highlight w:val="none"/>
              </w:rPr>
              <w:t>监理合同签订后5个工作日</w:t>
            </w:r>
          </w:p>
        </w:tc>
        <w:tc>
          <w:tcPr>
            <w:tcW w:w="1399" w:type="dxa"/>
            <w:tcBorders>
              <w:top w:val="nil"/>
              <w:left w:val="nil"/>
              <w:bottom w:val="single" w:color="auto" w:sz="4" w:space="0"/>
              <w:right w:val="single" w:color="auto" w:sz="4" w:space="0"/>
            </w:tcBorders>
            <w:noWrap w:val="0"/>
            <w:vAlign w:val="center"/>
          </w:tcPr>
          <w:p w14:paraId="622B6231">
            <w:pPr>
              <w:jc w:val="center"/>
              <w:rPr>
                <w:rFonts w:ascii="宋体" w:hAnsi="宋体" w:cs="宋体"/>
                <w:color w:val="auto"/>
                <w:kern w:val="0"/>
                <w:sz w:val="22"/>
                <w:highlight w:val="none"/>
              </w:rPr>
            </w:pPr>
            <w:r>
              <w:rPr>
                <w:rFonts w:hint="eastAsia" w:ascii="宋体" w:hAnsi="宋体" w:cs="宋体"/>
                <w:color w:val="auto"/>
                <w:kern w:val="0"/>
                <w:sz w:val="22"/>
                <w:highlight w:val="none"/>
              </w:rPr>
              <w:t>与实际相符</w:t>
            </w:r>
          </w:p>
        </w:tc>
      </w:tr>
    </w:tbl>
    <w:p w14:paraId="70D0CA31">
      <w:pPr>
        <w:spacing w:line="360" w:lineRule="auto"/>
        <w:ind w:firstLine="315" w:firstLineChars="150"/>
        <w:rPr>
          <w:rFonts w:ascii="宋体" w:hAnsi="宋体" w:cs="宋体"/>
          <w:color w:val="auto"/>
          <w:kern w:val="0"/>
          <w:szCs w:val="21"/>
          <w:highlight w:val="none"/>
          <w:lang w:val="zh-CN"/>
        </w:rPr>
      </w:pPr>
    </w:p>
    <w:bookmarkEnd w:id="335"/>
    <w:bookmarkEnd w:id="336"/>
    <w:bookmarkEnd w:id="337"/>
    <w:bookmarkEnd w:id="351"/>
    <w:bookmarkEnd w:id="352"/>
    <w:bookmarkEnd w:id="353"/>
    <w:p w14:paraId="318C57F1">
      <w:pPr>
        <w:autoSpaceDE w:val="0"/>
        <w:autoSpaceDN w:val="0"/>
        <w:adjustRightInd w:val="0"/>
        <w:spacing w:line="360" w:lineRule="auto"/>
        <w:ind w:firstLine="422" w:firstLineChars="200"/>
        <w:jc w:val="left"/>
        <w:rPr>
          <w:rFonts w:ascii="宋体" w:hAnsi="宋体" w:cs="宋体"/>
          <w:b/>
          <w:bCs/>
          <w:color w:val="auto"/>
          <w:kern w:val="0"/>
          <w:szCs w:val="21"/>
          <w:highlight w:val="none"/>
          <w:lang w:val="zh-CN"/>
        </w:rPr>
      </w:pPr>
      <w:r>
        <w:rPr>
          <w:rFonts w:hint="eastAsia" w:ascii="宋体" w:hAnsi="宋体" w:cs="宋体"/>
          <w:b/>
          <w:bCs/>
          <w:color w:val="auto"/>
          <w:kern w:val="0"/>
          <w:szCs w:val="21"/>
          <w:highlight w:val="none"/>
          <w:lang w:val="zh-CN"/>
        </w:rPr>
        <w:t>2.9组织协调</w:t>
      </w:r>
    </w:p>
    <w:p w14:paraId="15A7B2A2">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监理项目部和监理人员运用书面文件、召开会议、口头交流等方法，围绕工程项目，协调所有参建单位的活动，促使各方协同一致，以实现工程目标。</w:t>
      </w:r>
    </w:p>
    <w:p w14:paraId="51E62F5B">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354" w:name="_Toc298848178"/>
      <w:bookmarkStart w:id="355" w:name="_Toc304925820"/>
      <w:bookmarkStart w:id="356" w:name="_Toc295815834"/>
      <w:bookmarkStart w:id="357" w:name="_Toc295810554"/>
      <w:r>
        <w:rPr>
          <w:rFonts w:hint="eastAsia" w:ascii="宋体" w:hAnsi="宋体" w:cs="宋体"/>
          <w:color w:val="auto"/>
          <w:kern w:val="0"/>
          <w:szCs w:val="21"/>
          <w:highlight w:val="none"/>
          <w:lang w:val="zh-CN"/>
        </w:rPr>
        <w:t xml:space="preserve">2.9.1 </w:t>
      </w:r>
      <w:bookmarkEnd w:id="354"/>
      <w:r>
        <w:rPr>
          <w:rFonts w:hint="eastAsia" w:ascii="宋体" w:hAnsi="宋体" w:cs="宋体"/>
          <w:color w:val="auto"/>
          <w:kern w:val="0"/>
          <w:szCs w:val="21"/>
          <w:highlight w:val="none"/>
          <w:lang w:val="zh-CN"/>
        </w:rPr>
        <w:t>工作内容与方法</w:t>
      </w:r>
      <w:bookmarkEnd w:id="355"/>
    </w:p>
    <w:p w14:paraId="71F73998">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358" w:name="_Toc298848179"/>
      <w:r>
        <w:rPr>
          <w:rFonts w:hint="eastAsia" w:ascii="宋体" w:hAnsi="宋体" w:cs="宋体"/>
          <w:color w:val="auto"/>
          <w:kern w:val="0"/>
          <w:szCs w:val="21"/>
          <w:highlight w:val="none"/>
          <w:lang w:val="zh-CN"/>
        </w:rPr>
        <w:t>2.9.1.1 监理项目部应主动与所属监理公司职能部门进行沟通和协调，以取得资源、技术和后勤保障上的支持。</w:t>
      </w:r>
    </w:p>
    <w:bookmarkEnd w:id="356"/>
    <w:bookmarkEnd w:id="357"/>
    <w:bookmarkEnd w:id="358"/>
    <w:p w14:paraId="6F96E6D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2.9.1.2 总监理工程师在开工前主持召开监理项目部内部交底会，介绍工程监理合同、施工合同的主要内容，介绍工程主要特点和委托人的要求，对监理人员提出工作要求。在监理过程中协调监理人员，以促进有效协作。</w:t>
      </w:r>
    </w:p>
    <w:p w14:paraId="64F3F66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359" w:name="_Toc298848181"/>
      <w:bookmarkStart w:id="360" w:name="_Toc295815837"/>
      <w:bookmarkStart w:id="361" w:name="_Toc295810557"/>
      <w:r>
        <w:rPr>
          <w:rFonts w:hint="eastAsia" w:ascii="宋体" w:hAnsi="宋体" w:cs="宋体"/>
          <w:color w:val="auto"/>
          <w:kern w:val="0"/>
          <w:szCs w:val="21"/>
          <w:highlight w:val="none"/>
          <w:lang w:val="zh-CN"/>
        </w:rPr>
        <w:t>2.9.1.3</w:t>
      </w:r>
      <w:bookmarkEnd w:id="359"/>
      <w:bookmarkEnd w:id="360"/>
      <w:bookmarkEnd w:id="361"/>
      <w:r>
        <w:rPr>
          <w:rFonts w:hint="eastAsia" w:ascii="宋体" w:hAnsi="宋体" w:cs="宋体"/>
          <w:color w:val="auto"/>
          <w:kern w:val="0"/>
          <w:szCs w:val="21"/>
          <w:highlight w:val="none"/>
          <w:lang w:val="zh-CN"/>
        </w:rPr>
        <w:t xml:space="preserve"> 监理项目部应主动了解建设工程的目标和要求，理解设计意图和委托人的管理要求；在项目建设过程中，及时向业主项目部报告过程建设的相关情况。</w:t>
      </w:r>
    </w:p>
    <w:p w14:paraId="2F609921">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362" w:name="_Toc295815839"/>
      <w:bookmarkStart w:id="363" w:name="_Toc295810559"/>
      <w:r>
        <w:rPr>
          <w:rFonts w:hint="eastAsia" w:ascii="宋体" w:hAnsi="宋体" w:cs="宋体"/>
          <w:color w:val="auto"/>
          <w:kern w:val="0"/>
          <w:szCs w:val="21"/>
          <w:highlight w:val="none"/>
          <w:lang w:val="zh-CN"/>
        </w:rPr>
        <w:t>2.9.1.4</w:t>
      </w:r>
      <w:bookmarkEnd w:id="362"/>
      <w:bookmarkEnd w:id="363"/>
      <w:r>
        <w:rPr>
          <w:rFonts w:hint="eastAsia" w:ascii="宋体" w:hAnsi="宋体" w:cs="宋体"/>
          <w:color w:val="auto"/>
          <w:kern w:val="0"/>
          <w:szCs w:val="21"/>
          <w:highlight w:val="none"/>
          <w:lang w:val="zh-CN"/>
        </w:rPr>
        <w:t xml:space="preserve"> 协助协调甲供设备、材料到货计划，以满足施工进度的要求。</w:t>
      </w:r>
    </w:p>
    <w:p w14:paraId="71A9122D">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2.9.1.5 依据合同合理地协调解决工程纠纷。</w:t>
      </w:r>
    </w:p>
    <w:p w14:paraId="1B1864E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364" w:name="_Toc295815840"/>
      <w:bookmarkStart w:id="365" w:name="_Toc295810560"/>
      <w:r>
        <w:rPr>
          <w:rFonts w:hint="eastAsia" w:ascii="宋体" w:hAnsi="宋体" w:cs="宋体"/>
          <w:color w:val="auto"/>
          <w:kern w:val="0"/>
          <w:szCs w:val="21"/>
          <w:highlight w:val="none"/>
          <w:lang w:val="zh-CN"/>
        </w:rPr>
        <w:t>2.9.1.6 协调设计人的交图进度，以满足施工进度的要求。</w:t>
      </w:r>
      <w:bookmarkEnd w:id="364"/>
      <w:bookmarkEnd w:id="365"/>
      <w:r>
        <w:rPr>
          <w:rFonts w:hint="eastAsia" w:ascii="宋体" w:hAnsi="宋体" w:cs="宋体"/>
          <w:color w:val="auto"/>
          <w:kern w:val="0"/>
          <w:szCs w:val="21"/>
          <w:highlight w:val="none"/>
          <w:lang w:val="zh-CN"/>
        </w:rPr>
        <w:t>及时沟通施工中发现的设计问题。</w:t>
      </w:r>
    </w:p>
    <w:p w14:paraId="6F7DF888">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366" w:name="_Toc295810561"/>
      <w:bookmarkStart w:id="367" w:name="_Toc295815841"/>
      <w:r>
        <w:rPr>
          <w:rFonts w:hint="eastAsia" w:ascii="宋体" w:hAnsi="宋体" w:cs="宋体"/>
          <w:color w:val="auto"/>
          <w:kern w:val="0"/>
          <w:szCs w:val="21"/>
          <w:highlight w:val="none"/>
          <w:lang w:val="zh-CN"/>
        </w:rPr>
        <w:t>2.9.1.7 协调多个施工项目部之间的关系</w:t>
      </w:r>
      <w:bookmarkEnd w:id="366"/>
      <w:bookmarkEnd w:id="367"/>
    </w:p>
    <w:p w14:paraId="76B9E0B8">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1）督促做好工程控制高程和坐标位置交接；明确各自临时设施场地划分和定位；明确工程施工界面的划分与衔接。</w:t>
      </w:r>
    </w:p>
    <w:p w14:paraId="7B3DF8F9">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2）督促做好各专业之间的平衡对接，各工种之间施工工艺、施工穿插搭接、施工过程中的成品保护，相互协作支持。</w:t>
      </w:r>
    </w:p>
    <w:p w14:paraId="5B003D6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3）督促项目交接单位做好对应交接项目有关技术资料及实物的交接，并形成交接文件。</w:t>
      </w:r>
    </w:p>
    <w:p w14:paraId="332F620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bookmarkStart w:id="368" w:name="_Toc295810564"/>
      <w:bookmarkStart w:id="369" w:name="_Toc295815844"/>
      <w:bookmarkStart w:id="370" w:name="_Toc298848182"/>
      <w:r>
        <w:rPr>
          <w:rFonts w:hint="eastAsia" w:ascii="宋体" w:hAnsi="宋体" w:cs="宋体"/>
          <w:color w:val="auto"/>
          <w:kern w:val="0"/>
          <w:szCs w:val="21"/>
          <w:highlight w:val="none"/>
          <w:lang w:val="zh-CN"/>
        </w:rPr>
        <w:t>2.9.1.8 第一次工地会议</w:t>
      </w:r>
      <w:bookmarkEnd w:id="368"/>
      <w:bookmarkEnd w:id="369"/>
      <w:bookmarkEnd w:id="370"/>
    </w:p>
    <w:p w14:paraId="5723927D">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第一次工地会议由业主项目部主持，监理项目部、设计人、施工项目部、分包单位（如有）及重要的物资供应商（有必要时）参加，内容包括：</w:t>
      </w:r>
    </w:p>
    <w:p w14:paraId="57F1F05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1）委托人、业主项目部、监理项目部、施工项目部和设计人分别介绍各自驻现场的组织机构、人员及其分工；</w:t>
      </w:r>
    </w:p>
    <w:p w14:paraId="47F901EB">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2）委托人根据建设工程监理合同宣布对总监理工程师的授权；</w:t>
      </w:r>
    </w:p>
    <w:p w14:paraId="4FD1A077">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3）业主项目部介绍工程开工准备情况；</w:t>
      </w:r>
    </w:p>
    <w:p w14:paraId="3E8E3407">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4）施工项目部介绍施工准备情况；</w:t>
      </w:r>
    </w:p>
    <w:p w14:paraId="5574F416">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5）业主项目部和总监理工程师对施工准备情况提出意见和要求；</w:t>
      </w:r>
    </w:p>
    <w:p w14:paraId="04CBC92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6）总监理工程师介绍监理规划的主要内容；</w:t>
      </w:r>
    </w:p>
    <w:p w14:paraId="4BD32619">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7）研究确定各方在施工过程中参加监理例会的主要人员，召开监理例会周期、地点及主要议题。</w:t>
      </w:r>
    </w:p>
    <w:p w14:paraId="607C8563">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2.9.1.9 工地例会</w:t>
      </w:r>
    </w:p>
    <w:p w14:paraId="62588EF4">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在施工过程中，总监理工程师应定期主持召开工地例会，并形成《工地例会纪要》。《工地例会纪要》应由项目监理机构负责整理，并经与会各方代表确认。内容包括：</w:t>
      </w:r>
    </w:p>
    <w:p w14:paraId="4D3C058D">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1）检查上次监理例会议定事项的落实情况，分析未完事项原因；</w:t>
      </w:r>
    </w:p>
    <w:p w14:paraId="76992C3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2）检查分析工程进度计划完成情况，提出下一阶段进度目标及其落实措施；</w:t>
      </w:r>
    </w:p>
    <w:p w14:paraId="5B50D27B">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3）分析工程质量和安全风险控制情况，针对存在的质量问题和安全隐患提出改进措施；</w:t>
      </w:r>
    </w:p>
    <w:p w14:paraId="028F12D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4）检查工程计量及工程款支付证书签发情况；</w:t>
      </w:r>
    </w:p>
    <w:p w14:paraId="6C2C000A">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5）需要协调的有关事项；</w:t>
      </w:r>
    </w:p>
    <w:p w14:paraId="71328E6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2.9.1.10 专题会议</w:t>
      </w:r>
    </w:p>
    <w:p w14:paraId="3121760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对于工程中的重大问题和紧急事项需要开专题会议研究讨论。会前应与有关单位一起做好充分的准备，预先磋商。会后形成《专题会议纪要》，督促各与会单位遵照纪要执行。</w:t>
      </w:r>
    </w:p>
    <w:p w14:paraId="6E41B881">
      <w:pPr>
        <w:autoSpaceDE w:val="0"/>
        <w:autoSpaceDN w:val="0"/>
        <w:adjustRightInd w:val="0"/>
        <w:spacing w:line="360" w:lineRule="auto"/>
        <w:ind w:firstLine="422" w:firstLineChars="200"/>
        <w:jc w:val="left"/>
        <w:rPr>
          <w:rFonts w:ascii="宋体" w:hAnsi="宋体" w:cs="宋体"/>
          <w:b/>
          <w:bCs/>
          <w:color w:val="auto"/>
          <w:kern w:val="0"/>
          <w:szCs w:val="21"/>
          <w:highlight w:val="none"/>
          <w:lang w:val="zh-CN"/>
        </w:rPr>
      </w:pPr>
      <w:r>
        <w:rPr>
          <w:rFonts w:hint="eastAsia" w:ascii="宋体" w:hAnsi="宋体" w:cs="宋体"/>
          <w:b/>
          <w:bCs/>
          <w:color w:val="auto"/>
          <w:kern w:val="0"/>
          <w:szCs w:val="21"/>
          <w:highlight w:val="none"/>
          <w:lang w:val="zh-CN"/>
        </w:rPr>
        <w:t>2.10达标投产和创优管理</w:t>
      </w:r>
    </w:p>
    <w:p w14:paraId="2BA2BB7B">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2.10.1 按照中国南方电网公司《基建达标投产及工程评优管理业务指导书》的要求进行过程控制：工程投运后，在工程管理单位的组织下，参加工程项目的达标投产自检，配合复检；监督设计、施工、调试和供货商的消缺整改。</w:t>
      </w:r>
    </w:p>
    <w:p w14:paraId="32156CF5">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2.10.2 按照委托人的创优质工程的要求开展监理和施工工作。</w:t>
      </w:r>
    </w:p>
    <w:p w14:paraId="213DF13F">
      <w:pPr>
        <w:autoSpaceDE w:val="0"/>
        <w:autoSpaceDN w:val="0"/>
        <w:adjustRightIn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2.10.3 工程完工后组织设计、施工等承包商对工程“新技术、新设备、新材料、新工艺”的应用进行总结，组织形成报告。</w:t>
      </w:r>
    </w:p>
    <w:p w14:paraId="03A76AA9">
      <w:pPr>
        <w:autoSpaceDE w:val="0"/>
        <w:autoSpaceDN w:val="0"/>
        <w:adjustRightInd w:val="0"/>
        <w:spacing w:line="360" w:lineRule="auto"/>
        <w:ind w:firstLine="422" w:firstLineChars="200"/>
        <w:jc w:val="left"/>
        <w:rPr>
          <w:rFonts w:ascii="宋体" w:hAnsi="宋体" w:cs="宋体"/>
          <w:b/>
          <w:bCs/>
          <w:color w:val="auto"/>
          <w:kern w:val="0"/>
          <w:szCs w:val="21"/>
          <w:highlight w:val="none"/>
          <w:lang w:val="zh-CN"/>
        </w:rPr>
      </w:pPr>
      <w:r>
        <w:rPr>
          <w:rFonts w:hint="eastAsia" w:ascii="宋体" w:hAnsi="宋体" w:cs="宋体"/>
          <w:b/>
          <w:bCs/>
          <w:color w:val="auto"/>
          <w:kern w:val="0"/>
          <w:szCs w:val="21"/>
          <w:highlight w:val="none"/>
          <w:lang w:val="zh-CN"/>
        </w:rPr>
        <w:t xml:space="preserve">2.11 </w:t>
      </w:r>
      <w:r>
        <w:rPr>
          <w:rFonts w:hint="eastAsia" w:ascii="宋体" w:hAnsi="宋体" w:cs="宋体"/>
          <w:color w:val="auto"/>
          <w:kern w:val="0"/>
          <w:szCs w:val="21"/>
          <w:highlight w:val="none"/>
          <w:lang w:val="zh-CN"/>
        </w:rPr>
        <w:t>协助组织工程评比、劳动竞赛和精神文明建设等项活动，提出奖惩建议。</w:t>
      </w:r>
    </w:p>
    <w:p w14:paraId="176604C0">
      <w:pPr>
        <w:rPr>
          <w:color w:val="auto"/>
          <w:highlight w:val="none"/>
        </w:rPr>
      </w:pPr>
    </w:p>
    <w:p w14:paraId="6BE90E3F">
      <w:pPr>
        <w:rPr>
          <w:color w:val="auto"/>
          <w:highlight w:val="none"/>
        </w:rPr>
      </w:pPr>
      <w:r>
        <w:rPr>
          <w:color w:val="auto"/>
          <w:highlight w:val="none"/>
        </w:rPr>
        <w:br w:type="page"/>
      </w:r>
    </w:p>
    <w:p w14:paraId="16A34A05">
      <w:pPr>
        <w:pStyle w:val="3"/>
        <w:ind w:firstLine="137"/>
        <w:rPr>
          <w:rFonts w:ascii="宋体" w:hAnsi="宋体"/>
          <w:color w:val="auto"/>
          <w:szCs w:val="21"/>
          <w:highlight w:val="none"/>
        </w:rPr>
      </w:pPr>
      <w:bookmarkStart w:id="371" w:name="_Toc8769"/>
      <w:r>
        <w:rPr>
          <w:rFonts w:ascii="Times New Roman"/>
          <w:color w:val="auto"/>
          <w:highlight w:val="none"/>
        </w:rPr>
        <w:t>附件</w:t>
      </w:r>
      <w:r>
        <w:rPr>
          <w:rFonts w:hint="eastAsia" w:ascii="Times New Roman"/>
          <w:color w:val="auto"/>
          <w:highlight w:val="none"/>
          <w:lang w:val="en-US" w:eastAsia="zh-CN"/>
        </w:rPr>
        <w:t>二</w:t>
      </w:r>
      <w:r>
        <w:rPr>
          <w:rFonts w:ascii="Times New Roman"/>
          <w:color w:val="auto"/>
          <w:highlight w:val="none"/>
        </w:rPr>
        <w:t>：</w:t>
      </w:r>
      <w:r>
        <w:rPr>
          <w:rFonts w:hint="eastAsia" w:ascii="宋体" w:hAnsi="宋体"/>
          <w:color w:val="auto"/>
          <w:szCs w:val="21"/>
          <w:highlight w:val="none"/>
        </w:rPr>
        <w:t>主要监理人员名单</w:t>
      </w:r>
      <w:bookmarkEnd w:id="371"/>
    </w:p>
    <w:p w14:paraId="36CF324C">
      <w:pPr>
        <w:spacing w:line="440" w:lineRule="exact"/>
        <w:jc w:val="center"/>
        <w:rPr>
          <w:rFonts w:eastAsia="黑体"/>
          <w:color w:val="auto"/>
          <w:sz w:val="28"/>
          <w:highlight w:val="none"/>
        </w:rPr>
      </w:pPr>
      <w:r>
        <w:rPr>
          <w:rFonts w:hint="eastAsia" w:eastAsia="黑体"/>
          <w:color w:val="auto"/>
          <w:sz w:val="28"/>
          <w:highlight w:val="none"/>
        </w:rPr>
        <w:t>派驻本工程项目负责人及主要管理人员</w:t>
      </w:r>
    </w:p>
    <w:p w14:paraId="7870FE5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  】单位【】工程（监理）项目监理人员名单</w:t>
      </w:r>
    </w:p>
    <w:tbl>
      <w:tblPr>
        <w:tblStyle w:val="11"/>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24"/>
        <w:gridCol w:w="1260"/>
        <w:gridCol w:w="1080"/>
        <w:gridCol w:w="1539"/>
        <w:gridCol w:w="1190"/>
        <w:gridCol w:w="978"/>
        <w:gridCol w:w="1182"/>
      </w:tblGrid>
      <w:tr w14:paraId="2BDF53D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24" w:type="dxa"/>
            <w:vMerge w:val="restart"/>
            <w:tcBorders>
              <w:top w:val="single" w:color="000000" w:sz="4" w:space="0"/>
              <w:left w:val="single" w:color="000000" w:sz="4" w:space="0"/>
              <w:right w:val="single" w:color="000000" w:sz="4" w:space="0"/>
            </w:tcBorders>
            <w:noWrap w:val="0"/>
            <w:vAlign w:val="center"/>
          </w:tcPr>
          <w:p w14:paraId="2B40F1AD">
            <w:pPr>
              <w:pStyle w:val="9"/>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0" w:type="dxa"/>
            <w:vMerge w:val="restart"/>
            <w:tcBorders>
              <w:top w:val="single" w:color="000000" w:sz="4" w:space="0"/>
              <w:left w:val="single" w:color="000000" w:sz="4" w:space="0"/>
              <w:right w:val="single" w:color="000000" w:sz="4" w:space="0"/>
            </w:tcBorders>
            <w:noWrap w:val="0"/>
            <w:vAlign w:val="center"/>
          </w:tcPr>
          <w:p w14:paraId="2743E441">
            <w:pPr>
              <w:pStyle w:val="9"/>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080" w:type="dxa"/>
            <w:vMerge w:val="restart"/>
            <w:tcBorders>
              <w:top w:val="single" w:color="000000" w:sz="4" w:space="0"/>
              <w:left w:val="single" w:color="000000" w:sz="4" w:space="0"/>
              <w:right w:val="single" w:color="000000" w:sz="4" w:space="0"/>
            </w:tcBorders>
            <w:noWrap w:val="0"/>
            <w:vAlign w:val="center"/>
          </w:tcPr>
          <w:p w14:paraId="463175AD">
            <w:pPr>
              <w:pStyle w:val="9"/>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工作岗位</w:t>
            </w:r>
          </w:p>
        </w:tc>
        <w:tc>
          <w:tcPr>
            <w:tcW w:w="1539" w:type="dxa"/>
            <w:vMerge w:val="restart"/>
            <w:tcBorders>
              <w:top w:val="single" w:color="000000" w:sz="4" w:space="0"/>
              <w:left w:val="single" w:color="000000" w:sz="4" w:space="0"/>
              <w:right w:val="single" w:color="000000" w:sz="4" w:space="0"/>
            </w:tcBorders>
            <w:noWrap w:val="0"/>
            <w:vAlign w:val="center"/>
          </w:tcPr>
          <w:p w14:paraId="457955C3">
            <w:pPr>
              <w:pStyle w:val="9"/>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执业资格</w:t>
            </w:r>
          </w:p>
          <w:p w14:paraId="642419C4">
            <w:pPr>
              <w:pStyle w:val="9"/>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及证书号</w:t>
            </w:r>
          </w:p>
        </w:tc>
        <w:tc>
          <w:tcPr>
            <w:tcW w:w="3350" w:type="dxa"/>
            <w:gridSpan w:val="3"/>
            <w:tcBorders>
              <w:top w:val="single" w:color="000000" w:sz="4" w:space="0"/>
              <w:left w:val="single" w:color="000000" w:sz="4" w:space="0"/>
              <w:bottom w:val="single" w:color="000000" w:sz="4" w:space="0"/>
              <w:right w:val="single" w:color="000000" w:sz="4" w:space="0"/>
            </w:tcBorders>
            <w:noWrap w:val="0"/>
            <w:vAlign w:val="center"/>
          </w:tcPr>
          <w:p w14:paraId="5FCAC6B8">
            <w:pPr>
              <w:pStyle w:val="9"/>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职业资格</w:t>
            </w:r>
          </w:p>
        </w:tc>
      </w:tr>
      <w:tr w14:paraId="5D84D7A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24" w:type="dxa"/>
            <w:vMerge w:val="continue"/>
            <w:tcBorders>
              <w:left w:val="single" w:color="000000" w:sz="4" w:space="0"/>
              <w:bottom w:val="single" w:color="000000" w:sz="4" w:space="0"/>
              <w:right w:val="single" w:color="000000" w:sz="4" w:space="0"/>
            </w:tcBorders>
            <w:noWrap w:val="0"/>
            <w:vAlign w:val="center"/>
          </w:tcPr>
          <w:p w14:paraId="1D40A2D8">
            <w:pPr>
              <w:spacing w:line="240" w:lineRule="auto"/>
              <w:jc w:val="center"/>
              <w:rPr>
                <w:rFonts w:hint="eastAsia" w:ascii="宋体" w:hAnsi="宋体" w:eastAsia="宋体" w:cs="宋体"/>
                <w:color w:val="auto"/>
                <w:sz w:val="21"/>
                <w:szCs w:val="21"/>
                <w:highlight w:val="none"/>
              </w:rPr>
            </w:pPr>
          </w:p>
        </w:tc>
        <w:tc>
          <w:tcPr>
            <w:tcW w:w="1260" w:type="dxa"/>
            <w:vMerge w:val="continue"/>
            <w:tcBorders>
              <w:left w:val="single" w:color="000000" w:sz="4" w:space="0"/>
              <w:bottom w:val="single" w:color="000000" w:sz="4" w:space="0"/>
              <w:right w:val="single" w:color="000000" w:sz="4" w:space="0"/>
            </w:tcBorders>
            <w:noWrap w:val="0"/>
            <w:vAlign w:val="center"/>
          </w:tcPr>
          <w:p w14:paraId="365A3377">
            <w:pPr>
              <w:pStyle w:val="9"/>
              <w:spacing w:line="240" w:lineRule="auto"/>
              <w:jc w:val="center"/>
              <w:rPr>
                <w:rFonts w:hint="eastAsia" w:ascii="宋体" w:hAnsi="宋体" w:eastAsia="宋体" w:cs="宋体"/>
                <w:color w:val="auto"/>
                <w:sz w:val="21"/>
                <w:szCs w:val="21"/>
                <w:highlight w:val="none"/>
              </w:rPr>
            </w:pPr>
          </w:p>
        </w:tc>
        <w:tc>
          <w:tcPr>
            <w:tcW w:w="1080" w:type="dxa"/>
            <w:vMerge w:val="continue"/>
            <w:tcBorders>
              <w:left w:val="single" w:color="000000" w:sz="4" w:space="0"/>
              <w:bottom w:val="single" w:color="000000" w:sz="4" w:space="0"/>
              <w:right w:val="single" w:color="000000" w:sz="4" w:space="0"/>
            </w:tcBorders>
            <w:noWrap w:val="0"/>
            <w:vAlign w:val="center"/>
          </w:tcPr>
          <w:p w14:paraId="49527C04">
            <w:pPr>
              <w:pStyle w:val="9"/>
              <w:spacing w:line="240" w:lineRule="auto"/>
              <w:jc w:val="center"/>
              <w:rPr>
                <w:rFonts w:hint="eastAsia" w:ascii="宋体" w:hAnsi="宋体" w:eastAsia="宋体" w:cs="宋体"/>
                <w:color w:val="auto"/>
                <w:sz w:val="21"/>
                <w:szCs w:val="21"/>
                <w:highlight w:val="none"/>
              </w:rPr>
            </w:pPr>
          </w:p>
        </w:tc>
        <w:tc>
          <w:tcPr>
            <w:tcW w:w="1539" w:type="dxa"/>
            <w:vMerge w:val="continue"/>
            <w:tcBorders>
              <w:left w:val="single" w:color="000000" w:sz="4" w:space="0"/>
              <w:bottom w:val="single" w:color="000000" w:sz="4" w:space="0"/>
              <w:right w:val="single" w:color="000000" w:sz="4" w:space="0"/>
            </w:tcBorders>
            <w:noWrap w:val="0"/>
            <w:vAlign w:val="center"/>
          </w:tcPr>
          <w:p w14:paraId="5EDF8F7F">
            <w:pPr>
              <w:pStyle w:val="9"/>
              <w:spacing w:line="240" w:lineRule="auto"/>
              <w:jc w:val="center"/>
              <w:rPr>
                <w:rFonts w:hint="eastAsia" w:ascii="宋体" w:hAnsi="宋体" w:eastAsia="宋体" w:cs="宋体"/>
                <w:color w:val="auto"/>
                <w:sz w:val="21"/>
                <w:szCs w:val="21"/>
                <w:highlight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7914343">
            <w:pPr>
              <w:pStyle w:val="9"/>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48B34DEF">
            <w:pPr>
              <w:pStyle w:val="9"/>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3CB73EFC">
            <w:pPr>
              <w:pStyle w:val="9"/>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证书号</w:t>
            </w:r>
          </w:p>
        </w:tc>
      </w:tr>
      <w:tr w14:paraId="28A790E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686C593E">
            <w:pPr>
              <w:spacing w:line="240" w:lineRule="auto"/>
              <w:jc w:val="center"/>
              <w:rPr>
                <w:rFonts w:hint="eastAsia" w:ascii="宋体" w:hAnsi="宋体" w:eastAsia="宋体" w:cs="宋体"/>
                <w:color w:val="auto"/>
                <w:sz w:val="21"/>
                <w:szCs w:val="21"/>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EBB6D83">
            <w:pPr>
              <w:spacing w:line="240" w:lineRule="auto"/>
              <w:jc w:val="center"/>
              <w:rPr>
                <w:rFonts w:hint="eastAsia" w:ascii="宋体" w:hAnsi="宋体" w:eastAsia="宋体" w:cs="宋体"/>
                <w:color w:val="auto"/>
                <w:kern w:val="2"/>
                <w:sz w:val="21"/>
                <w:szCs w:val="21"/>
                <w:highlight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591AC7">
            <w:pPr>
              <w:spacing w:line="240" w:lineRule="auto"/>
              <w:jc w:val="center"/>
              <w:rPr>
                <w:rFonts w:hint="eastAsia" w:ascii="宋体" w:hAnsi="宋体" w:eastAsia="宋体" w:cs="宋体"/>
                <w:color w:val="auto"/>
                <w:sz w:val="21"/>
                <w:szCs w:val="21"/>
                <w:highlight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615A6097">
            <w:pPr>
              <w:spacing w:line="240" w:lineRule="auto"/>
              <w:jc w:val="center"/>
              <w:rPr>
                <w:rFonts w:hint="eastAsia" w:ascii="宋体" w:hAnsi="宋体" w:eastAsia="宋体" w:cs="宋体"/>
                <w:color w:val="auto"/>
                <w:kern w:val="2"/>
                <w:sz w:val="21"/>
                <w:szCs w:val="21"/>
                <w:highlight w:val="none"/>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219EF13">
            <w:pPr>
              <w:keepNext w:val="0"/>
              <w:keepLines w:val="0"/>
              <w:widowControl/>
              <w:suppressLineNumbers w:val="0"/>
              <w:spacing w:line="240" w:lineRule="auto"/>
              <w:jc w:val="center"/>
              <w:textAlignment w:val="center"/>
              <w:rPr>
                <w:rFonts w:hint="eastAsia" w:ascii="宋体" w:hAnsi="宋体" w:eastAsia="宋体" w:cs="宋体"/>
                <w:color w:val="auto"/>
                <w:kern w:val="2"/>
                <w:sz w:val="21"/>
                <w:szCs w:val="21"/>
                <w:highlight w:val="none"/>
                <w:lang w:val="en-US" w:eastAsia="zh-CN" w:bidi="ar-SA"/>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207D051F">
            <w:pPr>
              <w:keepNext w:val="0"/>
              <w:keepLines w:val="0"/>
              <w:widowControl/>
              <w:suppressLineNumbers w:val="0"/>
              <w:spacing w:line="240" w:lineRule="auto"/>
              <w:jc w:val="center"/>
              <w:textAlignment w:val="center"/>
              <w:rPr>
                <w:rFonts w:hint="eastAsia" w:ascii="宋体" w:hAnsi="宋体" w:eastAsia="宋体" w:cs="宋体"/>
                <w:color w:val="auto"/>
                <w:kern w:val="2"/>
                <w:sz w:val="21"/>
                <w:szCs w:val="21"/>
                <w:highlight w:val="none"/>
                <w:lang w:val="en-US" w:eastAsia="zh-CN" w:bidi="ar-SA"/>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4C752390">
            <w:pPr>
              <w:keepNext w:val="0"/>
              <w:keepLines w:val="0"/>
              <w:widowControl/>
              <w:suppressLineNumbers w:val="0"/>
              <w:spacing w:line="240" w:lineRule="auto"/>
              <w:jc w:val="center"/>
              <w:textAlignment w:val="center"/>
              <w:rPr>
                <w:rFonts w:hint="eastAsia" w:ascii="宋体" w:hAnsi="宋体" w:eastAsia="宋体" w:cs="宋体"/>
                <w:color w:val="auto"/>
                <w:kern w:val="2"/>
                <w:sz w:val="21"/>
                <w:szCs w:val="21"/>
                <w:highlight w:val="none"/>
                <w:lang w:val="en-US" w:eastAsia="zh-CN" w:bidi="ar-SA"/>
              </w:rPr>
            </w:pPr>
          </w:p>
        </w:tc>
      </w:tr>
      <w:tr w14:paraId="7F05098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097799DE">
            <w:pPr>
              <w:spacing w:line="240" w:lineRule="auto"/>
              <w:jc w:val="center"/>
              <w:rPr>
                <w:rFonts w:hint="eastAsia" w:ascii="宋体" w:hAnsi="宋体" w:eastAsia="宋体" w:cs="宋体"/>
                <w:color w:val="auto"/>
                <w:sz w:val="21"/>
                <w:szCs w:val="21"/>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A84597C">
            <w:pPr>
              <w:spacing w:line="240" w:lineRule="auto"/>
              <w:jc w:val="center"/>
              <w:rPr>
                <w:rFonts w:hint="eastAsia" w:ascii="宋体" w:hAnsi="宋体" w:eastAsia="宋体" w:cs="宋体"/>
                <w:color w:val="auto"/>
                <w:kern w:val="2"/>
                <w:sz w:val="21"/>
                <w:szCs w:val="21"/>
                <w:highlight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1035E4C">
            <w:pPr>
              <w:spacing w:line="240" w:lineRule="auto"/>
              <w:jc w:val="center"/>
              <w:rPr>
                <w:rFonts w:hint="eastAsia" w:ascii="宋体" w:hAnsi="宋体" w:eastAsia="宋体" w:cs="宋体"/>
                <w:color w:val="auto"/>
                <w:sz w:val="21"/>
                <w:szCs w:val="21"/>
                <w:highlight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76E4818C">
            <w:pPr>
              <w:spacing w:line="240" w:lineRule="auto"/>
              <w:jc w:val="center"/>
              <w:rPr>
                <w:rFonts w:hint="eastAsia" w:ascii="宋体" w:hAnsi="宋体" w:eastAsia="宋体" w:cs="宋体"/>
                <w:color w:val="auto"/>
                <w:kern w:val="2"/>
                <w:sz w:val="21"/>
                <w:szCs w:val="21"/>
                <w:highlight w:val="none"/>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81FD124">
            <w:pPr>
              <w:spacing w:line="240" w:lineRule="auto"/>
              <w:jc w:val="center"/>
              <w:rPr>
                <w:rFonts w:hint="eastAsia" w:ascii="宋体" w:hAnsi="宋体" w:eastAsia="宋体" w:cs="宋体"/>
                <w:color w:val="auto"/>
                <w:kern w:val="2"/>
                <w:sz w:val="21"/>
                <w:szCs w:val="21"/>
                <w:highlight w:val="none"/>
                <w:lang w:val="en-US" w:eastAsia="zh-CN" w:bidi="ar-SA"/>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5A8C9C22">
            <w:pPr>
              <w:spacing w:line="240" w:lineRule="auto"/>
              <w:jc w:val="center"/>
              <w:rPr>
                <w:rFonts w:hint="eastAsia" w:ascii="宋体" w:hAnsi="宋体" w:eastAsia="宋体" w:cs="宋体"/>
                <w:color w:val="auto"/>
                <w:kern w:val="2"/>
                <w:sz w:val="21"/>
                <w:szCs w:val="21"/>
                <w:highlight w:val="none"/>
                <w:lang w:val="en-US" w:eastAsia="zh-CN" w:bidi="ar-SA"/>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34C3776D">
            <w:pPr>
              <w:spacing w:line="240" w:lineRule="auto"/>
              <w:jc w:val="center"/>
              <w:rPr>
                <w:rFonts w:hint="eastAsia" w:ascii="宋体" w:hAnsi="宋体" w:eastAsia="宋体" w:cs="宋体"/>
                <w:color w:val="auto"/>
                <w:kern w:val="2"/>
                <w:sz w:val="21"/>
                <w:szCs w:val="21"/>
                <w:highlight w:val="none"/>
                <w:lang w:val="en-US" w:eastAsia="zh-CN" w:bidi="ar-SA"/>
              </w:rPr>
            </w:pPr>
          </w:p>
        </w:tc>
      </w:tr>
      <w:tr w14:paraId="53F107C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695CCD51">
            <w:pPr>
              <w:spacing w:line="240" w:lineRule="auto"/>
              <w:jc w:val="center"/>
              <w:rPr>
                <w:rFonts w:hint="eastAsia" w:ascii="宋体" w:hAnsi="宋体" w:eastAsia="宋体" w:cs="宋体"/>
                <w:color w:val="auto"/>
                <w:sz w:val="21"/>
                <w:szCs w:val="21"/>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A27A933">
            <w:pPr>
              <w:spacing w:line="240" w:lineRule="auto"/>
              <w:jc w:val="center"/>
              <w:rPr>
                <w:rFonts w:hint="eastAsia" w:ascii="宋体" w:hAnsi="宋体" w:eastAsia="宋体" w:cs="宋体"/>
                <w:color w:val="auto"/>
                <w:kern w:val="2"/>
                <w:sz w:val="21"/>
                <w:szCs w:val="21"/>
                <w:highlight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20C289">
            <w:pPr>
              <w:spacing w:line="240" w:lineRule="auto"/>
              <w:jc w:val="center"/>
              <w:rPr>
                <w:rFonts w:hint="eastAsia" w:ascii="宋体" w:hAnsi="宋体" w:eastAsia="宋体" w:cs="宋体"/>
                <w:color w:val="auto"/>
                <w:sz w:val="21"/>
                <w:szCs w:val="21"/>
                <w:highlight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56E828A8">
            <w:pPr>
              <w:spacing w:line="240" w:lineRule="auto"/>
              <w:jc w:val="center"/>
              <w:rPr>
                <w:rFonts w:hint="eastAsia" w:ascii="宋体" w:hAnsi="宋体" w:eastAsia="宋体" w:cs="宋体"/>
                <w:color w:val="auto"/>
                <w:kern w:val="2"/>
                <w:sz w:val="21"/>
                <w:szCs w:val="21"/>
                <w:highlight w:val="none"/>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35495EF">
            <w:pPr>
              <w:spacing w:line="240" w:lineRule="auto"/>
              <w:jc w:val="center"/>
              <w:rPr>
                <w:rFonts w:hint="eastAsia" w:ascii="宋体" w:hAnsi="宋体" w:eastAsia="宋体" w:cs="宋体"/>
                <w:color w:val="auto"/>
                <w:kern w:val="2"/>
                <w:sz w:val="21"/>
                <w:szCs w:val="21"/>
                <w:highlight w:val="none"/>
                <w:lang w:val="en-US" w:eastAsia="zh-CN" w:bidi="ar-SA"/>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3520A1FB">
            <w:pPr>
              <w:spacing w:line="240" w:lineRule="auto"/>
              <w:jc w:val="center"/>
              <w:rPr>
                <w:rFonts w:hint="eastAsia" w:ascii="宋体" w:hAnsi="宋体" w:eastAsia="宋体" w:cs="宋体"/>
                <w:color w:val="auto"/>
                <w:kern w:val="2"/>
                <w:sz w:val="21"/>
                <w:szCs w:val="21"/>
                <w:highlight w:val="none"/>
                <w:lang w:val="en-US" w:eastAsia="zh-CN" w:bidi="ar-SA"/>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4BA28C57">
            <w:pPr>
              <w:spacing w:line="240" w:lineRule="auto"/>
              <w:jc w:val="center"/>
              <w:rPr>
                <w:rFonts w:hint="eastAsia" w:ascii="宋体" w:hAnsi="宋体" w:eastAsia="宋体" w:cs="宋体"/>
                <w:color w:val="auto"/>
                <w:kern w:val="2"/>
                <w:sz w:val="21"/>
                <w:szCs w:val="21"/>
                <w:highlight w:val="none"/>
                <w:lang w:val="en-US" w:eastAsia="zh-CN" w:bidi="ar-SA"/>
              </w:rPr>
            </w:pPr>
          </w:p>
        </w:tc>
      </w:tr>
      <w:tr w14:paraId="016184C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1AEEC88B">
            <w:pPr>
              <w:spacing w:line="240" w:lineRule="auto"/>
              <w:jc w:val="center"/>
              <w:rPr>
                <w:rFonts w:hint="eastAsia" w:ascii="宋体" w:hAnsi="宋体" w:eastAsia="宋体" w:cs="宋体"/>
                <w:color w:val="auto"/>
                <w:sz w:val="21"/>
                <w:szCs w:val="21"/>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CD8774C">
            <w:pPr>
              <w:spacing w:line="240" w:lineRule="auto"/>
              <w:jc w:val="center"/>
              <w:rPr>
                <w:rFonts w:hint="eastAsia" w:ascii="宋体" w:hAnsi="宋体" w:eastAsia="宋体" w:cs="宋体"/>
                <w:color w:val="auto"/>
                <w:kern w:val="2"/>
                <w:sz w:val="21"/>
                <w:szCs w:val="21"/>
                <w:highlight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7E0BCC">
            <w:pPr>
              <w:spacing w:line="240" w:lineRule="auto"/>
              <w:jc w:val="center"/>
              <w:rPr>
                <w:rFonts w:hint="eastAsia" w:ascii="宋体" w:hAnsi="宋体" w:eastAsia="宋体" w:cs="宋体"/>
                <w:color w:val="auto"/>
                <w:sz w:val="21"/>
                <w:szCs w:val="21"/>
                <w:highlight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3421F46D">
            <w:pPr>
              <w:spacing w:line="240" w:lineRule="auto"/>
              <w:jc w:val="center"/>
              <w:rPr>
                <w:rFonts w:hint="eastAsia" w:ascii="宋体" w:hAnsi="宋体" w:eastAsia="宋体" w:cs="宋体"/>
                <w:color w:val="auto"/>
                <w:kern w:val="2"/>
                <w:sz w:val="21"/>
                <w:szCs w:val="21"/>
                <w:highlight w:val="none"/>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FB7FDA1">
            <w:pPr>
              <w:spacing w:line="240" w:lineRule="auto"/>
              <w:jc w:val="center"/>
              <w:rPr>
                <w:rFonts w:hint="eastAsia" w:ascii="宋体" w:hAnsi="宋体" w:eastAsia="宋体" w:cs="宋体"/>
                <w:color w:val="auto"/>
                <w:kern w:val="2"/>
                <w:sz w:val="21"/>
                <w:szCs w:val="21"/>
                <w:highlight w:val="none"/>
                <w:lang w:val="en-US" w:eastAsia="zh-CN" w:bidi="ar-SA"/>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563B2A8F">
            <w:pPr>
              <w:spacing w:line="240" w:lineRule="auto"/>
              <w:jc w:val="center"/>
              <w:rPr>
                <w:rFonts w:hint="eastAsia" w:ascii="宋体" w:hAnsi="宋体" w:eastAsia="宋体" w:cs="宋体"/>
                <w:color w:val="auto"/>
                <w:kern w:val="2"/>
                <w:sz w:val="21"/>
                <w:szCs w:val="21"/>
                <w:highlight w:val="none"/>
                <w:lang w:val="en-US" w:eastAsia="zh-CN" w:bidi="ar-SA"/>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46FE0D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r>
      <w:tr w14:paraId="51A41F6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2FEFA6AE">
            <w:pPr>
              <w:spacing w:line="240" w:lineRule="auto"/>
              <w:jc w:val="center"/>
              <w:rPr>
                <w:rFonts w:hint="eastAsia" w:ascii="宋体" w:hAnsi="宋体" w:eastAsia="宋体" w:cs="宋体"/>
                <w:color w:val="auto"/>
                <w:sz w:val="21"/>
                <w:szCs w:val="21"/>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57F052A">
            <w:pPr>
              <w:spacing w:line="240" w:lineRule="auto"/>
              <w:jc w:val="center"/>
              <w:rPr>
                <w:rFonts w:hint="eastAsia" w:ascii="宋体" w:hAnsi="宋体" w:eastAsia="宋体" w:cs="宋体"/>
                <w:color w:val="auto"/>
                <w:kern w:val="2"/>
                <w:sz w:val="21"/>
                <w:szCs w:val="21"/>
                <w:highlight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E1C0FE">
            <w:pPr>
              <w:spacing w:line="240" w:lineRule="auto"/>
              <w:jc w:val="center"/>
              <w:rPr>
                <w:rFonts w:hint="eastAsia" w:ascii="宋体" w:hAnsi="宋体" w:eastAsia="宋体" w:cs="宋体"/>
                <w:color w:val="auto"/>
                <w:sz w:val="21"/>
                <w:szCs w:val="21"/>
                <w:highlight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358F18CA">
            <w:pPr>
              <w:spacing w:line="240" w:lineRule="auto"/>
              <w:jc w:val="center"/>
              <w:rPr>
                <w:rFonts w:hint="eastAsia" w:ascii="宋体" w:hAnsi="宋体" w:eastAsia="宋体" w:cs="宋体"/>
                <w:color w:val="auto"/>
                <w:kern w:val="2"/>
                <w:sz w:val="21"/>
                <w:szCs w:val="21"/>
                <w:highlight w:val="none"/>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AB7FC96">
            <w:pPr>
              <w:spacing w:line="240" w:lineRule="auto"/>
              <w:jc w:val="center"/>
              <w:rPr>
                <w:rFonts w:hint="eastAsia" w:ascii="宋体" w:hAnsi="宋体" w:eastAsia="宋体" w:cs="宋体"/>
                <w:color w:val="auto"/>
                <w:kern w:val="2"/>
                <w:sz w:val="21"/>
                <w:szCs w:val="21"/>
                <w:highlight w:val="none"/>
                <w:lang w:val="en-US" w:eastAsia="zh-CN" w:bidi="ar-SA"/>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1A014F3F">
            <w:pPr>
              <w:spacing w:line="240" w:lineRule="auto"/>
              <w:jc w:val="center"/>
              <w:rPr>
                <w:rFonts w:hint="eastAsia" w:ascii="宋体" w:hAnsi="宋体" w:eastAsia="宋体" w:cs="宋体"/>
                <w:color w:val="auto"/>
                <w:kern w:val="2"/>
                <w:sz w:val="21"/>
                <w:szCs w:val="21"/>
                <w:highlight w:val="none"/>
                <w:lang w:val="en-US" w:eastAsia="zh-CN" w:bidi="ar-SA"/>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65EBA12A">
            <w:pPr>
              <w:spacing w:line="240" w:lineRule="auto"/>
              <w:jc w:val="center"/>
              <w:rPr>
                <w:rFonts w:hint="eastAsia" w:ascii="宋体" w:hAnsi="宋体" w:eastAsia="宋体" w:cs="宋体"/>
                <w:color w:val="auto"/>
                <w:kern w:val="2"/>
                <w:sz w:val="21"/>
                <w:szCs w:val="21"/>
                <w:highlight w:val="none"/>
                <w:lang w:val="en-US" w:eastAsia="zh-CN" w:bidi="ar-SA"/>
              </w:rPr>
            </w:pPr>
          </w:p>
        </w:tc>
      </w:tr>
      <w:tr w14:paraId="419C2F1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1E4E5CC3">
            <w:pPr>
              <w:spacing w:line="240" w:lineRule="auto"/>
              <w:jc w:val="center"/>
              <w:rPr>
                <w:rFonts w:hint="eastAsia" w:ascii="宋体" w:hAnsi="宋体" w:eastAsia="宋体" w:cs="宋体"/>
                <w:color w:val="auto"/>
                <w:sz w:val="21"/>
                <w:szCs w:val="21"/>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8FEBED5">
            <w:pPr>
              <w:spacing w:line="240" w:lineRule="auto"/>
              <w:jc w:val="center"/>
              <w:rPr>
                <w:rFonts w:hint="eastAsia" w:ascii="宋体" w:hAnsi="宋体" w:eastAsia="宋体" w:cs="宋体"/>
                <w:color w:val="auto"/>
                <w:kern w:val="2"/>
                <w:sz w:val="21"/>
                <w:szCs w:val="21"/>
                <w:highlight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4DA211">
            <w:pPr>
              <w:spacing w:line="240" w:lineRule="auto"/>
              <w:jc w:val="center"/>
              <w:rPr>
                <w:rFonts w:hint="eastAsia" w:ascii="宋体" w:hAnsi="宋体" w:eastAsia="宋体" w:cs="宋体"/>
                <w:color w:val="auto"/>
                <w:sz w:val="21"/>
                <w:szCs w:val="21"/>
                <w:highlight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7DBAA1EA">
            <w:pPr>
              <w:spacing w:line="240" w:lineRule="auto"/>
              <w:jc w:val="center"/>
              <w:rPr>
                <w:rFonts w:hint="eastAsia" w:ascii="宋体" w:hAnsi="宋体" w:eastAsia="宋体" w:cs="宋体"/>
                <w:color w:val="auto"/>
                <w:kern w:val="2"/>
                <w:sz w:val="21"/>
                <w:szCs w:val="21"/>
                <w:highlight w:val="none"/>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D244F06">
            <w:pPr>
              <w:spacing w:line="240" w:lineRule="auto"/>
              <w:jc w:val="center"/>
              <w:rPr>
                <w:rFonts w:hint="eastAsia" w:ascii="宋体" w:hAnsi="宋体" w:eastAsia="宋体" w:cs="宋体"/>
                <w:color w:val="auto"/>
                <w:kern w:val="2"/>
                <w:sz w:val="21"/>
                <w:szCs w:val="21"/>
                <w:highlight w:val="none"/>
                <w:lang w:val="en-US" w:eastAsia="zh-CN" w:bidi="ar-SA"/>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2985A7E6">
            <w:pPr>
              <w:spacing w:line="240" w:lineRule="auto"/>
              <w:jc w:val="center"/>
              <w:rPr>
                <w:rFonts w:hint="eastAsia" w:ascii="宋体" w:hAnsi="宋体" w:eastAsia="宋体" w:cs="宋体"/>
                <w:color w:val="auto"/>
                <w:kern w:val="2"/>
                <w:sz w:val="21"/>
                <w:szCs w:val="21"/>
                <w:highlight w:val="none"/>
                <w:lang w:val="en-US" w:eastAsia="zh-CN" w:bidi="ar-SA"/>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6F5F0590">
            <w:pPr>
              <w:spacing w:line="240" w:lineRule="auto"/>
              <w:jc w:val="center"/>
              <w:rPr>
                <w:rFonts w:hint="eastAsia" w:ascii="宋体" w:hAnsi="宋体" w:eastAsia="宋体" w:cs="宋体"/>
                <w:color w:val="auto"/>
                <w:kern w:val="2"/>
                <w:sz w:val="21"/>
                <w:szCs w:val="21"/>
                <w:highlight w:val="none"/>
                <w:lang w:val="en-US" w:eastAsia="zh-CN" w:bidi="ar-SA"/>
              </w:rPr>
            </w:pPr>
          </w:p>
        </w:tc>
      </w:tr>
      <w:tr w14:paraId="7A63ABC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41AEECD5">
            <w:pPr>
              <w:spacing w:line="240" w:lineRule="auto"/>
              <w:jc w:val="center"/>
              <w:rPr>
                <w:rFonts w:hint="eastAsia" w:ascii="宋体" w:hAnsi="宋体" w:eastAsia="宋体" w:cs="宋体"/>
                <w:color w:val="auto"/>
                <w:sz w:val="21"/>
                <w:szCs w:val="21"/>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8B3AB1B">
            <w:pPr>
              <w:spacing w:line="240" w:lineRule="auto"/>
              <w:jc w:val="center"/>
              <w:rPr>
                <w:rFonts w:hint="eastAsia" w:ascii="宋体" w:hAnsi="宋体" w:eastAsia="宋体" w:cs="宋体"/>
                <w:color w:val="auto"/>
                <w:kern w:val="2"/>
                <w:sz w:val="21"/>
                <w:szCs w:val="21"/>
                <w:highlight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EFC28F">
            <w:pPr>
              <w:spacing w:line="240" w:lineRule="auto"/>
              <w:jc w:val="center"/>
              <w:rPr>
                <w:rFonts w:hint="eastAsia" w:ascii="宋体" w:hAnsi="宋体" w:eastAsia="宋体" w:cs="宋体"/>
                <w:color w:val="auto"/>
                <w:sz w:val="21"/>
                <w:szCs w:val="21"/>
                <w:highlight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77ABB8E8">
            <w:pPr>
              <w:spacing w:line="240" w:lineRule="auto"/>
              <w:jc w:val="center"/>
              <w:rPr>
                <w:rFonts w:hint="eastAsia" w:ascii="宋体" w:hAnsi="宋体" w:eastAsia="宋体" w:cs="宋体"/>
                <w:color w:val="auto"/>
                <w:kern w:val="2"/>
                <w:sz w:val="21"/>
                <w:szCs w:val="21"/>
                <w:highlight w:val="none"/>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D80D682">
            <w:pPr>
              <w:spacing w:line="240" w:lineRule="auto"/>
              <w:jc w:val="center"/>
              <w:rPr>
                <w:rFonts w:hint="eastAsia" w:ascii="宋体" w:hAnsi="宋体" w:eastAsia="宋体" w:cs="宋体"/>
                <w:color w:val="auto"/>
                <w:kern w:val="2"/>
                <w:sz w:val="21"/>
                <w:szCs w:val="21"/>
                <w:highlight w:val="none"/>
                <w:lang w:val="en-US" w:eastAsia="zh-CN" w:bidi="ar-SA"/>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52AB4EB2">
            <w:pPr>
              <w:spacing w:line="240" w:lineRule="auto"/>
              <w:jc w:val="center"/>
              <w:rPr>
                <w:rFonts w:hint="eastAsia" w:ascii="宋体" w:hAnsi="宋体" w:eastAsia="宋体" w:cs="宋体"/>
                <w:color w:val="auto"/>
                <w:kern w:val="2"/>
                <w:sz w:val="21"/>
                <w:szCs w:val="21"/>
                <w:highlight w:val="none"/>
                <w:lang w:val="en-US" w:eastAsia="zh-CN" w:bidi="ar-SA"/>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3AA88A49">
            <w:pPr>
              <w:spacing w:line="240" w:lineRule="auto"/>
              <w:jc w:val="center"/>
              <w:rPr>
                <w:rFonts w:hint="eastAsia" w:ascii="宋体" w:hAnsi="宋体" w:eastAsia="宋体" w:cs="宋体"/>
                <w:color w:val="auto"/>
                <w:kern w:val="2"/>
                <w:sz w:val="21"/>
                <w:szCs w:val="21"/>
                <w:highlight w:val="none"/>
                <w:lang w:val="en-US" w:eastAsia="zh-CN" w:bidi="ar-SA"/>
              </w:rPr>
            </w:pPr>
          </w:p>
        </w:tc>
      </w:tr>
      <w:tr w14:paraId="4C1337E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2E8EAB65">
            <w:pPr>
              <w:spacing w:line="240" w:lineRule="auto"/>
              <w:jc w:val="center"/>
              <w:rPr>
                <w:rFonts w:hint="eastAsia" w:ascii="宋体" w:hAnsi="宋体" w:eastAsia="宋体" w:cs="宋体"/>
                <w:color w:val="auto"/>
                <w:sz w:val="21"/>
                <w:szCs w:val="21"/>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4281C7B">
            <w:pPr>
              <w:spacing w:line="240" w:lineRule="auto"/>
              <w:jc w:val="center"/>
              <w:rPr>
                <w:rFonts w:hint="eastAsia" w:ascii="宋体" w:hAnsi="宋体" w:eastAsia="宋体" w:cs="宋体"/>
                <w:color w:val="auto"/>
                <w:kern w:val="2"/>
                <w:sz w:val="21"/>
                <w:szCs w:val="21"/>
                <w:highlight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59662A">
            <w:pPr>
              <w:spacing w:line="240" w:lineRule="auto"/>
              <w:jc w:val="center"/>
              <w:rPr>
                <w:rFonts w:hint="eastAsia" w:ascii="宋体" w:hAnsi="宋体" w:eastAsia="宋体" w:cs="宋体"/>
                <w:color w:val="auto"/>
                <w:sz w:val="21"/>
                <w:szCs w:val="21"/>
                <w:highlight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14F43D8A">
            <w:pPr>
              <w:keepNext w:val="0"/>
              <w:keepLines w:val="0"/>
              <w:widowControl/>
              <w:suppressLineNumbers w:val="0"/>
              <w:spacing w:line="240" w:lineRule="auto"/>
              <w:jc w:val="center"/>
              <w:textAlignment w:val="center"/>
              <w:rPr>
                <w:rFonts w:hint="eastAsia" w:ascii="宋体" w:hAnsi="宋体" w:eastAsia="宋体" w:cs="宋体"/>
                <w:color w:val="auto"/>
                <w:kern w:val="2"/>
                <w:sz w:val="21"/>
                <w:szCs w:val="21"/>
                <w:highlight w:val="none"/>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5ECF9CE">
            <w:pPr>
              <w:spacing w:line="240" w:lineRule="auto"/>
              <w:jc w:val="center"/>
              <w:rPr>
                <w:rFonts w:hint="eastAsia" w:ascii="宋体" w:hAnsi="宋体" w:eastAsia="宋体" w:cs="宋体"/>
                <w:color w:val="auto"/>
                <w:kern w:val="2"/>
                <w:sz w:val="21"/>
                <w:szCs w:val="21"/>
                <w:highlight w:val="none"/>
                <w:lang w:val="en-US" w:eastAsia="zh-CN" w:bidi="ar-SA"/>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453CA785">
            <w:pPr>
              <w:keepNext w:val="0"/>
              <w:keepLines w:val="0"/>
              <w:widowControl/>
              <w:suppressLineNumbers w:val="0"/>
              <w:spacing w:line="240" w:lineRule="auto"/>
              <w:jc w:val="center"/>
              <w:textAlignment w:val="center"/>
              <w:rPr>
                <w:rFonts w:hint="eastAsia" w:ascii="宋体" w:hAnsi="宋体" w:eastAsia="宋体" w:cs="宋体"/>
                <w:color w:val="auto"/>
                <w:kern w:val="2"/>
                <w:sz w:val="21"/>
                <w:szCs w:val="21"/>
                <w:highlight w:val="none"/>
                <w:lang w:val="en-US" w:eastAsia="zh-CN" w:bidi="ar-SA"/>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0DB2C011">
            <w:pPr>
              <w:keepNext w:val="0"/>
              <w:keepLines w:val="0"/>
              <w:widowControl/>
              <w:suppressLineNumbers w:val="0"/>
              <w:spacing w:line="240" w:lineRule="auto"/>
              <w:jc w:val="center"/>
              <w:textAlignment w:val="center"/>
              <w:rPr>
                <w:rFonts w:hint="eastAsia" w:ascii="宋体" w:hAnsi="宋体" w:eastAsia="宋体" w:cs="宋体"/>
                <w:color w:val="auto"/>
                <w:kern w:val="2"/>
                <w:sz w:val="21"/>
                <w:szCs w:val="21"/>
                <w:highlight w:val="none"/>
                <w:lang w:val="en-US" w:eastAsia="zh-CN" w:bidi="ar-SA"/>
              </w:rPr>
            </w:pPr>
          </w:p>
        </w:tc>
      </w:tr>
      <w:tr w14:paraId="143856B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0E888CB8">
            <w:pPr>
              <w:spacing w:line="240" w:lineRule="auto"/>
              <w:jc w:val="center"/>
              <w:rPr>
                <w:rFonts w:hint="eastAsia" w:ascii="宋体" w:hAnsi="宋体" w:eastAsia="宋体" w:cs="宋体"/>
                <w:color w:val="auto"/>
                <w:sz w:val="21"/>
                <w:szCs w:val="21"/>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F1E3476">
            <w:pPr>
              <w:spacing w:line="240" w:lineRule="auto"/>
              <w:jc w:val="center"/>
              <w:rPr>
                <w:rFonts w:hint="eastAsia" w:ascii="宋体" w:hAnsi="宋体" w:eastAsia="宋体" w:cs="宋体"/>
                <w:color w:val="auto"/>
                <w:kern w:val="2"/>
                <w:sz w:val="21"/>
                <w:szCs w:val="21"/>
                <w:highlight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742044">
            <w:pPr>
              <w:spacing w:line="240" w:lineRule="auto"/>
              <w:jc w:val="center"/>
              <w:rPr>
                <w:rFonts w:hint="eastAsia" w:ascii="宋体" w:hAnsi="宋体" w:eastAsia="宋体" w:cs="宋体"/>
                <w:color w:val="auto"/>
                <w:sz w:val="21"/>
                <w:szCs w:val="21"/>
                <w:highlight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33CF0717">
            <w:pPr>
              <w:spacing w:line="240" w:lineRule="auto"/>
              <w:jc w:val="center"/>
              <w:rPr>
                <w:rFonts w:hint="eastAsia" w:ascii="宋体" w:hAnsi="宋体" w:eastAsia="宋体" w:cs="宋体"/>
                <w:color w:val="auto"/>
                <w:kern w:val="2"/>
                <w:sz w:val="21"/>
                <w:szCs w:val="21"/>
                <w:highlight w:val="none"/>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2A82D0D">
            <w:pPr>
              <w:keepNext w:val="0"/>
              <w:keepLines w:val="0"/>
              <w:widowControl/>
              <w:suppressLineNumbers w:val="0"/>
              <w:spacing w:line="240" w:lineRule="auto"/>
              <w:jc w:val="center"/>
              <w:textAlignment w:val="center"/>
              <w:rPr>
                <w:rFonts w:hint="eastAsia" w:ascii="宋体" w:hAnsi="宋体" w:eastAsia="宋体" w:cs="宋体"/>
                <w:color w:val="auto"/>
                <w:kern w:val="2"/>
                <w:sz w:val="21"/>
                <w:szCs w:val="21"/>
                <w:highlight w:val="none"/>
                <w:lang w:val="en-US" w:eastAsia="zh-CN" w:bidi="ar-SA"/>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4AFF44DB">
            <w:pPr>
              <w:keepNext w:val="0"/>
              <w:keepLines w:val="0"/>
              <w:widowControl/>
              <w:suppressLineNumbers w:val="0"/>
              <w:spacing w:line="240" w:lineRule="auto"/>
              <w:jc w:val="center"/>
              <w:textAlignment w:val="center"/>
              <w:rPr>
                <w:rFonts w:hint="eastAsia" w:ascii="宋体" w:hAnsi="宋体" w:eastAsia="宋体" w:cs="宋体"/>
                <w:color w:val="auto"/>
                <w:kern w:val="2"/>
                <w:sz w:val="21"/>
                <w:szCs w:val="21"/>
                <w:highlight w:val="none"/>
                <w:lang w:val="en-US" w:eastAsia="zh-CN" w:bidi="ar-SA"/>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43A3B2EE">
            <w:pPr>
              <w:keepNext w:val="0"/>
              <w:keepLines w:val="0"/>
              <w:widowControl/>
              <w:suppressLineNumbers w:val="0"/>
              <w:spacing w:line="240" w:lineRule="auto"/>
              <w:jc w:val="center"/>
              <w:textAlignment w:val="center"/>
              <w:rPr>
                <w:rFonts w:hint="eastAsia" w:ascii="宋体" w:hAnsi="宋体" w:eastAsia="宋体" w:cs="宋体"/>
                <w:color w:val="auto"/>
                <w:kern w:val="2"/>
                <w:sz w:val="21"/>
                <w:szCs w:val="21"/>
                <w:highlight w:val="none"/>
                <w:lang w:val="en-US" w:eastAsia="zh-CN" w:bidi="ar-SA"/>
              </w:rPr>
            </w:pPr>
          </w:p>
        </w:tc>
      </w:tr>
      <w:tr w14:paraId="68D19EE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316F83E0">
            <w:pPr>
              <w:spacing w:line="240" w:lineRule="auto"/>
              <w:jc w:val="center"/>
              <w:rPr>
                <w:rFonts w:hint="eastAsia" w:ascii="宋体" w:hAnsi="宋体" w:eastAsia="宋体" w:cs="宋体"/>
                <w:color w:val="auto"/>
                <w:sz w:val="21"/>
                <w:szCs w:val="21"/>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201E8D4">
            <w:pPr>
              <w:keepNext w:val="0"/>
              <w:keepLines w:val="0"/>
              <w:widowControl/>
              <w:suppressLineNumbers w:val="0"/>
              <w:spacing w:line="240" w:lineRule="auto"/>
              <w:jc w:val="center"/>
              <w:textAlignment w:val="center"/>
              <w:rPr>
                <w:rFonts w:hint="eastAsia" w:ascii="宋体" w:hAnsi="宋体" w:eastAsia="宋体" w:cs="宋体"/>
                <w:color w:val="auto"/>
                <w:kern w:val="2"/>
                <w:sz w:val="21"/>
                <w:szCs w:val="21"/>
                <w:highlight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E3F8A2">
            <w:pPr>
              <w:spacing w:line="240" w:lineRule="auto"/>
              <w:jc w:val="center"/>
              <w:rPr>
                <w:rFonts w:hint="eastAsia" w:ascii="宋体" w:hAnsi="宋体" w:eastAsia="宋体" w:cs="宋体"/>
                <w:color w:val="auto"/>
                <w:sz w:val="21"/>
                <w:szCs w:val="21"/>
                <w:highlight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507395A4">
            <w:pPr>
              <w:keepNext w:val="0"/>
              <w:keepLines w:val="0"/>
              <w:widowControl/>
              <w:suppressLineNumbers w:val="0"/>
              <w:spacing w:line="240" w:lineRule="auto"/>
              <w:jc w:val="center"/>
              <w:textAlignment w:val="center"/>
              <w:rPr>
                <w:rFonts w:hint="eastAsia" w:ascii="宋体" w:hAnsi="宋体" w:eastAsia="宋体" w:cs="宋体"/>
                <w:color w:val="auto"/>
                <w:kern w:val="2"/>
                <w:sz w:val="21"/>
                <w:szCs w:val="21"/>
                <w:highlight w:val="none"/>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0E91771">
            <w:pPr>
              <w:keepNext w:val="0"/>
              <w:keepLines w:val="0"/>
              <w:widowControl/>
              <w:suppressLineNumbers w:val="0"/>
              <w:spacing w:line="240" w:lineRule="auto"/>
              <w:jc w:val="center"/>
              <w:textAlignment w:val="center"/>
              <w:rPr>
                <w:rFonts w:hint="eastAsia" w:ascii="宋体" w:hAnsi="宋体" w:eastAsia="宋体" w:cs="宋体"/>
                <w:color w:val="auto"/>
                <w:kern w:val="2"/>
                <w:sz w:val="21"/>
                <w:szCs w:val="21"/>
                <w:highlight w:val="none"/>
                <w:lang w:val="en-US" w:eastAsia="zh-CN" w:bidi="ar-SA"/>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41078AC1">
            <w:pPr>
              <w:keepNext w:val="0"/>
              <w:keepLines w:val="0"/>
              <w:widowControl/>
              <w:suppressLineNumbers w:val="0"/>
              <w:spacing w:line="240" w:lineRule="auto"/>
              <w:jc w:val="center"/>
              <w:textAlignment w:val="center"/>
              <w:rPr>
                <w:rFonts w:hint="eastAsia" w:ascii="宋体" w:hAnsi="宋体" w:eastAsia="宋体" w:cs="宋体"/>
                <w:color w:val="auto"/>
                <w:kern w:val="2"/>
                <w:sz w:val="21"/>
                <w:szCs w:val="21"/>
                <w:highlight w:val="none"/>
                <w:lang w:val="en-US" w:eastAsia="zh-CN" w:bidi="ar-SA"/>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2128B086">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lang w:val="en-US" w:eastAsia="zh-CN" w:bidi="ar"/>
              </w:rPr>
            </w:pPr>
          </w:p>
        </w:tc>
      </w:tr>
      <w:tr w14:paraId="546F9EF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3AE316B4">
            <w:pPr>
              <w:spacing w:line="240" w:lineRule="auto"/>
              <w:jc w:val="center"/>
              <w:rPr>
                <w:rFonts w:hint="eastAsia" w:ascii="宋体" w:hAnsi="宋体" w:eastAsia="宋体" w:cs="宋体"/>
                <w:color w:val="auto"/>
                <w:sz w:val="21"/>
                <w:szCs w:val="21"/>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6134F6E">
            <w:pPr>
              <w:keepNext w:val="0"/>
              <w:keepLines w:val="0"/>
              <w:widowControl/>
              <w:suppressLineNumbers w:val="0"/>
              <w:spacing w:line="240" w:lineRule="auto"/>
              <w:jc w:val="center"/>
              <w:textAlignment w:val="center"/>
              <w:rPr>
                <w:rFonts w:hint="eastAsia" w:ascii="宋体" w:hAnsi="宋体" w:eastAsia="宋体" w:cs="宋体"/>
                <w:color w:val="auto"/>
                <w:kern w:val="2"/>
                <w:sz w:val="21"/>
                <w:szCs w:val="21"/>
                <w:highlight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0765811">
            <w:pPr>
              <w:spacing w:line="240" w:lineRule="auto"/>
              <w:jc w:val="center"/>
              <w:rPr>
                <w:rFonts w:hint="eastAsia" w:ascii="宋体" w:hAnsi="宋体" w:eastAsia="宋体" w:cs="宋体"/>
                <w:color w:val="auto"/>
                <w:sz w:val="21"/>
                <w:szCs w:val="21"/>
                <w:highlight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06ECE2E1">
            <w:pPr>
              <w:spacing w:line="240" w:lineRule="auto"/>
              <w:jc w:val="center"/>
              <w:rPr>
                <w:rFonts w:hint="eastAsia" w:ascii="宋体" w:hAnsi="宋体" w:eastAsia="宋体" w:cs="宋体"/>
                <w:color w:val="auto"/>
                <w:kern w:val="2"/>
                <w:sz w:val="21"/>
                <w:szCs w:val="21"/>
                <w:highlight w:val="none"/>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F25F227">
            <w:pPr>
              <w:spacing w:line="240" w:lineRule="auto"/>
              <w:jc w:val="center"/>
              <w:rPr>
                <w:rFonts w:hint="eastAsia" w:ascii="宋体" w:hAnsi="宋体" w:eastAsia="宋体" w:cs="宋体"/>
                <w:color w:val="auto"/>
                <w:kern w:val="2"/>
                <w:sz w:val="21"/>
                <w:szCs w:val="21"/>
                <w:highlight w:val="none"/>
                <w:lang w:val="en-US" w:eastAsia="zh-CN" w:bidi="ar-SA"/>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3F0243B0">
            <w:pPr>
              <w:spacing w:line="240" w:lineRule="auto"/>
              <w:jc w:val="center"/>
              <w:rPr>
                <w:rFonts w:hint="eastAsia" w:ascii="宋体" w:hAnsi="宋体" w:eastAsia="宋体" w:cs="宋体"/>
                <w:color w:val="auto"/>
                <w:kern w:val="2"/>
                <w:sz w:val="21"/>
                <w:szCs w:val="21"/>
                <w:highlight w:val="none"/>
                <w:lang w:val="en-US" w:eastAsia="zh-CN" w:bidi="ar-SA"/>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241AB016">
            <w:pPr>
              <w:spacing w:line="240" w:lineRule="auto"/>
              <w:jc w:val="center"/>
              <w:rPr>
                <w:rFonts w:hint="eastAsia" w:ascii="宋体" w:hAnsi="宋体" w:eastAsia="宋体" w:cs="宋体"/>
                <w:color w:val="auto"/>
                <w:kern w:val="2"/>
                <w:sz w:val="21"/>
                <w:szCs w:val="21"/>
                <w:highlight w:val="none"/>
                <w:lang w:val="en-US" w:eastAsia="zh-CN" w:bidi="ar-SA"/>
              </w:rPr>
            </w:pPr>
          </w:p>
        </w:tc>
      </w:tr>
      <w:tr w14:paraId="7D11483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3E0EFDB5">
            <w:pPr>
              <w:spacing w:line="240" w:lineRule="auto"/>
              <w:jc w:val="center"/>
              <w:rPr>
                <w:rFonts w:hint="eastAsia" w:ascii="宋体" w:hAnsi="宋体" w:eastAsia="宋体" w:cs="宋体"/>
                <w:color w:val="auto"/>
                <w:sz w:val="21"/>
                <w:szCs w:val="21"/>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4ABE45">
            <w:pPr>
              <w:spacing w:line="240" w:lineRule="auto"/>
              <w:jc w:val="center"/>
              <w:rPr>
                <w:rFonts w:hint="eastAsia" w:ascii="宋体" w:hAnsi="宋体" w:eastAsia="宋体" w:cs="宋体"/>
                <w:color w:val="auto"/>
                <w:kern w:val="2"/>
                <w:sz w:val="21"/>
                <w:szCs w:val="21"/>
                <w:highlight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E5C7BF">
            <w:pPr>
              <w:spacing w:line="240" w:lineRule="auto"/>
              <w:jc w:val="center"/>
              <w:rPr>
                <w:rFonts w:hint="eastAsia" w:ascii="宋体" w:hAnsi="宋体" w:eastAsia="宋体" w:cs="宋体"/>
                <w:color w:val="auto"/>
                <w:sz w:val="21"/>
                <w:szCs w:val="21"/>
                <w:highlight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5ED77192">
            <w:pPr>
              <w:spacing w:line="240" w:lineRule="auto"/>
              <w:jc w:val="center"/>
              <w:rPr>
                <w:rFonts w:hint="eastAsia" w:ascii="宋体" w:hAnsi="宋体" w:eastAsia="宋体" w:cs="宋体"/>
                <w:color w:val="auto"/>
                <w:kern w:val="2"/>
                <w:sz w:val="21"/>
                <w:szCs w:val="21"/>
                <w:highlight w:val="none"/>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E17CFAC">
            <w:pPr>
              <w:spacing w:line="240" w:lineRule="auto"/>
              <w:jc w:val="center"/>
              <w:rPr>
                <w:rFonts w:hint="eastAsia" w:ascii="宋体" w:hAnsi="宋体" w:eastAsia="宋体" w:cs="宋体"/>
                <w:color w:val="auto"/>
                <w:kern w:val="2"/>
                <w:sz w:val="21"/>
                <w:szCs w:val="21"/>
                <w:highlight w:val="none"/>
                <w:lang w:val="en-US" w:eastAsia="zh-CN" w:bidi="ar-SA"/>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42445E36">
            <w:pPr>
              <w:spacing w:line="240" w:lineRule="auto"/>
              <w:jc w:val="center"/>
              <w:rPr>
                <w:rFonts w:hint="eastAsia" w:ascii="宋体" w:hAnsi="宋体" w:eastAsia="宋体" w:cs="宋体"/>
                <w:color w:val="auto"/>
                <w:kern w:val="2"/>
                <w:sz w:val="21"/>
                <w:szCs w:val="21"/>
                <w:highlight w:val="none"/>
                <w:lang w:val="en-US" w:eastAsia="zh-CN" w:bidi="ar-SA"/>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1820C618">
            <w:pPr>
              <w:spacing w:line="240" w:lineRule="auto"/>
              <w:jc w:val="center"/>
              <w:rPr>
                <w:rFonts w:hint="eastAsia" w:ascii="宋体" w:hAnsi="宋体" w:eastAsia="宋体" w:cs="宋体"/>
                <w:color w:val="auto"/>
                <w:kern w:val="2"/>
                <w:sz w:val="21"/>
                <w:szCs w:val="21"/>
                <w:highlight w:val="none"/>
                <w:lang w:val="en-US" w:eastAsia="zh-CN" w:bidi="ar-SA"/>
              </w:rPr>
            </w:pPr>
          </w:p>
        </w:tc>
      </w:tr>
      <w:tr w14:paraId="49C7600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60FABD30">
            <w:pPr>
              <w:spacing w:line="240" w:lineRule="auto"/>
              <w:jc w:val="center"/>
              <w:rPr>
                <w:rFonts w:hint="eastAsia" w:ascii="宋体" w:hAnsi="宋体" w:eastAsia="宋体" w:cs="宋体"/>
                <w:color w:val="auto"/>
                <w:sz w:val="21"/>
                <w:szCs w:val="21"/>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9BBD055">
            <w:pPr>
              <w:keepNext w:val="0"/>
              <w:keepLines w:val="0"/>
              <w:widowControl/>
              <w:suppressLineNumbers w:val="0"/>
              <w:spacing w:line="240" w:lineRule="auto"/>
              <w:jc w:val="center"/>
              <w:textAlignment w:val="center"/>
              <w:rPr>
                <w:rFonts w:hint="eastAsia" w:ascii="宋体" w:hAnsi="宋体" w:eastAsia="宋体" w:cs="宋体"/>
                <w:color w:val="auto"/>
                <w:kern w:val="2"/>
                <w:sz w:val="21"/>
                <w:szCs w:val="21"/>
                <w:highlight w:val="none"/>
                <w:vertAlign w:val="baseli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8DF07A">
            <w:pPr>
              <w:spacing w:line="240" w:lineRule="auto"/>
              <w:jc w:val="center"/>
              <w:rPr>
                <w:rFonts w:hint="eastAsia" w:ascii="宋体" w:hAnsi="宋体" w:eastAsia="宋体" w:cs="宋体"/>
                <w:color w:val="auto"/>
                <w:sz w:val="21"/>
                <w:szCs w:val="21"/>
                <w:highlight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576ED302">
            <w:pPr>
              <w:spacing w:line="240" w:lineRule="auto"/>
              <w:jc w:val="center"/>
              <w:rPr>
                <w:rFonts w:hint="eastAsia" w:ascii="宋体" w:hAnsi="宋体" w:eastAsia="宋体" w:cs="宋体"/>
                <w:color w:val="auto"/>
                <w:kern w:val="2"/>
                <w:sz w:val="21"/>
                <w:szCs w:val="21"/>
                <w:highlight w:val="none"/>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D8ED0C8">
            <w:pPr>
              <w:keepNext w:val="0"/>
              <w:keepLines w:val="0"/>
              <w:widowControl/>
              <w:suppressLineNumbers w:val="0"/>
              <w:spacing w:line="240" w:lineRule="auto"/>
              <w:jc w:val="center"/>
              <w:textAlignment w:val="center"/>
              <w:rPr>
                <w:rFonts w:hint="eastAsia" w:ascii="宋体" w:hAnsi="宋体" w:eastAsia="宋体" w:cs="宋体"/>
                <w:color w:val="auto"/>
                <w:kern w:val="2"/>
                <w:sz w:val="21"/>
                <w:szCs w:val="21"/>
                <w:highlight w:val="none"/>
                <w:lang w:val="en-US" w:eastAsia="zh-CN" w:bidi="ar-SA"/>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7767FCBA">
            <w:pPr>
              <w:keepNext w:val="0"/>
              <w:keepLines w:val="0"/>
              <w:widowControl/>
              <w:suppressLineNumbers w:val="0"/>
              <w:spacing w:line="240" w:lineRule="auto"/>
              <w:jc w:val="center"/>
              <w:textAlignment w:val="center"/>
              <w:rPr>
                <w:rFonts w:hint="eastAsia" w:ascii="宋体" w:hAnsi="宋体" w:eastAsia="宋体" w:cs="宋体"/>
                <w:color w:val="auto"/>
                <w:kern w:val="2"/>
                <w:sz w:val="21"/>
                <w:szCs w:val="21"/>
                <w:highlight w:val="none"/>
                <w:lang w:val="en-US" w:eastAsia="zh-CN" w:bidi="ar-SA"/>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0AD85619">
            <w:pPr>
              <w:keepNext w:val="0"/>
              <w:keepLines w:val="0"/>
              <w:widowControl/>
              <w:suppressLineNumbers w:val="0"/>
              <w:spacing w:line="240" w:lineRule="auto"/>
              <w:jc w:val="center"/>
              <w:textAlignment w:val="center"/>
              <w:rPr>
                <w:rFonts w:hint="eastAsia" w:ascii="宋体" w:hAnsi="宋体" w:eastAsia="宋体" w:cs="宋体"/>
                <w:color w:val="auto"/>
                <w:kern w:val="2"/>
                <w:sz w:val="21"/>
                <w:szCs w:val="21"/>
                <w:highlight w:val="none"/>
                <w:lang w:val="en-US" w:eastAsia="zh-CN" w:bidi="ar-SA"/>
              </w:rPr>
            </w:pPr>
          </w:p>
        </w:tc>
      </w:tr>
      <w:tr w14:paraId="25228D0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5A189DF2">
            <w:pPr>
              <w:spacing w:line="240" w:lineRule="auto"/>
              <w:jc w:val="center"/>
              <w:rPr>
                <w:rFonts w:hint="eastAsia" w:ascii="宋体" w:hAnsi="宋体" w:eastAsia="宋体" w:cs="宋体"/>
                <w:color w:val="auto"/>
                <w:sz w:val="21"/>
                <w:szCs w:val="21"/>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2EBAB64">
            <w:pPr>
              <w:spacing w:line="240" w:lineRule="auto"/>
              <w:jc w:val="center"/>
              <w:rPr>
                <w:rFonts w:hint="eastAsia" w:ascii="宋体" w:hAnsi="宋体" w:eastAsia="宋体" w:cs="宋体"/>
                <w:color w:val="auto"/>
                <w:kern w:val="0"/>
                <w:sz w:val="21"/>
                <w:szCs w:val="21"/>
                <w:highlight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A9AE43">
            <w:pPr>
              <w:spacing w:line="240" w:lineRule="auto"/>
              <w:jc w:val="center"/>
              <w:rPr>
                <w:rFonts w:hint="eastAsia" w:ascii="宋体" w:hAnsi="宋体" w:eastAsia="宋体" w:cs="宋体"/>
                <w:color w:val="auto"/>
                <w:sz w:val="21"/>
                <w:szCs w:val="21"/>
                <w:highlight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62799C9E">
            <w:pPr>
              <w:spacing w:line="240" w:lineRule="auto"/>
              <w:jc w:val="center"/>
              <w:rPr>
                <w:rFonts w:hint="default" w:ascii="宋体" w:hAnsi="宋体" w:eastAsia="宋体" w:cs="宋体"/>
                <w:color w:val="auto"/>
                <w:kern w:val="0"/>
                <w:sz w:val="21"/>
                <w:szCs w:val="21"/>
                <w:highlight w:val="none"/>
                <w:lang w:val="en-US" w:eastAsia="zh-CN" w:bidi="ar"/>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C725407">
            <w:pPr>
              <w:spacing w:line="240" w:lineRule="auto"/>
              <w:jc w:val="center"/>
              <w:rPr>
                <w:rFonts w:hint="eastAsia" w:ascii="宋体" w:hAnsi="宋体" w:eastAsia="宋体" w:cs="宋体"/>
                <w:color w:val="auto"/>
                <w:kern w:val="0"/>
                <w:sz w:val="21"/>
                <w:szCs w:val="21"/>
                <w:highlight w:val="none"/>
                <w:lang w:val="en-US" w:eastAsia="zh-CN" w:bidi="ar"/>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566F33EF">
            <w:pPr>
              <w:spacing w:line="240" w:lineRule="auto"/>
              <w:jc w:val="center"/>
              <w:rPr>
                <w:rFonts w:hint="eastAsia" w:ascii="宋体" w:hAnsi="宋体" w:eastAsia="宋体" w:cs="宋体"/>
                <w:color w:val="auto"/>
                <w:kern w:val="0"/>
                <w:sz w:val="21"/>
                <w:szCs w:val="21"/>
                <w:highlight w:val="none"/>
                <w:lang w:val="en-US" w:eastAsia="zh-CN" w:bidi="ar"/>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3C9B9D8A">
            <w:pPr>
              <w:spacing w:line="240" w:lineRule="auto"/>
              <w:jc w:val="center"/>
              <w:rPr>
                <w:rFonts w:hint="eastAsia" w:ascii="宋体" w:hAnsi="宋体" w:eastAsia="宋体" w:cs="宋体"/>
                <w:color w:val="auto"/>
                <w:kern w:val="0"/>
                <w:sz w:val="21"/>
                <w:szCs w:val="21"/>
                <w:highlight w:val="none"/>
                <w:lang w:val="en-US" w:eastAsia="zh-CN" w:bidi="ar"/>
              </w:rPr>
            </w:pPr>
          </w:p>
        </w:tc>
      </w:tr>
      <w:tr w14:paraId="507EF75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686BB7F6">
            <w:pPr>
              <w:spacing w:line="240" w:lineRule="auto"/>
              <w:jc w:val="center"/>
              <w:rPr>
                <w:rFonts w:hint="eastAsia" w:ascii="宋体" w:hAnsi="宋体" w:eastAsia="宋体" w:cs="宋体"/>
                <w:color w:val="auto"/>
                <w:sz w:val="21"/>
                <w:szCs w:val="21"/>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6D05CE5">
            <w:pPr>
              <w:spacing w:line="240" w:lineRule="auto"/>
              <w:jc w:val="center"/>
              <w:rPr>
                <w:rFonts w:hint="eastAsia" w:ascii="宋体" w:hAnsi="宋体" w:eastAsia="宋体" w:cs="宋体"/>
                <w:color w:val="auto"/>
                <w:kern w:val="2"/>
                <w:sz w:val="21"/>
                <w:szCs w:val="21"/>
                <w:highlight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8A5A4B3">
            <w:pPr>
              <w:spacing w:line="240" w:lineRule="auto"/>
              <w:jc w:val="center"/>
              <w:rPr>
                <w:rFonts w:hint="eastAsia" w:ascii="宋体" w:hAnsi="宋体" w:eastAsia="宋体" w:cs="宋体"/>
                <w:color w:val="auto"/>
                <w:sz w:val="21"/>
                <w:szCs w:val="21"/>
                <w:highlight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12014867">
            <w:pPr>
              <w:spacing w:line="240" w:lineRule="auto"/>
              <w:jc w:val="center"/>
              <w:rPr>
                <w:rFonts w:hint="eastAsia" w:ascii="宋体" w:hAnsi="宋体" w:eastAsia="宋体" w:cs="宋体"/>
                <w:color w:val="auto"/>
                <w:kern w:val="2"/>
                <w:sz w:val="21"/>
                <w:szCs w:val="21"/>
                <w:highlight w:val="none"/>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DBDE289">
            <w:pPr>
              <w:keepNext w:val="0"/>
              <w:keepLines w:val="0"/>
              <w:widowControl/>
              <w:suppressLineNumbers w:val="0"/>
              <w:spacing w:line="240" w:lineRule="auto"/>
              <w:jc w:val="center"/>
              <w:textAlignment w:val="center"/>
              <w:rPr>
                <w:rFonts w:hint="eastAsia" w:ascii="宋体" w:hAnsi="宋体" w:eastAsia="宋体" w:cs="宋体"/>
                <w:color w:val="auto"/>
                <w:kern w:val="2"/>
                <w:sz w:val="21"/>
                <w:szCs w:val="21"/>
                <w:highlight w:val="none"/>
                <w:lang w:val="en-US" w:eastAsia="zh-CN" w:bidi="ar-SA"/>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0291D387">
            <w:pPr>
              <w:keepNext w:val="0"/>
              <w:keepLines w:val="0"/>
              <w:widowControl/>
              <w:suppressLineNumbers w:val="0"/>
              <w:spacing w:line="240" w:lineRule="auto"/>
              <w:jc w:val="center"/>
              <w:textAlignment w:val="center"/>
              <w:rPr>
                <w:rFonts w:hint="eastAsia" w:ascii="宋体" w:hAnsi="宋体" w:eastAsia="宋体" w:cs="宋体"/>
                <w:color w:val="auto"/>
                <w:kern w:val="2"/>
                <w:sz w:val="21"/>
                <w:szCs w:val="21"/>
                <w:highlight w:val="none"/>
                <w:lang w:val="en-US" w:eastAsia="zh-CN" w:bidi="ar-SA"/>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5C1DEBF3">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lang w:val="en-US" w:eastAsia="zh-CN" w:bidi="ar"/>
              </w:rPr>
            </w:pPr>
          </w:p>
        </w:tc>
      </w:tr>
      <w:tr w14:paraId="732DB18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4D86F351">
            <w:pPr>
              <w:spacing w:line="240" w:lineRule="auto"/>
              <w:jc w:val="center"/>
              <w:rPr>
                <w:rFonts w:hint="eastAsia" w:ascii="宋体" w:hAnsi="宋体" w:eastAsia="宋体" w:cs="宋体"/>
                <w:color w:val="auto"/>
                <w:sz w:val="21"/>
                <w:szCs w:val="21"/>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4A376D3">
            <w:pPr>
              <w:spacing w:line="240" w:lineRule="auto"/>
              <w:jc w:val="center"/>
              <w:rPr>
                <w:rFonts w:hint="eastAsia" w:ascii="宋体" w:hAnsi="宋体" w:eastAsia="宋体" w:cs="宋体"/>
                <w:color w:val="auto"/>
                <w:kern w:val="2"/>
                <w:sz w:val="21"/>
                <w:szCs w:val="21"/>
                <w:highlight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8B86D69">
            <w:pPr>
              <w:spacing w:line="240" w:lineRule="auto"/>
              <w:jc w:val="center"/>
              <w:rPr>
                <w:rFonts w:hint="eastAsia" w:ascii="宋体" w:hAnsi="宋体" w:eastAsia="宋体" w:cs="宋体"/>
                <w:color w:val="auto"/>
                <w:sz w:val="21"/>
                <w:szCs w:val="21"/>
                <w:highlight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3E14A2F3">
            <w:pPr>
              <w:spacing w:line="240" w:lineRule="auto"/>
              <w:jc w:val="center"/>
              <w:rPr>
                <w:rFonts w:hint="eastAsia" w:ascii="宋体" w:hAnsi="宋体" w:eastAsia="宋体" w:cs="宋体"/>
                <w:color w:val="auto"/>
                <w:kern w:val="2"/>
                <w:sz w:val="21"/>
                <w:szCs w:val="21"/>
                <w:highlight w:val="none"/>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0D725E5">
            <w:pPr>
              <w:spacing w:line="240" w:lineRule="auto"/>
              <w:jc w:val="center"/>
              <w:rPr>
                <w:rFonts w:hint="eastAsia" w:ascii="宋体" w:hAnsi="宋体" w:eastAsia="宋体" w:cs="宋体"/>
                <w:color w:val="auto"/>
                <w:kern w:val="2"/>
                <w:sz w:val="21"/>
                <w:szCs w:val="21"/>
                <w:highlight w:val="none"/>
                <w:lang w:val="en-US" w:eastAsia="zh-CN" w:bidi="ar-SA"/>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5EF0FF3C">
            <w:pPr>
              <w:spacing w:line="240" w:lineRule="auto"/>
              <w:jc w:val="center"/>
              <w:rPr>
                <w:rFonts w:hint="eastAsia" w:ascii="宋体" w:hAnsi="宋体" w:eastAsia="宋体" w:cs="宋体"/>
                <w:color w:val="auto"/>
                <w:kern w:val="2"/>
                <w:sz w:val="21"/>
                <w:szCs w:val="21"/>
                <w:highlight w:val="none"/>
                <w:lang w:val="en-US" w:eastAsia="zh-CN" w:bidi="ar-SA"/>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7BC5D7D6">
            <w:pPr>
              <w:spacing w:line="240" w:lineRule="auto"/>
              <w:jc w:val="center"/>
              <w:rPr>
                <w:rFonts w:hint="eastAsia" w:ascii="宋体" w:hAnsi="宋体" w:eastAsia="宋体" w:cs="宋体"/>
                <w:color w:val="auto"/>
                <w:kern w:val="2"/>
                <w:sz w:val="21"/>
                <w:szCs w:val="21"/>
                <w:highlight w:val="none"/>
                <w:lang w:val="en-US" w:eastAsia="zh-CN" w:bidi="ar-SA"/>
              </w:rPr>
            </w:pPr>
          </w:p>
        </w:tc>
      </w:tr>
      <w:tr w14:paraId="1985890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2FACCC09">
            <w:pPr>
              <w:spacing w:line="240" w:lineRule="auto"/>
              <w:jc w:val="center"/>
              <w:rPr>
                <w:rFonts w:hint="eastAsia" w:ascii="宋体" w:hAnsi="宋体" w:eastAsia="宋体" w:cs="宋体"/>
                <w:color w:val="auto"/>
                <w:sz w:val="21"/>
                <w:szCs w:val="21"/>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3B245C0">
            <w:pPr>
              <w:spacing w:line="240" w:lineRule="auto"/>
              <w:jc w:val="center"/>
              <w:rPr>
                <w:rFonts w:hint="eastAsia" w:ascii="宋体" w:hAnsi="宋体" w:eastAsia="宋体" w:cs="宋体"/>
                <w:color w:val="auto"/>
                <w:kern w:val="2"/>
                <w:sz w:val="21"/>
                <w:szCs w:val="21"/>
                <w:highlight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2F05D2">
            <w:pPr>
              <w:spacing w:line="240" w:lineRule="auto"/>
              <w:jc w:val="center"/>
              <w:rPr>
                <w:rFonts w:hint="eastAsia" w:ascii="宋体" w:hAnsi="宋体" w:eastAsia="宋体" w:cs="宋体"/>
                <w:color w:val="auto"/>
                <w:sz w:val="21"/>
                <w:szCs w:val="21"/>
                <w:highlight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25243497">
            <w:pPr>
              <w:spacing w:line="240" w:lineRule="auto"/>
              <w:jc w:val="center"/>
              <w:rPr>
                <w:rFonts w:hint="eastAsia" w:ascii="宋体" w:hAnsi="宋体" w:eastAsia="宋体" w:cs="宋体"/>
                <w:color w:val="auto"/>
                <w:kern w:val="2"/>
                <w:sz w:val="21"/>
                <w:szCs w:val="21"/>
                <w:highlight w:val="none"/>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343C24F">
            <w:pPr>
              <w:spacing w:line="240" w:lineRule="auto"/>
              <w:jc w:val="center"/>
              <w:rPr>
                <w:rFonts w:hint="eastAsia" w:ascii="宋体" w:hAnsi="宋体" w:eastAsia="宋体" w:cs="宋体"/>
                <w:color w:val="auto"/>
                <w:kern w:val="2"/>
                <w:sz w:val="21"/>
                <w:szCs w:val="21"/>
                <w:highlight w:val="none"/>
                <w:lang w:val="en-US" w:eastAsia="zh-CN" w:bidi="ar-SA"/>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4751A0E4">
            <w:pPr>
              <w:spacing w:line="240" w:lineRule="auto"/>
              <w:jc w:val="center"/>
              <w:rPr>
                <w:rFonts w:hint="eastAsia" w:ascii="宋体" w:hAnsi="宋体" w:eastAsia="宋体" w:cs="宋体"/>
                <w:color w:val="auto"/>
                <w:kern w:val="2"/>
                <w:sz w:val="21"/>
                <w:szCs w:val="21"/>
                <w:highlight w:val="none"/>
                <w:lang w:val="en-US" w:eastAsia="zh-CN" w:bidi="ar-SA"/>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6519DB8F">
            <w:pPr>
              <w:keepNext w:val="0"/>
              <w:keepLines w:val="0"/>
              <w:widowControl/>
              <w:suppressLineNumbers w:val="0"/>
              <w:spacing w:line="240" w:lineRule="auto"/>
              <w:jc w:val="center"/>
              <w:textAlignment w:val="center"/>
              <w:rPr>
                <w:rFonts w:hint="eastAsia" w:ascii="宋体" w:hAnsi="宋体" w:eastAsia="宋体" w:cs="宋体"/>
                <w:color w:val="auto"/>
                <w:kern w:val="0"/>
                <w:sz w:val="21"/>
                <w:szCs w:val="21"/>
                <w:highlight w:val="none"/>
                <w:lang w:val="en-US" w:eastAsia="zh-CN" w:bidi="ar"/>
              </w:rPr>
            </w:pPr>
          </w:p>
        </w:tc>
      </w:tr>
      <w:tr w14:paraId="02E278A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0E8117D1">
            <w:pPr>
              <w:spacing w:line="240" w:lineRule="auto"/>
              <w:jc w:val="center"/>
              <w:rPr>
                <w:rFonts w:hint="eastAsia" w:ascii="宋体" w:hAnsi="宋体" w:eastAsia="宋体" w:cs="宋体"/>
                <w:color w:val="auto"/>
                <w:sz w:val="21"/>
                <w:szCs w:val="21"/>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FCB15CB">
            <w:pPr>
              <w:spacing w:line="240" w:lineRule="auto"/>
              <w:jc w:val="center"/>
              <w:rPr>
                <w:rFonts w:hint="eastAsia" w:ascii="宋体" w:hAnsi="宋体" w:eastAsia="宋体" w:cs="宋体"/>
                <w:color w:val="auto"/>
                <w:kern w:val="2"/>
                <w:sz w:val="21"/>
                <w:szCs w:val="21"/>
                <w:highlight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D91CA2">
            <w:pPr>
              <w:spacing w:line="240" w:lineRule="auto"/>
              <w:jc w:val="center"/>
              <w:rPr>
                <w:rFonts w:hint="eastAsia" w:ascii="宋体" w:hAnsi="宋体" w:eastAsia="宋体" w:cs="宋体"/>
                <w:color w:val="auto"/>
                <w:sz w:val="21"/>
                <w:szCs w:val="21"/>
                <w:highlight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1018D7A0">
            <w:pPr>
              <w:spacing w:line="240" w:lineRule="auto"/>
              <w:jc w:val="center"/>
              <w:rPr>
                <w:rFonts w:hint="eastAsia" w:ascii="宋体" w:hAnsi="宋体" w:eastAsia="宋体" w:cs="宋体"/>
                <w:color w:val="auto"/>
                <w:kern w:val="2"/>
                <w:sz w:val="21"/>
                <w:szCs w:val="21"/>
                <w:highlight w:val="none"/>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E14CFA2">
            <w:pPr>
              <w:spacing w:line="240" w:lineRule="auto"/>
              <w:jc w:val="center"/>
              <w:rPr>
                <w:rFonts w:hint="eastAsia" w:ascii="宋体" w:hAnsi="宋体" w:eastAsia="宋体" w:cs="宋体"/>
                <w:color w:val="auto"/>
                <w:kern w:val="2"/>
                <w:sz w:val="21"/>
                <w:szCs w:val="21"/>
                <w:highlight w:val="none"/>
                <w:lang w:val="en-US" w:eastAsia="zh-CN" w:bidi="ar-SA"/>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0A47B3A6">
            <w:pPr>
              <w:spacing w:line="240" w:lineRule="auto"/>
              <w:jc w:val="center"/>
              <w:rPr>
                <w:rFonts w:hint="eastAsia" w:ascii="宋体" w:hAnsi="宋体" w:eastAsia="宋体" w:cs="宋体"/>
                <w:color w:val="auto"/>
                <w:kern w:val="2"/>
                <w:sz w:val="21"/>
                <w:szCs w:val="21"/>
                <w:highlight w:val="none"/>
                <w:lang w:val="en-US" w:eastAsia="zh-CN" w:bidi="ar-SA"/>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62FA4E2D">
            <w:pPr>
              <w:spacing w:line="240" w:lineRule="auto"/>
              <w:jc w:val="center"/>
              <w:rPr>
                <w:rFonts w:hint="eastAsia" w:ascii="宋体" w:hAnsi="宋体" w:eastAsia="宋体" w:cs="宋体"/>
                <w:color w:val="auto"/>
                <w:kern w:val="2"/>
                <w:sz w:val="21"/>
                <w:szCs w:val="21"/>
                <w:highlight w:val="none"/>
                <w:lang w:val="en-US" w:eastAsia="zh-CN" w:bidi="ar-SA"/>
              </w:rPr>
            </w:pPr>
          </w:p>
        </w:tc>
      </w:tr>
      <w:tr w14:paraId="5A0CED3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6673CE54">
            <w:pPr>
              <w:spacing w:line="240" w:lineRule="auto"/>
              <w:jc w:val="center"/>
              <w:rPr>
                <w:rFonts w:hint="eastAsia" w:ascii="宋体" w:hAnsi="宋体" w:eastAsia="宋体" w:cs="宋体"/>
                <w:color w:val="auto"/>
                <w:sz w:val="21"/>
                <w:szCs w:val="21"/>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D37E8B7">
            <w:pPr>
              <w:spacing w:line="240" w:lineRule="auto"/>
              <w:jc w:val="center"/>
              <w:rPr>
                <w:rFonts w:hint="eastAsia" w:ascii="宋体" w:hAnsi="宋体" w:eastAsia="宋体" w:cs="宋体"/>
                <w:color w:val="auto"/>
                <w:kern w:val="2"/>
                <w:sz w:val="21"/>
                <w:szCs w:val="21"/>
                <w:highlight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9FC1F0">
            <w:pPr>
              <w:spacing w:line="240" w:lineRule="auto"/>
              <w:jc w:val="center"/>
              <w:rPr>
                <w:rFonts w:hint="eastAsia" w:ascii="宋体" w:hAnsi="宋体" w:eastAsia="宋体" w:cs="宋体"/>
                <w:color w:val="auto"/>
                <w:sz w:val="21"/>
                <w:szCs w:val="21"/>
                <w:highlight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25A624DD">
            <w:pPr>
              <w:spacing w:line="240" w:lineRule="auto"/>
              <w:jc w:val="center"/>
              <w:rPr>
                <w:rFonts w:hint="eastAsia" w:ascii="宋体" w:hAnsi="宋体" w:eastAsia="宋体" w:cs="宋体"/>
                <w:color w:val="auto"/>
                <w:kern w:val="2"/>
                <w:sz w:val="21"/>
                <w:szCs w:val="21"/>
                <w:highlight w:val="none"/>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65B1EFE">
            <w:pPr>
              <w:spacing w:line="240" w:lineRule="auto"/>
              <w:jc w:val="center"/>
              <w:rPr>
                <w:rFonts w:hint="eastAsia" w:ascii="宋体" w:hAnsi="宋体" w:eastAsia="宋体" w:cs="宋体"/>
                <w:color w:val="auto"/>
                <w:kern w:val="2"/>
                <w:sz w:val="21"/>
                <w:szCs w:val="21"/>
                <w:highlight w:val="none"/>
                <w:lang w:val="en-US" w:eastAsia="zh-CN" w:bidi="ar-SA"/>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317C3C0A">
            <w:pPr>
              <w:spacing w:line="240" w:lineRule="auto"/>
              <w:jc w:val="center"/>
              <w:rPr>
                <w:rFonts w:hint="eastAsia" w:ascii="宋体" w:hAnsi="宋体" w:eastAsia="宋体" w:cs="宋体"/>
                <w:color w:val="auto"/>
                <w:kern w:val="2"/>
                <w:sz w:val="21"/>
                <w:szCs w:val="21"/>
                <w:highlight w:val="none"/>
                <w:lang w:val="en-US" w:eastAsia="zh-CN" w:bidi="ar-SA"/>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0D68C834">
            <w:pPr>
              <w:spacing w:line="240" w:lineRule="auto"/>
              <w:jc w:val="center"/>
              <w:rPr>
                <w:rFonts w:hint="eastAsia" w:ascii="宋体" w:hAnsi="宋体" w:eastAsia="宋体" w:cs="宋体"/>
                <w:color w:val="auto"/>
                <w:kern w:val="2"/>
                <w:sz w:val="21"/>
                <w:szCs w:val="21"/>
                <w:highlight w:val="none"/>
                <w:lang w:val="en-US" w:eastAsia="zh-CN" w:bidi="ar-SA"/>
              </w:rPr>
            </w:pPr>
          </w:p>
        </w:tc>
      </w:tr>
      <w:tr w14:paraId="10698AB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741E65A6">
            <w:pPr>
              <w:spacing w:line="240" w:lineRule="auto"/>
              <w:jc w:val="center"/>
              <w:rPr>
                <w:rFonts w:hint="eastAsia" w:ascii="宋体" w:hAnsi="宋体" w:eastAsia="宋体" w:cs="宋体"/>
                <w:color w:val="auto"/>
                <w:sz w:val="21"/>
                <w:szCs w:val="21"/>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C9DA9DA">
            <w:pPr>
              <w:spacing w:line="240" w:lineRule="auto"/>
              <w:jc w:val="center"/>
              <w:rPr>
                <w:rFonts w:hint="eastAsia" w:ascii="宋体" w:hAnsi="宋体" w:eastAsia="宋体" w:cs="宋体"/>
                <w:color w:val="auto"/>
                <w:kern w:val="2"/>
                <w:sz w:val="21"/>
                <w:szCs w:val="21"/>
                <w:highlight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B82960">
            <w:pPr>
              <w:spacing w:line="240" w:lineRule="auto"/>
              <w:jc w:val="center"/>
              <w:rPr>
                <w:rFonts w:hint="eastAsia" w:ascii="宋体" w:hAnsi="宋体" w:eastAsia="宋体" w:cs="宋体"/>
                <w:color w:val="auto"/>
                <w:sz w:val="21"/>
                <w:szCs w:val="21"/>
                <w:highlight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157D5FFF">
            <w:pPr>
              <w:spacing w:line="240" w:lineRule="auto"/>
              <w:jc w:val="center"/>
              <w:rPr>
                <w:rFonts w:hint="eastAsia" w:ascii="宋体" w:hAnsi="宋体" w:eastAsia="宋体" w:cs="宋体"/>
                <w:color w:val="auto"/>
                <w:kern w:val="2"/>
                <w:sz w:val="21"/>
                <w:szCs w:val="21"/>
                <w:highlight w:val="none"/>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014FECD6">
            <w:pPr>
              <w:spacing w:line="240" w:lineRule="auto"/>
              <w:jc w:val="center"/>
              <w:rPr>
                <w:rFonts w:hint="eastAsia" w:ascii="宋体" w:hAnsi="宋体" w:eastAsia="宋体" w:cs="宋体"/>
                <w:color w:val="auto"/>
                <w:kern w:val="0"/>
                <w:sz w:val="21"/>
                <w:szCs w:val="21"/>
                <w:highlight w:val="none"/>
                <w:lang w:val="en-US" w:eastAsia="zh-CN" w:bidi="ar"/>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0CBBAFB0">
            <w:pPr>
              <w:spacing w:line="240" w:lineRule="auto"/>
              <w:jc w:val="center"/>
              <w:rPr>
                <w:rFonts w:hint="eastAsia" w:ascii="宋体" w:hAnsi="宋体" w:eastAsia="宋体" w:cs="宋体"/>
                <w:color w:val="auto"/>
                <w:kern w:val="2"/>
                <w:sz w:val="21"/>
                <w:szCs w:val="21"/>
                <w:highlight w:val="none"/>
                <w:lang w:val="en-US" w:eastAsia="zh-CN" w:bidi="ar-SA"/>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04B73BDA">
            <w:pPr>
              <w:spacing w:line="240" w:lineRule="auto"/>
              <w:jc w:val="center"/>
              <w:rPr>
                <w:rFonts w:hint="eastAsia" w:ascii="宋体" w:hAnsi="宋体" w:eastAsia="宋体" w:cs="宋体"/>
                <w:color w:val="auto"/>
                <w:kern w:val="2"/>
                <w:sz w:val="21"/>
                <w:szCs w:val="21"/>
                <w:highlight w:val="none"/>
                <w:lang w:val="en-US" w:eastAsia="zh-CN" w:bidi="ar-SA"/>
              </w:rPr>
            </w:pPr>
          </w:p>
        </w:tc>
      </w:tr>
      <w:tr w14:paraId="016C518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5F672D45">
            <w:pPr>
              <w:spacing w:line="240" w:lineRule="auto"/>
              <w:jc w:val="center"/>
              <w:rPr>
                <w:rFonts w:hint="eastAsia" w:ascii="宋体" w:hAnsi="宋体" w:eastAsia="宋体" w:cs="宋体"/>
                <w:color w:val="auto"/>
                <w:sz w:val="21"/>
                <w:szCs w:val="21"/>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6D2258D">
            <w:pPr>
              <w:spacing w:line="240" w:lineRule="auto"/>
              <w:jc w:val="center"/>
              <w:rPr>
                <w:rFonts w:hint="eastAsia" w:ascii="宋体" w:hAnsi="宋体" w:eastAsia="宋体" w:cs="宋体"/>
                <w:color w:val="auto"/>
                <w:kern w:val="2"/>
                <w:sz w:val="21"/>
                <w:szCs w:val="21"/>
                <w:highlight w:val="none"/>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76DF5B">
            <w:pPr>
              <w:spacing w:line="240" w:lineRule="auto"/>
              <w:jc w:val="center"/>
              <w:rPr>
                <w:rFonts w:hint="eastAsia" w:ascii="宋体" w:hAnsi="宋体" w:eastAsia="宋体" w:cs="宋体"/>
                <w:color w:val="auto"/>
                <w:sz w:val="21"/>
                <w:szCs w:val="21"/>
                <w:highlight w:val="none"/>
              </w:rPr>
            </w:pPr>
          </w:p>
        </w:tc>
        <w:tc>
          <w:tcPr>
            <w:tcW w:w="1539" w:type="dxa"/>
            <w:tcBorders>
              <w:top w:val="single" w:color="000000" w:sz="4" w:space="0"/>
              <w:left w:val="single" w:color="000000" w:sz="4" w:space="0"/>
              <w:bottom w:val="single" w:color="000000" w:sz="4" w:space="0"/>
              <w:right w:val="single" w:color="000000" w:sz="4" w:space="0"/>
            </w:tcBorders>
            <w:noWrap w:val="0"/>
            <w:vAlign w:val="center"/>
          </w:tcPr>
          <w:p w14:paraId="340FB1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highlight w:val="none"/>
                <w:lang w:val="en-US" w:eastAsia="zh-CN" w:bidi="ar-SA"/>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4034C99">
            <w:pPr>
              <w:spacing w:line="240" w:lineRule="auto"/>
              <w:jc w:val="center"/>
              <w:rPr>
                <w:rFonts w:hint="eastAsia" w:ascii="宋体" w:hAnsi="宋体" w:eastAsia="宋体" w:cs="宋体"/>
                <w:color w:val="auto"/>
                <w:kern w:val="2"/>
                <w:sz w:val="21"/>
                <w:szCs w:val="21"/>
                <w:highlight w:val="none"/>
                <w:lang w:val="en-US" w:eastAsia="zh-CN" w:bidi="ar-SA"/>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3FB1AAFE">
            <w:pPr>
              <w:spacing w:line="240" w:lineRule="auto"/>
              <w:jc w:val="center"/>
              <w:rPr>
                <w:rFonts w:hint="eastAsia" w:ascii="宋体" w:hAnsi="宋体" w:eastAsia="宋体" w:cs="宋体"/>
                <w:color w:val="auto"/>
                <w:kern w:val="2"/>
                <w:sz w:val="21"/>
                <w:szCs w:val="21"/>
                <w:highlight w:val="none"/>
                <w:lang w:val="en-US" w:eastAsia="zh-CN" w:bidi="ar-SA"/>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14:paraId="70986CDD">
            <w:pPr>
              <w:spacing w:line="240" w:lineRule="auto"/>
              <w:jc w:val="center"/>
              <w:rPr>
                <w:rFonts w:hint="eastAsia" w:ascii="宋体" w:hAnsi="宋体" w:eastAsia="宋体" w:cs="宋体"/>
                <w:color w:val="auto"/>
                <w:kern w:val="2"/>
                <w:sz w:val="21"/>
                <w:szCs w:val="21"/>
                <w:highlight w:val="none"/>
                <w:lang w:val="en-US" w:eastAsia="zh-CN" w:bidi="ar-SA"/>
              </w:rPr>
            </w:pPr>
          </w:p>
        </w:tc>
      </w:tr>
    </w:tbl>
    <w:p w14:paraId="263866FB">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注：1、执业资格为注册监理工程师。职称为高、中、初级工程师。</w:t>
      </w:r>
    </w:p>
    <w:p w14:paraId="084D3A1A">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2、同时要求提交项目总监理工程师、项目副总监理工程师、监理工程师、专业工种人员、法人代表等相关资料。</w:t>
      </w:r>
    </w:p>
    <w:p w14:paraId="1BBB63F5">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3、必须填入投标文件中所登记的相关人员，项目实施过程以上人员不能到位，须按要求办理人员变更手续。</w:t>
      </w:r>
    </w:p>
    <w:p w14:paraId="1D981DC5">
      <w:pPr>
        <w:rPr>
          <w:color w:val="auto"/>
          <w:highlight w:val="none"/>
        </w:rPr>
      </w:pPr>
    </w:p>
    <w:p w14:paraId="22033DD2">
      <w:pPr>
        <w:rPr>
          <w:color w:val="auto"/>
          <w:highlight w:val="none"/>
        </w:rPr>
      </w:pPr>
      <w:r>
        <w:rPr>
          <w:color w:val="auto"/>
          <w:highlight w:val="none"/>
        </w:rPr>
        <w:br w:type="page"/>
      </w:r>
    </w:p>
    <w:p w14:paraId="499B96F5">
      <w:pPr>
        <w:pStyle w:val="3"/>
        <w:ind w:firstLine="137"/>
        <w:rPr>
          <w:rFonts w:ascii="Times New Roman"/>
          <w:color w:val="auto"/>
          <w:highlight w:val="none"/>
        </w:rPr>
      </w:pPr>
      <w:bookmarkStart w:id="372" w:name="_Toc2061"/>
      <w:r>
        <w:rPr>
          <w:rFonts w:ascii="Times New Roman"/>
          <w:color w:val="auto"/>
          <w:highlight w:val="none"/>
        </w:rPr>
        <w:t>附件</w:t>
      </w:r>
      <w:r>
        <w:rPr>
          <w:rFonts w:hint="eastAsia" w:ascii="Times New Roman"/>
          <w:color w:val="auto"/>
          <w:highlight w:val="none"/>
          <w:lang w:val="en-US" w:eastAsia="zh-CN"/>
        </w:rPr>
        <w:t>三</w:t>
      </w:r>
      <w:r>
        <w:rPr>
          <w:rFonts w:ascii="Times New Roman"/>
          <w:color w:val="auto"/>
          <w:highlight w:val="none"/>
        </w:rPr>
        <w:t>：</w:t>
      </w:r>
      <w:r>
        <w:rPr>
          <w:rFonts w:hint="eastAsia" w:ascii="宋体" w:hAnsi="宋体"/>
          <w:color w:val="auto"/>
          <w:szCs w:val="21"/>
          <w:highlight w:val="none"/>
        </w:rPr>
        <w:t>合同价格组成明细表</w:t>
      </w:r>
      <w:bookmarkEnd w:id="372"/>
    </w:p>
    <w:tbl>
      <w:tblPr>
        <w:tblStyle w:val="11"/>
        <w:tblpPr w:leftFromText="180" w:rightFromText="180" w:vertAnchor="text" w:horzAnchor="page" w:tblpX="1890" w:tblpY="1165"/>
        <w:tblOverlap w:val="never"/>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727"/>
        <w:gridCol w:w="5038"/>
      </w:tblGrid>
      <w:tr w14:paraId="49EB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Borders>
              <w:bottom w:val="single" w:color="auto" w:sz="4" w:space="0"/>
            </w:tcBorders>
            <w:vAlign w:val="center"/>
          </w:tcPr>
          <w:p w14:paraId="49E2AC48">
            <w:pPr>
              <w:tabs>
                <w:tab w:val="left" w:pos="900"/>
              </w:tabs>
              <w:snapToGrid w:val="0"/>
              <w:ind w:right="-2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727" w:type="dxa"/>
            <w:tcBorders>
              <w:bottom w:val="single" w:color="auto" w:sz="4" w:space="0"/>
            </w:tcBorders>
            <w:vAlign w:val="center"/>
          </w:tcPr>
          <w:p w14:paraId="63438417">
            <w:pPr>
              <w:tabs>
                <w:tab w:val="left" w:pos="900"/>
              </w:tabs>
              <w:snapToGrid w:val="0"/>
              <w:ind w:left="282" w:right="-2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费用名称</w:t>
            </w:r>
          </w:p>
        </w:tc>
        <w:tc>
          <w:tcPr>
            <w:tcW w:w="5038" w:type="dxa"/>
            <w:tcBorders>
              <w:bottom w:val="single" w:color="auto" w:sz="4" w:space="0"/>
            </w:tcBorders>
            <w:vAlign w:val="center"/>
          </w:tcPr>
          <w:p w14:paraId="67815E8B">
            <w:pPr>
              <w:tabs>
                <w:tab w:val="left" w:pos="900"/>
              </w:tabs>
              <w:snapToGrid w:val="0"/>
              <w:spacing w:before="120" w:after="120"/>
              <w:ind w:right="-24"/>
              <w:jc w:val="center"/>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投标</w:t>
            </w:r>
            <w:r>
              <w:rPr>
                <w:rFonts w:hint="eastAsia" w:ascii="宋体" w:hAnsi="宋体" w:cs="宋体"/>
                <w:bCs/>
                <w:color w:val="auto"/>
                <w:sz w:val="21"/>
                <w:szCs w:val="21"/>
                <w:highlight w:val="none"/>
                <w:lang w:val="en-US" w:eastAsia="zh-CN"/>
              </w:rPr>
              <w:t>费</w:t>
            </w:r>
            <w:r>
              <w:rPr>
                <w:rFonts w:hint="eastAsia" w:ascii="宋体" w:hAnsi="宋体" w:eastAsia="宋体" w:cs="宋体"/>
                <w:bCs/>
                <w:color w:val="auto"/>
                <w:sz w:val="21"/>
                <w:szCs w:val="21"/>
                <w:highlight w:val="none"/>
              </w:rPr>
              <w:t>率</w:t>
            </w:r>
          </w:p>
        </w:tc>
      </w:tr>
      <w:tr w14:paraId="5222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Borders>
              <w:top w:val="single" w:color="auto" w:sz="4" w:space="0"/>
              <w:bottom w:val="single" w:color="auto" w:sz="4" w:space="0"/>
            </w:tcBorders>
            <w:vAlign w:val="center"/>
          </w:tcPr>
          <w:p w14:paraId="41D2737C">
            <w:pPr>
              <w:tabs>
                <w:tab w:val="left" w:pos="900"/>
              </w:tabs>
              <w:snapToGrid w:val="0"/>
              <w:spacing w:before="60" w:after="120"/>
              <w:ind w:right="-2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27" w:type="dxa"/>
            <w:tcBorders>
              <w:top w:val="single" w:color="auto" w:sz="4" w:space="0"/>
              <w:bottom w:val="single" w:color="auto" w:sz="4" w:space="0"/>
            </w:tcBorders>
            <w:vAlign w:val="center"/>
          </w:tcPr>
          <w:p w14:paraId="5092C118">
            <w:pPr>
              <w:tabs>
                <w:tab w:val="left" w:pos="900"/>
              </w:tabs>
              <w:snapToGrid w:val="0"/>
              <w:spacing w:before="60" w:after="120"/>
              <w:ind w:right="-24"/>
              <w:jc w:val="left"/>
              <w:rPr>
                <w:rFonts w:hint="eastAsia" w:ascii="宋体" w:hAnsi="宋体" w:eastAsia="宋体" w:cs="宋体"/>
                <w:color w:val="auto"/>
                <w:sz w:val="21"/>
                <w:szCs w:val="21"/>
                <w:highlight w:val="none"/>
              </w:rPr>
            </w:pPr>
          </w:p>
        </w:tc>
        <w:tc>
          <w:tcPr>
            <w:tcW w:w="5038" w:type="dxa"/>
            <w:tcBorders>
              <w:top w:val="single" w:color="auto" w:sz="4" w:space="0"/>
            </w:tcBorders>
            <w:vAlign w:val="center"/>
          </w:tcPr>
          <w:p w14:paraId="338D15C3">
            <w:pPr>
              <w:tabs>
                <w:tab w:val="left" w:pos="900"/>
              </w:tabs>
              <w:snapToGrid w:val="0"/>
              <w:spacing w:before="60" w:after="120"/>
              <w:ind w:right="-24"/>
              <w:jc w:val="center"/>
              <w:rPr>
                <w:rFonts w:hint="eastAsia" w:ascii="宋体" w:hAnsi="宋体" w:eastAsia="宋体" w:cs="宋体"/>
                <w:color w:val="auto"/>
                <w:sz w:val="21"/>
                <w:szCs w:val="21"/>
                <w:highlight w:val="none"/>
              </w:rPr>
            </w:pPr>
          </w:p>
        </w:tc>
      </w:tr>
      <w:tr w14:paraId="0BEB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959" w:type="dxa"/>
            <w:tcBorders>
              <w:top w:val="single" w:color="auto" w:sz="4" w:space="0"/>
              <w:bottom w:val="single" w:color="auto" w:sz="4" w:space="0"/>
            </w:tcBorders>
            <w:vAlign w:val="center"/>
          </w:tcPr>
          <w:p w14:paraId="64977A03">
            <w:pPr>
              <w:tabs>
                <w:tab w:val="left" w:pos="900"/>
              </w:tabs>
              <w:snapToGrid w:val="0"/>
              <w:spacing w:before="60" w:after="120"/>
              <w:ind w:right="-24"/>
              <w:jc w:val="center"/>
              <w:rPr>
                <w:rFonts w:hint="eastAsia" w:ascii="宋体" w:hAnsi="宋体" w:eastAsia="宋体" w:cs="宋体"/>
                <w:color w:val="auto"/>
                <w:sz w:val="21"/>
                <w:szCs w:val="21"/>
                <w:highlight w:val="none"/>
              </w:rPr>
            </w:pPr>
          </w:p>
        </w:tc>
        <w:tc>
          <w:tcPr>
            <w:tcW w:w="2727" w:type="dxa"/>
            <w:tcBorders>
              <w:top w:val="single" w:color="auto" w:sz="4" w:space="0"/>
              <w:bottom w:val="single" w:color="auto" w:sz="4" w:space="0"/>
            </w:tcBorders>
            <w:vAlign w:val="center"/>
          </w:tcPr>
          <w:p w14:paraId="10715ACE">
            <w:pPr>
              <w:tabs>
                <w:tab w:val="left" w:pos="900"/>
              </w:tabs>
              <w:snapToGrid w:val="0"/>
              <w:spacing w:before="60" w:after="120"/>
              <w:ind w:right="-24"/>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合计（小写）</w:t>
            </w:r>
          </w:p>
        </w:tc>
        <w:tc>
          <w:tcPr>
            <w:tcW w:w="5038" w:type="dxa"/>
            <w:vAlign w:val="center"/>
          </w:tcPr>
          <w:p w14:paraId="7EB77A99">
            <w:pPr>
              <w:tabs>
                <w:tab w:val="left" w:pos="900"/>
              </w:tabs>
              <w:snapToGrid w:val="0"/>
              <w:spacing w:before="60" w:after="120"/>
              <w:ind w:right="-24"/>
              <w:jc w:val="center"/>
              <w:rPr>
                <w:rFonts w:hint="eastAsia" w:ascii="宋体" w:hAnsi="宋体" w:eastAsia="宋体" w:cs="宋体"/>
                <w:color w:val="auto"/>
                <w:sz w:val="21"/>
                <w:szCs w:val="21"/>
                <w:highlight w:val="none"/>
              </w:rPr>
            </w:pPr>
          </w:p>
        </w:tc>
      </w:tr>
    </w:tbl>
    <w:p w14:paraId="37FE5ECF">
      <w:pPr>
        <w:rPr>
          <w:color w:val="auto"/>
          <w:highlight w:val="none"/>
        </w:rPr>
      </w:pPr>
    </w:p>
    <w:p w14:paraId="1CADD1F6">
      <w:pPr>
        <w:rPr>
          <w:color w:val="auto"/>
          <w:highlight w:val="none"/>
        </w:rPr>
      </w:pPr>
      <w:r>
        <w:rPr>
          <w:color w:val="auto"/>
          <w:highlight w:val="none"/>
        </w:rPr>
        <w:br w:type="page"/>
      </w:r>
    </w:p>
    <w:p w14:paraId="2D44B9A9">
      <w:pPr>
        <w:pStyle w:val="3"/>
        <w:ind w:firstLine="137"/>
        <w:rPr>
          <w:rFonts w:ascii="Times New Roman"/>
          <w:color w:val="auto"/>
          <w:highlight w:val="none"/>
        </w:rPr>
      </w:pPr>
      <w:bookmarkStart w:id="373" w:name="_Toc7183"/>
      <w:r>
        <w:rPr>
          <w:rFonts w:hint="eastAsia" w:ascii="Times New Roman"/>
          <w:color w:val="auto"/>
          <w:highlight w:val="none"/>
        </w:rPr>
        <w:t>附件</w:t>
      </w:r>
      <w:r>
        <w:rPr>
          <w:rFonts w:hint="eastAsia" w:ascii="Times New Roman"/>
          <w:color w:val="auto"/>
          <w:highlight w:val="none"/>
          <w:lang w:val="en-US" w:eastAsia="zh-CN"/>
        </w:rPr>
        <w:t>四</w:t>
      </w:r>
      <w:r>
        <w:rPr>
          <w:rFonts w:hint="eastAsia" w:ascii="Times New Roman"/>
          <w:color w:val="auto"/>
          <w:highlight w:val="none"/>
        </w:rPr>
        <w:t>：廉洁协议书</w:t>
      </w:r>
      <w:bookmarkEnd w:id="373"/>
    </w:p>
    <w:p w14:paraId="3730F5B2">
      <w:pPr>
        <w:spacing w:line="440" w:lineRule="exact"/>
        <w:jc w:val="center"/>
        <w:rPr>
          <w:rFonts w:eastAsia="黑体"/>
          <w:color w:val="auto"/>
          <w:sz w:val="28"/>
          <w:highlight w:val="none"/>
        </w:rPr>
      </w:pPr>
      <w:r>
        <w:rPr>
          <w:rFonts w:hint="eastAsia" w:eastAsia="黑体"/>
          <w:color w:val="auto"/>
          <w:sz w:val="28"/>
          <w:highlight w:val="none"/>
        </w:rPr>
        <w:t>廉洁协议书</w:t>
      </w:r>
    </w:p>
    <w:p w14:paraId="7AE30DCA">
      <w:pPr>
        <w:spacing w:line="440" w:lineRule="exact"/>
        <w:jc w:val="center"/>
        <w:rPr>
          <w:rFonts w:eastAsia="黑体"/>
          <w:color w:val="auto"/>
          <w:sz w:val="28"/>
          <w:highlight w:val="none"/>
        </w:rPr>
      </w:pPr>
    </w:p>
    <w:p w14:paraId="05E7AE36">
      <w:pPr>
        <w:autoSpaceDE w:val="0"/>
        <w:autoSpaceDN w:val="0"/>
        <w:spacing w:line="360" w:lineRule="auto"/>
        <w:rPr>
          <w:rFonts w:ascii="宋体" w:hAnsi="宋体" w:cs="仿宋_GB2312"/>
          <w:color w:val="auto"/>
          <w:szCs w:val="21"/>
          <w:highlight w:val="none"/>
          <w:u w:val="single"/>
        </w:rPr>
      </w:pPr>
      <w:r>
        <w:rPr>
          <w:rFonts w:hint="eastAsia" w:ascii="宋体" w:hAnsi="宋体" w:cs="仿宋_GB2312"/>
          <w:color w:val="auto"/>
          <w:szCs w:val="21"/>
          <w:highlight w:val="none"/>
        </w:rPr>
        <w:t>对应合同编号：</w:t>
      </w:r>
      <w:r>
        <w:rPr>
          <w:rFonts w:hint="eastAsia" w:ascii="宋体" w:hAnsi="宋体" w:cs="仿宋_GB2312"/>
          <w:color w:val="auto"/>
          <w:szCs w:val="21"/>
          <w:highlight w:val="none"/>
          <w:u w:val="single"/>
        </w:rPr>
        <w:t xml:space="preserve">                    </w:t>
      </w:r>
    </w:p>
    <w:p w14:paraId="6D87BCD5">
      <w:pPr>
        <w:spacing w:line="360" w:lineRule="auto"/>
        <w:rPr>
          <w:rFonts w:ascii="宋体" w:hAnsi="宋体"/>
          <w:color w:val="auto"/>
          <w:szCs w:val="21"/>
          <w:highlight w:val="none"/>
          <w:u w:val="single"/>
        </w:rPr>
      </w:pPr>
      <w:r>
        <w:rPr>
          <w:rFonts w:hint="eastAsia" w:ascii="宋体" w:hAnsi="宋体"/>
          <w:color w:val="auto"/>
          <w:szCs w:val="21"/>
          <w:highlight w:val="none"/>
        </w:rPr>
        <w:t>工程名称：</w:t>
      </w:r>
      <w:r>
        <w:rPr>
          <w:rFonts w:ascii="宋体" w:hAnsi="宋体"/>
          <w:color w:val="auto"/>
          <w:szCs w:val="21"/>
          <w:highlight w:val="none"/>
          <w:u w:val="single"/>
        </w:rPr>
        <w:t xml:space="preserve"> </w:t>
      </w:r>
      <w:r>
        <w:rPr>
          <w:rFonts w:hint="eastAsia" w:ascii="宋体" w:hAnsi="宋体" w:eastAsia="宋体" w:cs="宋体"/>
          <w:color w:val="auto"/>
          <w:sz w:val="21"/>
          <w:szCs w:val="21"/>
          <w:highlight w:val="none"/>
          <w:u w:val="single"/>
          <w:lang w:val="en-US" w:eastAsia="zh-CN"/>
        </w:rPr>
        <w:t>500千伏番南输变电工程（变电站建筑）监理服务</w:t>
      </w:r>
      <w:r>
        <w:rPr>
          <w:rFonts w:ascii="宋体" w:hAnsi="宋体"/>
          <w:color w:val="auto"/>
          <w:szCs w:val="21"/>
          <w:highlight w:val="none"/>
          <w:u w:val="single"/>
        </w:rPr>
        <w:t xml:space="preserve"> </w:t>
      </w:r>
    </w:p>
    <w:p w14:paraId="02F55300">
      <w:pPr>
        <w:spacing w:line="360" w:lineRule="auto"/>
        <w:rPr>
          <w:rFonts w:ascii="宋体" w:hAnsi="宋体"/>
          <w:color w:val="auto"/>
          <w:szCs w:val="21"/>
          <w:highlight w:val="none"/>
        </w:rPr>
      </w:pPr>
      <w:r>
        <w:rPr>
          <w:rFonts w:hint="eastAsia" w:ascii="宋体" w:hAnsi="宋体"/>
          <w:color w:val="auto"/>
          <w:szCs w:val="21"/>
          <w:highlight w:val="none"/>
        </w:rPr>
        <w:t>工程地址：</w:t>
      </w:r>
      <w:r>
        <w:rPr>
          <w:rFonts w:ascii="宋体" w:hAnsi="宋体"/>
          <w:color w:val="auto"/>
          <w:szCs w:val="21"/>
          <w:highlight w:val="none"/>
          <w:u w:val="single"/>
        </w:rPr>
        <w:t xml:space="preserve"> </w:t>
      </w:r>
      <w:r>
        <w:rPr>
          <w:rFonts w:hint="eastAsia" w:ascii="宋体" w:hAnsi="宋体"/>
          <w:color w:val="auto"/>
          <w:szCs w:val="21"/>
          <w:highlight w:val="none"/>
          <w:u w:val="single"/>
        </w:rPr>
        <w:t>广州市番禺区</w:t>
      </w:r>
      <w:r>
        <w:rPr>
          <w:rFonts w:ascii="宋体" w:hAnsi="宋体"/>
          <w:color w:val="auto"/>
          <w:szCs w:val="21"/>
          <w:highlight w:val="none"/>
          <w:u w:val="single"/>
        </w:rPr>
        <w:t xml:space="preserve"> </w:t>
      </w:r>
    </w:p>
    <w:p w14:paraId="2019D6FB">
      <w:pPr>
        <w:spacing w:line="360" w:lineRule="auto"/>
        <w:rPr>
          <w:rFonts w:hint="eastAsia"/>
          <w:color w:val="auto"/>
          <w:sz w:val="21"/>
          <w:szCs w:val="21"/>
          <w:highlight w:val="none"/>
          <w:u w:val="single" w:color="auto"/>
          <w:lang w:val="en-US" w:eastAsia="zh-CN"/>
        </w:rPr>
      </w:pPr>
      <w:r>
        <w:rPr>
          <w:rFonts w:hint="eastAsia" w:ascii="宋体" w:hAnsi="宋体" w:cs="宋体"/>
          <w:color w:val="auto"/>
          <w:szCs w:val="21"/>
          <w:highlight w:val="none"/>
        </w:rPr>
        <w:t>建设单位</w:t>
      </w:r>
      <w:r>
        <w:rPr>
          <w:rFonts w:hint="eastAsia" w:ascii="宋体" w:hAnsi="宋体"/>
          <w:color w:val="auto"/>
          <w:szCs w:val="21"/>
          <w:highlight w:val="none"/>
        </w:rPr>
        <w:t>（以下称甲方）：</w:t>
      </w:r>
      <w:r>
        <w:rPr>
          <w:rFonts w:ascii="宋体" w:hAnsi="宋体"/>
          <w:color w:val="auto"/>
          <w:szCs w:val="21"/>
          <w:highlight w:val="none"/>
          <w:u w:val="single"/>
        </w:rPr>
        <w:t xml:space="preserve"> </w:t>
      </w:r>
      <w:r>
        <w:rPr>
          <w:rFonts w:hint="eastAsia"/>
          <w:color w:val="auto"/>
          <w:sz w:val="21"/>
          <w:szCs w:val="21"/>
          <w:highlight w:val="none"/>
          <w:u w:val="single" w:color="auto"/>
          <w:lang w:val="en-US" w:eastAsia="zh-CN"/>
        </w:rPr>
        <w:t xml:space="preserve">                         </w:t>
      </w:r>
    </w:p>
    <w:p w14:paraId="070DD5BD">
      <w:pPr>
        <w:spacing w:line="360" w:lineRule="auto"/>
        <w:rPr>
          <w:rFonts w:ascii="宋体" w:hAnsi="宋体" w:cs="仿宋_GB2312"/>
          <w:color w:val="auto"/>
          <w:szCs w:val="21"/>
          <w:highlight w:val="none"/>
          <w:u w:val="single"/>
        </w:rPr>
      </w:pPr>
      <w:r>
        <w:rPr>
          <w:rFonts w:hint="eastAsia" w:ascii="宋体" w:hAnsi="宋体"/>
          <w:color w:val="auto"/>
          <w:szCs w:val="21"/>
          <w:highlight w:val="none"/>
        </w:rPr>
        <w:t>监理人（以下称乙方）：</w:t>
      </w:r>
      <w:r>
        <w:rPr>
          <w:rFonts w:ascii="宋体" w:hAnsi="宋体"/>
          <w:color w:val="auto"/>
          <w:szCs w:val="21"/>
          <w:highlight w:val="none"/>
          <w:u w:val="single"/>
        </w:rPr>
        <w:t xml:space="preserve"> </w:t>
      </w:r>
      <w:sdt>
        <w:sdtPr>
          <w:rPr>
            <w:rFonts w:hint="eastAsia" w:ascii="宋体" w:hAnsi="宋体" w:eastAsia="宋体" w:cs="宋体"/>
            <w:color w:val="auto"/>
            <w:kern w:val="2"/>
            <w:sz w:val="28"/>
            <w:szCs w:val="28"/>
            <w:highlight w:val="none"/>
            <w:lang w:val="en-US" w:eastAsia="zh-CN" w:bidi="ar-SA"/>
          </w:rPr>
          <w:alias w:val="乙方当事人全称"/>
          <w:tag w:val="乙方当事人全称"/>
          <w:id w:val="147454326"/>
          <w:placeholder>
            <w:docPart w:val="{29c0eda5-5e5f-490f-b39f-cb6b65be896d}"/>
          </w:placeholder>
          <w:text/>
        </w:sdtPr>
        <w:sdtEndPr>
          <w:rPr>
            <w:rFonts w:hint="eastAsia" w:ascii="宋体" w:hAnsi="宋体" w:eastAsia="宋体" w:cs="宋体"/>
            <w:color w:val="auto"/>
            <w:kern w:val="2"/>
            <w:sz w:val="21"/>
            <w:szCs w:val="21"/>
            <w:highlight w:val="none"/>
            <w:u w:val="single" w:color="auto"/>
            <w:lang w:val="en-US" w:eastAsia="zh-CN" w:bidi="ar-SA"/>
          </w:rPr>
        </w:sdtEndPr>
        <w:sdtContent>
          <w:r>
            <w:rPr>
              <w:rFonts w:hint="eastAsia"/>
              <w:color w:val="auto"/>
              <w:sz w:val="21"/>
              <w:szCs w:val="21"/>
              <w:highlight w:val="none"/>
              <w:u w:val="single" w:color="auto"/>
              <w:lang w:val="en-US" w:eastAsia="zh-CN"/>
            </w:rPr>
            <w:t xml:space="preserve">                    </w:t>
          </w:r>
        </w:sdtContent>
      </w:sdt>
      <w:r>
        <w:rPr>
          <w:rFonts w:ascii="宋体" w:hAnsi="宋体"/>
          <w:color w:val="auto"/>
          <w:szCs w:val="21"/>
          <w:highlight w:val="none"/>
          <w:u w:val="single"/>
        </w:rPr>
        <w:t xml:space="preserve"> </w:t>
      </w:r>
    </w:p>
    <w:p w14:paraId="3A4C4498">
      <w:pPr>
        <w:autoSpaceDE w:val="0"/>
        <w:autoSpaceDN w:val="0"/>
        <w:spacing w:line="360" w:lineRule="auto"/>
        <w:ind w:firstLine="420" w:firstLineChars="200"/>
        <w:rPr>
          <w:rFonts w:ascii="宋体" w:hAnsi="宋体" w:cs="TimesNewRomanPSMT"/>
          <w:color w:val="auto"/>
          <w:szCs w:val="21"/>
          <w:highlight w:val="none"/>
        </w:rPr>
      </w:pPr>
      <w:r>
        <w:rPr>
          <w:rFonts w:hint="eastAsia" w:ascii="宋体" w:hAnsi="宋体" w:cs="TimesNewRomanPSMT"/>
          <w:color w:val="auto"/>
          <w:szCs w:val="21"/>
          <w:highlight w:val="none"/>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14:paraId="5F1E54B4">
      <w:pPr>
        <w:autoSpaceDE w:val="0"/>
        <w:autoSpaceDN w:val="0"/>
        <w:spacing w:line="360" w:lineRule="auto"/>
        <w:ind w:firstLine="422" w:firstLineChars="200"/>
        <w:rPr>
          <w:rFonts w:ascii="宋体" w:hAnsi="宋体" w:cs="TimesNewRomanPSMT"/>
          <w:b/>
          <w:bCs/>
          <w:color w:val="auto"/>
          <w:szCs w:val="21"/>
          <w:highlight w:val="none"/>
        </w:rPr>
      </w:pPr>
      <w:r>
        <w:rPr>
          <w:rFonts w:hint="eastAsia" w:ascii="宋体" w:hAnsi="宋体" w:cs="TimesNewRomanPSMT"/>
          <w:b/>
          <w:bCs/>
          <w:color w:val="auto"/>
          <w:szCs w:val="21"/>
          <w:highlight w:val="none"/>
        </w:rPr>
        <w:t>第一条 甲、乙双方的共同责任</w:t>
      </w:r>
    </w:p>
    <w:p w14:paraId="64DB2EB9">
      <w:pPr>
        <w:autoSpaceDE w:val="0"/>
        <w:autoSpaceDN w:val="0"/>
        <w:spacing w:line="360" w:lineRule="auto"/>
        <w:ind w:firstLine="420" w:firstLineChars="200"/>
        <w:rPr>
          <w:rFonts w:ascii="宋体" w:hAnsi="宋体" w:cs="TimesNewRomanPSMT"/>
          <w:color w:val="auto"/>
          <w:szCs w:val="21"/>
          <w:highlight w:val="none"/>
        </w:rPr>
      </w:pPr>
      <w:r>
        <w:rPr>
          <w:rFonts w:hint="eastAsia" w:ascii="宋体" w:hAnsi="宋体" w:cs="TimesNewRomanPSMT"/>
          <w:color w:val="auto"/>
          <w:szCs w:val="21"/>
          <w:highlight w:val="none"/>
        </w:rPr>
        <w:t>（一）严格遵守国家关于市场准入、招标投标、工程建设、物资采购等市场经济活动的法律法规、政策以及廉洁建设规定。</w:t>
      </w:r>
    </w:p>
    <w:p w14:paraId="72CADD34">
      <w:pPr>
        <w:autoSpaceDE w:val="0"/>
        <w:autoSpaceDN w:val="0"/>
        <w:spacing w:line="360" w:lineRule="auto"/>
        <w:ind w:firstLine="420" w:firstLineChars="200"/>
        <w:rPr>
          <w:rFonts w:ascii="宋体" w:hAnsi="宋体" w:cs="TimesNewRomanPSMT"/>
          <w:color w:val="auto"/>
          <w:szCs w:val="21"/>
          <w:highlight w:val="none"/>
        </w:rPr>
      </w:pPr>
      <w:r>
        <w:rPr>
          <w:rFonts w:hint="eastAsia" w:ascii="宋体" w:hAnsi="宋体" w:cs="TimesNewRomanPSMT"/>
          <w:color w:val="auto"/>
          <w:szCs w:val="21"/>
          <w:highlight w:val="none"/>
        </w:rPr>
        <w:t>（二）严格履行合同约定，自觉承担合同义务。</w:t>
      </w:r>
    </w:p>
    <w:p w14:paraId="7A102718">
      <w:pPr>
        <w:autoSpaceDE w:val="0"/>
        <w:autoSpaceDN w:val="0"/>
        <w:spacing w:line="360" w:lineRule="auto"/>
        <w:ind w:firstLine="420" w:firstLineChars="200"/>
        <w:rPr>
          <w:rFonts w:ascii="宋体" w:hAnsi="宋体" w:cs="TimesNewRomanPSMT"/>
          <w:color w:val="auto"/>
          <w:szCs w:val="21"/>
          <w:highlight w:val="none"/>
        </w:rPr>
      </w:pPr>
      <w:r>
        <w:rPr>
          <w:rFonts w:hint="eastAsia" w:ascii="宋体" w:hAnsi="宋体" w:cs="TimesNewRomanPSMT"/>
          <w:color w:val="auto"/>
          <w:szCs w:val="21"/>
          <w:highlight w:val="none"/>
        </w:rPr>
        <w:t>（三）业务活动必须坚持公平、公正、公开和诚实守信的原则（除法律法规另有规定者外），不得为获取不正当利益，损害国家、集体和对方利益，不违反招标投标、工程建设管理、物资采购等方面的规章制度。</w:t>
      </w:r>
    </w:p>
    <w:p w14:paraId="360635B5">
      <w:pPr>
        <w:autoSpaceDE w:val="0"/>
        <w:autoSpaceDN w:val="0"/>
        <w:spacing w:line="360" w:lineRule="auto"/>
        <w:ind w:firstLine="420" w:firstLineChars="200"/>
        <w:rPr>
          <w:rFonts w:ascii="宋体" w:hAnsi="宋体" w:cs="TimesNewRomanPSMT"/>
          <w:color w:val="auto"/>
          <w:szCs w:val="21"/>
          <w:highlight w:val="none"/>
        </w:rPr>
      </w:pPr>
      <w:r>
        <w:rPr>
          <w:rFonts w:hint="eastAsia" w:ascii="宋体" w:hAnsi="宋体" w:cs="TimesNewRomanPSMT"/>
          <w:color w:val="auto"/>
          <w:szCs w:val="21"/>
          <w:highlight w:val="none"/>
        </w:rPr>
        <w:t>（四）建立健全自我制约制度，开展廉洁教育，公布举报方式，监督并认真查处违法违纪行为。</w:t>
      </w:r>
    </w:p>
    <w:p w14:paraId="2799D52A">
      <w:pPr>
        <w:autoSpaceDE w:val="0"/>
        <w:autoSpaceDN w:val="0"/>
        <w:spacing w:line="360" w:lineRule="auto"/>
        <w:ind w:firstLine="420" w:firstLineChars="200"/>
        <w:rPr>
          <w:rFonts w:ascii="宋体" w:hAnsi="宋体" w:cs="TimesNewRomanPSMT"/>
          <w:color w:val="auto"/>
          <w:szCs w:val="21"/>
          <w:highlight w:val="none"/>
        </w:rPr>
      </w:pPr>
      <w:r>
        <w:rPr>
          <w:rFonts w:hint="eastAsia" w:ascii="宋体" w:hAnsi="宋体" w:cs="TimesNewRomanPSMT"/>
          <w:color w:val="auto"/>
          <w:szCs w:val="21"/>
          <w:highlight w:val="none"/>
        </w:rPr>
        <w:t>（五）发现对方在业务活动中有违规、违纪、违法行为的，应及时提醒对方，情节严重的，应向有关纪检监察部门举报。</w:t>
      </w:r>
    </w:p>
    <w:p w14:paraId="4CFE0F8A">
      <w:pPr>
        <w:autoSpaceDE w:val="0"/>
        <w:autoSpaceDN w:val="0"/>
        <w:spacing w:line="360" w:lineRule="auto"/>
        <w:ind w:firstLine="422" w:firstLineChars="200"/>
        <w:rPr>
          <w:rFonts w:ascii="宋体" w:hAnsi="宋体" w:cs="TimesNewRomanPSMT"/>
          <w:b/>
          <w:bCs/>
          <w:color w:val="auto"/>
          <w:szCs w:val="21"/>
          <w:highlight w:val="none"/>
        </w:rPr>
      </w:pPr>
      <w:r>
        <w:rPr>
          <w:rFonts w:hint="eastAsia" w:ascii="宋体" w:hAnsi="宋体" w:cs="TimesNewRomanPSMT"/>
          <w:b/>
          <w:bCs/>
          <w:color w:val="auto"/>
          <w:szCs w:val="21"/>
          <w:highlight w:val="none"/>
        </w:rPr>
        <w:t>第二条 甲方的责任</w:t>
      </w:r>
    </w:p>
    <w:p w14:paraId="36974B9B">
      <w:pPr>
        <w:autoSpaceDE w:val="0"/>
        <w:autoSpaceDN w:val="0"/>
        <w:spacing w:line="360" w:lineRule="auto"/>
        <w:ind w:firstLine="420" w:firstLineChars="200"/>
        <w:rPr>
          <w:rFonts w:ascii="宋体" w:hAnsi="宋体" w:cs="TimesNewRomanPSMT"/>
          <w:color w:val="auto"/>
          <w:szCs w:val="21"/>
          <w:highlight w:val="none"/>
        </w:rPr>
      </w:pPr>
      <w:r>
        <w:rPr>
          <w:rFonts w:hint="eastAsia" w:ascii="宋体" w:hAnsi="宋体" w:cs="TimesNewRomanPSMT"/>
          <w:color w:val="auto"/>
          <w:szCs w:val="21"/>
          <w:highlight w:val="none"/>
        </w:rPr>
        <w:t>甲方相关工作人员，在业务活动的事前、事中、事后，应遵守以下规定：</w:t>
      </w:r>
    </w:p>
    <w:p w14:paraId="03ADC02C">
      <w:pPr>
        <w:autoSpaceDE w:val="0"/>
        <w:autoSpaceDN w:val="0"/>
        <w:spacing w:line="360" w:lineRule="auto"/>
        <w:ind w:firstLine="420" w:firstLineChars="200"/>
        <w:rPr>
          <w:rFonts w:ascii="宋体" w:hAnsi="宋体" w:cs="TimesNewRomanPSMT"/>
          <w:color w:val="auto"/>
          <w:szCs w:val="21"/>
          <w:highlight w:val="none"/>
        </w:rPr>
      </w:pPr>
      <w:r>
        <w:rPr>
          <w:rFonts w:hint="eastAsia" w:ascii="宋体" w:hAnsi="宋体" w:cs="TimesNewRomanPSMT"/>
          <w:color w:val="auto"/>
          <w:szCs w:val="21"/>
          <w:highlight w:val="none"/>
        </w:rPr>
        <w:t xml:space="preserve">（一）贯彻落实中国南方电网有限责任公司有关党风廉政建设责任制及廉洁从业的规定，建立企业诚信档案； </w:t>
      </w:r>
    </w:p>
    <w:p w14:paraId="03B95763">
      <w:pPr>
        <w:autoSpaceDE w:val="0"/>
        <w:autoSpaceDN w:val="0"/>
        <w:spacing w:line="360" w:lineRule="auto"/>
        <w:ind w:firstLine="420" w:firstLineChars="200"/>
        <w:rPr>
          <w:rFonts w:ascii="宋体" w:hAnsi="宋体" w:cs="TimesNewRomanPSMT"/>
          <w:color w:val="auto"/>
          <w:szCs w:val="21"/>
          <w:highlight w:val="none"/>
        </w:rPr>
      </w:pPr>
      <w:r>
        <w:rPr>
          <w:rFonts w:hint="eastAsia" w:ascii="宋体" w:hAnsi="宋体" w:cs="TimesNewRomanPSMT"/>
          <w:color w:val="auto"/>
          <w:szCs w:val="21"/>
          <w:highlight w:val="none"/>
        </w:rPr>
        <w:t xml:space="preserve">（二）按照公平、公正、公开和诚实守信的原则开展各项业务活动，为乙方提供公平的竞争环境与平台； </w:t>
      </w:r>
    </w:p>
    <w:p w14:paraId="04872A56">
      <w:pPr>
        <w:autoSpaceDE w:val="0"/>
        <w:autoSpaceDN w:val="0"/>
        <w:spacing w:line="360" w:lineRule="auto"/>
        <w:ind w:firstLine="420" w:firstLineChars="200"/>
        <w:rPr>
          <w:rFonts w:ascii="宋体" w:hAnsi="宋体" w:cs="TimesNewRomanPSMT"/>
          <w:color w:val="auto"/>
          <w:szCs w:val="21"/>
          <w:highlight w:val="none"/>
        </w:rPr>
      </w:pPr>
      <w:r>
        <w:rPr>
          <w:rFonts w:hint="eastAsia" w:ascii="宋体" w:hAnsi="宋体" w:cs="TimesNewRomanPSMT"/>
          <w:color w:val="auto"/>
          <w:szCs w:val="21"/>
          <w:highlight w:val="none"/>
        </w:rPr>
        <w:t xml:space="preserve">（三）不准向乙方泄漏涉及有关业务活动的秘密； </w:t>
      </w:r>
    </w:p>
    <w:p w14:paraId="3BD3C05D">
      <w:pPr>
        <w:autoSpaceDE w:val="0"/>
        <w:autoSpaceDN w:val="0"/>
        <w:spacing w:line="360" w:lineRule="auto"/>
        <w:ind w:firstLine="420" w:firstLineChars="200"/>
        <w:rPr>
          <w:rFonts w:ascii="宋体" w:hAnsi="宋体" w:cs="TimesNewRomanPSMT"/>
          <w:color w:val="auto"/>
          <w:szCs w:val="21"/>
          <w:highlight w:val="none"/>
        </w:rPr>
      </w:pPr>
      <w:r>
        <w:rPr>
          <w:rFonts w:hint="eastAsia" w:ascii="宋体" w:hAnsi="宋体" w:cs="TimesNewRomanPSMT"/>
          <w:color w:val="auto"/>
          <w:szCs w:val="21"/>
          <w:highlight w:val="none"/>
        </w:rPr>
        <w:t xml:space="preserve">（四）不准向乙方和相关单位索要或接受回扣、红包、礼金、购物卡、有价证券、贵重物品和好处费、感谢费等； </w:t>
      </w:r>
    </w:p>
    <w:p w14:paraId="6FF4B81B">
      <w:pPr>
        <w:autoSpaceDE w:val="0"/>
        <w:autoSpaceDN w:val="0"/>
        <w:spacing w:line="360" w:lineRule="auto"/>
        <w:ind w:firstLine="420" w:firstLineChars="200"/>
        <w:rPr>
          <w:rFonts w:ascii="宋体" w:hAnsi="宋体" w:cs="TimesNewRomanPSMT"/>
          <w:color w:val="auto"/>
          <w:szCs w:val="21"/>
          <w:highlight w:val="none"/>
        </w:rPr>
      </w:pPr>
      <w:r>
        <w:rPr>
          <w:rFonts w:hint="eastAsia" w:ascii="宋体" w:hAnsi="宋体" w:cs="TimesNewRomanPSMT"/>
          <w:color w:val="auto"/>
          <w:szCs w:val="21"/>
          <w:highlight w:val="none"/>
        </w:rPr>
        <w:t>（五）不准在乙方和相关单位报销任何应由甲方或个人支付的费用；</w:t>
      </w:r>
    </w:p>
    <w:p w14:paraId="0F4DCB6B">
      <w:pPr>
        <w:autoSpaceDE w:val="0"/>
        <w:autoSpaceDN w:val="0"/>
        <w:spacing w:line="360" w:lineRule="auto"/>
        <w:ind w:firstLine="420" w:firstLineChars="200"/>
        <w:rPr>
          <w:rFonts w:ascii="宋体" w:hAnsi="宋体" w:cs="TimesNewRomanPSMT"/>
          <w:color w:val="auto"/>
          <w:szCs w:val="21"/>
          <w:highlight w:val="none"/>
        </w:rPr>
      </w:pPr>
      <w:r>
        <w:rPr>
          <w:rFonts w:hint="eastAsia" w:ascii="宋体" w:hAnsi="宋体" w:cs="TimesNewRomanPSMT"/>
          <w:color w:val="auto"/>
          <w:szCs w:val="21"/>
          <w:highlight w:val="none"/>
        </w:rPr>
        <w:t>（六）不准要求、暗示或接受乙方和相关单位为个人装修住房、婚丧嫁娶、配偶子女的工作安排以及境内外旅游等提供方便；</w:t>
      </w:r>
    </w:p>
    <w:p w14:paraId="33D36826">
      <w:pPr>
        <w:autoSpaceDE w:val="0"/>
        <w:autoSpaceDN w:val="0"/>
        <w:spacing w:line="360" w:lineRule="auto"/>
        <w:ind w:firstLine="420" w:firstLineChars="200"/>
        <w:rPr>
          <w:rFonts w:ascii="宋体" w:hAnsi="宋体" w:cs="TimesNewRomanPSMT"/>
          <w:color w:val="auto"/>
          <w:szCs w:val="21"/>
          <w:highlight w:val="none"/>
        </w:rPr>
      </w:pPr>
      <w:r>
        <w:rPr>
          <w:rFonts w:hint="eastAsia" w:ascii="宋体" w:hAnsi="宋体" w:cs="TimesNewRomanPSMT"/>
          <w:color w:val="auto"/>
          <w:szCs w:val="21"/>
          <w:highlight w:val="none"/>
        </w:rPr>
        <w:t>（七）不准向乙方介绍配偶、子女、亲属参与与甲方有关的经济活动，不得以任何理由向乙方和相关单位推荐第三方单位；</w:t>
      </w:r>
    </w:p>
    <w:p w14:paraId="792C25EC">
      <w:pPr>
        <w:autoSpaceDE w:val="0"/>
        <w:autoSpaceDN w:val="0"/>
        <w:spacing w:line="360" w:lineRule="auto"/>
        <w:ind w:firstLine="420" w:firstLineChars="200"/>
        <w:rPr>
          <w:rFonts w:ascii="宋体" w:hAnsi="宋体" w:cs="TimesNewRomanPSMT"/>
          <w:color w:val="auto"/>
          <w:szCs w:val="21"/>
          <w:highlight w:val="none"/>
        </w:rPr>
      </w:pPr>
      <w:r>
        <w:rPr>
          <w:rFonts w:hint="eastAsia" w:ascii="宋体" w:hAnsi="宋体" w:cs="TimesNewRomanPSMT"/>
          <w:color w:val="auto"/>
          <w:szCs w:val="21"/>
          <w:highlight w:val="none"/>
        </w:rPr>
        <w:t>（八）不准参与影响相关工作正常和公正开展的其他活动；</w:t>
      </w:r>
    </w:p>
    <w:p w14:paraId="65D3BE56">
      <w:pPr>
        <w:autoSpaceDE w:val="0"/>
        <w:autoSpaceDN w:val="0"/>
        <w:spacing w:line="360" w:lineRule="auto"/>
        <w:ind w:firstLine="420" w:firstLineChars="200"/>
        <w:rPr>
          <w:rFonts w:ascii="宋体" w:hAnsi="宋体" w:cs="TimesNewRomanPSMT"/>
          <w:color w:val="auto"/>
          <w:szCs w:val="21"/>
          <w:highlight w:val="none"/>
        </w:rPr>
      </w:pPr>
      <w:r>
        <w:rPr>
          <w:rFonts w:hint="eastAsia" w:ascii="宋体" w:hAnsi="宋体" w:cs="TimesNewRomanPSMT"/>
          <w:color w:val="auto"/>
          <w:szCs w:val="21"/>
          <w:highlight w:val="none"/>
        </w:rPr>
        <w:t>（九）不准违反《中共中央纪委关于严格禁止利用职务上的便利谋取不正当利益的若干规定》的内容。</w:t>
      </w:r>
    </w:p>
    <w:p w14:paraId="2F78C3FA">
      <w:pPr>
        <w:autoSpaceDE w:val="0"/>
        <w:autoSpaceDN w:val="0"/>
        <w:spacing w:line="360" w:lineRule="auto"/>
        <w:ind w:firstLine="422" w:firstLineChars="200"/>
        <w:rPr>
          <w:rFonts w:ascii="宋体" w:hAnsi="宋体" w:cs="TimesNewRomanPSMT"/>
          <w:b/>
          <w:bCs/>
          <w:color w:val="auto"/>
          <w:szCs w:val="21"/>
          <w:highlight w:val="none"/>
        </w:rPr>
      </w:pPr>
      <w:r>
        <w:rPr>
          <w:rFonts w:hint="eastAsia" w:ascii="宋体" w:hAnsi="宋体" w:cs="TimesNewRomanPSMT"/>
          <w:b/>
          <w:bCs/>
          <w:color w:val="auto"/>
          <w:szCs w:val="21"/>
          <w:highlight w:val="none"/>
        </w:rPr>
        <w:t>第三条 乙方的责任</w:t>
      </w:r>
    </w:p>
    <w:p w14:paraId="032D0E0B">
      <w:pPr>
        <w:autoSpaceDE w:val="0"/>
        <w:autoSpaceDN w:val="0"/>
        <w:spacing w:line="360" w:lineRule="auto"/>
        <w:ind w:firstLine="420" w:firstLineChars="200"/>
        <w:rPr>
          <w:rFonts w:ascii="宋体" w:hAnsi="宋体" w:cs="TimesNewRomanPSMT"/>
          <w:color w:val="auto"/>
          <w:szCs w:val="21"/>
          <w:highlight w:val="none"/>
        </w:rPr>
      </w:pPr>
      <w:r>
        <w:rPr>
          <w:rFonts w:hint="eastAsia" w:ascii="宋体" w:hAnsi="宋体" w:cs="TimesNewRomanPSMT"/>
          <w:color w:val="auto"/>
          <w:szCs w:val="21"/>
          <w:highlight w:val="none"/>
        </w:rPr>
        <w:t>在与甲方业务交往过程中，按照有关法律法规和程序开展工作，严格执行国家的有关方针、政策，并遵守以下规定：</w:t>
      </w:r>
    </w:p>
    <w:p w14:paraId="2FB943D3">
      <w:pPr>
        <w:autoSpaceDE w:val="0"/>
        <w:autoSpaceDN w:val="0"/>
        <w:spacing w:line="360" w:lineRule="auto"/>
        <w:ind w:firstLine="420" w:firstLineChars="200"/>
        <w:rPr>
          <w:rFonts w:ascii="宋体" w:hAnsi="宋体" w:cs="TimesNewRomanPSMT"/>
          <w:color w:val="auto"/>
          <w:szCs w:val="21"/>
          <w:highlight w:val="none"/>
        </w:rPr>
      </w:pPr>
      <w:r>
        <w:rPr>
          <w:rFonts w:hint="eastAsia" w:ascii="宋体" w:hAnsi="宋体" w:cs="TimesNewRomanPSMT"/>
          <w:color w:val="auto"/>
          <w:szCs w:val="21"/>
          <w:highlight w:val="none"/>
        </w:rPr>
        <w:t>（一）不准以任何理由为甲方和相关单位报销应由对方或个人支付的费用；</w:t>
      </w:r>
    </w:p>
    <w:p w14:paraId="46D8EE22">
      <w:pPr>
        <w:autoSpaceDE w:val="0"/>
        <w:autoSpaceDN w:val="0"/>
        <w:spacing w:line="360" w:lineRule="auto"/>
        <w:ind w:firstLine="420" w:firstLineChars="200"/>
        <w:rPr>
          <w:rFonts w:ascii="宋体" w:hAnsi="宋体" w:cs="TimesNewRomanPSMT"/>
          <w:color w:val="auto"/>
          <w:szCs w:val="21"/>
          <w:highlight w:val="none"/>
        </w:rPr>
      </w:pPr>
      <w:r>
        <w:rPr>
          <w:rFonts w:hint="eastAsia" w:ascii="宋体" w:hAnsi="宋体" w:cs="TimesNewRomanPSMT"/>
          <w:color w:val="auto"/>
          <w:szCs w:val="21"/>
          <w:highlight w:val="none"/>
        </w:rPr>
        <w:t>（二）不准以任何理由向甲方负责人及其工作人员赠送回扣、红包、礼金、购物卡、有价证券、贵重物品和好处费、感谢费等；</w:t>
      </w:r>
    </w:p>
    <w:p w14:paraId="55665823">
      <w:pPr>
        <w:autoSpaceDE w:val="0"/>
        <w:autoSpaceDN w:val="0"/>
        <w:spacing w:line="360" w:lineRule="auto"/>
        <w:ind w:firstLine="420" w:firstLineChars="200"/>
        <w:rPr>
          <w:rFonts w:ascii="宋体" w:hAnsi="宋体" w:cs="TimesNewRomanPSMT"/>
          <w:color w:val="auto"/>
          <w:szCs w:val="21"/>
          <w:highlight w:val="none"/>
        </w:rPr>
      </w:pPr>
      <w:r>
        <w:rPr>
          <w:rFonts w:hint="eastAsia" w:ascii="宋体" w:hAnsi="宋体" w:cs="TimesNewRomanPSMT"/>
          <w:color w:val="auto"/>
          <w:szCs w:val="21"/>
          <w:highlight w:val="none"/>
        </w:rPr>
        <w:t>（三）不准以任何理由为甲方、与甲方相关的单位或个人提供高消费宴请及娱乐活动；</w:t>
      </w:r>
    </w:p>
    <w:p w14:paraId="1F6E8814">
      <w:pPr>
        <w:autoSpaceDE w:val="0"/>
        <w:autoSpaceDN w:val="0"/>
        <w:spacing w:line="360" w:lineRule="auto"/>
        <w:ind w:firstLine="420" w:firstLineChars="200"/>
        <w:rPr>
          <w:rFonts w:ascii="宋体" w:hAnsi="宋体" w:cs="TimesNewRomanPSMT"/>
          <w:color w:val="auto"/>
          <w:szCs w:val="21"/>
          <w:highlight w:val="none"/>
        </w:rPr>
      </w:pPr>
      <w:r>
        <w:rPr>
          <w:rFonts w:hint="eastAsia" w:ascii="宋体" w:hAnsi="宋体" w:cs="TimesNewRomanPSMT"/>
          <w:color w:val="auto"/>
          <w:szCs w:val="21"/>
          <w:highlight w:val="none"/>
        </w:rPr>
        <w:t>（四）不准以任何理由为甲方、与甲方相关的单位或个人购置或提供通讯工具、交通工具和高档办公用品；</w:t>
      </w:r>
    </w:p>
    <w:p w14:paraId="5C56A53E">
      <w:pPr>
        <w:autoSpaceDE w:val="0"/>
        <w:autoSpaceDN w:val="0"/>
        <w:spacing w:line="360" w:lineRule="auto"/>
        <w:ind w:firstLine="420" w:firstLineChars="200"/>
        <w:rPr>
          <w:rFonts w:ascii="宋体" w:hAnsi="宋体" w:cs="TimesNewRomanPSMT"/>
          <w:color w:val="auto"/>
          <w:szCs w:val="21"/>
          <w:highlight w:val="none"/>
        </w:rPr>
      </w:pPr>
      <w:r>
        <w:rPr>
          <w:rFonts w:hint="eastAsia" w:ascii="宋体" w:hAnsi="宋体" w:cs="TimesNewRomanPSMT"/>
          <w:color w:val="auto"/>
          <w:szCs w:val="21"/>
          <w:highlight w:val="none"/>
        </w:rPr>
        <w:t>（五）不准接受或暗示为甲方、与甲方相关的单位或个人装修住房、婚丧嫁取、配偶子女的工作安排以及境内外旅游等提供方便；</w:t>
      </w:r>
    </w:p>
    <w:p w14:paraId="00D291DD">
      <w:pPr>
        <w:autoSpaceDE w:val="0"/>
        <w:autoSpaceDN w:val="0"/>
        <w:spacing w:line="360" w:lineRule="auto"/>
        <w:ind w:firstLine="420" w:firstLineChars="200"/>
        <w:rPr>
          <w:rFonts w:ascii="宋体" w:hAnsi="宋体" w:cs="TimesNewRomanPSMT"/>
          <w:color w:val="auto"/>
          <w:szCs w:val="21"/>
          <w:highlight w:val="none"/>
        </w:rPr>
      </w:pPr>
      <w:r>
        <w:rPr>
          <w:rFonts w:hint="eastAsia" w:ascii="宋体" w:hAnsi="宋体" w:cs="TimesNewRomanPSMT"/>
          <w:color w:val="auto"/>
          <w:szCs w:val="21"/>
          <w:highlight w:val="none"/>
        </w:rPr>
        <w:t>（六）不准以谋取非正当利益为目的，擅自与甲方工作人员就业务问题进行私下商谈或者达成利益默契；</w:t>
      </w:r>
    </w:p>
    <w:p w14:paraId="7D6C03D1">
      <w:pPr>
        <w:autoSpaceDE w:val="0"/>
        <w:autoSpaceDN w:val="0"/>
        <w:spacing w:line="360" w:lineRule="auto"/>
        <w:ind w:firstLine="420" w:firstLineChars="200"/>
        <w:rPr>
          <w:rFonts w:ascii="宋体" w:hAnsi="宋体" w:cs="TimesNewRomanPSMT"/>
          <w:color w:val="auto"/>
          <w:szCs w:val="21"/>
          <w:highlight w:val="none"/>
        </w:rPr>
      </w:pPr>
      <w:r>
        <w:rPr>
          <w:rFonts w:hint="eastAsia" w:ascii="宋体" w:hAnsi="宋体" w:cs="TimesNewRomanPSMT"/>
          <w:color w:val="auto"/>
          <w:szCs w:val="21"/>
          <w:highlight w:val="none"/>
        </w:rPr>
        <w:t>（七）</w:t>
      </w:r>
      <w:r>
        <w:rPr>
          <w:rFonts w:hint="eastAsia" w:ascii="宋体" w:hAnsi="宋体" w:eastAsia="宋体" w:cs="TimesNewRomanPSMT"/>
          <w:color w:val="auto"/>
          <w:szCs w:val="21"/>
          <w:highlight w:val="none"/>
        </w:rPr>
        <w:t>发现甲方工作人员有违反本廉洁协议书规定的，应向广州南方投资集团有限公司纪检</w:t>
      </w:r>
      <w:r>
        <w:rPr>
          <w:rFonts w:hint="eastAsia" w:ascii="宋体" w:hAnsi="宋体" w:eastAsia="宋体" w:cs="TimesNewRomanPSMT"/>
          <w:color w:val="auto"/>
          <w:szCs w:val="21"/>
          <w:highlight w:val="none"/>
          <w:lang w:val="en-US" w:eastAsia="zh-CN"/>
        </w:rPr>
        <w:t>监督</w:t>
      </w:r>
      <w:r>
        <w:rPr>
          <w:rFonts w:hint="eastAsia" w:ascii="宋体" w:hAnsi="宋体" w:eastAsia="宋体" w:cs="TimesNewRomanPSMT"/>
          <w:color w:val="auto"/>
          <w:szCs w:val="21"/>
          <w:highlight w:val="none"/>
        </w:rPr>
        <w:t>部门投诉(签字或盖章)。通讯地址：广东省广州市</w:t>
      </w:r>
      <w:r>
        <w:rPr>
          <w:rFonts w:hint="eastAsia" w:ascii="宋体" w:hAnsi="宋体" w:eastAsia="宋体" w:cs="TimesNewRomanPSMT"/>
          <w:color w:val="auto"/>
          <w:szCs w:val="21"/>
          <w:highlight w:val="none"/>
          <w:lang w:val="en-US" w:eastAsia="zh-CN"/>
        </w:rPr>
        <w:t>海珠区琶洲大道188号南方投资大厦22楼监督部</w:t>
      </w:r>
      <w:r>
        <w:rPr>
          <w:rFonts w:hint="eastAsia" w:ascii="宋体" w:hAnsi="宋体" w:eastAsia="宋体" w:cs="TimesNewRomanPSMT"/>
          <w:color w:val="auto"/>
          <w:szCs w:val="21"/>
          <w:highlight w:val="none"/>
        </w:rPr>
        <w:t>；举报电话：020-87766016；举报邮箱：jbyx@gznftz.com。</w:t>
      </w:r>
    </w:p>
    <w:p w14:paraId="579E8BF0">
      <w:pPr>
        <w:autoSpaceDE w:val="0"/>
        <w:autoSpaceDN w:val="0"/>
        <w:spacing w:line="360" w:lineRule="auto"/>
        <w:ind w:firstLine="422" w:firstLineChars="200"/>
        <w:rPr>
          <w:rFonts w:ascii="宋体" w:hAnsi="宋体" w:cs="TimesNewRomanPSMT"/>
          <w:b/>
          <w:bCs/>
          <w:color w:val="auto"/>
          <w:szCs w:val="21"/>
          <w:highlight w:val="none"/>
        </w:rPr>
      </w:pPr>
      <w:r>
        <w:rPr>
          <w:rFonts w:hint="eastAsia" w:ascii="宋体" w:hAnsi="宋体" w:cs="TimesNewRomanPSMT"/>
          <w:b/>
          <w:bCs/>
          <w:color w:val="auto"/>
          <w:szCs w:val="21"/>
          <w:highlight w:val="none"/>
        </w:rPr>
        <w:t>第四条 相关责任</w:t>
      </w:r>
    </w:p>
    <w:p w14:paraId="59F29D21">
      <w:pPr>
        <w:tabs>
          <w:tab w:val="left" w:pos="2127"/>
        </w:tabs>
        <w:spacing w:line="360" w:lineRule="auto"/>
        <w:ind w:firstLine="430" w:firstLineChars="205"/>
        <w:rPr>
          <w:rFonts w:ascii="宋体" w:hAnsi="宋体"/>
          <w:sz w:val="21"/>
          <w:szCs w:val="21"/>
          <w:highlight w:val="none"/>
        </w:rPr>
      </w:pPr>
      <w:r>
        <w:rPr>
          <w:rFonts w:hint="eastAsia" w:ascii="宋体" w:hAnsi="宋体"/>
          <w:sz w:val="21"/>
          <w:szCs w:val="21"/>
          <w:highlight w:val="none"/>
        </w:rPr>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14:paraId="2BC511B5">
      <w:pPr>
        <w:tabs>
          <w:tab w:val="left" w:pos="2127"/>
        </w:tabs>
        <w:spacing w:line="360" w:lineRule="auto"/>
        <w:ind w:firstLine="430" w:firstLineChars="205"/>
        <w:rPr>
          <w:rFonts w:ascii="宋体" w:hAnsi="宋体"/>
          <w:sz w:val="21"/>
          <w:szCs w:val="21"/>
          <w:highlight w:val="none"/>
        </w:rPr>
      </w:pPr>
      <w:r>
        <w:rPr>
          <w:rFonts w:hint="eastAsia" w:ascii="宋体" w:hAnsi="宋体"/>
          <w:sz w:val="21"/>
          <w:szCs w:val="21"/>
          <w:highlight w:val="none"/>
        </w:rPr>
        <w:t>（二）乙方违反本廉洁协议书第一、三条规定的，根据国家</w:t>
      </w:r>
      <w:r>
        <w:rPr>
          <w:rFonts w:hint="eastAsia" w:ascii="宋体" w:hAnsi="宋体"/>
          <w:sz w:val="21"/>
          <w:szCs w:val="21"/>
          <w:highlight w:val="none"/>
          <w:lang w:val="en-US" w:eastAsia="zh-CN"/>
        </w:rPr>
        <w:t>和</w:t>
      </w:r>
      <w:r>
        <w:rPr>
          <w:rFonts w:hint="eastAsia" w:ascii="宋体" w:hAnsi="宋体"/>
          <w:sz w:val="21"/>
          <w:szCs w:val="21"/>
          <w:highlight w:val="none"/>
        </w:rPr>
        <w:t>广州南方投资集团有限公司有关规定，对乙方进行处理。涉嫌犯罪的，移送司法机关依法追究刑事责任；给甲方单位造成经济损失的，应依法予以赔偿。</w:t>
      </w:r>
    </w:p>
    <w:p w14:paraId="0EED8E14">
      <w:pPr>
        <w:tabs>
          <w:tab w:val="left" w:pos="2127"/>
        </w:tabs>
        <w:spacing w:line="360" w:lineRule="auto"/>
        <w:ind w:firstLine="430" w:firstLineChars="205"/>
        <w:rPr>
          <w:rFonts w:ascii="宋体" w:hAnsi="宋体"/>
          <w:sz w:val="21"/>
          <w:szCs w:val="21"/>
          <w:highlight w:val="none"/>
        </w:rPr>
      </w:pPr>
      <w:r>
        <w:rPr>
          <w:rFonts w:hint="eastAsia" w:ascii="宋体" w:hAnsi="宋体"/>
          <w:sz w:val="21"/>
          <w:szCs w:val="21"/>
          <w:highlight w:val="none"/>
        </w:rPr>
        <w:t>（三）乙方违反本廉洁协议书第一、三条规定，发生行贿行为，经政府有关执纪执法部门或甲方纪检监察机构查证属实，甲方根据广州南方投资集团有限公司有关规定，视情节轻重对乙方实施一定期限的市场禁入。</w:t>
      </w:r>
    </w:p>
    <w:p w14:paraId="762F328F">
      <w:pPr>
        <w:autoSpaceDE w:val="0"/>
        <w:autoSpaceDN w:val="0"/>
        <w:spacing w:line="360" w:lineRule="auto"/>
        <w:ind w:firstLine="422" w:firstLineChars="200"/>
        <w:rPr>
          <w:rFonts w:ascii="宋体" w:hAnsi="宋体" w:cs="TimesNewRomanPSMT"/>
          <w:b/>
          <w:bCs/>
          <w:color w:val="auto"/>
          <w:szCs w:val="21"/>
          <w:highlight w:val="none"/>
        </w:rPr>
      </w:pPr>
      <w:r>
        <w:rPr>
          <w:rFonts w:hint="eastAsia" w:ascii="宋体" w:hAnsi="宋体" w:cs="TimesNewRomanPSMT"/>
          <w:b/>
          <w:bCs/>
          <w:color w:val="auto"/>
          <w:szCs w:val="21"/>
          <w:highlight w:val="none"/>
        </w:rPr>
        <w:t>第五条 协议书生效及法律效力</w:t>
      </w:r>
    </w:p>
    <w:p w14:paraId="31FE7E13">
      <w:pPr>
        <w:autoSpaceDE w:val="0"/>
        <w:autoSpaceDN w:val="0"/>
        <w:spacing w:line="360" w:lineRule="auto"/>
        <w:ind w:firstLine="420" w:firstLineChars="200"/>
        <w:rPr>
          <w:rFonts w:ascii="宋体" w:hAnsi="宋体" w:cs="TimesNewRomanPSMT"/>
          <w:color w:val="auto"/>
          <w:szCs w:val="21"/>
          <w:highlight w:val="none"/>
        </w:rPr>
      </w:pPr>
      <w:r>
        <w:rPr>
          <w:rFonts w:hint="eastAsia" w:ascii="宋体" w:hAnsi="宋体" w:cs="TimesNewRomanPSMT"/>
          <w:color w:val="auto"/>
          <w:szCs w:val="21"/>
          <w:highlight w:val="none"/>
        </w:rPr>
        <w:t>（一）本廉洁协议书作为合同的附件，与合同具有同等法律效力，</w:t>
      </w:r>
      <w:r>
        <w:rPr>
          <w:rFonts w:hint="eastAsia" w:ascii="宋体" w:hAnsi="宋体" w:cs="TimesNewRomanPSMT"/>
          <w:color w:val="auto"/>
          <w:szCs w:val="21"/>
          <w:highlight w:val="none"/>
          <w:lang w:val="en-US" w:eastAsia="zh-CN"/>
        </w:rPr>
        <w:t>与合同同时生效</w:t>
      </w:r>
      <w:r>
        <w:rPr>
          <w:rFonts w:hint="eastAsia" w:ascii="宋体" w:hAnsi="宋体" w:cs="TimesNewRomanPSMT"/>
          <w:color w:val="auto"/>
          <w:szCs w:val="21"/>
          <w:highlight w:val="none"/>
        </w:rPr>
        <w:t>。</w:t>
      </w:r>
    </w:p>
    <w:p w14:paraId="6151E1BC">
      <w:pPr>
        <w:autoSpaceDE w:val="0"/>
        <w:autoSpaceDN w:val="0"/>
        <w:spacing w:line="360" w:lineRule="auto"/>
        <w:ind w:firstLine="420" w:firstLineChars="200"/>
        <w:rPr>
          <w:rFonts w:ascii="宋体" w:hAnsi="宋体" w:cs="TimesNewRomanPSMT"/>
          <w:color w:val="auto"/>
          <w:szCs w:val="21"/>
          <w:highlight w:val="none"/>
        </w:rPr>
      </w:pPr>
      <w:r>
        <w:rPr>
          <w:rFonts w:hint="eastAsia" w:ascii="宋体" w:hAnsi="宋体" w:cs="TimesNewRomanPSMT"/>
          <w:color w:val="auto"/>
          <w:szCs w:val="21"/>
          <w:highlight w:val="none"/>
        </w:rPr>
        <w:t>（二）除非甲乙双方另行签订新的廉洁协议书，否则本廉洁协议书在甲方与乙方存在业务关系期间均对双方产生约束力。</w:t>
      </w:r>
    </w:p>
    <w:p w14:paraId="58F4F86C">
      <w:pPr>
        <w:autoSpaceDE w:val="0"/>
        <w:autoSpaceDN w:val="0"/>
        <w:spacing w:line="360" w:lineRule="auto"/>
        <w:ind w:firstLine="422" w:firstLineChars="200"/>
        <w:rPr>
          <w:rFonts w:ascii="宋体" w:hAnsi="宋体" w:cs="TimesNewRomanPSMT"/>
          <w:b/>
          <w:bCs/>
          <w:color w:val="auto"/>
          <w:szCs w:val="21"/>
          <w:highlight w:val="none"/>
        </w:rPr>
      </w:pPr>
      <w:r>
        <w:rPr>
          <w:rFonts w:hint="eastAsia" w:ascii="宋体" w:hAnsi="宋体" w:cs="TimesNewRomanPSMT"/>
          <w:b/>
          <w:bCs/>
          <w:color w:val="auto"/>
          <w:szCs w:val="21"/>
          <w:highlight w:val="none"/>
        </w:rPr>
        <w:t>第六条 协议书份数</w:t>
      </w:r>
    </w:p>
    <w:p w14:paraId="22B88A56">
      <w:pPr>
        <w:autoSpaceDE w:val="0"/>
        <w:autoSpaceDN w:val="0"/>
        <w:spacing w:line="360" w:lineRule="auto"/>
        <w:ind w:firstLine="420" w:firstLineChars="200"/>
        <w:rPr>
          <w:rFonts w:ascii="宋体" w:hAnsi="宋体" w:cs="TimesNewRomanPSMT"/>
          <w:color w:val="auto"/>
          <w:szCs w:val="21"/>
          <w:highlight w:val="none"/>
        </w:rPr>
      </w:pPr>
      <w:r>
        <w:rPr>
          <w:rFonts w:hint="eastAsia" w:ascii="宋体" w:hAnsi="宋体" w:cs="TimesNewRomanPSMT"/>
          <w:color w:val="auto"/>
          <w:szCs w:val="21"/>
          <w:highlight w:val="none"/>
        </w:rPr>
        <w:t>本廉洁协议书一式</w:t>
      </w:r>
      <w:r>
        <w:rPr>
          <w:rFonts w:hint="eastAsia" w:ascii="宋体" w:hAnsi="宋体" w:cs="TimesNewRomanPSMT"/>
          <w:color w:val="auto"/>
          <w:szCs w:val="21"/>
          <w:highlight w:val="none"/>
          <w:u w:val="single"/>
        </w:rPr>
        <w:t xml:space="preserve"> </w:t>
      </w:r>
      <w:r>
        <w:rPr>
          <w:rFonts w:hint="eastAsia"/>
          <w:color w:val="auto"/>
          <w:spacing w:val="-2"/>
          <w:sz w:val="21"/>
          <w:szCs w:val="21"/>
          <w:highlight w:val="none"/>
          <w:u w:val="single" w:color="auto"/>
          <w:lang w:val="en-US" w:eastAsia="zh-CN"/>
        </w:rPr>
        <w:t>捌</w:t>
      </w:r>
      <w:r>
        <w:rPr>
          <w:rFonts w:hint="eastAsia" w:ascii="宋体" w:hAnsi="宋体" w:cs="TimesNewRomanPSMT"/>
          <w:color w:val="auto"/>
          <w:szCs w:val="21"/>
          <w:highlight w:val="none"/>
          <w:u w:val="single"/>
        </w:rPr>
        <w:t xml:space="preserve"> </w:t>
      </w:r>
      <w:r>
        <w:rPr>
          <w:rFonts w:hint="eastAsia" w:ascii="宋体" w:hAnsi="宋体" w:cs="TimesNewRomanPSMT"/>
          <w:color w:val="auto"/>
          <w:szCs w:val="21"/>
          <w:highlight w:val="none"/>
        </w:rPr>
        <w:t>份，甲方</w:t>
      </w:r>
      <w:r>
        <w:rPr>
          <w:rFonts w:hint="eastAsia" w:ascii="宋体" w:hAnsi="宋体" w:cs="TimesNewRomanPSMT"/>
          <w:color w:val="auto"/>
          <w:szCs w:val="21"/>
          <w:highlight w:val="none"/>
          <w:u w:val="single"/>
        </w:rPr>
        <w:t xml:space="preserve"> </w:t>
      </w:r>
      <w:r>
        <w:rPr>
          <w:rFonts w:hint="eastAsia"/>
          <w:color w:val="auto"/>
          <w:spacing w:val="-2"/>
          <w:sz w:val="21"/>
          <w:szCs w:val="21"/>
          <w:highlight w:val="none"/>
          <w:u w:val="single" w:color="auto"/>
          <w:lang w:val="en-US" w:eastAsia="zh-CN"/>
        </w:rPr>
        <w:t>肆</w:t>
      </w:r>
      <w:r>
        <w:rPr>
          <w:rFonts w:hint="eastAsia" w:ascii="宋体" w:hAnsi="宋体" w:cs="TimesNewRomanPSMT"/>
          <w:color w:val="auto"/>
          <w:szCs w:val="21"/>
          <w:highlight w:val="none"/>
          <w:u w:val="single"/>
        </w:rPr>
        <w:t xml:space="preserve"> </w:t>
      </w:r>
      <w:r>
        <w:rPr>
          <w:rFonts w:hint="eastAsia" w:ascii="宋体" w:hAnsi="宋体" w:cs="TimesNewRomanPSMT"/>
          <w:color w:val="auto"/>
          <w:szCs w:val="21"/>
          <w:highlight w:val="none"/>
        </w:rPr>
        <w:t>份，乙方</w:t>
      </w:r>
      <w:r>
        <w:rPr>
          <w:rFonts w:hint="eastAsia" w:ascii="宋体" w:hAnsi="宋体" w:cs="TimesNewRomanPSMT"/>
          <w:color w:val="auto"/>
          <w:szCs w:val="21"/>
          <w:highlight w:val="none"/>
          <w:u w:val="single"/>
        </w:rPr>
        <w:t xml:space="preserve"> </w:t>
      </w:r>
      <w:r>
        <w:rPr>
          <w:rFonts w:hint="eastAsia"/>
          <w:color w:val="auto"/>
          <w:spacing w:val="-2"/>
          <w:sz w:val="21"/>
          <w:szCs w:val="21"/>
          <w:highlight w:val="none"/>
          <w:u w:val="single" w:color="auto"/>
          <w:lang w:val="en-US" w:eastAsia="zh-CN"/>
        </w:rPr>
        <w:t>肆</w:t>
      </w:r>
      <w:r>
        <w:rPr>
          <w:rFonts w:hint="eastAsia" w:ascii="宋体" w:hAnsi="宋体" w:cs="TimesNewRomanPSMT"/>
          <w:color w:val="auto"/>
          <w:szCs w:val="21"/>
          <w:highlight w:val="none"/>
          <w:u w:val="single"/>
        </w:rPr>
        <w:t xml:space="preserve"> </w:t>
      </w:r>
      <w:r>
        <w:rPr>
          <w:rFonts w:hint="eastAsia" w:ascii="宋体" w:hAnsi="宋体" w:cs="TimesNewRomanPSMT"/>
          <w:color w:val="auto"/>
          <w:szCs w:val="21"/>
          <w:highlight w:val="none"/>
        </w:rPr>
        <w:t>份。</w:t>
      </w:r>
    </w:p>
    <w:p w14:paraId="3BAE0F4F">
      <w:pPr>
        <w:autoSpaceDE w:val="0"/>
        <w:autoSpaceDN w:val="0"/>
        <w:spacing w:line="360" w:lineRule="auto"/>
        <w:ind w:firstLine="422" w:firstLineChars="200"/>
        <w:rPr>
          <w:rFonts w:hint="default" w:ascii="宋体" w:hAnsi="宋体" w:eastAsia="宋体" w:cs="TimesNewRomanPSMT"/>
          <w:color w:val="auto"/>
          <w:szCs w:val="21"/>
          <w:highlight w:val="none"/>
          <w:lang w:val="en-US" w:eastAsia="zh-CN"/>
        </w:rPr>
      </w:pPr>
      <w:r>
        <w:rPr>
          <w:rFonts w:hint="eastAsia" w:ascii="宋体" w:hAnsi="宋体" w:cs="TimesNewRomanPSMT"/>
          <w:b/>
          <w:bCs/>
          <w:color w:val="auto"/>
          <w:szCs w:val="21"/>
          <w:highlight w:val="none"/>
        </w:rPr>
        <w:t>甲乙双方确认对</w:t>
      </w:r>
      <w:r>
        <w:rPr>
          <w:rFonts w:hint="eastAsia" w:ascii="宋体" w:hAnsi="宋体" w:cs="TimesNewRomanPSMT"/>
          <w:b/>
          <w:bCs/>
          <w:color w:val="auto"/>
          <w:szCs w:val="21"/>
          <w:highlight w:val="none"/>
          <w:lang w:val="en-US" w:eastAsia="zh-CN"/>
        </w:rPr>
        <w:t>违反</w:t>
      </w:r>
      <w:r>
        <w:rPr>
          <w:rFonts w:hint="eastAsia" w:ascii="宋体" w:hAnsi="宋体" w:cs="TimesNewRomanPSMT"/>
          <w:b/>
          <w:bCs/>
          <w:color w:val="auto"/>
          <w:szCs w:val="21"/>
          <w:highlight w:val="none"/>
        </w:rPr>
        <w:t>本廉洁协议书所产生的法律责任已清楚知悉并承诺遵守。</w:t>
      </w:r>
      <w:r>
        <w:rPr>
          <w:rFonts w:hint="eastAsia" w:ascii="宋体" w:hAnsi="宋体" w:cs="TimesNewRomanPSMT"/>
          <w:b/>
          <w:bCs/>
          <w:color w:val="auto"/>
          <w:szCs w:val="21"/>
          <w:highlight w:val="none"/>
          <w:lang w:val="en-US" w:eastAsia="zh-CN"/>
        </w:rPr>
        <w:t>本协议与本监理合同为同一整体合同文件。</w:t>
      </w:r>
    </w:p>
    <w:p w14:paraId="5491BE45">
      <w:pPr>
        <w:spacing w:line="440" w:lineRule="exact"/>
        <w:ind w:firstLine="420" w:firstLineChars="200"/>
        <w:rPr>
          <w:rFonts w:hAnsi="宋体"/>
          <w:color w:val="auto"/>
          <w:szCs w:val="21"/>
          <w:highlight w:val="none"/>
        </w:rPr>
      </w:pPr>
    </w:p>
    <w:p w14:paraId="2CF81B86">
      <w:pPr>
        <w:spacing w:line="440" w:lineRule="exact"/>
        <w:ind w:firstLine="420" w:firstLineChars="200"/>
        <w:rPr>
          <w:rFonts w:hAnsi="宋体"/>
          <w:color w:val="auto"/>
          <w:szCs w:val="21"/>
          <w:highlight w:val="none"/>
        </w:rPr>
      </w:pPr>
    </w:p>
    <w:p w14:paraId="70292B91">
      <w:pPr>
        <w:pStyle w:val="3"/>
        <w:keepNext/>
        <w:keepLines/>
        <w:pageBreakBefore/>
        <w:widowControl w:val="0"/>
        <w:kinsoku/>
        <w:wordWrap/>
        <w:overflowPunct/>
        <w:topLinePunct w:val="0"/>
        <w:autoSpaceDE/>
        <w:autoSpaceDN/>
        <w:bidi w:val="0"/>
        <w:adjustRightInd/>
        <w:snapToGrid/>
        <w:spacing w:line="413" w:lineRule="auto"/>
        <w:ind w:firstLine="136"/>
        <w:textAlignment w:val="auto"/>
        <w:rPr>
          <w:rFonts w:ascii="Times New Roman"/>
          <w:color w:val="auto"/>
          <w:highlight w:val="none"/>
        </w:rPr>
      </w:pPr>
      <w:bookmarkStart w:id="374" w:name="_Toc29578"/>
      <w:r>
        <w:rPr>
          <w:rFonts w:ascii="Times New Roman"/>
          <w:color w:val="auto"/>
          <w:highlight w:val="none"/>
        </w:rPr>
        <w:t>附件</w:t>
      </w:r>
      <w:r>
        <w:rPr>
          <w:rFonts w:hint="eastAsia" w:ascii="Times New Roman"/>
          <w:color w:val="auto"/>
          <w:highlight w:val="none"/>
          <w:lang w:val="en-US" w:eastAsia="zh-CN"/>
        </w:rPr>
        <w:t>五</w:t>
      </w:r>
      <w:r>
        <w:rPr>
          <w:rFonts w:ascii="Times New Roman"/>
          <w:color w:val="auto"/>
          <w:highlight w:val="none"/>
        </w:rPr>
        <w:t>：</w:t>
      </w:r>
      <w:r>
        <w:rPr>
          <w:rFonts w:hint="eastAsia" w:ascii="Times New Roman"/>
          <w:color w:val="auto"/>
          <w:highlight w:val="none"/>
        </w:rPr>
        <w:t>监理安全协议书</w:t>
      </w:r>
      <w:bookmarkEnd w:id="374"/>
    </w:p>
    <w:p w14:paraId="39F3FA8F">
      <w:pPr>
        <w:spacing w:line="440" w:lineRule="exact"/>
        <w:jc w:val="center"/>
        <w:rPr>
          <w:rFonts w:eastAsia="黑体"/>
          <w:color w:val="auto"/>
          <w:sz w:val="28"/>
          <w:highlight w:val="none"/>
        </w:rPr>
      </w:pPr>
      <w:r>
        <w:rPr>
          <w:rFonts w:hint="eastAsia" w:eastAsia="黑体"/>
          <w:color w:val="auto"/>
          <w:sz w:val="28"/>
          <w:highlight w:val="none"/>
        </w:rPr>
        <w:t>监理安全协议书</w:t>
      </w:r>
    </w:p>
    <w:p w14:paraId="1376136E">
      <w:pPr>
        <w:spacing w:line="440" w:lineRule="exact"/>
        <w:jc w:val="center"/>
        <w:rPr>
          <w:rFonts w:eastAsia="黑体"/>
          <w:color w:val="auto"/>
          <w:sz w:val="28"/>
          <w:highlight w:val="none"/>
        </w:rPr>
      </w:pPr>
    </w:p>
    <w:p w14:paraId="519ED958">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委托人：</w:t>
      </w:r>
      <w:r>
        <w:rPr>
          <w:rFonts w:hint="eastAsia" w:ascii="宋体" w:hAnsi="宋体" w:cs="宋体"/>
          <w:color w:val="auto"/>
          <w:szCs w:val="21"/>
          <w:highlight w:val="none"/>
          <w:u w:val="single"/>
          <w:lang w:val="zh-CN"/>
        </w:rPr>
        <w:t xml:space="preserve"> </w:t>
      </w:r>
      <w:r>
        <w:rPr>
          <w:rFonts w:hint="eastAsia"/>
          <w:color w:val="auto"/>
          <w:sz w:val="21"/>
          <w:szCs w:val="21"/>
          <w:highlight w:val="none"/>
          <w:u w:val="single" w:color="auto"/>
          <w:lang w:val="en-US" w:eastAsia="zh-CN"/>
        </w:rPr>
        <w:t xml:space="preserve">   </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（以下简称“甲方”）</w:t>
      </w:r>
    </w:p>
    <w:p w14:paraId="5CC4D1A1">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监理人：</w:t>
      </w:r>
      <w:r>
        <w:rPr>
          <w:rFonts w:hint="eastAsia" w:ascii="宋体" w:hAnsi="宋体" w:cs="宋体"/>
          <w:color w:val="auto"/>
          <w:szCs w:val="21"/>
          <w:highlight w:val="none"/>
          <w:u w:val="single"/>
          <w:lang w:val="zh-CN"/>
        </w:rPr>
        <w:t xml:space="preserve"> </w:t>
      </w:r>
      <w:sdt>
        <w:sdtPr>
          <w:rPr>
            <w:rFonts w:hint="eastAsia" w:ascii="宋体" w:hAnsi="宋体" w:eastAsia="宋体" w:cs="宋体"/>
            <w:color w:val="auto"/>
            <w:kern w:val="2"/>
            <w:sz w:val="28"/>
            <w:szCs w:val="28"/>
            <w:highlight w:val="none"/>
            <w:lang w:val="en-US" w:eastAsia="zh-CN" w:bidi="ar-SA"/>
          </w:rPr>
          <w:alias w:val="乙方当事人全称"/>
          <w:tag w:val="乙方当事人全称"/>
          <w:id w:val="147463015"/>
          <w:placeholder>
            <w:docPart w:val="{10e2ac6d-eed0-447e-ac69-7a4bdb45cf3f}"/>
          </w:placeholder>
          <w:text/>
        </w:sdtPr>
        <w:sdtEndPr>
          <w:rPr>
            <w:rFonts w:hint="eastAsia" w:ascii="宋体" w:hAnsi="宋体" w:eastAsia="宋体" w:cs="宋体"/>
            <w:color w:val="auto"/>
            <w:kern w:val="2"/>
            <w:sz w:val="21"/>
            <w:szCs w:val="21"/>
            <w:highlight w:val="none"/>
            <w:u w:val="single" w:color="auto"/>
            <w:lang w:val="en-US" w:eastAsia="zh-CN" w:bidi="ar-SA"/>
          </w:rPr>
        </w:sdtEndPr>
        <w:sdtContent>
          <w:r>
            <w:rPr>
              <w:rFonts w:hint="eastAsia"/>
              <w:color w:val="auto"/>
              <w:sz w:val="21"/>
              <w:szCs w:val="21"/>
              <w:highlight w:val="none"/>
              <w:u w:val="single" w:color="auto"/>
              <w:lang w:val="en-US" w:eastAsia="zh-CN"/>
            </w:rPr>
            <w:t xml:space="preserve">    </w:t>
          </w:r>
        </w:sdtContent>
      </w:sdt>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（以下简称“乙方”）</w:t>
      </w:r>
    </w:p>
    <w:p w14:paraId="520F11E7">
      <w:pPr>
        <w:spacing w:line="440" w:lineRule="exact"/>
        <w:ind w:firstLine="420" w:firstLineChars="200"/>
        <w:rPr>
          <w:rFonts w:ascii="宋体" w:hAnsi="宋体" w:cs="宋体"/>
          <w:color w:val="auto"/>
          <w:szCs w:val="21"/>
          <w:highlight w:val="none"/>
          <w:u w:val="single"/>
          <w:lang w:val="zh-CN"/>
        </w:rPr>
      </w:pPr>
      <w:r>
        <w:rPr>
          <w:rFonts w:hint="eastAsia" w:ascii="宋体" w:hAnsi="宋体" w:cs="宋体"/>
          <w:color w:val="auto"/>
          <w:szCs w:val="21"/>
          <w:highlight w:val="none"/>
          <w:lang w:val="zh-CN"/>
        </w:rPr>
        <w:t>合同名称：</w:t>
      </w:r>
      <w:r>
        <w:rPr>
          <w:rFonts w:hint="eastAsia" w:ascii="宋体" w:hAnsi="宋体" w:cs="宋体"/>
          <w:color w:val="auto"/>
          <w:szCs w:val="21"/>
          <w:highlight w:val="none"/>
          <w:u w:val="single"/>
          <w:lang w:val="zh-CN"/>
        </w:rPr>
        <w:t xml:space="preserve"> </w:t>
      </w:r>
      <w:r>
        <w:rPr>
          <w:rFonts w:hint="eastAsia" w:ascii="宋体" w:hAnsi="宋体" w:eastAsia="宋体" w:cs="宋体"/>
          <w:color w:val="auto"/>
          <w:sz w:val="21"/>
          <w:szCs w:val="21"/>
          <w:highlight w:val="none"/>
          <w:u w:val="single"/>
          <w:lang w:val="en-US" w:eastAsia="zh-CN"/>
        </w:rPr>
        <w:t>500千伏番南输变电工程（变电站建筑）监理服务</w:t>
      </w:r>
      <w:r>
        <w:rPr>
          <w:rFonts w:hint="eastAsia" w:ascii="宋体" w:hAnsi="宋体" w:cs="宋体"/>
          <w:color w:val="auto"/>
          <w:szCs w:val="21"/>
          <w:highlight w:val="none"/>
          <w:u w:val="single"/>
          <w:lang w:val="zh-CN"/>
        </w:rPr>
        <w:t xml:space="preserve"> </w:t>
      </w:r>
    </w:p>
    <w:p w14:paraId="6F968132">
      <w:pPr>
        <w:spacing w:line="440" w:lineRule="exact"/>
        <w:ind w:firstLine="420" w:firstLineChars="200"/>
        <w:rPr>
          <w:rFonts w:ascii="宋体" w:hAnsi="宋体" w:cs="宋体"/>
          <w:color w:val="auto"/>
          <w:szCs w:val="21"/>
          <w:highlight w:val="none"/>
          <w:u w:val="single"/>
          <w:lang w:val="zh-CN"/>
        </w:rPr>
      </w:pPr>
      <w:r>
        <w:rPr>
          <w:rFonts w:hint="eastAsia" w:ascii="宋体" w:hAnsi="宋体" w:cs="宋体"/>
          <w:color w:val="auto"/>
          <w:szCs w:val="21"/>
          <w:highlight w:val="none"/>
          <w:lang w:val="zh-CN"/>
        </w:rPr>
        <w:t>工程地点：</w:t>
      </w:r>
      <w:r>
        <w:rPr>
          <w:rFonts w:hint="eastAsia" w:ascii="宋体" w:hAnsi="宋体" w:cs="宋体"/>
          <w:color w:val="auto"/>
          <w:szCs w:val="21"/>
          <w:highlight w:val="none"/>
          <w:u w:val="single"/>
          <w:lang w:val="zh-CN"/>
        </w:rPr>
        <w:t xml:space="preserve"> 广州市番禺区 </w:t>
      </w:r>
    </w:p>
    <w:p w14:paraId="08C82C86">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竣工日期：</w:t>
      </w:r>
      <w:r>
        <w:rPr>
          <w:rFonts w:hint="eastAsia" w:ascii="宋体" w:hAnsi="宋体" w:cs="宋体"/>
          <w:color w:val="auto"/>
          <w:szCs w:val="21"/>
          <w:highlight w:val="none"/>
          <w:u w:val="single"/>
          <w:lang w:val="zh-CN"/>
        </w:rPr>
        <w:t xml:space="preserve"> 计划竣工日期202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val="zh-CN"/>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val="zh-CN"/>
        </w:rPr>
        <w:t xml:space="preserve">月30日，实际工期以竣工报告为准 </w:t>
      </w:r>
    </w:p>
    <w:p w14:paraId="199BB394">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㈠、甲方的安全责任</w:t>
      </w:r>
    </w:p>
    <w:p w14:paraId="6D0F777E">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贯彻落实《中华人民共和国安全生产法》、《中华人民共和国特种设备安全法》、《建设工程安全生产管理条例》、《电力监管条例》、《生产安全事故报告和调查处理条例》、《电力建设工程施工安全监督管理办法》等国家法律法规、行业标准及南方电网公司管理规定。</w:t>
      </w:r>
    </w:p>
    <w:p w14:paraId="5C9EF3C9">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2．建立健全安全生产保证体系和监督体系，建立安全生产责任制和安全生产规章制度，并逐级落实，保证电力建设工程施工安全。</w:t>
      </w:r>
    </w:p>
    <w:p w14:paraId="616AF569">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3．建立健全安全生产组织和管理机制，负责电力建设工程安全生产组织、协调、监督职责。</w:t>
      </w:r>
    </w:p>
    <w:p w14:paraId="31CE9913">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4．对乙方进行资质审查，确认乙方符合承包本工程的各项要求。</w:t>
      </w:r>
    </w:p>
    <w:p w14:paraId="691908E1">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5．应当审查确认乙方项目总监工程师、专职安全生产管理人员等项目管理人员满足国家规定的资格要求。</w:t>
      </w:r>
    </w:p>
    <w:p w14:paraId="60337BFF">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6．建立健全安全生产应急响应和事故处置机制，实施突发事件应急抢险和事故救援。</w:t>
      </w:r>
    </w:p>
    <w:p w14:paraId="7F0CB3A4">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7．组织对乙方现场安全生产监管工作情况的检查，监督乙方加强所辖工程安全隐患的监管。</w:t>
      </w:r>
    </w:p>
    <w:p w14:paraId="5250567F">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8．开工前向乙方进行全面的安全技术交底，并留存有双方签名的、完整的记录或资料。</w:t>
      </w:r>
    </w:p>
    <w:p w14:paraId="1A18A9C4">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㈡、乙方的安全责任</w:t>
      </w:r>
    </w:p>
    <w:p w14:paraId="23AB3AB0">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应当按照法律法规、工程建设强制性标准及行业、南方电网公司管理规定实施监理，履行电力建设工程安全生产管理的监理职责。乙方资源配置应当满足工程监理要求，依据合同约定履行电力建设工程施工安全监理职责，确保安全生产监理与工程质量控制、工期控制、投资控制的同步实施。</w:t>
      </w:r>
    </w:p>
    <w:p w14:paraId="2CF40EBA">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2．乙方应当建立健全安全监理工作制度，编制含有安全监理内容的监理规划和监理实施细则等文件，明确监理人员安全职责以及相关工作的安全监理措施和目标。</w:t>
      </w:r>
    </w:p>
    <w:p w14:paraId="21EB2B72">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 xml:space="preserve">3.乙方应当组织或参加各类安全检查活动，掌握现场安全生产动态，建立安全管理台帐。重点审查、监督下列工作： </w:t>
      </w:r>
    </w:p>
    <w:p w14:paraId="086349D3">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 xml:space="preserve">（1）按照工程建设强制性标准和安全生产标准及时审查施工组织设计中的安全技术措施和专项施工方案； </w:t>
      </w:r>
    </w:p>
    <w:p w14:paraId="47DA6287">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 xml:space="preserve">（2）审查和验证分包单位的资质文件和拟签订的分包合同、人员资质、安全协议； </w:t>
      </w:r>
    </w:p>
    <w:p w14:paraId="5E7B1B80">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 xml:space="preserve">（3）审查安全管理人员、特种作业人员、特种设备操作人员资格证明文件和主要施工机械、工器具、安全用具的安全性能证明文件是否符合国家有关标准；检查现场作业人员及设备配置是否满足安全施工的要求； </w:t>
      </w:r>
    </w:p>
    <w:p w14:paraId="7F4452EA">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 xml:space="preserve">4.对大中型起重机械、脚手架、跨越架、施工用电、危险品库房等重要施工设施投入使用前进行安全检查签证。土建交付安装、安装交付调试及整套启动等重大工序交接前进行安全检查签证； </w:t>
      </w:r>
    </w:p>
    <w:p w14:paraId="5A8D5546">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 xml:space="preserve">5.对工程关键部位、关键工序、特殊作业和危险作业进行旁站监理；对复杂自然条件、复杂结构、技术难度大及危险性较大分部分项工程专项施工方案的实施进行现场监理；监督交叉作业和工序交接中的安全施工措施的落实。 </w:t>
      </w:r>
    </w:p>
    <w:p w14:paraId="388BAA9B">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6.在实施监理过程中，发现存在安全隐患的，应当要求施工单位及时整改；情节严重的，应当要求施工单位暂时或部分停止施工，并及时报告建设单位。施工单位拒不整改或者不停止施工的,应及时采取措施并向建设单位报告。</w:t>
      </w:r>
    </w:p>
    <w:p w14:paraId="7901A77C">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7、在任何时候都应监督施工单位采取各种合理的预防措施，防止发生任何违法、违禁、暴力或妨碍治安的行为。</w:t>
      </w:r>
    </w:p>
    <w:p w14:paraId="2BFEBCF9">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8、监督施工单位必须持证施工，持证上岗，遵守各项安全技术操作规程，定期进行安全工作督查，严禁无证施工或无证上岗。</w:t>
      </w:r>
    </w:p>
    <w:p w14:paraId="33FC6B76">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9、督查操作人员上岗，必须按规定穿戴防护用品。不按规定穿戴防护用品的人员不得上岗。</w:t>
      </w:r>
    </w:p>
    <w:p w14:paraId="66E0EC66">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10、督促施工单位对所有进场的施工机械与机具设备和高空作业设备进行定期检查，并完整记录，签字确认，保证其处于完好状态，不合格的施工机械与机具、设备和个人防护用品严禁使用。</w:t>
      </w:r>
    </w:p>
    <w:p w14:paraId="78563776">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11、对施工中采用新技术、新工艺、新设备、新材料时，督促施工单位必须制定相应的安全技术措施，并检查施工现场相关的安全标志牌是否设立。</w:t>
      </w:r>
    </w:p>
    <w:p w14:paraId="7C72601F">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10、督查施工单位的生产安全事故应急救援预案制定和落实；如果发生安全事故，应按照《国务院关于特大安全事故行政责任追究的规定》以及其它有关规定，及时上报有关部门，并坚持“三不放过”的原则，及时采取整改措施。</w:t>
      </w:r>
    </w:p>
    <w:p w14:paraId="2A72D0D8">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㈢、违约责任</w:t>
      </w:r>
    </w:p>
    <w:p w14:paraId="0F004035">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如因甲方或乙方违约造成安全事故，将依法追究责任。</w:t>
      </w:r>
    </w:p>
    <w:p w14:paraId="06FC310F">
      <w:pPr>
        <w:pageBreakBefore w:val="0"/>
        <w:kinsoku/>
        <w:wordWrap/>
        <w:overflowPunct/>
        <w:topLinePunct w:val="0"/>
        <w:bidi w:val="0"/>
        <w:adjustRightInd/>
        <w:snapToGrid/>
        <w:spacing w:line="440" w:lineRule="exact"/>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eastAsia="zh-CN"/>
        </w:rPr>
        <w:t>本监理安全协议书作为工程监理合同的附件，与工程监理合同具有同等法律效力。与工程监理合同同时生效</w:t>
      </w:r>
      <w:r>
        <w:rPr>
          <w:rFonts w:hint="eastAsia" w:ascii="宋体" w:hAnsi="宋体" w:eastAsia="宋体" w:cs="宋体"/>
          <w:color w:val="auto"/>
          <w:sz w:val="21"/>
          <w:szCs w:val="21"/>
          <w:highlight w:val="none"/>
          <w:lang w:val="zh-CN"/>
        </w:rPr>
        <w:t>。</w:t>
      </w:r>
    </w:p>
    <w:p w14:paraId="011E9B0A">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w:t>
      </w:r>
    </w:p>
    <w:p w14:paraId="77231762">
      <w:pPr>
        <w:rPr>
          <w:color w:val="auto"/>
          <w:highlight w:val="none"/>
        </w:rPr>
      </w:pPr>
    </w:p>
    <w:p w14:paraId="75109171">
      <w:pPr>
        <w:rPr>
          <w:color w:val="auto"/>
          <w:highlight w:val="none"/>
        </w:rPr>
      </w:pPr>
      <w:r>
        <w:rPr>
          <w:color w:val="auto"/>
          <w:highlight w:val="none"/>
        </w:rPr>
        <w:br w:type="page"/>
      </w:r>
    </w:p>
    <w:p w14:paraId="5187D824">
      <w:pPr>
        <w:pStyle w:val="3"/>
        <w:ind w:firstLine="137"/>
        <w:rPr>
          <w:rFonts w:ascii="Times New Roman"/>
          <w:color w:val="auto"/>
          <w:highlight w:val="none"/>
        </w:rPr>
      </w:pPr>
      <w:bookmarkStart w:id="375" w:name="_Toc18309"/>
      <w:r>
        <w:rPr>
          <w:rFonts w:ascii="Times New Roman"/>
          <w:color w:val="auto"/>
          <w:highlight w:val="none"/>
        </w:rPr>
        <w:t>附件</w:t>
      </w:r>
      <w:r>
        <w:rPr>
          <w:rFonts w:hint="eastAsia" w:ascii="Times New Roman"/>
          <w:color w:val="auto"/>
          <w:highlight w:val="none"/>
          <w:lang w:val="en-US" w:eastAsia="zh-CN"/>
        </w:rPr>
        <w:t>六</w:t>
      </w:r>
      <w:r>
        <w:rPr>
          <w:rFonts w:ascii="Times New Roman"/>
          <w:color w:val="auto"/>
          <w:highlight w:val="none"/>
        </w:rPr>
        <w:t>：履约保证金格式</w:t>
      </w:r>
      <w:bookmarkEnd w:id="250"/>
      <w:bookmarkEnd w:id="375"/>
      <w:r>
        <w:rPr>
          <w:rFonts w:hint="eastAsia" w:ascii="宋体" w:hAnsi="宋体"/>
          <w:color w:val="auto"/>
          <w:sz w:val="18"/>
          <w:szCs w:val="18"/>
          <w:highlight w:val="none"/>
        </w:rPr>
        <w:t>（担保的形式包括银行提供的保函、央企财务公司提供的保函、保险公司提供的国家认可的具有法律效力的保险等，格式自定）</w:t>
      </w:r>
    </w:p>
    <w:p w14:paraId="24D4FD41">
      <w:pPr>
        <w:spacing w:line="440" w:lineRule="exact"/>
        <w:rPr>
          <w:color w:val="auto"/>
          <w:szCs w:val="21"/>
          <w:highlight w:val="none"/>
        </w:rPr>
      </w:pPr>
      <w:r>
        <w:rPr>
          <w:color w:val="auto"/>
          <w:szCs w:val="21"/>
          <w:highlight w:val="none"/>
        </w:rPr>
        <w:t>如采用银行保函，格式如下。</w:t>
      </w:r>
    </w:p>
    <w:p w14:paraId="1817380F">
      <w:pPr>
        <w:spacing w:line="440" w:lineRule="exact"/>
        <w:jc w:val="center"/>
        <w:rPr>
          <w:rFonts w:eastAsia="黑体"/>
          <w:color w:val="auto"/>
          <w:sz w:val="28"/>
          <w:highlight w:val="none"/>
        </w:rPr>
      </w:pPr>
      <w:r>
        <w:rPr>
          <w:rFonts w:eastAsia="黑体"/>
          <w:color w:val="auto"/>
          <w:sz w:val="28"/>
          <w:highlight w:val="none"/>
        </w:rPr>
        <w:t>履约保证金</w:t>
      </w:r>
    </w:p>
    <w:p w14:paraId="57319ABA">
      <w:pPr>
        <w:spacing w:line="440" w:lineRule="exact"/>
        <w:rPr>
          <w:color w:val="auto"/>
          <w:highlight w:val="none"/>
          <w:u w:val="single"/>
        </w:rPr>
      </w:pPr>
    </w:p>
    <w:bookmarkEnd w:id="190"/>
    <w:bookmarkEnd w:id="191"/>
    <w:bookmarkEnd w:id="192"/>
    <w:bookmarkEnd w:id="193"/>
    <w:p w14:paraId="57A2620D">
      <w:pPr>
        <w:ind w:right="420"/>
        <w:jc w:val="center"/>
        <w:rPr>
          <w:rFonts w:ascii="宋体" w:hAnsi="宋体"/>
          <w:color w:val="auto"/>
          <w:szCs w:val="21"/>
          <w:highlight w:val="none"/>
        </w:rPr>
      </w:pPr>
      <w:bookmarkStart w:id="376" w:name="_Toc144974829"/>
      <w:bookmarkStart w:id="377" w:name="_Toc179632787"/>
      <w:bookmarkStart w:id="378" w:name="_Toc152042549"/>
      <w:bookmarkStart w:id="379" w:name="_Toc247085853"/>
      <w:bookmarkStart w:id="380" w:name="_Toc246996338"/>
      <w:bookmarkStart w:id="381" w:name="_Toc246997081"/>
      <w:r>
        <w:rPr>
          <w:rFonts w:ascii="宋体" w:hAnsi="宋体"/>
          <w:color w:val="auto"/>
          <w:szCs w:val="21"/>
          <w:highlight w:val="none"/>
        </w:rPr>
        <w:t xml:space="preserve">                                                     编号：</w:t>
      </w:r>
    </w:p>
    <w:p w14:paraId="5535E6E6">
      <w:pPr>
        <w:spacing w:line="440" w:lineRule="exact"/>
        <w:rPr>
          <w:rFonts w:ascii="宋体" w:hAnsi="宋体"/>
          <w:color w:val="auto"/>
          <w:szCs w:val="21"/>
          <w:highlight w:val="none"/>
        </w:rPr>
      </w:pPr>
      <w:r>
        <w:rPr>
          <w:rFonts w:hint="eastAsia" w:ascii="宋体" w:hAnsi="宋体"/>
          <w:color w:val="auto"/>
          <w:szCs w:val="21"/>
          <w:highlight w:val="none"/>
        </w:rPr>
        <w:t>致受益人（委托人）</w:t>
      </w:r>
      <w:r>
        <w:rPr>
          <w:rFonts w:ascii="宋体" w:hAnsi="宋体"/>
          <w:color w:val="auto"/>
          <w:szCs w:val="21"/>
          <w:highlight w:val="none"/>
          <w:u w:val="single"/>
        </w:rPr>
        <w:t xml:space="preserve">            </w:t>
      </w:r>
      <w:r>
        <w:rPr>
          <w:rFonts w:hint="eastAsia" w:ascii="宋体" w:hAnsi="宋体"/>
          <w:color w:val="auto"/>
          <w:szCs w:val="21"/>
          <w:highlight w:val="none"/>
        </w:rPr>
        <w:t>：</w:t>
      </w:r>
    </w:p>
    <w:p w14:paraId="2A9490BB">
      <w:pPr>
        <w:spacing w:line="440" w:lineRule="exac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因保函申请人</w:t>
      </w:r>
      <w:r>
        <w:rPr>
          <w:rFonts w:ascii="宋体" w:hAnsi="宋体"/>
          <w:color w:val="auto"/>
          <w:szCs w:val="21"/>
          <w:highlight w:val="none"/>
          <w:u w:val="single"/>
        </w:rPr>
        <w:t xml:space="preserve">       </w:t>
      </w:r>
      <w:r>
        <w:rPr>
          <w:rFonts w:hint="eastAsia" w:ascii="宋体" w:hAnsi="宋体"/>
          <w:color w:val="auto"/>
          <w:szCs w:val="21"/>
          <w:highlight w:val="none"/>
        </w:rPr>
        <w:t>与你方签订</w:t>
      </w:r>
      <w:r>
        <w:rPr>
          <w:rFonts w:ascii="宋体" w:hAnsi="宋体"/>
          <w:color w:val="auto"/>
          <w:szCs w:val="21"/>
          <w:highlight w:val="none"/>
          <w:u w:val="single"/>
        </w:rPr>
        <w:t xml:space="preserve">             </w:t>
      </w:r>
      <w:r>
        <w:rPr>
          <w:rFonts w:hint="eastAsia" w:ascii="宋体" w:hAnsi="宋体"/>
          <w:color w:val="auto"/>
          <w:szCs w:val="21"/>
          <w:highlight w:val="none"/>
        </w:rPr>
        <w:t>（合同或协议）编号</w:t>
      </w:r>
      <w:r>
        <w:rPr>
          <w:rFonts w:ascii="宋体" w:hAnsi="宋体"/>
          <w:color w:val="auto"/>
          <w:szCs w:val="21"/>
          <w:highlight w:val="none"/>
          <w:u w:val="single"/>
        </w:rPr>
        <w:t xml:space="preserve">         </w:t>
      </w:r>
      <w:r>
        <w:rPr>
          <w:rFonts w:hint="eastAsia" w:ascii="宋体" w:hAnsi="宋体"/>
          <w:color w:val="auto"/>
          <w:szCs w:val="21"/>
          <w:highlight w:val="none"/>
        </w:rPr>
        <w:t>，我行已接受保函申请人的请求，愿就保函申请人履行上述合同（或协议）约定的义务向你方提供如下保证：</w:t>
      </w:r>
    </w:p>
    <w:p w14:paraId="796134E0">
      <w:pPr>
        <w:spacing w:line="440" w:lineRule="exac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一、本保函担保的金额最高不超过</w:t>
      </w:r>
      <w:r>
        <w:rPr>
          <w:rFonts w:ascii="宋体" w:hAnsi="宋体"/>
          <w:color w:val="auto"/>
          <w:szCs w:val="21"/>
          <w:highlight w:val="none"/>
        </w:rPr>
        <w:t>(</w:t>
      </w:r>
      <w:r>
        <w:rPr>
          <w:rFonts w:hint="eastAsia" w:ascii="宋体" w:hAnsi="宋体"/>
          <w:color w:val="auto"/>
          <w:szCs w:val="21"/>
          <w:highlight w:val="none"/>
        </w:rPr>
        <w:t>币种、金额大写</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 xml:space="preserve">    </w:t>
      </w:r>
    </w:p>
    <w:p w14:paraId="443C2C44">
      <w:pPr>
        <w:spacing w:line="440" w:lineRule="exact"/>
        <w:ind w:firstLine="420"/>
        <w:rPr>
          <w:rFonts w:ascii="宋体" w:hAnsi="宋体"/>
          <w:color w:val="auto"/>
          <w:szCs w:val="21"/>
          <w:highlight w:val="none"/>
        </w:rPr>
      </w:pPr>
      <w:r>
        <w:rPr>
          <w:rFonts w:hint="eastAsia" w:ascii="宋体" w:hAnsi="宋体"/>
          <w:color w:val="auto"/>
          <w:szCs w:val="21"/>
          <w:highlight w:val="none"/>
        </w:rPr>
        <w:t>二、本保函担保的方式为连带责任保证。</w:t>
      </w:r>
    </w:p>
    <w:p w14:paraId="1942F95D">
      <w:pPr>
        <w:spacing w:line="440" w:lineRule="exact"/>
        <w:ind w:firstLine="420"/>
        <w:rPr>
          <w:rFonts w:ascii="宋体" w:hAnsi="宋体"/>
          <w:color w:val="auto"/>
          <w:szCs w:val="21"/>
          <w:highlight w:val="none"/>
        </w:rPr>
      </w:pPr>
      <w:r>
        <w:rPr>
          <w:rFonts w:hint="eastAsia" w:ascii="宋体" w:hAnsi="宋体"/>
          <w:color w:val="auto"/>
          <w:szCs w:val="21"/>
          <w:highlight w:val="none"/>
        </w:rPr>
        <w:t>三、本保函的保证期间自</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日至</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14:paraId="46AACA47">
      <w:pPr>
        <w:spacing w:line="440" w:lineRule="exact"/>
        <w:ind w:firstLine="420"/>
        <w:rPr>
          <w:rFonts w:ascii="宋体" w:hAnsi="宋体"/>
          <w:color w:val="auto"/>
          <w:szCs w:val="21"/>
          <w:highlight w:val="none"/>
        </w:rPr>
      </w:pPr>
      <w:r>
        <w:rPr>
          <w:rFonts w:hint="eastAsia" w:ascii="宋体" w:hAnsi="宋体"/>
          <w:color w:val="auto"/>
          <w:szCs w:val="21"/>
          <w:highlight w:val="none"/>
        </w:rPr>
        <w:t>四、在本保函的有效期内，如保函申请人违反上述合同或协议约定的义务，我行将在收到你方符合下列条件的索赔通知后</w:t>
      </w:r>
      <w:r>
        <w:rPr>
          <w:rFonts w:ascii="宋体" w:hAnsi="宋体"/>
          <w:color w:val="auto"/>
          <w:szCs w:val="21"/>
          <w:highlight w:val="none"/>
          <w:u w:val="single"/>
        </w:rPr>
        <w:t xml:space="preserve">   </w:t>
      </w:r>
      <w:r>
        <w:rPr>
          <w:rFonts w:hint="eastAsia" w:ascii="宋体" w:hAnsi="宋体"/>
          <w:color w:val="auto"/>
          <w:szCs w:val="21"/>
          <w:highlight w:val="none"/>
        </w:rPr>
        <w:t>个银行工作日内，凭本保函向你方支付本保函担保范围内你方索赔的金额：</w:t>
      </w:r>
    </w:p>
    <w:p w14:paraId="498F4370">
      <w:pPr>
        <w:spacing w:line="440" w:lineRule="exac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（一）你方的索赔通知必须以书面形式提出，索赔通知应由你方法定代表人（负责人）或授权代理人签字并加盖单位公章；</w:t>
      </w:r>
    </w:p>
    <w:p w14:paraId="1BBEFC32">
      <w:pPr>
        <w:spacing w:line="440" w:lineRule="exac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（二）你方的索赔通知必须在本保函有效期内送达我行；</w:t>
      </w:r>
    </w:p>
    <w:p w14:paraId="136E90AA">
      <w:pPr>
        <w:spacing w:line="440" w:lineRule="exac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（三）你方的索赔通知必须同时附有：</w:t>
      </w:r>
    </w:p>
    <w:p w14:paraId="14360FB6">
      <w:pPr>
        <w:spacing w:line="440" w:lineRule="exact"/>
        <w:rPr>
          <w:rFonts w:ascii="宋体" w:hAnsi="宋体"/>
          <w:color w:val="auto"/>
          <w:szCs w:val="21"/>
          <w:highlight w:val="none"/>
        </w:rPr>
      </w:pPr>
      <w:r>
        <w:rPr>
          <w:rFonts w:ascii="宋体" w:hAnsi="宋体"/>
          <w:color w:val="auto"/>
          <w:szCs w:val="21"/>
          <w:highlight w:val="none"/>
        </w:rPr>
        <w:t xml:space="preserve">    1.声明你方索赔的款额并未由保函申请人或其代理人以其他方式直接或间接地支付给你方</w:t>
      </w:r>
      <w:r>
        <w:rPr>
          <w:rFonts w:hint="eastAsia" w:ascii="宋体" w:hAnsi="宋体"/>
          <w:color w:val="auto"/>
          <w:szCs w:val="21"/>
          <w:highlight w:val="none"/>
        </w:rPr>
        <w:t>。</w:t>
      </w:r>
    </w:p>
    <w:p w14:paraId="475EFE80">
      <w:pPr>
        <w:spacing w:line="440" w:lineRule="exac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五、本保函所附声明条款系本保函的不可撤销、不可变更的组成部分。</w:t>
      </w:r>
    </w:p>
    <w:p w14:paraId="3CD88DCF">
      <w:pPr>
        <w:spacing w:line="440" w:lineRule="exac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六、本保函自本行负责人或授权代理人签字并加盖公章之日起生效。</w:t>
      </w:r>
    </w:p>
    <w:p w14:paraId="7251F658">
      <w:pPr>
        <w:spacing w:line="440" w:lineRule="exact"/>
        <w:rPr>
          <w:rFonts w:ascii="宋体" w:hAnsi="宋体"/>
          <w:color w:val="auto"/>
          <w:szCs w:val="21"/>
          <w:highlight w:val="none"/>
        </w:rPr>
      </w:pPr>
      <w:r>
        <w:rPr>
          <w:rFonts w:ascii="宋体" w:hAnsi="宋体"/>
          <w:color w:val="auto"/>
          <w:szCs w:val="21"/>
          <w:highlight w:val="none"/>
        </w:rPr>
        <w:t xml:space="preserve">                                  保证人（盖章）：</w:t>
      </w:r>
    </w:p>
    <w:p w14:paraId="1F555B20">
      <w:pPr>
        <w:spacing w:line="440" w:lineRule="exact"/>
        <w:rPr>
          <w:rFonts w:ascii="宋体" w:hAnsi="宋体"/>
          <w:color w:val="auto"/>
          <w:szCs w:val="21"/>
          <w:highlight w:val="none"/>
        </w:rPr>
      </w:pPr>
      <w:r>
        <w:rPr>
          <w:rFonts w:ascii="宋体" w:hAnsi="宋体"/>
          <w:color w:val="auto"/>
          <w:szCs w:val="21"/>
          <w:highlight w:val="none"/>
        </w:rPr>
        <w:t xml:space="preserve">                                  负责人或授权代理人（签字）：</w:t>
      </w:r>
    </w:p>
    <w:p w14:paraId="67AF28BC">
      <w:pPr>
        <w:autoSpaceDE w:val="0"/>
        <w:autoSpaceDN w:val="0"/>
        <w:spacing w:line="440" w:lineRule="exact"/>
        <w:ind w:firstLine="3465" w:firstLineChars="1650"/>
        <w:rPr>
          <w:rFonts w:ascii="宋体" w:hAnsi="宋体"/>
          <w:color w:val="auto"/>
          <w:szCs w:val="21"/>
          <w:highlight w:val="none"/>
        </w:rPr>
      </w:pPr>
      <w:r>
        <w:rPr>
          <w:rFonts w:ascii="宋体" w:hAnsi="宋体"/>
          <w:color w:val="auto"/>
          <w:szCs w:val="21"/>
          <w:highlight w:val="none"/>
        </w:rPr>
        <w:t xml:space="preserve"> 签发日期</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14:paraId="57E5B93D">
      <w:pPr>
        <w:autoSpaceDE w:val="0"/>
        <w:autoSpaceDN w:val="0"/>
        <w:spacing w:line="440" w:lineRule="exact"/>
        <w:ind w:firstLine="3465" w:firstLineChars="1650"/>
        <w:rPr>
          <w:rFonts w:ascii="宋体" w:hAnsi="宋体"/>
          <w:color w:val="auto"/>
          <w:szCs w:val="21"/>
          <w:highlight w:val="none"/>
        </w:rPr>
      </w:pPr>
      <w:r>
        <w:rPr>
          <w:rFonts w:hint="eastAsia" w:ascii="宋体" w:hAnsi="宋体"/>
          <w:color w:val="auto"/>
          <w:szCs w:val="21"/>
          <w:highlight w:val="none"/>
        </w:rPr>
        <w:br w:type="page"/>
      </w:r>
    </w:p>
    <w:p w14:paraId="116BAECD">
      <w:pPr>
        <w:pStyle w:val="3"/>
        <w:ind w:firstLine="137"/>
        <w:rPr>
          <w:rFonts w:hint="eastAsia" w:ascii="宋体" w:hAnsi="宋体"/>
          <w:strike/>
          <w:color w:val="auto"/>
          <w:sz w:val="18"/>
          <w:szCs w:val="18"/>
          <w:highlight w:val="none"/>
        </w:rPr>
      </w:pPr>
      <w:r>
        <w:rPr>
          <w:rFonts w:hint="eastAsia" w:ascii="Times New Roman"/>
          <w:color w:val="auto"/>
          <w:highlight w:val="none"/>
        </w:rPr>
        <w:t>附件</w:t>
      </w:r>
      <w:r>
        <w:rPr>
          <w:rFonts w:hint="eastAsia" w:ascii="Times New Roman"/>
          <w:color w:val="auto"/>
          <w:highlight w:val="none"/>
          <w:lang w:val="en-US" w:eastAsia="zh-CN"/>
        </w:rPr>
        <w:t>七</w:t>
      </w:r>
      <w:r>
        <w:rPr>
          <w:rFonts w:hint="eastAsia" w:ascii="Times New Roman"/>
          <w:color w:val="auto"/>
          <w:highlight w:val="none"/>
        </w:rPr>
        <w:t>：质量保证金担保格式</w:t>
      </w:r>
      <w:r>
        <w:rPr>
          <w:rFonts w:hint="eastAsia" w:ascii="宋体" w:hAnsi="宋体"/>
          <w:color w:val="auto"/>
          <w:sz w:val="18"/>
          <w:szCs w:val="18"/>
          <w:highlight w:val="none"/>
        </w:rPr>
        <w:t>（担保的形式包括银行提供的保函、央企财务公司提供的保函、保险公司提供的国家认可的具有法律效力的保险等，格式自定）</w:t>
      </w:r>
    </w:p>
    <w:p w14:paraId="1CE39CAE">
      <w:pPr>
        <w:autoSpaceDE w:val="0"/>
        <w:autoSpaceDN w:val="0"/>
        <w:spacing w:line="440" w:lineRule="exact"/>
        <w:ind w:firstLine="3465" w:firstLineChars="1650"/>
        <w:rPr>
          <w:rFonts w:ascii="宋体" w:hAnsi="宋体"/>
          <w:color w:val="auto"/>
          <w:szCs w:val="21"/>
          <w:highlight w:val="none"/>
        </w:rPr>
      </w:pPr>
    </w:p>
    <w:p w14:paraId="1E09047F">
      <w:pPr>
        <w:jc w:val="left"/>
        <w:rPr>
          <w:rFonts w:hint="eastAsia" w:ascii="宋体" w:hAnsi="宋体"/>
          <w:color w:val="auto"/>
          <w:szCs w:val="21"/>
          <w:highlight w:val="none"/>
        </w:rPr>
      </w:pPr>
    </w:p>
    <w:p w14:paraId="7C8A1972">
      <w:pPr>
        <w:jc w:val="center"/>
        <w:rPr>
          <w:rFonts w:hint="eastAsia" w:ascii="宋体" w:hAnsi="宋体"/>
          <w:b/>
          <w:color w:val="auto"/>
          <w:szCs w:val="21"/>
          <w:highlight w:val="none"/>
        </w:rPr>
      </w:pPr>
      <w:r>
        <w:rPr>
          <w:rFonts w:hint="eastAsia" w:ascii="宋体" w:hAnsi="宋体"/>
          <w:b/>
          <w:color w:val="auto"/>
          <w:szCs w:val="21"/>
          <w:highlight w:val="none"/>
        </w:rPr>
        <w:t>质量保证金保函</w:t>
      </w:r>
    </w:p>
    <w:p w14:paraId="2E2A414E">
      <w:pPr>
        <w:autoSpaceDE w:val="0"/>
        <w:autoSpaceDN w:val="0"/>
        <w:rPr>
          <w:rFonts w:hint="eastAsia" w:ascii="宋体" w:hAnsi="宋体" w:cs="仿宋_GB2312"/>
          <w:color w:val="auto"/>
          <w:szCs w:val="21"/>
          <w:highlight w:val="none"/>
          <w:u w:val="single"/>
        </w:rPr>
      </w:pPr>
      <w:r>
        <w:rPr>
          <w:rFonts w:hint="eastAsia" w:ascii="宋体" w:hAnsi="宋体" w:cs="仿宋_GB2312"/>
          <w:color w:val="auto"/>
          <w:szCs w:val="21"/>
          <w:highlight w:val="none"/>
        </w:rPr>
        <w:t>（发包人名称）：</w:t>
      </w:r>
      <w:r>
        <w:rPr>
          <w:rFonts w:hint="eastAsia" w:ascii="宋体" w:hAnsi="宋体" w:cs="仿宋_GB2312"/>
          <w:color w:val="auto"/>
          <w:szCs w:val="21"/>
          <w:highlight w:val="none"/>
          <w:u w:val="single"/>
        </w:rPr>
        <w:t xml:space="preserve">               </w:t>
      </w:r>
    </w:p>
    <w:p w14:paraId="5A6DF2FA">
      <w:pPr>
        <w:autoSpaceDE w:val="0"/>
        <w:autoSpaceDN w:val="0"/>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根据</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（承包人名称）（以下称</w:t>
      </w:r>
      <w:r>
        <w:rPr>
          <w:rFonts w:ascii="宋体" w:hAnsi="宋体" w:cs="TimesNewRomanPSMT"/>
          <w:color w:val="auto"/>
          <w:szCs w:val="21"/>
          <w:highlight w:val="none"/>
        </w:rPr>
        <w:t>“</w:t>
      </w:r>
      <w:r>
        <w:rPr>
          <w:rFonts w:hint="eastAsia" w:ascii="宋体" w:hAnsi="宋体" w:cs="仿宋_GB2312"/>
          <w:color w:val="auto"/>
          <w:szCs w:val="21"/>
          <w:highlight w:val="none"/>
        </w:rPr>
        <w:t>承包人</w:t>
      </w:r>
      <w:r>
        <w:rPr>
          <w:rFonts w:ascii="宋体" w:hAnsi="宋体" w:cs="TimesNewRomanPSMT"/>
          <w:color w:val="auto"/>
          <w:szCs w:val="21"/>
          <w:highlight w:val="none"/>
        </w:rPr>
        <w:t>”</w:t>
      </w:r>
      <w:r>
        <w:rPr>
          <w:rFonts w:hint="eastAsia" w:ascii="宋体" w:hAnsi="宋体" w:cs="仿宋_GB2312"/>
          <w:color w:val="auto"/>
          <w:szCs w:val="21"/>
          <w:highlight w:val="none"/>
        </w:rPr>
        <w:t>）与</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（发包人名称）（以下简称</w:t>
      </w:r>
      <w:r>
        <w:rPr>
          <w:rFonts w:ascii="宋体" w:hAnsi="宋体" w:cs="TimesNewRomanPSMT"/>
          <w:color w:val="auto"/>
          <w:szCs w:val="21"/>
          <w:highlight w:val="none"/>
        </w:rPr>
        <w:t>“</w:t>
      </w:r>
      <w:r>
        <w:rPr>
          <w:rFonts w:hint="eastAsia" w:ascii="宋体" w:hAnsi="宋体" w:cs="仿宋_GB2312"/>
          <w:color w:val="auto"/>
          <w:szCs w:val="21"/>
          <w:highlight w:val="none"/>
        </w:rPr>
        <w:t>发包人</w:t>
      </w:r>
      <w:r>
        <w:rPr>
          <w:rFonts w:ascii="宋体" w:hAnsi="宋体" w:cs="TimesNewRomanPSMT"/>
          <w:color w:val="auto"/>
          <w:szCs w:val="21"/>
          <w:highlight w:val="none"/>
        </w:rPr>
        <w:t>”</w:t>
      </w:r>
      <w:r>
        <w:rPr>
          <w:rFonts w:hint="eastAsia" w:ascii="宋体" w:hAnsi="宋体" w:cs="仿宋_GB2312"/>
          <w:color w:val="auto"/>
          <w:szCs w:val="21"/>
          <w:highlight w:val="none"/>
        </w:rPr>
        <w:t>）于</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年</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月</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日签订的</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（项目名称）监理承包合同，承包人按约定的金额向发包人提交一份质量保证金担保，即有权得到发包人支付相等金额的质量保证金。我方愿意就你方提供给承包人的质量保证金提供担保。</w:t>
      </w:r>
    </w:p>
    <w:p w14:paraId="232DA322">
      <w:pPr>
        <w:autoSpaceDE w:val="0"/>
        <w:autoSpaceDN w:val="0"/>
        <w:ind w:firstLine="420" w:firstLineChars="200"/>
        <w:rPr>
          <w:rFonts w:hint="eastAsia" w:ascii="宋体" w:hAnsi="宋体" w:cs="仿宋_GB2312"/>
          <w:color w:val="auto"/>
          <w:szCs w:val="21"/>
          <w:highlight w:val="none"/>
        </w:rPr>
      </w:pPr>
      <w:r>
        <w:rPr>
          <w:rFonts w:ascii="宋体" w:hAnsi="宋体" w:cs="TimesNewRomanPSMT"/>
          <w:color w:val="auto"/>
          <w:szCs w:val="21"/>
          <w:highlight w:val="none"/>
        </w:rPr>
        <w:t xml:space="preserve">1. </w:t>
      </w:r>
      <w:r>
        <w:rPr>
          <w:rFonts w:hint="eastAsia" w:ascii="宋体" w:hAnsi="宋体" w:cs="仿宋_GB2312"/>
          <w:color w:val="auto"/>
          <w:szCs w:val="21"/>
          <w:highlight w:val="none"/>
        </w:rPr>
        <w:t>担保金额人民币（大写）</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元（</w:t>
      </w:r>
      <w:r>
        <w:rPr>
          <w:rFonts w:ascii="宋体" w:hAnsi="宋体" w:cs="TimesNewRomanPSMT"/>
          <w:color w:val="auto"/>
          <w:szCs w:val="21"/>
          <w:highlight w:val="none"/>
        </w:rPr>
        <w:t>¥</w:t>
      </w:r>
      <w:r>
        <w:rPr>
          <w:rFonts w:hint="eastAsia" w:ascii="宋体" w:hAnsi="宋体" w:cs="TimesNewRomanPSMT"/>
          <w:color w:val="auto"/>
          <w:szCs w:val="21"/>
          <w:highlight w:val="none"/>
          <w:u w:val="single"/>
        </w:rPr>
        <w:t xml:space="preserve">         </w:t>
      </w:r>
      <w:r>
        <w:rPr>
          <w:rFonts w:ascii="宋体" w:hAnsi="宋体" w:cs="TimesNewRomanPSMT"/>
          <w:color w:val="auto"/>
          <w:szCs w:val="21"/>
          <w:highlight w:val="none"/>
        </w:rPr>
        <w:t xml:space="preserve"> </w:t>
      </w:r>
      <w:r>
        <w:rPr>
          <w:rFonts w:hint="eastAsia" w:ascii="宋体" w:hAnsi="宋体" w:cs="仿宋_GB2312"/>
          <w:color w:val="auto"/>
          <w:szCs w:val="21"/>
          <w:highlight w:val="none"/>
        </w:rPr>
        <w:t>）。</w:t>
      </w:r>
    </w:p>
    <w:p w14:paraId="1B29013C">
      <w:pPr>
        <w:autoSpaceDE w:val="0"/>
        <w:autoSpaceDN w:val="0"/>
        <w:ind w:firstLine="420" w:firstLineChars="200"/>
        <w:rPr>
          <w:rFonts w:hint="eastAsia" w:ascii="宋体" w:hAnsi="宋体" w:cs="仿宋_GB2312"/>
          <w:color w:val="auto"/>
          <w:szCs w:val="21"/>
          <w:highlight w:val="none"/>
        </w:rPr>
      </w:pPr>
      <w:r>
        <w:rPr>
          <w:rFonts w:ascii="宋体" w:hAnsi="宋体" w:cs="TimesNewRomanPSMT"/>
          <w:color w:val="auto"/>
          <w:szCs w:val="21"/>
          <w:highlight w:val="none"/>
        </w:rPr>
        <w:t xml:space="preserve">2. </w:t>
      </w:r>
      <w:r>
        <w:rPr>
          <w:rFonts w:hint="eastAsia" w:ascii="宋体" w:hAnsi="宋体" w:cs="仿宋_GB2312"/>
          <w:color w:val="auto"/>
          <w:szCs w:val="21"/>
          <w:highlight w:val="none"/>
        </w:rPr>
        <w:t>担保有效期自质量保证金支付给承包人起生效，至质保期结束止。</w:t>
      </w:r>
    </w:p>
    <w:p w14:paraId="7410D77A">
      <w:pPr>
        <w:autoSpaceDE w:val="0"/>
        <w:autoSpaceDN w:val="0"/>
        <w:ind w:firstLine="420" w:firstLineChars="200"/>
        <w:rPr>
          <w:rFonts w:hint="eastAsia" w:ascii="宋体" w:hAnsi="宋体" w:cs="仿宋_GB2312"/>
          <w:color w:val="auto"/>
          <w:szCs w:val="21"/>
          <w:highlight w:val="none"/>
        </w:rPr>
      </w:pPr>
      <w:r>
        <w:rPr>
          <w:rFonts w:ascii="宋体" w:hAnsi="宋体" w:cs="TimesNewRomanPSMT"/>
          <w:color w:val="auto"/>
          <w:szCs w:val="21"/>
          <w:highlight w:val="none"/>
        </w:rPr>
        <w:t xml:space="preserve">3. </w:t>
      </w:r>
      <w:r>
        <w:rPr>
          <w:rFonts w:hint="eastAsia" w:ascii="宋体" w:hAnsi="宋体" w:cs="仿宋_GB2312"/>
          <w:color w:val="auto"/>
          <w:szCs w:val="21"/>
          <w:highlight w:val="none"/>
        </w:rPr>
        <w:t>在本保函有效期内，因承包人违反合同约定而拒绝履行质保期相关义务时，我方在收到你方的书面通知后，在７天内无条件支付。但本保函的担保金额，在任何时候不应超过质保金金额。</w:t>
      </w:r>
    </w:p>
    <w:p w14:paraId="4D76C7FC">
      <w:pPr>
        <w:autoSpaceDE w:val="0"/>
        <w:autoSpaceDN w:val="0"/>
        <w:ind w:firstLine="420" w:firstLineChars="200"/>
        <w:rPr>
          <w:rFonts w:hint="eastAsia" w:ascii="宋体" w:hAnsi="宋体" w:cs="仿宋_GB2312"/>
          <w:color w:val="auto"/>
          <w:szCs w:val="21"/>
          <w:highlight w:val="none"/>
        </w:rPr>
      </w:pPr>
      <w:r>
        <w:rPr>
          <w:rFonts w:ascii="宋体" w:hAnsi="宋体" w:cs="TimesNewRomanPSMT"/>
          <w:color w:val="auto"/>
          <w:szCs w:val="21"/>
          <w:highlight w:val="none"/>
        </w:rPr>
        <w:t xml:space="preserve">4. </w:t>
      </w:r>
      <w:r>
        <w:rPr>
          <w:rFonts w:hint="eastAsia" w:ascii="宋体" w:hAnsi="宋体" w:cs="仿宋_GB2312"/>
          <w:color w:val="auto"/>
          <w:szCs w:val="21"/>
          <w:highlight w:val="none"/>
        </w:rPr>
        <w:t>发包人和承包人变更合同时，我方承担本保函规定的义务不变。</w:t>
      </w:r>
    </w:p>
    <w:p w14:paraId="4212478C">
      <w:pPr>
        <w:autoSpaceDE w:val="0"/>
        <w:autoSpaceDN w:val="0"/>
        <w:ind w:firstLine="420" w:firstLineChars="200"/>
        <w:jc w:val="right"/>
        <w:rPr>
          <w:rFonts w:hint="eastAsia" w:ascii="宋体" w:hAnsi="宋体" w:cs="仿宋_GB2312"/>
          <w:color w:val="auto"/>
          <w:szCs w:val="21"/>
          <w:highlight w:val="none"/>
        </w:rPr>
      </w:pPr>
    </w:p>
    <w:p w14:paraId="48A8EAD3">
      <w:pPr>
        <w:autoSpaceDE w:val="0"/>
        <w:autoSpaceDN w:val="0"/>
        <w:ind w:firstLine="420" w:firstLineChars="200"/>
        <w:jc w:val="right"/>
        <w:rPr>
          <w:rFonts w:ascii="宋体" w:hAnsi="宋体" w:cs="仿宋_GB2312"/>
          <w:color w:val="auto"/>
          <w:szCs w:val="21"/>
          <w:highlight w:val="none"/>
        </w:rPr>
      </w:pPr>
      <w:r>
        <w:rPr>
          <w:rFonts w:hint="eastAsia" w:ascii="宋体" w:hAnsi="宋体" w:cs="仿宋_GB2312"/>
          <w:color w:val="auto"/>
          <w:szCs w:val="21"/>
          <w:highlight w:val="none"/>
        </w:rPr>
        <w:t>担</w:t>
      </w:r>
      <w:r>
        <w:rPr>
          <w:rFonts w:ascii="宋体" w:hAnsi="宋体" w:cs="仿宋_GB2312"/>
          <w:color w:val="auto"/>
          <w:szCs w:val="21"/>
          <w:highlight w:val="none"/>
        </w:rPr>
        <w:t xml:space="preserve"> </w:t>
      </w:r>
      <w:r>
        <w:rPr>
          <w:rFonts w:hint="eastAsia" w:ascii="宋体" w:hAnsi="宋体" w:cs="仿宋_GB2312"/>
          <w:color w:val="auto"/>
          <w:szCs w:val="21"/>
          <w:highlight w:val="none"/>
        </w:rPr>
        <w:t>保</w:t>
      </w:r>
      <w:r>
        <w:rPr>
          <w:rFonts w:ascii="宋体" w:hAnsi="宋体" w:cs="仿宋_GB2312"/>
          <w:color w:val="auto"/>
          <w:szCs w:val="21"/>
          <w:highlight w:val="none"/>
        </w:rPr>
        <w:t xml:space="preserve"> </w:t>
      </w:r>
      <w:r>
        <w:rPr>
          <w:rFonts w:hint="eastAsia" w:ascii="宋体" w:hAnsi="宋体" w:cs="仿宋_GB2312"/>
          <w:color w:val="auto"/>
          <w:szCs w:val="21"/>
          <w:highlight w:val="none"/>
        </w:rPr>
        <w:t>人：</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（盖单位章）</w:t>
      </w:r>
    </w:p>
    <w:p w14:paraId="05EC0551">
      <w:pPr>
        <w:autoSpaceDE w:val="0"/>
        <w:autoSpaceDN w:val="0"/>
        <w:jc w:val="right"/>
        <w:rPr>
          <w:rFonts w:ascii="宋体" w:hAnsi="宋体" w:cs="仿宋_GB2312"/>
          <w:color w:val="auto"/>
          <w:szCs w:val="21"/>
          <w:highlight w:val="none"/>
        </w:rPr>
      </w:pPr>
      <w:r>
        <w:rPr>
          <w:rFonts w:hint="eastAsia" w:ascii="宋体" w:hAnsi="宋体" w:cs="仿宋_GB2312"/>
          <w:color w:val="auto"/>
          <w:szCs w:val="21"/>
          <w:highlight w:val="none"/>
        </w:rPr>
        <w:t>法定代表人或其委托代理人：</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（签字）</w:t>
      </w:r>
    </w:p>
    <w:p w14:paraId="09B6851B">
      <w:pPr>
        <w:autoSpaceDE w:val="0"/>
        <w:autoSpaceDN w:val="0"/>
        <w:ind w:firstLine="3780" w:firstLineChars="1800"/>
        <w:rPr>
          <w:rFonts w:ascii="宋体" w:hAnsi="宋体" w:cs="仿宋_GB2312"/>
          <w:color w:val="auto"/>
          <w:szCs w:val="21"/>
          <w:highlight w:val="none"/>
          <w:u w:val="single"/>
        </w:rPr>
      </w:pPr>
      <w:r>
        <w:rPr>
          <w:rFonts w:hint="eastAsia" w:ascii="宋体" w:hAnsi="宋体" w:cs="仿宋_GB2312"/>
          <w:color w:val="auto"/>
          <w:szCs w:val="21"/>
          <w:highlight w:val="none"/>
        </w:rPr>
        <w:t>地</w:t>
      </w:r>
      <w:r>
        <w:rPr>
          <w:rFonts w:ascii="宋体" w:hAnsi="宋体" w:cs="仿宋_GB2312"/>
          <w:color w:val="auto"/>
          <w:szCs w:val="21"/>
          <w:highlight w:val="none"/>
        </w:rPr>
        <w:t xml:space="preserve"> </w:t>
      </w:r>
      <w:r>
        <w:rPr>
          <w:rFonts w:hint="eastAsia" w:ascii="宋体" w:hAnsi="宋体" w:cs="仿宋_GB2312"/>
          <w:color w:val="auto"/>
          <w:szCs w:val="21"/>
          <w:highlight w:val="none"/>
        </w:rPr>
        <w:t>址：</w:t>
      </w:r>
      <w:r>
        <w:rPr>
          <w:rFonts w:hint="eastAsia" w:ascii="宋体" w:hAnsi="宋体" w:cs="仿宋_GB2312"/>
          <w:color w:val="auto"/>
          <w:szCs w:val="21"/>
          <w:highlight w:val="none"/>
          <w:u w:val="single"/>
        </w:rPr>
        <w:t xml:space="preserve">                                         </w:t>
      </w:r>
    </w:p>
    <w:p w14:paraId="3A243AF1">
      <w:pPr>
        <w:autoSpaceDE w:val="0"/>
        <w:autoSpaceDN w:val="0"/>
        <w:ind w:firstLine="3780" w:firstLineChars="1800"/>
        <w:rPr>
          <w:rFonts w:ascii="宋体" w:hAnsi="宋体" w:cs="仿宋_GB2312"/>
          <w:color w:val="auto"/>
          <w:szCs w:val="21"/>
          <w:highlight w:val="none"/>
          <w:u w:val="single"/>
        </w:rPr>
      </w:pPr>
      <w:r>
        <w:rPr>
          <w:rFonts w:hint="eastAsia" w:ascii="宋体" w:hAnsi="宋体" w:cs="仿宋_GB2312"/>
          <w:color w:val="auto"/>
          <w:szCs w:val="21"/>
          <w:highlight w:val="none"/>
        </w:rPr>
        <w:t>邮政编码：</w:t>
      </w:r>
      <w:r>
        <w:rPr>
          <w:rFonts w:hint="eastAsia" w:ascii="宋体" w:hAnsi="宋体" w:cs="仿宋_GB2312"/>
          <w:color w:val="auto"/>
          <w:szCs w:val="21"/>
          <w:highlight w:val="none"/>
          <w:u w:val="single"/>
        </w:rPr>
        <w:t xml:space="preserve">                                      </w:t>
      </w:r>
    </w:p>
    <w:p w14:paraId="52113B6A">
      <w:pPr>
        <w:autoSpaceDE w:val="0"/>
        <w:autoSpaceDN w:val="0"/>
        <w:ind w:firstLine="3780" w:firstLineChars="1800"/>
        <w:rPr>
          <w:rFonts w:ascii="宋体" w:hAnsi="宋体" w:cs="仿宋_GB2312"/>
          <w:color w:val="auto"/>
          <w:szCs w:val="21"/>
          <w:highlight w:val="none"/>
          <w:u w:val="single"/>
        </w:rPr>
      </w:pPr>
      <w:r>
        <w:rPr>
          <w:rFonts w:hint="eastAsia" w:ascii="宋体" w:hAnsi="宋体" w:cs="仿宋_GB2312"/>
          <w:color w:val="auto"/>
          <w:szCs w:val="21"/>
          <w:highlight w:val="none"/>
        </w:rPr>
        <w:t>电</w:t>
      </w:r>
      <w:r>
        <w:rPr>
          <w:rFonts w:ascii="宋体" w:hAnsi="宋体" w:cs="仿宋_GB2312"/>
          <w:color w:val="auto"/>
          <w:szCs w:val="21"/>
          <w:highlight w:val="none"/>
        </w:rPr>
        <w:t xml:space="preserve"> </w:t>
      </w:r>
      <w:r>
        <w:rPr>
          <w:rFonts w:hint="eastAsia" w:ascii="宋体" w:hAnsi="宋体" w:cs="仿宋_GB2312"/>
          <w:color w:val="auto"/>
          <w:szCs w:val="21"/>
          <w:highlight w:val="none"/>
        </w:rPr>
        <w:t>话：</w:t>
      </w:r>
      <w:r>
        <w:rPr>
          <w:rFonts w:hint="eastAsia" w:ascii="宋体" w:hAnsi="宋体" w:cs="仿宋_GB2312"/>
          <w:color w:val="auto"/>
          <w:szCs w:val="21"/>
          <w:highlight w:val="none"/>
          <w:u w:val="single"/>
        </w:rPr>
        <w:t xml:space="preserve">                                         </w:t>
      </w:r>
    </w:p>
    <w:p w14:paraId="19B42F60">
      <w:pPr>
        <w:autoSpaceDE w:val="0"/>
        <w:autoSpaceDN w:val="0"/>
        <w:ind w:firstLine="3780" w:firstLineChars="1800"/>
        <w:rPr>
          <w:rFonts w:ascii="宋体" w:hAnsi="宋体" w:cs="仿宋_GB2312"/>
          <w:color w:val="auto"/>
          <w:szCs w:val="21"/>
          <w:highlight w:val="none"/>
          <w:u w:val="single"/>
        </w:rPr>
      </w:pPr>
      <w:r>
        <w:rPr>
          <w:rFonts w:hint="eastAsia" w:ascii="宋体" w:hAnsi="宋体" w:cs="仿宋_GB2312"/>
          <w:color w:val="auto"/>
          <w:szCs w:val="21"/>
          <w:highlight w:val="none"/>
        </w:rPr>
        <w:t>传</w:t>
      </w:r>
      <w:r>
        <w:rPr>
          <w:rFonts w:ascii="宋体" w:hAnsi="宋体" w:cs="仿宋_GB2312"/>
          <w:color w:val="auto"/>
          <w:szCs w:val="21"/>
          <w:highlight w:val="none"/>
        </w:rPr>
        <w:t xml:space="preserve"> </w:t>
      </w:r>
      <w:r>
        <w:rPr>
          <w:rFonts w:hint="eastAsia" w:ascii="宋体" w:hAnsi="宋体" w:cs="仿宋_GB2312"/>
          <w:color w:val="auto"/>
          <w:szCs w:val="21"/>
          <w:highlight w:val="none"/>
        </w:rPr>
        <w:t>真：</w:t>
      </w:r>
      <w:r>
        <w:rPr>
          <w:rFonts w:hint="eastAsia" w:ascii="宋体" w:hAnsi="宋体" w:cs="仿宋_GB2312"/>
          <w:color w:val="auto"/>
          <w:szCs w:val="21"/>
          <w:highlight w:val="none"/>
          <w:u w:val="single"/>
        </w:rPr>
        <w:t xml:space="preserve">                                         </w:t>
      </w:r>
    </w:p>
    <w:p w14:paraId="4CB7800D">
      <w:pPr>
        <w:pStyle w:val="9"/>
        <w:ind w:firstLine="420" w:firstLineChars="200"/>
        <w:jc w:val="center"/>
        <w:rPr>
          <w:rFonts w:hint="eastAsia" w:hAnsi="宋体"/>
          <w:color w:val="auto"/>
          <w:szCs w:val="21"/>
          <w:highlight w:val="none"/>
          <w:u w:val="single"/>
        </w:rPr>
      </w:pPr>
      <w:r>
        <w:rPr>
          <w:rFonts w:hint="eastAsia" w:hAnsi="宋体" w:cs="仿宋_GB2312"/>
          <w:color w:val="auto"/>
          <w:szCs w:val="21"/>
          <w:highlight w:val="none"/>
        </w:rPr>
        <w:t xml:space="preserve">                                                       </w:t>
      </w:r>
      <w:r>
        <w:rPr>
          <w:rFonts w:hint="eastAsia" w:hAnsi="宋体" w:cs="仿宋_GB2312"/>
          <w:color w:val="auto"/>
          <w:szCs w:val="21"/>
          <w:highlight w:val="none"/>
          <w:u w:val="single"/>
        </w:rPr>
        <w:t xml:space="preserve">     </w:t>
      </w:r>
      <w:r>
        <w:rPr>
          <w:rFonts w:hint="eastAsia" w:hAnsi="宋体" w:cs="仿宋_GB2312"/>
          <w:color w:val="auto"/>
          <w:szCs w:val="21"/>
          <w:highlight w:val="none"/>
        </w:rPr>
        <w:t>年</w:t>
      </w:r>
      <w:r>
        <w:rPr>
          <w:rFonts w:hint="eastAsia" w:hAnsi="宋体" w:cs="仿宋_GB2312"/>
          <w:color w:val="auto"/>
          <w:szCs w:val="21"/>
          <w:highlight w:val="none"/>
          <w:u w:val="single"/>
        </w:rPr>
        <w:t xml:space="preserve">      </w:t>
      </w:r>
      <w:r>
        <w:rPr>
          <w:rFonts w:hint="eastAsia" w:hAnsi="宋体" w:cs="仿宋_GB2312"/>
          <w:color w:val="auto"/>
          <w:szCs w:val="21"/>
          <w:highlight w:val="none"/>
        </w:rPr>
        <w:t>月</w:t>
      </w:r>
      <w:r>
        <w:rPr>
          <w:rFonts w:hint="eastAsia" w:hAnsi="宋体" w:cs="仿宋_GB2312"/>
          <w:color w:val="auto"/>
          <w:szCs w:val="21"/>
          <w:highlight w:val="none"/>
          <w:u w:val="single"/>
        </w:rPr>
        <w:t xml:space="preserve">      </w:t>
      </w:r>
      <w:r>
        <w:rPr>
          <w:rFonts w:hint="eastAsia" w:hAnsi="宋体" w:cs="仿宋_GB2312"/>
          <w:color w:val="auto"/>
          <w:szCs w:val="21"/>
          <w:highlight w:val="none"/>
        </w:rPr>
        <w:t>日</w:t>
      </w:r>
    </w:p>
    <w:p w14:paraId="13BC5250">
      <w:pPr>
        <w:autoSpaceDE w:val="0"/>
        <w:autoSpaceDN w:val="0"/>
        <w:spacing w:line="320" w:lineRule="exact"/>
        <w:rPr>
          <w:rFonts w:ascii="宋体" w:hAnsi="宋体" w:cs="仿宋_GB2312"/>
          <w:color w:val="auto"/>
          <w:szCs w:val="21"/>
          <w:highlight w:val="none"/>
        </w:rPr>
      </w:pPr>
      <w:r>
        <w:rPr>
          <w:rFonts w:hint="eastAsia" w:ascii="宋体" w:hAnsi="宋体" w:cs="仿宋_GB2312"/>
          <w:color w:val="auto"/>
          <w:szCs w:val="21"/>
          <w:highlight w:val="none"/>
        </w:rPr>
        <w:br w:type="page"/>
      </w:r>
    </w:p>
    <w:p w14:paraId="68B169B7">
      <w:pPr>
        <w:pStyle w:val="3"/>
        <w:ind w:firstLine="137"/>
        <w:rPr>
          <w:rFonts w:ascii="Times New Roman"/>
          <w:color w:val="auto"/>
          <w:highlight w:val="none"/>
        </w:rPr>
      </w:pPr>
      <w:bookmarkStart w:id="382" w:name="_Toc16994"/>
      <w:r>
        <w:rPr>
          <w:rFonts w:hint="eastAsia" w:ascii="Times New Roman"/>
          <w:color w:val="auto"/>
          <w:highlight w:val="none"/>
        </w:rPr>
        <w:t>附件</w:t>
      </w:r>
      <w:r>
        <w:rPr>
          <w:rFonts w:hint="eastAsia" w:ascii="Times New Roman"/>
          <w:color w:val="auto"/>
          <w:highlight w:val="none"/>
          <w:lang w:val="en-US" w:eastAsia="zh-CN"/>
        </w:rPr>
        <w:t>八</w:t>
      </w:r>
      <w:r>
        <w:rPr>
          <w:rFonts w:hint="eastAsia" w:ascii="Times New Roman"/>
          <w:color w:val="auto"/>
          <w:highlight w:val="none"/>
        </w:rPr>
        <w:t>：管理规范和技术（规范）标准</w:t>
      </w:r>
      <w:bookmarkEnd w:id="382"/>
    </w:p>
    <w:p w14:paraId="3A25BD83">
      <w:pPr>
        <w:pStyle w:val="9"/>
        <w:spacing w:line="360" w:lineRule="auto"/>
        <w:jc w:val="center"/>
        <w:rPr>
          <w:rFonts w:hAnsi="宋体"/>
          <w:b/>
          <w:color w:val="auto"/>
          <w:szCs w:val="21"/>
          <w:highlight w:val="none"/>
        </w:rPr>
      </w:pPr>
      <w:r>
        <w:rPr>
          <w:rFonts w:hint="eastAsia"/>
          <w:color w:val="auto"/>
          <w:highlight w:val="none"/>
        </w:rPr>
        <w:tab/>
      </w:r>
      <w:r>
        <w:rPr>
          <w:rFonts w:hint="eastAsia"/>
          <w:color w:val="auto"/>
          <w:highlight w:val="none"/>
        </w:rPr>
        <w:tab/>
      </w:r>
      <w:r>
        <w:rPr>
          <w:rFonts w:hint="eastAsia"/>
          <w:color w:val="auto"/>
          <w:highlight w:val="none"/>
        </w:rPr>
        <w:tab/>
      </w:r>
      <w:r>
        <w:rPr>
          <w:rFonts w:hint="eastAsia" w:hAnsi="宋体"/>
          <w:b/>
          <w:color w:val="auto"/>
          <w:szCs w:val="21"/>
          <w:highlight w:val="none"/>
        </w:rPr>
        <w:t>管理规范和技术（规范）标准</w:t>
      </w:r>
    </w:p>
    <w:p w14:paraId="6E4158D1">
      <w:pPr>
        <w:pStyle w:val="9"/>
        <w:ind w:firstLine="420" w:firstLineChars="200"/>
        <w:rPr>
          <w:rFonts w:hAnsi="宋体"/>
          <w:color w:val="auto"/>
          <w:szCs w:val="21"/>
          <w:highlight w:val="none"/>
        </w:rPr>
      </w:pPr>
      <w:r>
        <w:rPr>
          <w:rFonts w:hAnsi="宋体"/>
          <w:color w:val="auto"/>
          <w:szCs w:val="21"/>
          <w:highlight w:val="none"/>
        </w:rPr>
        <w:t>本项目须达到下列现行中华人民共和国以及省、自治区、直辖市或行业的</w:t>
      </w:r>
      <w:r>
        <w:rPr>
          <w:rFonts w:hint="eastAsia" w:hAnsi="宋体"/>
          <w:color w:val="auto"/>
          <w:szCs w:val="21"/>
          <w:highlight w:val="none"/>
        </w:rPr>
        <w:t>有关法律法规、</w:t>
      </w:r>
      <w:r>
        <w:rPr>
          <w:rFonts w:hAnsi="宋体"/>
          <w:color w:val="auto"/>
          <w:szCs w:val="21"/>
          <w:highlight w:val="none"/>
        </w:rPr>
        <w:t>标准、规范的要求，</w:t>
      </w:r>
      <w:r>
        <w:rPr>
          <w:rFonts w:hint="eastAsia" w:hAnsi="宋体"/>
          <w:color w:val="auto"/>
          <w:szCs w:val="21"/>
          <w:highlight w:val="none"/>
        </w:rPr>
        <w:t>满足中国南方电网公司有限责任公司的管理制度和规定、</w:t>
      </w:r>
      <w:r>
        <w:rPr>
          <w:color w:val="auto"/>
          <w:szCs w:val="21"/>
          <w:highlight w:val="none"/>
        </w:rPr>
        <w:t>技术标准</w:t>
      </w:r>
      <w:r>
        <w:rPr>
          <w:rFonts w:hint="eastAsia" w:hAnsi="宋体"/>
          <w:color w:val="auto"/>
          <w:szCs w:val="21"/>
          <w:highlight w:val="none"/>
        </w:rPr>
        <w:t>，</w:t>
      </w:r>
      <w:r>
        <w:rPr>
          <w:rFonts w:hAnsi="宋体"/>
          <w:color w:val="auto"/>
          <w:szCs w:val="21"/>
          <w:highlight w:val="none"/>
        </w:rPr>
        <w:t>至少应包括：</w:t>
      </w:r>
    </w:p>
    <w:tbl>
      <w:tblPr>
        <w:tblStyle w:val="1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7019"/>
        <w:gridCol w:w="1907"/>
      </w:tblGrid>
      <w:tr w14:paraId="60FA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760" w:type="dxa"/>
            <w:noWrap w:val="0"/>
            <w:vAlign w:val="center"/>
          </w:tcPr>
          <w:p w14:paraId="6633D4E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7019" w:type="dxa"/>
            <w:noWrap w:val="0"/>
            <w:vAlign w:val="center"/>
          </w:tcPr>
          <w:p w14:paraId="2DF3E002">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名称</w:t>
            </w:r>
          </w:p>
        </w:tc>
        <w:tc>
          <w:tcPr>
            <w:tcW w:w="1907" w:type="dxa"/>
            <w:noWrap w:val="0"/>
            <w:vAlign w:val="center"/>
          </w:tcPr>
          <w:p w14:paraId="5669711C">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55DB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86" w:type="dxa"/>
            <w:gridSpan w:val="3"/>
            <w:noWrap w:val="0"/>
            <w:vAlign w:val="center"/>
          </w:tcPr>
          <w:p w14:paraId="4AB11002">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国家法律、行政法规、规章</w:t>
            </w:r>
          </w:p>
        </w:tc>
      </w:tr>
      <w:tr w14:paraId="48ED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FE6E353">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19" w:type="dxa"/>
            <w:noWrap w:val="0"/>
            <w:vAlign w:val="center"/>
          </w:tcPr>
          <w:p w14:paraId="314B5EE0">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《中华人民共和国建筑法》 (主席令</w:t>
            </w:r>
            <w:r>
              <w:rPr>
                <w:rFonts w:hint="eastAsia" w:ascii="宋体" w:hAnsi="宋体" w:cs="宋体"/>
                <w:color w:val="auto"/>
                <w:kern w:val="0"/>
                <w:szCs w:val="21"/>
                <w:highlight w:val="none"/>
                <w:lang w:val="en-US" w:eastAsia="zh-CN"/>
              </w:rPr>
              <w:t>第29</w:t>
            </w:r>
            <w:r>
              <w:rPr>
                <w:rFonts w:hint="eastAsia" w:ascii="宋体" w:hAnsi="宋体" w:cs="宋体"/>
                <w:color w:val="auto"/>
                <w:kern w:val="0"/>
                <w:szCs w:val="21"/>
                <w:highlight w:val="none"/>
              </w:rPr>
              <w:t>号，第十三届全国人民代表大会常务委员会第十次会议修改，2019年4月23日施行)</w:t>
            </w:r>
          </w:p>
        </w:tc>
        <w:tc>
          <w:tcPr>
            <w:tcW w:w="1907" w:type="dxa"/>
            <w:noWrap w:val="0"/>
            <w:vAlign w:val="center"/>
          </w:tcPr>
          <w:p w14:paraId="7DB2A90F">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14:paraId="3D3B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353769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019" w:type="dxa"/>
            <w:noWrap w:val="0"/>
            <w:vAlign w:val="center"/>
          </w:tcPr>
          <w:p w14:paraId="3C2936A6">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《中华人民共和国</w:t>
            </w:r>
            <w:r>
              <w:rPr>
                <w:rFonts w:hint="eastAsia" w:ascii="宋体" w:hAnsi="宋体" w:cs="宋体"/>
                <w:color w:val="auto"/>
                <w:kern w:val="0"/>
                <w:szCs w:val="21"/>
                <w:highlight w:val="none"/>
                <w:lang w:val="en-US" w:eastAsia="zh-CN"/>
              </w:rPr>
              <w:t>民法典</w:t>
            </w:r>
            <w:r>
              <w:rPr>
                <w:rFonts w:hint="eastAsia" w:ascii="宋体" w:hAnsi="宋体" w:cs="宋体"/>
                <w:color w:val="auto"/>
                <w:kern w:val="0"/>
                <w:szCs w:val="21"/>
                <w:highlight w:val="none"/>
              </w:rPr>
              <w:t>》（主席令</w:t>
            </w:r>
            <w:r>
              <w:rPr>
                <w:rFonts w:hint="eastAsia" w:ascii="宋体" w:hAnsi="宋体" w:cs="宋体"/>
                <w:color w:val="auto"/>
                <w:kern w:val="0"/>
                <w:szCs w:val="21"/>
                <w:highlight w:val="none"/>
                <w:lang w:val="en-US" w:eastAsia="zh-CN"/>
              </w:rPr>
              <w:t>第</w:t>
            </w:r>
            <w:r>
              <w:rPr>
                <w:rFonts w:hint="default" w:ascii="宋体" w:hAnsi="宋体" w:cs="宋体"/>
                <w:color w:val="auto"/>
                <w:kern w:val="0"/>
                <w:szCs w:val="21"/>
                <w:highlight w:val="none"/>
                <w:lang w:val="en-US"/>
              </w:rPr>
              <w:t>45</w:t>
            </w:r>
            <w:r>
              <w:rPr>
                <w:rFonts w:hint="eastAsia" w:ascii="宋体" w:hAnsi="宋体" w:cs="宋体"/>
                <w:color w:val="auto"/>
                <w:kern w:val="0"/>
                <w:szCs w:val="21"/>
                <w:highlight w:val="none"/>
              </w:rPr>
              <w:t>号，</w:t>
            </w:r>
            <w:r>
              <w:rPr>
                <w:rFonts w:hint="default" w:ascii="宋体" w:hAnsi="宋体" w:cs="宋体"/>
                <w:color w:val="auto"/>
                <w:kern w:val="0"/>
                <w:szCs w:val="21"/>
                <w:highlight w:val="none"/>
                <w:lang w:val="en-US"/>
              </w:rPr>
              <w:t>2021</w:t>
            </w:r>
            <w:r>
              <w:rPr>
                <w:rFonts w:hint="eastAsia" w:ascii="宋体" w:hAnsi="宋体" w:cs="宋体"/>
                <w:color w:val="auto"/>
                <w:kern w:val="0"/>
                <w:szCs w:val="21"/>
                <w:highlight w:val="none"/>
              </w:rPr>
              <w:t>年</w:t>
            </w:r>
            <w:r>
              <w:rPr>
                <w:rFonts w:hint="default" w:ascii="宋体" w:hAnsi="宋体" w:cs="宋体"/>
                <w:color w:val="auto"/>
                <w:kern w:val="0"/>
                <w:szCs w:val="21"/>
                <w:highlight w:val="none"/>
                <w:lang w:val="en-US"/>
              </w:rPr>
              <w:t>1</w:t>
            </w:r>
            <w:r>
              <w:rPr>
                <w:rFonts w:hint="eastAsia" w:ascii="宋体" w:hAnsi="宋体" w:cs="宋体"/>
                <w:color w:val="auto"/>
                <w:kern w:val="0"/>
                <w:szCs w:val="21"/>
                <w:highlight w:val="none"/>
              </w:rPr>
              <w:t>月1日施行）</w:t>
            </w:r>
          </w:p>
        </w:tc>
        <w:tc>
          <w:tcPr>
            <w:tcW w:w="1907" w:type="dxa"/>
            <w:noWrap w:val="0"/>
            <w:vAlign w:val="center"/>
          </w:tcPr>
          <w:p w14:paraId="43C76FA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14:paraId="2766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BE7860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7019" w:type="dxa"/>
            <w:noWrap w:val="0"/>
            <w:vAlign w:val="center"/>
          </w:tcPr>
          <w:p w14:paraId="3448590A">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《中华人民共和国安全生产法》(主席令</w:t>
            </w:r>
            <w:r>
              <w:rPr>
                <w:rFonts w:hint="eastAsia" w:ascii="宋体" w:hAnsi="宋体" w:cs="宋体"/>
                <w:color w:val="auto"/>
                <w:kern w:val="0"/>
                <w:szCs w:val="21"/>
                <w:highlight w:val="none"/>
                <w:lang w:val="en-US" w:eastAsia="zh-CN"/>
              </w:rPr>
              <w:t>第88</w:t>
            </w:r>
            <w:r>
              <w:rPr>
                <w:rFonts w:hint="eastAsia" w:ascii="宋体" w:hAnsi="宋体" w:cs="宋体"/>
                <w:color w:val="auto"/>
                <w:kern w:val="0"/>
                <w:szCs w:val="21"/>
                <w:highlight w:val="none"/>
              </w:rPr>
              <w:t>号，2021年9月1日施行)</w:t>
            </w:r>
          </w:p>
        </w:tc>
        <w:tc>
          <w:tcPr>
            <w:tcW w:w="1907" w:type="dxa"/>
            <w:noWrap w:val="0"/>
            <w:vAlign w:val="center"/>
          </w:tcPr>
          <w:p w14:paraId="4D45B7B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14:paraId="7B39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32FF61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7019" w:type="dxa"/>
            <w:noWrap w:val="0"/>
            <w:vAlign w:val="center"/>
          </w:tcPr>
          <w:p w14:paraId="64CFECC0">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《中华人民共和国招标投标法》(主席令第86号，2017年12月28日起施行)</w:t>
            </w:r>
          </w:p>
        </w:tc>
        <w:tc>
          <w:tcPr>
            <w:tcW w:w="1907" w:type="dxa"/>
            <w:noWrap w:val="0"/>
            <w:vAlign w:val="center"/>
          </w:tcPr>
          <w:p w14:paraId="6576091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14:paraId="1007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9FE4E7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7019" w:type="dxa"/>
            <w:noWrap w:val="0"/>
            <w:vAlign w:val="center"/>
          </w:tcPr>
          <w:p w14:paraId="113783A3">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《中华人民共和国环境保护法》（主席令</w:t>
            </w:r>
            <w:r>
              <w:rPr>
                <w:rFonts w:hint="eastAsia" w:ascii="宋体" w:hAnsi="宋体" w:cs="宋体"/>
                <w:color w:val="auto"/>
                <w:kern w:val="0"/>
                <w:szCs w:val="21"/>
                <w:highlight w:val="none"/>
                <w:lang w:val="en-US" w:eastAsia="zh-CN"/>
              </w:rPr>
              <w:t>第</w:t>
            </w:r>
            <w:r>
              <w:rPr>
                <w:rFonts w:hint="eastAsia" w:ascii="宋体" w:hAnsi="宋体" w:cs="宋体"/>
                <w:color w:val="auto"/>
                <w:kern w:val="0"/>
                <w:szCs w:val="21"/>
                <w:highlight w:val="none"/>
              </w:rPr>
              <w:t>9号，2015年1月1日实施）</w:t>
            </w:r>
          </w:p>
        </w:tc>
        <w:tc>
          <w:tcPr>
            <w:tcW w:w="1907" w:type="dxa"/>
            <w:noWrap w:val="0"/>
            <w:vAlign w:val="center"/>
          </w:tcPr>
          <w:p w14:paraId="235C22C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14:paraId="133A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389ADBD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7019" w:type="dxa"/>
            <w:noWrap w:val="0"/>
            <w:vAlign w:val="center"/>
          </w:tcPr>
          <w:p w14:paraId="4BC9DAB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《中华人民共和国电力法》（主席令第</w:t>
            </w:r>
            <w:r>
              <w:rPr>
                <w:rFonts w:hint="eastAsia" w:ascii="宋体" w:hAnsi="宋体" w:cs="宋体"/>
                <w:color w:val="auto"/>
                <w:kern w:val="0"/>
                <w:szCs w:val="21"/>
                <w:highlight w:val="none"/>
                <w:lang w:val="en-US" w:eastAsia="zh-CN"/>
              </w:rPr>
              <w:t>23</w:t>
            </w:r>
            <w:r>
              <w:rPr>
                <w:rFonts w:hint="eastAsia" w:ascii="宋体" w:hAnsi="宋体" w:cs="宋体"/>
                <w:color w:val="auto"/>
                <w:kern w:val="0"/>
                <w:szCs w:val="21"/>
                <w:highlight w:val="none"/>
              </w:rPr>
              <w:t>号,,第十三届全国人民代表大会常务委员会第七次会议第三次修订，2018年12月29日施行）</w:t>
            </w:r>
          </w:p>
        </w:tc>
        <w:tc>
          <w:tcPr>
            <w:tcW w:w="1907" w:type="dxa"/>
            <w:noWrap w:val="0"/>
            <w:vAlign w:val="center"/>
          </w:tcPr>
          <w:p w14:paraId="2F28D99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14:paraId="1F5D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DAE068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7019" w:type="dxa"/>
            <w:noWrap w:val="0"/>
            <w:vAlign w:val="center"/>
          </w:tcPr>
          <w:p w14:paraId="6B741A9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《中华人民共和国劳动法》（主席令第2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号，第十三届全国人民代表大会常务委员会第七次会议修订，2018年12月29日施行) </w:t>
            </w:r>
          </w:p>
        </w:tc>
        <w:tc>
          <w:tcPr>
            <w:tcW w:w="1907" w:type="dxa"/>
            <w:noWrap w:val="0"/>
            <w:vAlign w:val="center"/>
          </w:tcPr>
          <w:p w14:paraId="2BB9231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14:paraId="5BC9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2BB65C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7019" w:type="dxa"/>
            <w:noWrap w:val="0"/>
            <w:vAlign w:val="center"/>
          </w:tcPr>
          <w:p w14:paraId="23A34BE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《中华人民共和国劳动合同法》（主席令第73号，第十一届全国人民代表大会常务委员会第三十次会议修订2013年7月1日起施行) </w:t>
            </w:r>
          </w:p>
        </w:tc>
        <w:tc>
          <w:tcPr>
            <w:tcW w:w="1907" w:type="dxa"/>
            <w:noWrap w:val="0"/>
            <w:vAlign w:val="center"/>
          </w:tcPr>
          <w:p w14:paraId="59C1156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14:paraId="1CC6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1327E18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7019" w:type="dxa"/>
            <w:noWrap w:val="0"/>
            <w:vAlign w:val="center"/>
          </w:tcPr>
          <w:p w14:paraId="4DCA827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《中华人民共和国水土保持法》（主席令</w:t>
            </w:r>
            <w:r>
              <w:rPr>
                <w:rFonts w:hint="eastAsia" w:ascii="宋体" w:hAnsi="宋体" w:cs="宋体"/>
                <w:color w:val="auto"/>
                <w:kern w:val="0"/>
                <w:szCs w:val="21"/>
                <w:highlight w:val="none"/>
                <w:lang w:val="en-US" w:eastAsia="zh-CN"/>
              </w:rPr>
              <w:t>第</w:t>
            </w:r>
            <w:r>
              <w:rPr>
                <w:rFonts w:hint="eastAsia" w:ascii="宋体" w:hAnsi="宋体" w:cs="宋体"/>
                <w:color w:val="auto"/>
                <w:kern w:val="0"/>
                <w:szCs w:val="21"/>
                <w:highlight w:val="none"/>
              </w:rPr>
              <w:t>39号，2011年3月1日施行）</w:t>
            </w:r>
          </w:p>
        </w:tc>
        <w:tc>
          <w:tcPr>
            <w:tcW w:w="1907" w:type="dxa"/>
            <w:noWrap w:val="0"/>
            <w:vAlign w:val="center"/>
          </w:tcPr>
          <w:p w14:paraId="39F4C94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14:paraId="274F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3A0836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7019" w:type="dxa"/>
            <w:noWrap w:val="0"/>
            <w:vAlign w:val="center"/>
          </w:tcPr>
          <w:p w14:paraId="09CCAEC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《建设工程质量管理条例》（国务院令第279号，2000年1月30日发布，2019年修订，国务院令第714号，2019年4月23日施行）</w:t>
            </w:r>
          </w:p>
        </w:tc>
        <w:tc>
          <w:tcPr>
            <w:tcW w:w="1907" w:type="dxa"/>
            <w:noWrap w:val="0"/>
            <w:vAlign w:val="center"/>
          </w:tcPr>
          <w:p w14:paraId="5BDE5FA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14:paraId="170C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0452426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7019" w:type="dxa"/>
            <w:noWrap w:val="0"/>
            <w:vAlign w:val="center"/>
          </w:tcPr>
          <w:p w14:paraId="5D030CD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《建设工程安全生产管理条例》（国务院令第393号，2004年2月1日起施行）</w:t>
            </w:r>
          </w:p>
        </w:tc>
        <w:tc>
          <w:tcPr>
            <w:tcW w:w="1907" w:type="dxa"/>
            <w:noWrap w:val="0"/>
            <w:vAlign w:val="center"/>
          </w:tcPr>
          <w:p w14:paraId="3AD3B45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14:paraId="1BEF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14B6A16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7019" w:type="dxa"/>
            <w:noWrap w:val="0"/>
            <w:vAlign w:val="center"/>
          </w:tcPr>
          <w:p w14:paraId="7E9E619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《建设项目环境保护管理条例》（国务院令第253号，1998年11月29日发布，2017年修订，国务院令第682号,2017年10月1日施行）</w:t>
            </w:r>
          </w:p>
        </w:tc>
        <w:tc>
          <w:tcPr>
            <w:tcW w:w="1907" w:type="dxa"/>
            <w:noWrap w:val="0"/>
            <w:vAlign w:val="center"/>
          </w:tcPr>
          <w:p w14:paraId="0A74646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14:paraId="63AF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4C6AA92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7019" w:type="dxa"/>
            <w:noWrap w:val="0"/>
            <w:vAlign w:val="center"/>
          </w:tcPr>
          <w:p w14:paraId="6F0B328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《建设工程勘察设计管理条例》(国务院令第293号，2000年9月20日发布，2017年修订，国务院令第687号，2017年10月7日施行）</w:t>
            </w:r>
          </w:p>
        </w:tc>
        <w:tc>
          <w:tcPr>
            <w:tcW w:w="1907" w:type="dxa"/>
            <w:noWrap w:val="0"/>
            <w:vAlign w:val="center"/>
          </w:tcPr>
          <w:p w14:paraId="149EFBE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14:paraId="5D51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28E65D8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7019" w:type="dxa"/>
            <w:noWrap w:val="0"/>
            <w:vAlign w:val="center"/>
          </w:tcPr>
          <w:p w14:paraId="114D8DF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《生产安全事故报告和调查处理条例》(国务院令第493号，2007年6月1日施行)</w:t>
            </w:r>
          </w:p>
        </w:tc>
        <w:tc>
          <w:tcPr>
            <w:tcW w:w="1907" w:type="dxa"/>
            <w:noWrap w:val="0"/>
            <w:vAlign w:val="center"/>
          </w:tcPr>
          <w:p w14:paraId="17939A1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14:paraId="22BE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77EE59A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7019" w:type="dxa"/>
            <w:noWrap w:val="0"/>
            <w:vAlign w:val="center"/>
          </w:tcPr>
          <w:p w14:paraId="00638DD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《电力安全事故应急处置和调查处理条例》(国务院令第599号，2011年9月1日施行)</w:t>
            </w:r>
          </w:p>
        </w:tc>
        <w:tc>
          <w:tcPr>
            <w:tcW w:w="1907" w:type="dxa"/>
            <w:noWrap w:val="0"/>
            <w:vAlign w:val="center"/>
          </w:tcPr>
          <w:p w14:paraId="69EE347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14:paraId="05B1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5AB9D60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7019" w:type="dxa"/>
            <w:noWrap w:val="0"/>
            <w:vAlign w:val="center"/>
          </w:tcPr>
          <w:p w14:paraId="5B6E047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《中华人民共和国招标投标法实施条例》(国务院令第613号，2012年2月1日发布，2019年修订，国务院令第709号，2019年3月2日施行）</w:t>
            </w:r>
          </w:p>
        </w:tc>
        <w:tc>
          <w:tcPr>
            <w:tcW w:w="1907" w:type="dxa"/>
            <w:noWrap w:val="0"/>
            <w:vAlign w:val="center"/>
          </w:tcPr>
          <w:p w14:paraId="2CE57C7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14:paraId="575B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6D91690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7019" w:type="dxa"/>
            <w:noWrap w:val="0"/>
            <w:vAlign w:val="center"/>
          </w:tcPr>
          <w:p w14:paraId="3D99D0F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《中共中央纪委关于严格禁止利用职务上的便利谋取不正当利益的若干规定》(2007年6月8日发布)</w:t>
            </w:r>
          </w:p>
        </w:tc>
        <w:tc>
          <w:tcPr>
            <w:tcW w:w="1907" w:type="dxa"/>
            <w:noWrap w:val="0"/>
            <w:vAlign w:val="center"/>
          </w:tcPr>
          <w:p w14:paraId="2BAEB96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14:paraId="734E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1EDEC29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7019" w:type="dxa"/>
            <w:noWrap w:val="0"/>
            <w:vAlign w:val="center"/>
          </w:tcPr>
          <w:p w14:paraId="182BFDB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《国务院关于特大安全事故行政责任追究的规定》（国务院令第302号，2001年4月21日起施行)）</w:t>
            </w:r>
          </w:p>
        </w:tc>
        <w:tc>
          <w:tcPr>
            <w:tcW w:w="1907" w:type="dxa"/>
            <w:noWrap w:val="0"/>
            <w:vAlign w:val="center"/>
          </w:tcPr>
          <w:p w14:paraId="3CB5DAE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14:paraId="655F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46F1510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7019" w:type="dxa"/>
            <w:noWrap w:val="0"/>
            <w:vAlign w:val="center"/>
          </w:tcPr>
          <w:p w14:paraId="223779E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中华人民共和国固体废物污染环境防治法</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（主席令第23号，第十三届全国人民代表大会常务委员会第十七次会议修订，2020年9月1日施行）</w:t>
            </w:r>
          </w:p>
        </w:tc>
        <w:tc>
          <w:tcPr>
            <w:tcW w:w="1907" w:type="dxa"/>
            <w:noWrap w:val="0"/>
            <w:vAlign w:val="center"/>
          </w:tcPr>
          <w:p w14:paraId="2801AEC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14:paraId="6886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87C349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7019" w:type="dxa"/>
            <w:noWrap w:val="0"/>
            <w:vAlign w:val="center"/>
          </w:tcPr>
          <w:p w14:paraId="6D95B3F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中华人民共和国大气污染防治法</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（主席令第31号，第十三届全国人民代表大会常务委员会第六次会议修订，2018年10月26日施行）</w:t>
            </w:r>
          </w:p>
        </w:tc>
        <w:tc>
          <w:tcPr>
            <w:tcW w:w="1907" w:type="dxa"/>
            <w:noWrap w:val="0"/>
            <w:vAlign w:val="center"/>
          </w:tcPr>
          <w:p w14:paraId="7A7CD44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14:paraId="70FC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1CC5D9B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7019" w:type="dxa"/>
            <w:noWrap w:val="0"/>
            <w:vAlign w:val="center"/>
          </w:tcPr>
          <w:p w14:paraId="5C1FE61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中华人民共和国计量法</w:t>
            </w:r>
            <w:r>
              <w:rPr>
                <w:rFonts w:hint="eastAsia" w:ascii="宋体" w:hAnsi="宋体" w:cs="宋体"/>
                <w:color w:val="auto"/>
                <w:kern w:val="0"/>
                <w:szCs w:val="21"/>
                <w:highlight w:val="none"/>
                <w:lang w:eastAsia="zh-CN"/>
              </w:rPr>
              <w:t>》（主席令第26号，第十三届全国人民代表大会常务委员会第六次会议修订，2018年10月26日起施行</w:t>
            </w:r>
            <w:r>
              <w:rPr>
                <w:rFonts w:hint="eastAsia" w:ascii="宋体" w:hAnsi="宋体" w:cs="宋体"/>
                <w:color w:val="auto"/>
                <w:kern w:val="0"/>
                <w:szCs w:val="21"/>
                <w:highlight w:val="none"/>
              </w:rPr>
              <w:t>）</w:t>
            </w:r>
          </w:p>
        </w:tc>
        <w:tc>
          <w:tcPr>
            <w:tcW w:w="1907" w:type="dxa"/>
            <w:noWrap w:val="0"/>
            <w:vAlign w:val="center"/>
          </w:tcPr>
          <w:p w14:paraId="0913800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国家法律法规</w:t>
            </w:r>
          </w:p>
        </w:tc>
      </w:tr>
      <w:tr w14:paraId="09E9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1CC600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7019" w:type="dxa"/>
            <w:noWrap w:val="0"/>
            <w:vAlign w:val="center"/>
          </w:tcPr>
          <w:p w14:paraId="6AED657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《评标委员会和评标方法暂行规定》（七部委12号令）</w:t>
            </w:r>
          </w:p>
        </w:tc>
        <w:tc>
          <w:tcPr>
            <w:tcW w:w="1907" w:type="dxa"/>
            <w:noWrap w:val="0"/>
            <w:vAlign w:val="center"/>
          </w:tcPr>
          <w:p w14:paraId="05FC1AD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6ED7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576A11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7019" w:type="dxa"/>
            <w:noWrap w:val="0"/>
            <w:vAlign w:val="center"/>
          </w:tcPr>
          <w:p w14:paraId="6AB698A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《工程建设项目货物招标投标办法》（七部委27号令）</w:t>
            </w:r>
          </w:p>
        </w:tc>
        <w:tc>
          <w:tcPr>
            <w:tcW w:w="1907" w:type="dxa"/>
            <w:noWrap w:val="0"/>
            <w:vAlign w:val="center"/>
          </w:tcPr>
          <w:p w14:paraId="557413D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6072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134B56E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7019" w:type="dxa"/>
            <w:noWrap w:val="0"/>
            <w:vAlign w:val="center"/>
          </w:tcPr>
          <w:p w14:paraId="43ACA2F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《工程建设项目施工招标投标办法》（七部委30号令，九部委23号令修订，2013年5月1日施行）</w:t>
            </w:r>
          </w:p>
        </w:tc>
        <w:tc>
          <w:tcPr>
            <w:tcW w:w="1907" w:type="dxa"/>
            <w:noWrap w:val="0"/>
            <w:vAlign w:val="center"/>
          </w:tcPr>
          <w:p w14:paraId="5B00A98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0891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102B010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7019" w:type="dxa"/>
            <w:noWrap w:val="0"/>
            <w:vAlign w:val="center"/>
          </w:tcPr>
          <w:p w14:paraId="7FBD6AD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《工程建设项目勘察设计招标投标办法》（八部委2号令，九部委23号令修订，2013年5月1日施行）</w:t>
            </w:r>
          </w:p>
        </w:tc>
        <w:tc>
          <w:tcPr>
            <w:tcW w:w="1907" w:type="dxa"/>
            <w:noWrap w:val="0"/>
            <w:vAlign w:val="center"/>
          </w:tcPr>
          <w:p w14:paraId="442039A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387F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320FC6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7019" w:type="dxa"/>
            <w:noWrap w:val="0"/>
            <w:vAlign w:val="center"/>
          </w:tcPr>
          <w:p w14:paraId="7471DE8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《关于废止和修改部分招标投标规章和规范性文件的决定》（九部委第23号令）</w:t>
            </w:r>
          </w:p>
        </w:tc>
        <w:tc>
          <w:tcPr>
            <w:tcW w:w="1907" w:type="dxa"/>
            <w:noWrap w:val="0"/>
            <w:vAlign w:val="center"/>
          </w:tcPr>
          <w:p w14:paraId="1948099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267E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1E78C72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w:t>
            </w:r>
          </w:p>
        </w:tc>
        <w:tc>
          <w:tcPr>
            <w:tcW w:w="7019" w:type="dxa"/>
            <w:noWrap w:val="0"/>
            <w:vAlign w:val="center"/>
          </w:tcPr>
          <w:p w14:paraId="13EC008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《电子招标投标办法》（八部委20号令）</w:t>
            </w:r>
          </w:p>
        </w:tc>
        <w:tc>
          <w:tcPr>
            <w:tcW w:w="1907" w:type="dxa"/>
            <w:noWrap w:val="0"/>
            <w:vAlign w:val="center"/>
          </w:tcPr>
          <w:p w14:paraId="52B6A16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7CCC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311625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28</w:t>
            </w:r>
          </w:p>
        </w:tc>
        <w:tc>
          <w:tcPr>
            <w:tcW w:w="7019" w:type="dxa"/>
            <w:noWrap w:val="0"/>
            <w:vAlign w:val="center"/>
          </w:tcPr>
          <w:p w14:paraId="008520F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《电力建设工程施工安全监督管理办法》（国家发展和改革委员会令第28号）</w:t>
            </w:r>
          </w:p>
        </w:tc>
        <w:tc>
          <w:tcPr>
            <w:tcW w:w="1907" w:type="dxa"/>
            <w:noWrap w:val="0"/>
            <w:vAlign w:val="center"/>
          </w:tcPr>
          <w:p w14:paraId="6C5C7F9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0E4D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7E51A1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29</w:t>
            </w:r>
          </w:p>
        </w:tc>
        <w:tc>
          <w:tcPr>
            <w:tcW w:w="7019" w:type="dxa"/>
            <w:noWrap w:val="0"/>
            <w:vAlign w:val="center"/>
          </w:tcPr>
          <w:p w14:paraId="2888C8D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《建筑业企业资质管理规定》（住建部令第22号,2015年3月1日起发布，2018年修订，住建部令第45号，2018年12月22日施行）</w:t>
            </w:r>
          </w:p>
        </w:tc>
        <w:tc>
          <w:tcPr>
            <w:tcW w:w="1907" w:type="dxa"/>
            <w:noWrap w:val="0"/>
            <w:vAlign w:val="center"/>
          </w:tcPr>
          <w:p w14:paraId="417A785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0AFF6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498C68D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w:t>
            </w:r>
          </w:p>
        </w:tc>
        <w:tc>
          <w:tcPr>
            <w:tcW w:w="7019" w:type="dxa"/>
            <w:noWrap w:val="0"/>
            <w:vAlign w:val="center"/>
          </w:tcPr>
          <w:p w14:paraId="3BF4EC2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《房屋建筑工程和市政基础设施工程实行见证取样和送检的规定》(建建[2000]211号)</w:t>
            </w:r>
          </w:p>
        </w:tc>
        <w:tc>
          <w:tcPr>
            <w:tcW w:w="1907" w:type="dxa"/>
            <w:noWrap w:val="0"/>
            <w:vAlign w:val="center"/>
          </w:tcPr>
          <w:p w14:paraId="6B12915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3DD4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149D73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c>
          <w:tcPr>
            <w:tcW w:w="7019" w:type="dxa"/>
            <w:noWrap w:val="0"/>
            <w:vAlign w:val="center"/>
          </w:tcPr>
          <w:p w14:paraId="4DE7101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《施工总承包企业特级资质标准》（建市[2007]72号）</w:t>
            </w:r>
          </w:p>
        </w:tc>
        <w:tc>
          <w:tcPr>
            <w:tcW w:w="1907" w:type="dxa"/>
            <w:noWrap w:val="0"/>
            <w:vAlign w:val="center"/>
          </w:tcPr>
          <w:p w14:paraId="2CADDF9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4BD0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1F57477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32</w:t>
            </w:r>
          </w:p>
        </w:tc>
        <w:tc>
          <w:tcPr>
            <w:tcW w:w="7019" w:type="dxa"/>
            <w:noWrap w:val="0"/>
            <w:vAlign w:val="center"/>
          </w:tcPr>
          <w:p w14:paraId="34340D1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《关于进一步加强和完善建筑劳务管理工作的指导意见》（建市[2014]112号）</w:t>
            </w:r>
          </w:p>
        </w:tc>
        <w:tc>
          <w:tcPr>
            <w:tcW w:w="1907" w:type="dxa"/>
            <w:noWrap w:val="0"/>
            <w:vAlign w:val="center"/>
          </w:tcPr>
          <w:p w14:paraId="1731861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174E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60EF870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33</w:t>
            </w:r>
          </w:p>
        </w:tc>
        <w:tc>
          <w:tcPr>
            <w:tcW w:w="7019" w:type="dxa"/>
            <w:noWrap w:val="0"/>
            <w:vAlign w:val="center"/>
          </w:tcPr>
          <w:p w14:paraId="7FEBC0E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《建筑工程施工发包与承包违法行为认定查处管理办法》（建市规〔2019〕1号）</w:t>
            </w:r>
          </w:p>
        </w:tc>
        <w:tc>
          <w:tcPr>
            <w:tcW w:w="1907" w:type="dxa"/>
            <w:noWrap w:val="0"/>
            <w:vAlign w:val="center"/>
          </w:tcPr>
          <w:p w14:paraId="5CBADDD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32C6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19FE0F6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34</w:t>
            </w:r>
          </w:p>
        </w:tc>
        <w:tc>
          <w:tcPr>
            <w:tcW w:w="7019" w:type="dxa"/>
            <w:noWrap w:val="0"/>
            <w:vAlign w:val="center"/>
          </w:tcPr>
          <w:p w14:paraId="5534564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《建筑业企业资质标准》（建市(2014)159号，建市(2016)226号修改，2016年11月1日施行）</w:t>
            </w:r>
          </w:p>
        </w:tc>
        <w:tc>
          <w:tcPr>
            <w:tcW w:w="1907" w:type="dxa"/>
            <w:noWrap w:val="0"/>
            <w:vAlign w:val="center"/>
          </w:tcPr>
          <w:p w14:paraId="2EE5CD7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2BEE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51EB86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35</w:t>
            </w:r>
          </w:p>
        </w:tc>
        <w:tc>
          <w:tcPr>
            <w:tcW w:w="7019" w:type="dxa"/>
            <w:noWrap w:val="0"/>
            <w:vAlign w:val="center"/>
          </w:tcPr>
          <w:p w14:paraId="1F420A3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《建设单位项目负责人质量安全责任八项规定（试行）》及《建筑工程项目总监理工程师质量安全责任六项规定（试行）》(建市[2015]35号)</w:t>
            </w:r>
          </w:p>
        </w:tc>
        <w:tc>
          <w:tcPr>
            <w:tcW w:w="1907" w:type="dxa"/>
            <w:noWrap w:val="0"/>
            <w:vAlign w:val="center"/>
          </w:tcPr>
          <w:p w14:paraId="31CABFA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005C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B361CB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36</w:t>
            </w:r>
          </w:p>
        </w:tc>
        <w:tc>
          <w:tcPr>
            <w:tcW w:w="7019" w:type="dxa"/>
            <w:noWrap w:val="0"/>
            <w:vAlign w:val="center"/>
          </w:tcPr>
          <w:p w14:paraId="5D3D4BB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《建设部关于加强建筑意外伤害保险工作的指导意见》（建质[2003]107号）</w:t>
            </w:r>
          </w:p>
        </w:tc>
        <w:tc>
          <w:tcPr>
            <w:tcW w:w="1907" w:type="dxa"/>
            <w:noWrap w:val="0"/>
            <w:vAlign w:val="center"/>
          </w:tcPr>
          <w:p w14:paraId="6B4F5B5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0904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653EE47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37</w:t>
            </w:r>
          </w:p>
        </w:tc>
        <w:tc>
          <w:tcPr>
            <w:tcW w:w="7019" w:type="dxa"/>
            <w:noWrap w:val="0"/>
            <w:vAlign w:val="center"/>
          </w:tcPr>
          <w:p w14:paraId="53E3C2B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《建设工程质量责任主体和有关机构不良记录管理办法》（试行）（建质[2003]113号）</w:t>
            </w:r>
          </w:p>
        </w:tc>
        <w:tc>
          <w:tcPr>
            <w:tcW w:w="1907" w:type="dxa"/>
            <w:noWrap w:val="0"/>
            <w:vAlign w:val="center"/>
          </w:tcPr>
          <w:p w14:paraId="77C145B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46E3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446A110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38</w:t>
            </w:r>
          </w:p>
        </w:tc>
        <w:tc>
          <w:tcPr>
            <w:tcW w:w="7019" w:type="dxa"/>
            <w:noWrap w:val="0"/>
            <w:vAlign w:val="center"/>
          </w:tcPr>
          <w:p w14:paraId="0D15B86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《建筑施工人员个人劳动保护用品使用管理暂行规定》（建质[2007]255号）</w:t>
            </w:r>
          </w:p>
        </w:tc>
        <w:tc>
          <w:tcPr>
            <w:tcW w:w="1907" w:type="dxa"/>
            <w:noWrap w:val="0"/>
            <w:vAlign w:val="center"/>
          </w:tcPr>
          <w:p w14:paraId="17541AA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5D22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3DAF4E6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39</w:t>
            </w:r>
          </w:p>
        </w:tc>
        <w:tc>
          <w:tcPr>
            <w:tcW w:w="7019" w:type="dxa"/>
            <w:noWrap w:val="0"/>
            <w:vAlign w:val="center"/>
          </w:tcPr>
          <w:p w14:paraId="38ACF7F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《建筑施工特种作业人员管理规定》(建质[2008]75号)</w:t>
            </w:r>
          </w:p>
        </w:tc>
        <w:tc>
          <w:tcPr>
            <w:tcW w:w="1907" w:type="dxa"/>
            <w:noWrap w:val="0"/>
            <w:vAlign w:val="center"/>
          </w:tcPr>
          <w:p w14:paraId="335DE4C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75A4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6C0EFDF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40</w:t>
            </w:r>
          </w:p>
        </w:tc>
        <w:tc>
          <w:tcPr>
            <w:tcW w:w="7019" w:type="dxa"/>
            <w:noWrap w:val="0"/>
            <w:vAlign w:val="center"/>
          </w:tcPr>
          <w:p w14:paraId="668D268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《建筑施工企业安全生产管理机构设置及专职安全生产管理人员配备办法》（建质[2008]91号）</w:t>
            </w:r>
          </w:p>
        </w:tc>
        <w:tc>
          <w:tcPr>
            <w:tcW w:w="1907" w:type="dxa"/>
            <w:noWrap w:val="0"/>
            <w:vAlign w:val="center"/>
          </w:tcPr>
          <w:p w14:paraId="291B561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4CBC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793CF9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41</w:t>
            </w:r>
          </w:p>
        </w:tc>
        <w:tc>
          <w:tcPr>
            <w:tcW w:w="7019" w:type="dxa"/>
            <w:noWrap w:val="0"/>
            <w:vAlign w:val="center"/>
          </w:tcPr>
          <w:p w14:paraId="558F54C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《建筑施工企业负责人及项目负责人施工现场带班暂行办法》(建质[2011]111号)</w:t>
            </w:r>
          </w:p>
        </w:tc>
        <w:tc>
          <w:tcPr>
            <w:tcW w:w="1907" w:type="dxa"/>
            <w:noWrap w:val="0"/>
            <w:vAlign w:val="center"/>
          </w:tcPr>
          <w:p w14:paraId="158114E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2F32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E6CEEE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42</w:t>
            </w:r>
          </w:p>
        </w:tc>
        <w:tc>
          <w:tcPr>
            <w:tcW w:w="7019" w:type="dxa"/>
            <w:noWrap w:val="0"/>
            <w:vAlign w:val="center"/>
          </w:tcPr>
          <w:p w14:paraId="64AF4F0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《房屋建筑和市政基础设施工程竣工验收规定》（建质[2013]171号）</w:t>
            </w:r>
          </w:p>
        </w:tc>
        <w:tc>
          <w:tcPr>
            <w:tcW w:w="1907" w:type="dxa"/>
            <w:noWrap w:val="0"/>
            <w:vAlign w:val="center"/>
          </w:tcPr>
          <w:p w14:paraId="5B61D87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7A9C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36DC898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43</w:t>
            </w:r>
          </w:p>
        </w:tc>
        <w:tc>
          <w:tcPr>
            <w:tcW w:w="7019" w:type="dxa"/>
            <w:noWrap w:val="0"/>
            <w:vAlign w:val="center"/>
          </w:tcPr>
          <w:p w14:paraId="256B189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《建筑施工安全生产标准化考评暂行办法》（建质[2014]111号）</w:t>
            </w:r>
          </w:p>
        </w:tc>
        <w:tc>
          <w:tcPr>
            <w:tcW w:w="1907" w:type="dxa"/>
            <w:noWrap w:val="0"/>
            <w:vAlign w:val="center"/>
          </w:tcPr>
          <w:p w14:paraId="21BB840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6797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5938053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44</w:t>
            </w:r>
          </w:p>
        </w:tc>
        <w:tc>
          <w:tcPr>
            <w:tcW w:w="7019" w:type="dxa"/>
            <w:noWrap w:val="0"/>
            <w:vAlign w:val="center"/>
          </w:tcPr>
          <w:p w14:paraId="1D114F5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《建筑施工项目经理质量安全责任十项规定（试行）》（建质[2014]123号）</w:t>
            </w:r>
          </w:p>
        </w:tc>
        <w:tc>
          <w:tcPr>
            <w:tcW w:w="1907" w:type="dxa"/>
            <w:noWrap w:val="0"/>
            <w:vAlign w:val="center"/>
          </w:tcPr>
          <w:p w14:paraId="16DBF87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0FC1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925FE1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45</w:t>
            </w:r>
          </w:p>
        </w:tc>
        <w:tc>
          <w:tcPr>
            <w:tcW w:w="7019" w:type="dxa"/>
            <w:noWrap w:val="0"/>
            <w:vAlign w:val="center"/>
          </w:tcPr>
          <w:p w14:paraId="16E3286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《建筑工程五方责任主体项目负责人质量终身责任追究暂行办法》（建质[2014]124号）</w:t>
            </w:r>
          </w:p>
        </w:tc>
        <w:tc>
          <w:tcPr>
            <w:tcW w:w="1907" w:type="dxa"/>
            <w:noWrap w:val="0"/>
            <w:vAlign w:val="center"/>
          </w:tcPr>
          <w:p w14:paraId="0E327AE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7B71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DB123F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46</w:t>
            </w:r>
          </w:p>
        </w:tc>
        <w:tc>
          <w:tcPr>
            <w:tcW w:w="7019" w:type="dxa"/>
            <w:noWrap w:val="0"/>
            <w:vAlign w:val="center"/>
          </w:tcPr>
          <w:p w14:paraId="0864BBC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《房屋建筑和市政基础设施工程施工安全监督规定》（建质[2014]153号）</w:t>
            </w:r>
          </w:p>
        </w:tc>
        <w:tc>
          <w:tcPr>
            <w:tcW w:w="1907" w:type="dxa"/>
            <w:noWrap w:val="0"/>
            <w:vAlign w:val="center"/>
          </w:tcPr>
          <w:p w14:paraId="5D1A15F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4B3D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38DE516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47</w:t>
            </w:r>
          </w:p>
        </w:tc>
        <w:tc>
          <w:tcPr>
            <w:tcW w:w="7019" w:type="dxa"/>
            <w:noWrap w:val="0"/>
            <w:vAlign w:val="center"/>
          </w:tcPr>
          <w:p w14:paraId="093D5D0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《房屋建筑和市政基础设施工程施工安全监督工作规程》（建质[2014]154号）</w:t>
            </w:r>
          </w:p>
        </w:tc>
        <w:tc>
          <w:tcPr>
            <w:tcW w:w="1907" w:type="dxa"/>
            <w:noWrap w:val="0"/>
            <w:vAlign w:val="center"/>
          </w:tcPr>
          <w:p w14:paraId="06CC4AD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3D77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435A79B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48</w:t>
            </w:r>
          </w:p>
        </w:tc>
        <w:tc>
          <w:tcPr>
            <w:tcW w:w="7019" w:type="dxa"/>
            <w:noWrap w:val="0"/>
            <w:vAlign w:val="center"/>
          </w:tcPr>
          <w:p w14:paraId="2533E3D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《关于严格落实建筑工程质量终身责任承诺制的通知》（建办质[2014]44号）</w:t>
            </w:r>
          </w:p>
        </w:tc>
        <w:tc>
          <w:tcPr>
            <w:tcW w:w="1907" w:type="dxa"/>
            <w:noWrap w:val="0"/>
            <w:vAlign w:val="center"/>
          </w:tcPr>
          <w:p w14:paraId="730EF7F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7445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5CEF1C0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49</w:t>
            </w:r>
          </w:p>
        </w:tc>
        <w:tc>
          <w:tcPr>
            <w:tcW w:w="7019" w:type="dxa"/>
            <w:noWrap w:val="0"/>
            <w:vAlign w:val="center"/>
          </w:tcPr>
          <w:p w14:paraId="1D11E8B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《房屋建筑工程质量保修办法》(建设部令,第80号)</w:t>
            </w:r>
          </w:p>
        </w:tc>
        <w:tc>
          <w:tcPr>
            <w:tcW w:w="1907" w:type="dxa"/>
            <w:noWrap w:val="0"/>
            <w:vAlign w:val="center"/>
          </w:tcPr>
          <w:p w14:paraId="2A6897C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75E6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7E2760E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w:t>
            </w:r>
          </w:p>
        </w:tc>
        <w:tc>
          <w:tcPr>
            <w:tcW w:w="7019" w:type="dxa"/>
            <w:noWrap w:val="0"/>
            <w:vAlign w:val="center"/>
          </w:tcPr>
          <w:p w14:paraId="7BCFC2F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《国家优质工程奖评选办法》（中施企协字〔20</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54</w:t>
            </w:r>
            <w:r>
              <w:rPr>
                <w:rFonts w:hint="eastAsia" w:ascii="宋体" w:hAnsi="宋体" w:cs="宋体"/>
                <w:color w:val="auto"/>
                <w:kern w:val="0"/>
                <w:szCs w:val="21"/>
                <w:highlight w:val="none"/>
              </w:rPr>
              <w:t>号）</w:t>
            </w:r>
          </w:p>
        </w:tc>
        <w:tc>
          <w:tcPr>
            <w:tcW w:w="1907" w:type="dxa"/>
            <w:noWrap w:val="0"/>
            <w:vAlign w:val="center"/>
          </w:tcPr>
          <w:p w14:paraId="65497DD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782E3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306B23C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51</w:t>
            </w:r>
          </w:p>
        </w:tc>
        <w:tc>
          <w:tcPr>
            <w:tcW w:w="7019" w:type="dxa"/>
            <w:noWrap w:val="0"/>
            <w:vAlign w:val="center"/>
          </w:tcPr>
          <w:p w14:paraId="3CCE84C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《实施工程建设强制性标准监督规定》(房和城乡建设部令第52号）</w:t>
            </w:r>
          </w:p>
        </w:tc>
        <w:tc>
          <w:tcPr>
            <w:tcW w:w="1907" w:type="dxa"/>
            <w:noWrap w:val="0"/>
            <w:vAlign w:val="center"/>
          </w:tcPr>
          <w:p w14:paraId="5BB534C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3CB9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01E9A7A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52</w:t>
            </w:r>
          </w:p>
        </w:tc>
        <w:tc>
          <w:tcPr>
            <w:tcW w:w="7019" w:type="dxa"/>
            <w:noWrap w:val="0"/>
            <w:vAlign w:val="center"/>
          </w:tcPr>
          <w:p w14:paraId="2BA80A5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《建设工程勘察设计资质管理规定》（建设部令第160号，住建部令第45号修改，2018年12月22日施行）</w:t>
            </w:r>
          </w:p>
        </w:tc>
        <w:tc>
          <w:tcPr>
            <w:tcW w:w="1907" w:type="dxa"/>
            <w:noWrap w:val="0"/>
            <w:vAlign w:val="center"/>
          </w:tcPr>
          <w:p w14:paraId="43AA9EE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73C0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4905CCA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53</w:t>
            </w:r>
          </w:p>
        </w:tc>
        <w:tc>
          <w:tcPr>
            <w:tcW w:w="7019" w:type="dxa"/>
            <w:noWrap w:val="0"/>
            <w:vAlign w:val="center"/>
          </w:tcPr>
          <w:p w14:paraId="22DDCAB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《工程监理企业资质管理规定》（建设部令第158号，住建部令第45号修改，2018年12月22日施行）</w:t>
            </w:r>
          </w:p>
        </w:tc>
        <w:tc>
          <w:tcPr>
            <w:tcW w:w="1907" w:type="dxa"/>
            <w:noWrap w:val="0"/>
            <w:vAlign w:val="center"/>
          </w:tcPr>
          <w:p w14:paraId="3094E22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7E86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A02A86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54</w:t>
            </w:r>
          </w:p>
        </w:tc>
        <w:tc>
          <w:tcPr>
            <w:tcW w:w="7019" w:type="dxa"/>
            <w:noWrap w:val="0"/>
            <w:vAlign w:val="center"/>
          </w:tcPr>
          <w:p w14:paraId="18866D9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《国家能源局综合司关于开展电力建设工程落实施工方案专项行动的通知》国能综安全［2015］163 号</w:t>
            </w:r>
          </w:p>
        </w:tc>
        <w:tc>
          <w:tcPr>
            <w:tcW w:w="1907" w:type="dxa"/>
            <w:noWrap w:val="0"/>
            <w:vAlign w:val="center"/>
          </w:tcPr>
          <w:p w14:paraId="1C5FBAB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4024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8B6593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55</w:t>
            </w:r>
          </w:p>
        </w:tc>
        <w:tc>
          <w:tcPr>
            <w:tcW w:w="7019" w:type="dxa"/>
            <w:noWrap w:val="0"/>
            <w:vAlign w:val="center"/>
          </w:tcPr>
          <w:p w14:paraId="40C77E0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《国家能源局关于加强电力工程质量监督工作的通知》（国能安全﹙2014）206号）</w:t>
            </w:r>
          </w:p>
        </w:tc>
        <w:tc>
          <w:tcPr>
            <w:tcW w:w="1907" w:type="dxa"/>
            <w:noWrap w:val="0"/>
            <w:vAlign w:val="center"/>
          </w:tcPr>
          <w:p w14:paraId="23F993B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557D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4DE085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56</w:t>
            </w:r>
          </w:p>
        </w:tc>
        <w:tc>
          <w:tcPr>
            <w:tcW w:w="7019" w:type="dxa"/>
            <w:noWrap w:val="0"/>
            <w:vAlign w:val="center"/>
          </w:tcPr>
          <w:p w14:paraId="13DD305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《国家能源局关于修订印发火力发电、输变电、陆上风力发电、光伏发电建设工程质量监督检查大纲的通知(2023) 》（国能发安全规〔2023〕41号）</w:t>
            </w:r>
          </w:p>
        </w:tc>
        <w:tc>
          <w:tcPr>
            <w:tcW w:w="1907" w:type="dxa"/>
            <w:noWrap w:val="0"/>
            <w:vAlign w:val="center"/>
          </w:tcPr>
          <w:p w14:paraId="68C45EE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25A9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05E36E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57</w:t>
            </w:r>
          </w:p>
        </w:tc>
        <w:tc>
          <w:tcPr>
            <w:tcW w:w="7019" w:type="dxa"/>
            <w:noWrap w:val="0"/>
            <w:vAlign w:val="center"/>
          </w:tcPr>
          <w:p w14:paraId="3124F29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《国家能源局关于印发电力工程质量监督体系调整方案的通知》（国能电力（2012）306号）</w:t>
            </w:r>
          </w:p>
        </w:tc>
        <w:tc>
          <w:tcPr>
            <w:tcW w:w="1907" w:type="dxa"/>
            <w:noWrap w:val="0"/>
            <w:vAlign w:val="center"/>
          </w:tcPr>
          <w:p w14:paraId="4F71E56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4FBD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EEE02F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58</w:t>
            </w:r>
          </w:p>
        </w:tc>
        <w:tc>
          <w:tcPr>
            <w:tcW w:w="7019" w:type="dxa"/>
            <w:noWrap w:val="0"/>
            <w:vAlign w:val="center"/>
          </w:tcPr>
          <w:p w14:paraId="48A70BC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关于印发《电力工程质量监督实施管理程序（试行）》的通知(中电联质监〔2012〕437号)</w:t>
            </w:r>
          </w:p>
        </w:tc>
        <w:tc>
          <w:tcPr>
            <w:tcW w:w="1907" w:type="dxa"/>
            <w:noWrap w:val="0"/>
            <w:vAlign w:val="center"/>
          </w:tcPr>
          <w:p w14:paraId="4ADC102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1C7C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2402001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59</w:t>
            </w:r>
          </w:p>
        </w:tc>
        <w:tc>
          <w:tcPr>
            <w:tcW w:w="7019" w:type="dxa"/>
            <w:noWrap w:val="0"/>
            <w:vAlign w:val="center"/>
          </w:tcPr>
          <w:p w14:paraId="0B45287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《特种作业人员安全技术培训考核管理规定》(国家安全监督总局第80号令修订，2015年7月1日实施)</w:t>
            </w:r>
          </w:p>
        </w:tc>
        <w:tc>
          <w:tcPr>
            <w:tcW w:w="1907" w:type="dxa"/>
            <w:noWrap w:val="0"/>
            <w:vAlign w:val="center"/>
          </w:tcPr>
          <w:p w14:paraId="111A883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138B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5067DB4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60</w:t>
            </w:r>
          </w:p>
        </w:tc>
        <w:tc>
          <w:tcPr>
            <w:tcW w:w="7019" w:type="dxa"/>
            <w:noWrap w:val="0"/>
            <w:vAlign w:val="center"/>
          </w:tcPr>
          <w:p w14:paraId="3D79E9C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《企业安全生产应急管理九条规定》(国家安全监督总局第74号令，2015年1月30日实施)</w:t>
            </w:r>
          </w:p>
        </w:tc>
        <w:tc>
          <w:tcPr>
            <w:tcW w:w="1907" w:type="dxa"/>
            <w:noWrap w:val="0"/>
            <w:vAlign w:val="center"/>
          </w:tcPr>
          <w:p w14:paraId="516D41A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7015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1D2A1C9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61</w:t>
            </w:r>
          </w:p>
        </w:tc>
        <w:tc>
          <w:tcPr>
            <w:tcW w:w="7019" w:type="dxa"/>
            <w:noWrap w:val="0"/>
            <w:vAlign w:val="center"/>
          </w:tcPr>
          <w:p w14:paraId="32FB555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《防止电力生产事故的二十五项重点要求</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2023年版</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》（国能安全[20</w:t>
            </w:r>
            <w:r>
              <w:rPr>
                <w:rFonts w:hint="eastAsia" w:ascii="宋体" w:hAnsi="宋体" w:cs="宋体"/>
                <w:color w:val="auto"/>
                <w:kern w:val="0"/>
                <w:szCs w:val="21"/>
                <w:highlight w:val="none"/>
                <w:lang w:val="en-US" w:eastAsia="zh-CN"/>
              </w:rPr>
              <w:t>23</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22</w:t>
            </w:r>
            <w:r>
              <w:rPr>
                <w:rFonts w:hint="eastAsia" w:ascii="宋体" w:hAnsi="宋体" w:cs="宋体"/>
                <w:color w:val="auto"/>
                <w:kern w:val="0"/>
                <w:szCs w:val="21"/>
                <w:highlight w:val="none"/>
              </w:rPr>
              <w:t>号）</w:t>
            </w:r>
          </w:p>
        </w:tc>
        <w:tc>
          <w:tcPr>
            <w:tcW w:w="1907" w:type="dxa"/>
            <w:noWrap w:val="0"/>
            <w:vAlign w:val="center"/>
          </w:tcPr>
          <w:p w14:paraId="3325DD7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5898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3E9190E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62</w:t>
            </w:r>
          </w:p>
        </w:tc>
        <w:tc>
          <w:tcPr>
            <w:tcW w:w="7019" w:type="dxa"/>
            <w:noWrap w:val="0"/>
            <w:vAlign w:val="center"/>
          </w:tcPr>
          <w:p w14:paraId="4BA0122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《国家电力监管委员会令》（第5号）--《电力二次系统安全防护规定》</w:t>
            </w:r>
          </w:p>
        </w:tc>
        <w:tc>
          <w:tcPr>
            <w:tcW w:w="1907" w:type="dxa"/>
            <w:noWrap w:val="0"/>
            <w:vAlign w:val="center"/>
          </w:tcPr>
          <w:p w14:paraId="618DB20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54DC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609FC23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63</w:t>
            </w:r>
          </w:p>
        </w:tc>
        <w:tc>
          <w:tcPr>
            <w:tcW w:w="7019" w:type="dxa"/>
            <w:noWrap w:val="0"/>
            <w:vAlign w:val="center"/>
          </w:tcPr>
          <w:p w14:paraId="7032C9C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《承装（修、试）电力设施许可证管理办法》（国家发展和改革委员会令第36号）</w:t>
            </w:r>
          </w:p>
        </w:tc>
        <w:tc>
          <w:tcPr>
            <w:tcW w:w="1907" w:type="dxa"/>
            <w:noWrap w:val="0"/>
            <w:vAlign w:val="center"/>
          </w:tcPr>
          <w:p w14:paraId="60ADE91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6EB4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20E97C4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64</w:t>
            </w:r>
          </w:p>
        </w:tc>
        <w:tc>
          <w:tcPr>
            <w:tcW w:w="7019" w:type="dxa"/>
            <w:noWrap w:val="0"/>
            <w:vAlign w:val="center"/>
          </w:tcPr>
          <w:p w14:paraId="6AEEE53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《危险性较大的分部分项工程安全管理规定》(中华人民共和国住房和城乡建设部令第37号，建设部令第47号修改，2019年3月13日施行)</w:t>
            </w:r>
          </w:p>
        </w:tc>
        <w:tc>
          <w:tcPr>
            <w:tcW w:w="1907" w:type="dxa"/>
            <w:noWrap w:val="0"/>
            <w:vAlign w:val="center"/>
          </w:tcPr>
          <w:p w14:paraId="1D7F806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64EB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2F04F5F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65</w:t>
            </w:r>
          </w:p>
        </w:tc>
        <w:tc>
          <w:tcPr>
            <w:tcW w:w="7019" w:type="dxa"/>
            <w:noWrap w:val="0"/>
            <w:vAlign w:val="center"/>
          </w:tcPr>
          <w:p w14:paraId="2956A3F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必须招标的工程项目规定</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（国家发展和改革委员会令第16号）</w:t>
            </w:r>
          </w:p>
        </w:tc>
        <w:tc>
          <w:tcPr>
            <w:tcW w:w="1907" w:type="dxa"/>
            <w:noWrap w:val="0"/>
            <w:vAlign w:val="center"/>
          </w:tcPr>
          <w:p w14:paraId="1A93B53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15B3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A4D7F2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66</w:t>
            </w:r>
          </w:p>
        </w:tc>
        <w:tc>
          <w:tcPr>
            <w:tcW w:w="7019" w:type="dxa"/>
            <w:noWrap w:val="0"/>
            <w:vAlign w:val="center"/>
          </w:tcPr>
          <w:p w14:paraId="2E48453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必须招标的基础设施和公用事业项目范围规定</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（发改法规规[2018]843号）</w:t>
            </w:r>
          </w:p>
        </w:tc>
        <w:tc>
          <w:tcPr>
            <w:tcW w:w="1907" w:type="dxa"/>
            <w:noWrap w:val="0"/>
            <w:vAlign w:val="center"/>
          </w:tcPr>
          <w:p w14:paraId="3DFFE99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53C0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1E3AF5D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67</w:t>
            </w:r>
          </w:p>
        </w:tc>
        <w:tc>
          <w:tcPr>
            <w:tcW w:w="7019" w:type="dxa"/>
            <w:noWrap w:val="0"/>
            <w:vAlign w:val="center"/>
          </w:tcPr>
          <w:p w14:paraId="5DD10D8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招标公告和公示信息发布管理办法</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（国家发展和改革委员会令第10号）</w:t>
            </w:r>
          </w:p>
        </w:tc>
        <w:tc>
          <w:tcPr>
            <w:tcW w:w="1907" w:type="dxa"/>
            <w:noWrap w:val="0"/>
            <w:vAlign w:val="center"/>
          </w:tcPr>
          <w:p w14:paraId="5BB3B65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部委法规</w:t>
            </w:r>
          </w:p>
        </w:tc>
      </w:tr>
      <w:tr w14:paraId="6169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60" w:type="dxa"/>
            <w:noWrap w:val="0"/>
            <w:vAlign w:val="center"/>
          </w:tcPr>
          <w:p w14:paraId="5C945FCF">
            <w:pPr>
              <w:jc w:val="center"/>
              <w:rPr>
                <w:rFonts w:ascii="宋体" w:hAnsi="宋体" w:cs="宋体"/>
                <w:color w:val="auto"/>
                <w:szCs w:val="21"/>
                <w:highlight w:val="none"/>
              </w:rPr>
            </w:pPr>
          </w:p>
        </w:tc>
        <w:tc>
          <w:tcPr>
            <w:tcW w:w="7019" w:type="dxa"/>
            <w:noWrap w:val="0"/>
            <w:vAlign w:val="center"/>
          </w:tcPr>
          <w:p w14:paraId="01B46911">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国家、行业设计规范和技术标准</w:t>
            </w:r>
          </w:p>
        </w:tc>
        <w:tc>
          <w:tcPr>
            <w:tcW w:w="1907" w:type="dxa"/>
            <w:noWrap w:val="0"/>
            <w:vAlign w:val="center"/>
          </w:tcPr>
          <w:p w14:paraId="497ACE0D">
            <w:pPr>
              <w:widowControl/>
              <w:jc w:val="center"/>
              <w:rPr>
                <w:rFonts w:ascii="宋体" w:hAnsi="宋体" w:cs="宋体"/>
                <w:color w:val="auto"/>
                <w:kern w:val="0"/>
                <w:szCs w:val="21"/>
                <w:highlight w:val="none"/>
              </w:rPr>
            </w:pPr>
          </w:p>
        </w:tc>
      </w:tr>
      <w:tr w14:paraId="7600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388B903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68</w:t>
            </w:r>
          </w:p>
        </w:tc>
        <w:tc>
          <w:tcPr>
            <w:tcW w:w="7019" w:type="dxa"/>
            <w:noWrap w:val="0"/>
            <w:vAlign w:val="center"/>
          </w:tcPr>
          <w:p w14:paraId="2888E34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《电力安全工作规程》发电厂和变电所电气部分、电力线路部分（GB 26860-2011、GB 26859-2011）</w:t>
            </w:r>
          </w:p>
        </w:tc>
        <w:tc>
          <w:tcPr>
            <w:tcW w:w="1907" w:type="dxa"/>
            <w:noWrap w:val="0"/>
            <w:vAlign w:val="center"/>
          </w:tcPr>
          <w:p w14:paraId="2AE2416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1A0B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5330C80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69</w:t>
            </w:r>
          </w:p>
        </w:tc>
        <w:tc>
          <w:tcPr>
            <w:tcW w:w="7019" w:type="dxa"/>
            <w:noWrap w:val="0"/>
            <w:vAlign w:val="center"/>
          </w:tcPr>
          <w:p w14:paraId="42E09D6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《电力建设安全工作规程》电力线路；变电站(DL 5009.2-2013；DL 5009.3-2013)</w:t>
            </w:r>
          </w:p>
        </w:tc>
        <w:tc>
          <w:tcPr>
            <w:tcW w:w="1907" w:type="dxa"/>
            <w:noWrap w:val="0"/>
            <w:vAlign w:val="center"/>
          </w:tcPr>
          <w:p w14:paraId="1ADBF8A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2B36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FF283D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70</w:t>
            </w:r>
          </w:p>
        </w:tc>
        <w:tc>
          <w:tcPr>
            <w:tcW w:w="7019" w:type="dxa"/>
            <w:noWrap w:val="0"/>
            <w:vAlign w:val="center"/>
          </w:tcPr>
          <w:p w14:paraId="604DD21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《20kV及以下变电所设计规范》GB 50053-2013</w:t>
            </w:r>
          </w:p>
        </w:tc>
        <w:tc>
          <w:tcPr>
            <w:tcW w:w="1907" w:type="dxa"/>
            <w:noWrap w:val="0"/>
            <w:vAlign w:val="center"/>
          </w:tcPr>
          <w:p w14:paraId="77C265E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13E7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B77C80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71</w:t>
            </w:r>
          </w:p>
        </w:tc>
        <w:tc>
          <w:tcPr>
            <w:tcW w:w="7019" w:type="dxa"/>
            <w:noWrap w:val="0"/>
            <w:vAlign w:val="center"/>
          </w:tcPr>
          <w:p w14:paraId="14BE69B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《10kV及以下架空配电线路设计技术规程》DL/T 5220-2005</w:t>
            </w:r>
          </w:p>
        </w:tc>
        <w:tc>
          <w:tcPr>
            <w:tcW w:w="1907" w:type="dxa"/>
            <w:noWrap w:val="0"/>
            <w:vAlign w:val="center"/>
          </w:tcPr>
          <w:p w14:paraId="785E0CE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5475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40CCDA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72</w:t>
            </w:r>
          </w:p>
        </w:tc>
        <w:tc>
          <w:tcPr>
            <w:tcW w:w="7019" w:type="dxa"/>
            <w:noWrap w:val="0"/>
            <w:vAlign w:val="center"/>
          </w:tcPr>
          <w:p w14:paraId="540DE4C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《110kV～750kV架空输电线路设计规范》GB 50545-2010</w:t>
            </w:r>
          </w:p>
        </w:tc>
        <w:tc>
          <w:tcPr>
            <w:tcW w:w="1907" w:type="dxa"/>
            <w:noWrap w:val="0"/>
            <w:vAlign w:val="center"/>
          </w:tcPr>
          <w:p w14:paraId="7555972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0D42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1A5E5A4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73</w:t>
            </w:r>
          </w:p>
        </w:tc>
        <w:tc>
          <w:tcPr>
            <w:tcW w:w="7019" w:type="dxa"/>
            <w:noWrap w:val="0"/>
            <w:vAlign w:val="center"/>
          </w:tcPr>
          <w:p w14:paraId="05BE5D1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《110kV～750kV架空输电线路施工及验收规范》GB 50233-2014</w:t>
            </w:r>
          </w:p>
        </w:tc>
        <w:tc>
          <w:tcPr>
            <w:tcW w:w="1907" w:type="dxa"/>
            <w:noWrap w:val="0"/>
            <w:vAlign w:val="center"/>
          </w:tcPr>
          <w:p w14:paraId="65D5DF8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52B9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05C729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74</w:t>
            </w:r>
          </w:p>
        </w:tc>
        <w:tc>
          <w:tcPr>
            <w:tcW w:w="7019" w:type="dxa"/>
            <w:noWrap w:val="0"/>
            <w:vAlign w:val="center"/>
          </w:tcPr>
          <w:p w14:paraId="283733A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《110-750kV架空送电线路工程施工质量检验及评定规程》DL/T 5168-2016</w:t>
            </w:r>
          </w:p>
        </w:tc>
        <w:tc>
          <w:tcPr>
            <w:tcW w:w="1907" w:type="dxa"/>
            <w:noWrap w:val="0"/>
            <w:vAlign w:val="center"/>
          </w:tcPr>
          <w:p w14:paraId="206EDBD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0532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EB3B79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75</w:t>
            </w:r>
          </w:p>
        </w:tc>
        <w:tc>
          <w:tcPr>
            <w:tcW w:w="7019" w:type="dxa"/>
            <w:noWrap w:val="0"/>
            <w:vAlign w:val="center"/>
          </w:tcPr>
          <w:p w14:paraId="643D805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《110kV及以上送变电工程启动及竣工验收规程》DL/T 782-2001</w:t>
            </w:r>
          </w:p>
        </w:tc>
        <w:tc>
          <w:tcPr>
            <w:tcW w:w="1907" w:type="dxa"/>
            <w:noWrap w:val="0"/>
            <w:vAlign w:val="center"/>
          </w:tcPr>
          <w:p w14:paraId="4FB4F2D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4625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D7F53E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76</w:t>
            </w:r>
          </w:p>
        </w:tc>
        <w:tc>
          <w:tcPr>
            <w:tcW w:w="7019" w:type="dxa"/>
            <w:noWrap w:val="0"/>
            <w:vAlign w:val="center"/>
          </w:tcPr>
          <w:p w14:paraId="2E0D6D4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《3～110kV高压配电装置设计规范》GB 50060-2008</w:t>
            </w:r>
          </w:p>
        </w:tc>
        <w:tc>
          <w:tcPr>
            <w:tcW w:w="1907" w:type="dxa"/>
            <w:noWrap w:val="0"/>
            <w:vAlign w:val="center"/>
          </w:tcPr>
          <w:p w14:paraId="476784E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2F50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15B1414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77</w:t>
            </w:r>
          </w:p>
        </w:tc>
        <w:tc>
          <w:tcPr>
            <w:tcW w:w="7019" w:type="dxa"/>
            <w:noWrap w:val="0"/>
            <w:vAlign w:val="center"/>
          </w:tcPr>
          <w:p w14:paraId="070FE32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《35kV～110kV变电站设计规范》GB 50059-2011</w:t>
            </w:r>
          </w:p>
        </w:tc>
        <w:tc>
          <w:tcPr>
            <w:tcW w:w="1907" w:type="dxa"/>
            <w:noWrap w:val="0"/>
            <w:vAlign w:val="center"/>
          </w:tcPr>
          <w:p w14:paraId="0D9A0B0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503F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B24451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78</w:t>
            </w:r>
          </w:p>
        </w:tc>
        <w:tc>
          <w:tcPr>
            <w:tcW w:w="7019" w:type="dxa"/>
            <w:noWrap w:val="0"/>
            <w:vAlign w:val="center"/>
          </w:tcPr>
          <w:p w14:paraId="27B27E7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《66kV及以下架空电力线路设计规范》  GB 50061-2010</w:t>
            </w:r>
          </w:p>
        </w:tc>
        <w:tc>
          <w:tcPr>
            <w:tcW w:w="1907" w:type="dxa"/>
            <w:noWrap w:val="0"/>
            <w:vAlign w:val="center"/>
          </w:tcPr>
          <w:p w14:paraId="2803343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582D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4DC260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79</w:t>
            </w:r>
          </w:p>
        </w:tc>
        <w:tc>
          <w:tcPr>
            <w:tcW w:w="7019" w:type="dxa"/>
            <w:noWrap w:val="0"/>
            <w:vAlign w:val="center"/>
          </w:tcPr>
          <w:p w14:paraId="39AA81A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电网建设项目文件归档与档案整理规范DL/T1363-2014</w:t>
            </w:r>
          </w:p>
        </w:tc>
        <w:tc>
          <w:tcPr>
            <w:tcW w:w="1907" w:type="dxa"/>
            <w:noWrap w:val="0"/>
            <w:vAlign w:val="center"/>
          </w:tcPr>
          <w:p w14:paraId="3530E82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76C7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422FA30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80</w:t>
            </w:r>
          </w:p>
        </w:tc>
        <w:tc>
          <w:tcPr>
            <w:tcW w:w="7019" w:type="dxa"/>
            <w:noWrap w:val="0"/>
            <w:vAlign w:val="center"/>
          </w:tcPr>
          <w:p w14:paraId="6B0629D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《变电站建筑结构设计技术规程》DL/T 5457-2012</w:t>
            </w:r>
          </w:p>
        </w:tc>
        <w:tc>
          <w:tcPr>
            <w:tcW w:w="1907" w:type="dxa"/>
            <w:noWrap w:val="0"/>
            <w:vAlign w:val="center"/>
          </w:tcPr>
          <w:p w14:paraId="493FDC5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3329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FF5083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81</w:t>
            </w:r>
          </w:p>
        </w:tc>
        <w:tc>
          <w:tcPr>
            <w:tcW w:w="7019" w:type="dxa"/>
            <w:noWrap w:val="0"/>
            <w:vAlign w:val="center"/>
          </w:tcPr>
          <w:p w14:paraId="11125B4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《变电站总布置设计技术规程》DL/T 5056-2007</w:t>
            </w:r>
          </w:p>
        </w:tc>
        <w:tc>
          <w:tcPr>
            <w:tcW w:w="1907" w:type="dxa"/>
            <w:noWrap w:val="0"/>
            <w:vAlign w:val="center"/>
          </w:tcPr>
          <w:p w14:paraId="4960095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0F29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A591A5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82</w:t>
            </w:r>
          </w:p>
        </w:tc>
        <w:tc>
          <w:tcPr>
            <w:tcW w:w="7019" w:type="dxa"/>
            <w:noWrap w:val="0"/>
            <w:vAlign w:val="center"/>
          </w:tcPr>
          <w:p w14:paraId="60189BA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《110kV～750kV架空输电线路张力架线施工工艺导则》DL/T 5343-2018</w:t>
            </w:r>
          </w:p>
        </w:tc>
        <w:tc>
          <w:tcPr>
            <w:tcW w:w="1907" w:type="dxa"/>
            <w:noWrap w:val="0"/>
            <w:vAlign w:val="center"/>
          </w:tcPr>
          <w:p w14:paraId="40D5EC2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3DC7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84B495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83</w:t>
            </w:r>
          </w:p>
        </w:tc>
        <w:tc>
          <w:tcPr>
            <w:tcW w:w="7019" w:type="dxa"/>
            <w:noWrap w:val="0"/>
            <w:vAlign w:val="center"/>
          </w:tcPr>
          <w:p w14:paraId="010B892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《城市电力电缆线路设计技术规定》DL/T 5221-2016</w:t>
            </w:r>
          </w:p>
        </w:tc>
        <w:tc>
          <w:tcPr>
            <w:tcW w:w="1907" w:type="dxa"/>
            <w:noWrap w:val="0"/>
            <w:vAlign w:val="center"/>
          </w:tcPr>
          <w:p w14:paraId="7991C74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72AC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5C303A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84</w:t>
            </w:r>
          </w:p>
        </w:tc>
        <w:tc>
          <w:tcPr>
            <w:tcW w:w="7019" w:type="dxa"/>
            <w:noWrap w:val="0"/>
            <w:vAlign w:val="center"/>
          </w:tcPr>
          <w:p w14:paraId="2D35DBF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《城市工程管线综合规划规范》  GB 50289-2016</w:t>
            </w:r>
          </w:p>
        </w:tc>
        <w:tc>
          <w:tcPr>
            <w:tcW w:w="1907" w:type="dxa"/>
            <w:noWrap w:val="0"/>
            <w:vAlign w:val="center"/>
          </w:tcPr>
          <w:p w14:paraId="5ABCD55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2E61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CF6465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85</w:t>
            </w:r>
          </w:p>
        </w:tc>
        <w:tc>
          <w:tcPr>
            <w:tcW w:w="7019" w:type="dxa"/>
            <w:noWrap w:val="0"/>
            <w:vAlign w:val="center"/>
          </w:tcPr>
          <w:p w14:paraId="39C6321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《导体和电器选择设计技术规定》DL/T 5222-2005</w:t>
            </w:r>
          </w:p>
        </w:tc>
        <w:tc>
          <w:tcPr>
            <w:tcW w:w="1907" w:type="dxa"/>
            <w:noWrap w:val="0"/>
            <w:vAlign w:val="center"/>
          </w:tcPr>
          <w:p w14:paraId="39121C0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166E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EE228C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86</w:t>
            </w:r>
          </w:p>
        </w:tc>
        <w:tc>
          <w:tcPr>
            <w:tcW w:w="7019" w:type="dxa"/>
            <w:noWrap w:val="0"/>
            <w:vAlign w:val="center"/>
          </w:tcPr>
          <w:p w14:paraId="42E95C5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《低合金高强度结构钢》GB/T 1591-2018</w:t>
            </w:r>
          </w:p>
        </w:tc>
        <w:tc>
          <w:tcPr>
            <w:tcW w:w="1907" w:type="dxa"/>
            <w:noWrap w:val="0"/>
            <w:vAlign w:val="center"/>
          </w:tcPr>
          <w:p w14:paraId="317B5B2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1C60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1A3AE12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87</w:t>
            </w:r>
          </w:p>
        </w:tc>
        <w:tc>
          <w:tcPr>
            <w:tcW w:w="7019" w:type="dxa"/>
            <w:noWrap w:val="0"/>
            <w:vAlign w:val="center"/>
          </w:tcPr>
          <w:p w14:paraId="0B5D82A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《低压配电设计规范》GB 50054-2011</w:t>
            </w:r>
          </w:p>
        </w:tc>
        <w:tc>
          <w:tcPr>
            <w:tcW w:w="1907" w:type="dxa"/>
            <w:noWrap w:val="0"/>
            <w:vAlign w:val="center"/>
          </w:tcPr>
          <w:p w14:paraId="057F317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3BAB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306E2C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88</w:t>
            </w:r>
          </w:p>
        </w:tc>
        <w:tc>
          <w:tcPr>
            <w:tcW w:w="7019" w:type="dxa"/>
            <w:noWrap w:val="0"/>
            <w:vAlign w:val="center"/>
          </w:tcPr>
          <w:p w14:paraId="22E6F21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《地下防水工程质量验收规范》GB 50208-2011</w:t>
            </w:r>
          </w:p>
        </w:tc>
        <w:tc>
          <w:tcPr>
            <w:tcW w:w="1907" w:type="dxa"/>
            <w:noWrap w:val="0"/>
            <w:vAlign w:val="center"/>
          </w:tcPr>
          <w:p w14:paraId="08F6973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7627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EDF8A8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89</w:t>
            </w:r>
          </w:p>
        </w:tc>
        <w:tc>
          <w:tcPr>
            <w:tcW w:w="7019" w:type="dxa"/>
            <w:noWrap w:val="0"/>
            <w:vAlign w:val="center"/>
          </w:tcPr>
          <w:p w14:paraId="431C655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《地下工程防水技术规范》GB 50108-2008</w:t>
            </w:r>
          </w:p>
        </w:tc>
        <w:tc>
          <w:tcPr>
            <w:tcW w:w="1907" w:type="dxa"/>
            <w:noWrap w:val="0"/>
            <w:vAlign w:val="center"/>
          </w:tcPr>
          <w:p w14:paraId="2A5A52A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2167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CD5A32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90</w:t>
            </w:r>
          </w:p>
        </w:tc>
        <w:tc>
          <w:tcPr>
            <w:tcW w:w="7019" w:type="dxa"/>
            <w:noWrap w:val="0"/>
            <w:vAlign w:val="center"/>
          </w:tcPr>
          <w:p w14:paraId="14B7D81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《电工圆铝线》GB/T 3955-2009</w:t>
            </w:r>
          </w:p>
        </w:tc>
        <w:tc>
          <w:tcPr>
            <w:tcW w:w="1907" w:type="dxa"/>
            <w:noWrap w:val="0"/>
            <w:vAlign w:val="center"/>
          </w:tcPr>
          <w:p w14:paraId="1A46210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4966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A9CF9F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91</w:t>
            </w:r>
          </w:p>
        </w:tc>
        <w:tc>
          <w:tcPr>
            <w:tcW w:w="7019" w:type="dxa"/>
            <w:noWrap w:val="0"/>
            <w:vAlign w:val="center"/>
          </w:tcPr>
          <w:p w14:paraId="2C6F169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《电工圆铜线》GB/T3953-2009</w:t>
            </w:r>
          </w:p>
        </w:tc>
        <w:tc>
          <w:tcPr>
            <w:tcW w:w="1907" w:type="dxa"/>
            <w:noWrap w:val="0"/>
            <w:vAlign w:val="center"/>
          </w:tcPr>
          <w:p w14:paraId="60DFA07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6062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0291D4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92</w:t>
            </w:r>
          </w:p>
        </w:tc>
        <w:tc>
          <w:tcPr>
            <w:tcW w:w="7019" w:type="dxa"/>
            <w:noWrap w:val="0"/>
            <w:vAlign w:val="center"/>
          </w:tcPr>
          <w:p w14:paraId="6885DA8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《电缆的导体》GB/T 3956-2008</w:t>
            </w:r>
          </w:p>
        </w:tc>
        <w:tc>
          <w:tcPr>
            <w:tcW w:w="1907" w:type="dxa"/>
            <w:noWrap w:val="0"/>
            <w:vAlign w:val="center"/>
          </w:tcPr>
          <w:p w14:paraId="4A96126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0F98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39FAFD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93</w:t>
            </w:r>
          </w:p>
        </w:tc>
        <w:tc>
          <w:tcPr>
            <w:tcW w:w="7019" w:type="dxa"/>
            <w:noWrap w:val="0"/>
            <w:vAlign w:val="center"/>
          </w:tcPr>
          <w:p w14:paraId="54CFB3A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《电缆和光缆绝缘和护套材料通用试验方法》（GB/T 2951.11-2008、GB/T 2951.12-2008、GB/T 2951.13-2008、GB/T 2951.14-2008、GB/T 2951.21-2008、GB/T 2951.31-2008、GB/T 2951.32-2008、GB/T 2951.41-2008、GB/T 2951.42-2008、GB/T 2951.51-2008）</w:t>
            </w:r>
          </w:p>
        </w:tc>
        <w:tc>
          <w:tcPr>
            <w:tcW w:w="1907" w:type="dxa"/>
            <w:noWrap w:val="0"/>
            <w:vAlign w:val="center"/>
          </w:tcPr>
          <w:p w14:paraId="2BDC0A0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3950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080A6F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94</w:t>
            </w:r>
          </w:p>
        </w:tc>
        <w:tc>
          <w:tcPr>
            <w:tcW w:w="7019" w:type="dxa"/>
            <w:noWrap w:val="0"/>
            <w:vAlign w:val="center"/>
          </w:tcPr>
          <w:p w14:paraId="131F56C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《电缆外护层》（GB /T 2952.1-2008、GB /T 2952.2-2008、GB /T 2952.3-2008）</w:t>
            </w:r>
          </w:p>
        </w:tc>
        <w:tc>
          <w:tcPr>
            <w:tcW w:w="1907" w:type="dxa"/>
            <w:noWrap w:val="0"/>
            <w:vAlign w:val="center"/>
          </w:tcPr>
          <w:p w14:paraId="5FC8DCD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2CBC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602062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95</w:t>
            </w:r>
          </w:p>
        </w:tc>
        <w:tc>
          <w:tcPr>
            <w:tcW w:w="7019" w:type="dxa"/>
            <w:noWrap w:val="0"/>
            <w:vAlign w:val="center"/>
          </w:tcPr>
          <w:p w14:paraId="0069AA1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《电缆载流量计算》（JB/T 10181.11-2014、JB/T 10181.12-2014、JB/T 10181.21-2014、JB/T 10181.22-2014、JB/T 10181.31-2014、JB/T 10181.32-2014）</w:t>
            </w:r>
          </w:p>
        </w:tc>
        <w:tc>
          <w:tcPr>
            <w:tcW w:w="1907" w:type="dxa"/>
            <w:noWrap w:val="0"/>
            <w:vAlign w:val="center"/>
          </w:tcPr>
          <w:p w14:paraId="697B24B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457C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34C116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96</w:t>
            </w:r>
          </w:p>
        </w:tc>
        <w:tc>
          <w:tcPr>
            <w:tcW w:w="7019" w:type="dxa"/>
            <w:noWrap w:val="0"/>
            <w:vAlign w:val="center"/>
          </w:tcPr>
          <w:p w14:paraId="7B085F9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《电力工程直流电源系统设计技术规程》 DL/T 5044-2014</w:t>
            </w:r>
          </w:p>
        </w:tc>
        <w:tc>
          <w:tcPr>
            <w:tcW w:w="1907" w:type="dxa"/>
            <w:noWrap w:val="0"/>
            <w:vAlign w:val="center"/>
          </w:tcPr>
          <w:p w14:paraId="7F3AB51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619F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2EDC15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97</w:t>
            </w:r>
          </w:p>
        </w:tc>
        <w:tc>
          <w:tcPr>
            <w:tcW w:w="7019" w:type="dxa"/>
            <w:noWrap w:val="0"/>
            <w:vAlign w:val="center"/>
          </w:tcPr>
          <w:p w14:paraId="7843F7B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《电力建设施工及验收技术规范》DJ 57-1979</w:t>
            </w:r>
          </w:p>
        </w:tc>
        <w:tc>
          <w:tcPr>
            <w:tcW w:w="1907" w:type="dxa"/>
            <w:noWrap w:val="0"/>
            <w:vAlign w:val="center"/>
          </w:tcPr>
          <w:p w14:paraId="41EAD43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3217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1702B8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98</w:t>
            </w:r>
          </w:p>
        </w:tc>
        <w:tc>
          <w:tcPr>
            <w:tcW w:w="7019" w:type="dxa"/>
            <w:noWrap w:val="0"/>
            <w:vAlign w:val="center"/>
          </w:tcPr>
          <w:p w14:paraId="01773AD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《电力设备典型消防规程》DL 5027-2015</w:t>
            </w:r>
          </w:p>
        </w:tc>
        <w:tc>
          <w:tcPr>
            <w:tcW w:w="1907" w:type="dxa"/>
            <w:noWrap w:val="0"/>
            <w:vAlign w:val="center"/>
          </w:tcPr>
          <w:p w14:paraId="0653B10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3826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A29BE7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99</w:t>
            </w:r>
          </w:p>
        </w:tc>
        <w:tc>
          <w:tcPr>
            <w:tcW w:w="7019" w:type="dxa"/>
            <w:noWrap w:val="0"/>
            <w:vAlign w:val="center"/>
          </w:tcPr>
          <w:p w14:paraId="3C6B99B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《电力设施抗震设计规范》GB 50260-2013</w:t>
            </w:r>
          </w:p>
        </w:tc>
        <w:tc>
          <w:tcPr>
            <w:tcW w:w="1907" w:type="dxa"/>
            <w:noWrap w:val="0"/>
            <w:vAlign w:val="center"/>
          </w:tcPr>
          <w:p w14:paraId="5D5DDAA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46D7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BE4B98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c>
          <w:tcPr>
            <w:tcW w:w="7019" w:type="dxa"/>
            <w:noWrap w:val="0"/>
            <w:vAlign w:val="center"/>
          </w:tcPr>
          <w:p w14:paraId="11528DD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《电力系统安全稳定导则》DL 755-2001</w:t>
            </w:r>
          </w:p>
        </w:tc>
        <w:tc>
          <w:tcPr>
            <w:tcW w:w="1907" w:type="dxa"/>
            <w:noWrap w:val="0"/>
            <w:vAlign w:val="center"/>
          </w:tcPr>
          <w:p w14:paraId="014E367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13CF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F3C2DF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101</w:t>
            </w:r>
          </w:p>
        </w:tc>
        <w:tc>
          <w:tcPr>
            <w:tcW w:w="7019" w:type="dxa"/>
            <w:noWrap w:val="0"/>
            <w:vAlign w:val="center"/>
          </w:tcPr>
          <w:p w14:paraId="17A4244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《电力系统设计技术规程》DL/T 5429-2009</w:t>
            </w:r>
          </w:p>
        </w:tc>
        <w:tc>
          <w:tcPr>
            <w:tcW w:w="1907" w:type="dxa"/>
            <w:noWrap w:val="0"/>
            <w:vAlign w:val="center"/>
          </w:tcPr>
          <w:p w14:paraId="6852FA4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1E43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CB75A6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102</w:t>
            </w:r>
          </w:p>
        </w:tc>
        <w:tc>
          <w:tcPr>
            <w:tcW w:w="7019" w:type="dxa"/>
            <w:noWrap w:val="0"/>
            <w:vAlign w:val="center"/>
          </w:tcPr>
          <w:p w14:paraId="4745940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《电力系统设计内容深度规定》DL/T 5444-2010</w:t>
            </w:r>
          </w:p>
        </w:tc>
        <w:tc>
          <w:tcPr>
            <w:tcW w:w="1907" w:type="dxa"/>
            <w:noWrap w:val="0"/>
            <w:vAlign w:val="center"/>
          </w:tcPr>
          <w:p w14:paraId="0E340F7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40DB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E3D088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103</w:t>
            </w:r>
          </w:p>
        </w:tc>
        <w:tc>
          <w:tcPr>
            <w:tcW w:w="7019" w:type="dxa"/>
            <w:noWrap w:val="0"/>
            <w:vAlign w:val="center"/>
          </w:tcPr>
          <w:p w14:paraId="53E4810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《电气装置安装工程 高压电器施工及验收规范》GB 50147-2010</w:t>
            </w:r>
          </w:p>
        </w:tc>
        <w:tc>
          <w:tcPr>
            <w:tcW w:w="1907" w:type="dxa"/>
            <w:noWrap w:val="0"/>
            <w:vAlign w:val="center"/>
          </w:tcPr>
          <w:p w14:paraId="0AC54EB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3AAA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B7B999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104</w:t>
            </w:r>
          </w:p>
        </w:tc>
        <w:tc>
          <w:tcPr>
            <w:tcW w:w="7019" w:type="dxa"/>
            <w:noWrap w:val="0"/>
            <w:vAlign w:val="center"/>
          </w:tcPr>
          <w:p w14:paraId="6CCDACC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《电气装置安装工程 电力变压器、油浸电抗器、互感器施工及验收规范》GB 50148-2010</w:t>
            </w:r>
          </w:p>
        </w:tc>
        <w:tc>
          <w:tcPr>
            <w:tcW w:w="1907" w:type="dxa"/>
            <w:noWrap w:val="0"/>
            <w:vAlign w:val="center"/>
          </w:tcPr>
          <w:p w14:paraId="6CA0C3A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2BB3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E1C8C6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105</w:t>
            </w:r>
          </w:p>
        </w:tc>
        <w:tc>
          <w:tcPr>
            <w:tcW w:w="7019" w:type="dxa"/>
            <w:noWrap w:val="0"/>
            <w:vAlign w:val="center"/>
          </w:tcPr>
          <w:p w14:paraId="06E0BAD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《电气装置安装工程 母线装置施工及验收规范》GB 50149-2010</w:t>
            </w:r>
          </w:p>
        </w:tc>
        <w:tc>
          <w:tcPr>
            <w:tcW w:w="1907" w:type="dxa"/>
            <w:noWrap w:val="0"/>
            <w:vAlign w:val="center"/>
          </w:tcPr>
          <w:p w14:paraId="2FCD591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0F4A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52942E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106</w:t>
            </w:r>
          </w:p>
        </w:tc>
        <w:tc>
          <w:tcPr>
            <w:tcW w:w="7019" w:type="dxa"/>
            <w:noWrap w:val="0"/>
            <w:vAlign w:val="center"/>
          </w:tcPr>
          <w:p w14:paraId="2D48ED2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《电气装置安装工程 电气设备交接试验标准》GB50150-2016</w:t>
            </w:r>
          </w:p>
        </w:tc>
        <w:tc>
          <w:tcPr>
            <w:tcW w:w="1907" w:type="dxa"/>
            <w:noWrap w:val="0"/>
            <w:vAlign w:val="center"/>
          </w:tcPr>
          <w:p w14:paraId="4FB265C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7380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noWrap w:val="0"/>
            <w:vAlign w:val="center"/>
          </w:tcPr>
          <w:p w14:paraId="514452A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107</w:t>
            </w:r>
          </w:p>
        </w:tc>
        <w:tc>
          <w:tcPr>
            <w:tcW w:w="7019" w:type="dxa"/>
            <w:noWrap w:val="0"/>
            <w:vAlign w:val="center"/>
          </w:tcPr>
          <w:p w14:paraId="5E15283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《电气装置安装工程 电缆线路施工及验收规范 》GB50168-2018 </w:t>
            </w:r>
          </w:p>
        </w:tc>
        <w:tc>
          <w:tcPr>
            <w:tcW w:w="1907" w:type="dxa"/>
            <w:noWrap w:val="0"/>
            <w:vAlign w:val="center"/>
          </w:tcPr>
          <w:p w14:paraId="1C582B4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0A5A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5110E9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108</w:t>
            </w:r>
          </w:p>
        </w:tc>
        <w:tc>
          <w:tcPr>
            <w:tcW w:w="7019" w:type="dxa"/>
            <w:noWrap w:val="0"/>
            <w:vAlign w:val="center"/>
          </w:tcPr>
          <w:p w14:paraId="7FE199F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《电气装置安装工程 接地装置施工及验收规范》GB 50169-2016</w:t>
            </w:r>
          </w:p>
        </w:tc>
        <w:tc>
          <w:tcPr>
            <w:tcW w:w="1907" w:type="dxa"/>
            <w:noWrap w:val="0"/>
            <w:vAlign w:val="center"/>
          </w:tcPr>
          <w:p w14:paraId="3225834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52F4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3A3514B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109</w:t>
            </w:r>
          </w:p>
        </w:tc>
        <w:tc>
          <w:tcPr>
            <w:tcW w:w="7019" w:type="dxa"/>
            <w:noWrap w:val="0"/>
            <w:vAlign w:val="center"/>
          </w:tcPr>
          <w:p w14:paraId="6119465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《电气装置安装工程 旋转电机施工及验收规范》 GB 50170-2018</w:t>
            </w:r>
          </w:p>
        </w:tc>
        <w:tc>
          <w:tcPr>
            <w:tcW w:w="1907" w:type="dxa"/>
            <w:noWrap w:val="0"/>
            <w:vAlign w:val="center"/>
          </w:tcPr>
          <w:p w14:paraId="7D6AEAE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0EA5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0" w:type="dxa"/>
            <w:noWrap w:val="0"/>
            <w:vAlign w:val="center"/>
          </w:tcPr>
          <w:p w14:paraId="49F4C5B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110</w:t>
            </w:r>
          </w:p>
        </w:tc>
        <w:tc>
          <w:tcPr>
            <w:tcW w:w="7019" w:type="dxa"/>
            <w:noWrap w:val="0"/>
            <w:vAlign w:val="center"/>
          </w:tcPr>
          <w:p w14:paraId="1E90371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《电气装置安装工程 盘、柜及二次回路接线施工及验收规范》GB 50171-2012</w:t>
            </w:r>
          </w:p>
        </w:tc>
        <w:tc>
          <w:tcPr>
            <w:tcW w:w="1907" w:type="dxa"/>
            <w:noWrap w:val="0"/>
            <w:vAlign w:val="center"/>
          </w:tcPr>
          <w:p w14:paraId="49774B8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6CD2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789A7B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111</w:t>
            </w:r>
          </w:p>
        </w:tc>
        <w:tc>
          <w:tcPr>
            <w:tcW w:w="7019" w:type="dxa"/>
            <w:noWrap w:val="0"/>
            <w:vAlign w:val="center"/>
          </w:tcPr>
          <w:p w14:paraId="7D7097D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《电气装置安装工程 蓄电池施工及验收规范》GB 50172-2012</w:t>
            </w:r>
          </w:p>
        </w:tc>
        <w:tc>
          <w:tcPr>
            <w:tcW w:w="1907" w:type="dxa"/>
            <w:noWrap w:val="0"/>
            <w:vAlign w:val="center"/>
          </w:tcPr>
          <w:p w14:paraId="6DFAEB6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627E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9C2115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112</w:t>
            </w:r>
          </w:p>
        </w:tc>
        <w:tc>
          <w:tcPr>
            <w:tcW w:w="7019" w:type="dxa"/>
            <w:noWrap w:val="0"/>
            <w:vAlign w:val="center"/>
          </w:tcPr>
          <w:p w14:paraId="72152C8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《电气装置安装工程 66kV及以下架空电力线路施工及验收规范》GB 50173-2014</w:t>
            </w:r>
          </w:p>
        </w:tc>
        <w:tc>
          <w:tcPr>
            <w:tcW w:w="1907" w:type="dxa"/>
            <w:noWrap w:val="0"/>
            <w:vAlign w:val="center"/>
          </w:tcPr>
          <w:p w14:paraId="0D0B824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7C0E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5C191C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113</w:t>
            </w:r>
          </w:p>
        </w:tc>
        <w:tc>
          <w:tcPr>
            <w:tcW w:w="7019" w:type="dxa"/>
            <w:noWrap w:val="0"/>
            <w:vAlign w:val="center"/>
          </w:tcPr>
          <w:p w14:paraId="70C57F2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《电气装置安装工程 低压电器施工及验收规范》GB 50254-2014</w:t>
            </w:r>
          </w:p>
        </w:tc>
        <w:tc>
          <w:tcPr>
            <w:tcW w:w="1907" w:type="dxa"/>
            <w:noWrap w:val="0"/>
            <w:vAlign w:val="center"/>
          </w:tcPr>
          <w:p w14:paraId="331984A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653D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C01040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114</w:t>
            </w:r>
          </w:p>
        </w:tc>
        <w:tc>
          <w:tcPr>
            <w:tcW w:w="7019" w:type="dxa"/>
            <w:noWrap w:val="0"/>
            <w:vAlign w:val="center"/>
          </w:tcPr>
          <w:p w14:paraId="5F4D482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《电气装置安装工程 电力变流设备施工及验收规范》GB 50255-2014</w:t>
            </w:r>
          </w:p>
        </w:tc>
        <w:tc>
          <w:tcPr>
            <w:tcW w:w="1907" w:type="dxa"/>
            <w:noWrap w:val="0"/>
            <w:vAlign w:val="center"/>
          </w:tcPr>
          <w:p w14:paraId="5887AB6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5CB5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4C72F7A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115</w:t>
            </w:r>
          </w:p>
        </w:tc>
        <w:tc>
          <w:tcPr>
            <w:tcW w:w="7019" w:type="dxa"/>
            <w:noWrap w:val="0"/>
            <w:vAlign w:val="center"/>
          </w:tcPr>
          <w:p w14:paraId="343913E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《电气装置安装工程 起重机电气装置施工及验收规范》GB 50256-2014</w:t>
            </w:r>
          </w:p>
        </w:tc>
        <w:tc>
          <w:tcPr>
            <w:tcW w:w="1907" w:type="dxa"/>
            <w:noWrap w:val="0"/>
            <w:vAlign w:val="center"/>
          </w:tcPr>
          <w:p w14:paraId="78D191D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1E87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652C21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116</w:t>
            </w:r>
          </w:p>
        </w:tc>
        <w:tc>
          <w:tcPr>
            <w:tcW w:w="7019" w:type="dxa"/>
            <w:noWrap w:val="0"/>
            <w:vAlign w:val="center"/>
          </w:tcPr>
          <w:p w14:paraId="1DE6A15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《电气装置安装工程 爆炸和火灾危险环境电气装置施工及验收规范》GB 50257-2014</w:t>
            </w:r>
          </w:p>
        </w:tc>
        <w:tc>
          <w:tcPr>
            <w:tcW w:w="1907" w:type="dxa"/>
            <w:noWrap w:val="0"/>
            <w:vAlign w:val="center"/>
          </w:tcPr>
          <w:p w14:paraId="726824E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1EDE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7EBF21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117</w:t>
            </w:r>
          </w:p>
        </w:tc>
        <w:tc>
          <w:tcPr>
            <w:tcW w:w="7019" w:type="dxa"/>
            <w:noWrap w:val="0"/>
            <w:vAlign w:val="center"/>
          </w:tcPr>
          <w:p w14:paraId="0278CE6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《电气装置安装工程 串联电容器补偿装置施工及验收规范》GB 51049-2014</w:t>
            </w:r>
          </w:p>
        </w:tc>
        <w:tc>
          <w:tcPr>
            <w:tcW w:w="1907" w:type="dxa"/>
            <w:noWrap w:val="0"/>
            <w:vAlign w:val="center"/>
          </w:tcPr>
          <w:p w14:paraId="7F7A61B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0D3B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AE2027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118</w:t>
            </w:r>
          </w:p>
        </w:tc>
        <w:tc>
          <w:tcPr>
            <w:tcW w:w="7019" w:type="dxa"/>
            <w:noWrap w:val="0"/>
            <w:vAlign w:val="center"/>
          </w:tcPr>
          <w:p w14:paraId="733A4D3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《1000kV系统电气装置安装工程电气设备交接试验标准》GB/T 50832-2013</w:t>
            </w:r>
          </w:p>
        </w:tc>
        <w:tc>
          <w:tcPr>
            <w:tcW w:w="1907" w:type="dxa"/>
            <w:noWrap w:val="0"/>
            <w:vAlign w:val="center"/>
          </w:tcPr>
          <w:p w14:paraId="36D014E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70E0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32DCF1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119</w:t>
            </w:r>
          </w:p>
        </w:tc>
        <w:tc>
          <w:tcPr>
            <w:tcW w:w="7019" w:type="dxa"/>
            <w:noWrap w:val="0"/>
            <w:vAlign w:val="center"/>
          </w:tcPr>
          <w:p w14:paraId="05FAA05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电气装置安装工程 质量检验及评定规程 DL/T 5161.1-2018～DL/T 5161.15-2018</w:t>
            </w:r>
          </w:p>
        </w:tc>
        <w:tc>
          <w:tcPr>
            <w:tcW w:w="1907" w:type="dxa"/>
            <w:noWrap w:val="0"/>
            <w:vAlign w:val="center"/>
          </w:tcPr>
          <w:p w14:paraId="46FA5BD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5A4C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222D78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120</w:t>
            </w:r>
          </w:p>
        </w:tc>
        <w:tc>
          <w:tcPr>
            <w:tcW w:w="7019" w:type="dxa"/>
            <w:noWrap w:val="0"/>
            <w:vAlign w:val="center"/>
          </w:tcPr>
          <w:p w14:paraId="05CEE66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《电力装置电测量仪表装置设计规范》  GB/T50063-2017</w:t>
            </w:r>
          </w:p>
        </w:tc>
        <w:tc>
          <w:tcPr>
            <w:tcW w:w="1907" w:type="dxa"/>
            <w:noWrap w:val="0"/>
            <w:vAlign w:val="center"/>
          </w:tcPr>
          <w:p w14:paraId="3E823B6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7BE7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515A0A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121</w:t>
            </w:r>
          </w:p>
        </w:tc>
        <w:tc>
          <w:tcPr>
            <w:tcW w:w="7019" w:type="dxa"/>
            <w:noWrap w:val="0"/>
            <w:vAlign w:val="center"/>
          </w:tcPr>
          <w:p w14:paraId="25E82EA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《电力装置的继电保护和自动装置设计规范》  GB/T50062－2008</w:t>
            </w:r>
          </w:p>
        </w:tc>
        <w:tc>
          <w:tcPr>
            <w:tcW w:w="1907" w:type="dxa"/>
            <w:noWrap w:val="0"/>
            <w:vAlign w:val="center"/>
          </w:tcPr>
          <w:p w14:paraId="35BFE41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29E1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5590CC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122</w:t>
            </w:r>
          </w:p>
        </w:tc>
        <w:tc>
          <w:tcPr>
            <w:tcW w:w="7019" w:type="dxa"/>
            <w:noWrap w:val="0"/>
            <w:vAlign w:val="center"/>
          </w:tcPr>
          <w:p w14:paraId="4C25CCE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《电线电缆电性能试验方法》（GB/T 3048.1-2007、GB/T 3048.2-2007、GB/T 3048.3-2007、GB/T 3048.4-2007、GB/T 3048.5-2007、GB/T 3048.7-2007、GB/T 3048.8-2007、GB/T 3048.9-2007、GB/T 3048.10-2007、GB/T 3048.11-2007、GB/T 3048.12-2007）</w:t>
            </w:r>
          </w:p>
        </w:tc>
        <w:tc>
          <w:tcPr>
            <w:tcW w:w="1907" w:type="dxa"/>
            <w:noWrap w:val="0"/>
            <w:vAlign w:val="center"/>
          </w:tcPr>
          <w:p w14:paraId="5C16A47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6051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F73C61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123</w:t>
            </w:r>
          </w:p>
        </w:tc>
        <w:tc>
          <w:tcPr>
            <w:tcW w:w="7019" w:type="dxa"/>
            <w:noWrap w:val="0"/>
            <w:vAlign w:val="center"/>
          </w:tcPr>
          <w:p w14:paraId="7EF49C3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《电线电缆交货盘》JB/T 8137.1-4-2013</w:t>
            </w:r>
          </w:p>
        </w:tc>
        <w:tc>
          <w:tcPr>
            <w:tcW w:w="1907" w:type="dxa"/>
            <w:noWrap w:val="0"/>
            <w:vAlign w:val="center"/>
          </w:tcPr>
          <w:p w14:paraId="0A2357A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7827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4C256F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124</w:t>
            </w:r>
          </w:p>
        </w:tc>
        <w:tc>
          <w:tcPr>
            <w:tcW w:w="7019" w:type="dxa"/>
            <w:noWrap w:val="0"/>
            <w:vAlign w:val="center"/>
          </w:tcPr>
          <w:p w14:paraId="292F56C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《电线电缆识别标志方法》GB/T6995.1-5-2008</w:t>
            </w:r>
          </w:p>
        </w:tc>
        <w:tc>
          <w:tcPr>
            <w:tcW w:w="1907" w:type="dxa"/>
            <w:noWrap w:val="0"/>
            <w:vAlign w:val="center"/>
          </w:tcPr>
          <w:p w14:paraId="12E5DAE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571C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C8E279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125</w:t>
            </w:r>
          </w:p>
        </w:tc>
        <w:tc>
          <w:tcPr>
            <w:tcW w:w="7019" w:type="dxa"/>
            <w:noWrap w:val="0"/>
            <w:vAlign w:val="center"/>
          </w:tcPr>
          <w:p w14:paraId="61A5DA4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《额定电压110kV（Um=126kV）交联聚乙烯绝缘电力电缆及其附件》（GB/T 11017.1-2014、GB/T 11017.2-2014、GB/T 11017.3-2014）</w:t>
            </w:r>
          </w:p>
        </w:tc>
        <w:tc>
          <w:tcPr>
            <w:tcW w:w="1907" w:type="dxa"/>
            <w:noWrap w:val="0"/>
            <w:vAlign w:val="center"/>
          </w:tcPr>
          <w:p w14:paraId="242697D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2FA1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1D9BB47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126</w:t>
            </w:r>
          </w:p>
        </w:tc>
        <w:tc>
          <w:tcPr>
            <w:tcW w:w="7019" w:type="dxa"/>
            <w:noWrap w:val="0"/>
            <w:vAlign w:val="center"/>
          </w:tcPr>
          <w:p w14:paraId="5A23A93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《额定电压220kV(Um=252kV)交联聚乙烯绝缘电力电缆及其附件》GB/Z 18890.1-2015、GB/Z 18890.2-2015、GB/Z 18890.3-2015</w:t>
            </w:r>
          </w:p>
        </w:tc>
        <w:tc>
          <w:tcPr>
            <w:tcW w:w="1907" w:type="dxa"/>
            <w:noWrap w:val="0"/>
            <w:vAlign w:val="center"/>
          </w:tcPr>
          <w:p w14:paraId="58F16C3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2341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2E55089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127</w:t>
            </w:r>
          </w:p>
        </w:tc>
        <w:tc>
          <w:tcPr>
            <w:tcW w:w="7019" w:type="dxa"/>
            <w:noWrap w:val="0"/>
            <w:vAlign w:val="center"/>
          </w:tcPr>
          <w:p w14:paraId="114DA28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《额定电压1kV(Um=1.2kV)到35kV(Um=40.5kV)挤包绝缘电力电缆及附件》GB/T 12706-2008</w:t>
            </w:r>
          </w:p>
        </w:tc>
        <w:tc>
          <w:tcPr>
            <w:tcW w:w="1907" w:type="dxa"/>
            <w:noWrap w:val="0"/>
            <w:vAlign w:val="center"/>
          </w:tcPr>
          <w:p w14:paraId="7256191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53B0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32EF2DE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128</w:t>
            </w:r>
          </w:p>
        </w:tc>
        <w:tc>
          <w:tcPr>
            <w:tcW w:w="7019" w:type="dxa"/>
            <w:noWrap w:val="0"/>
            <w:vAlign w:val="center"/>
          </w:tcPr>
          <w:p w14:paraId="4C181BE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《额定电压6kV(Um=7.2kV)到35kV(Um=40.5kV)电力电缆附件试验方法》GB/T 18889-2002</w:t>
            </w:r>
          </w:p>
        </w:tc>
        <w:tc>
          <w:tcPr>
            <w:tcW w:w="1907" w:type="dxa"/>
            <w:noWrap w:val="0"/>
            <w:vAlign w:val="center"/>
          </w:tcPr>
          <w:p w14:paraId="5A6F1CC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457C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D02B87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129</w:t>
            </w:r>
          </w:p>
        </w:tc>
        <w:tc>
          <w:tcPr>
            <w:tcW w:w="7019" w:type="dxa"/>
            <w:noWrap w:val="0"/>
            <w:vAlign w:val="center"/>
          </w:tcPr>
          <w:p w14:paraId="1C6CEC9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《非合金钢及细晶粒钢焊条》GB/T 5117-2012</w:t>
            </w:r>
          </w:p>
        </w:tc>
        <w:tc>
          <w:tcPr>
            <w:tcW w:w="1907" w:type="dxa"/>
            <w:noWrap w:val="0"/>
            <w:vAlign w:val="center"/>
          </w:tcPr>
          <w:p w14:paraId="189F6EA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227D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DB91E4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130</w:t>
            </w:r>
          </w:p>
        </w:tc>
        <w:tc>
          <w:tcPr>
            <w:tcW w:w="7019" w:type="dxa"/>
            <w:noWrap w:val="0"/>
            <w:vAlign w:val="center"/>
          </w:tcPr>
          <w:p w14:paraId="5A343F8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《钢结构高强度螺栓连接技术规程》JGJ 82-2011</w:t>
            </w:r>
          </w:p>
        </w:tc>
        <w:tc>
          <w:tcPr>
            <w:tcW w:w="1907" w:type="dxa"/>
            <w:noWrap w:val="0"/>
            <w:vAlign w:val="center"/>
          </w:tcPr>
          <w:p w14:paraId="675D02D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72FA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noWrap w:val="0"/>
            <w:vAlign w:val="center"/>
          </w:tcPr>
          <w:p w14:paraId="1AD1F4E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131</w:t>
            </w:r>
          </w:p>
        </w:tc>
        <w:tc>
          <w:tcPr>
            <w:tcW w:w="7019" w:type="dxa"/>
            <w:noWrap w:val="0"/>
            <w:vAlign w:val="center"/>
          </w:tcPr>
          <w:p w14:paraId="6ACDFB6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《钢结构工程施工质量验收规范》  GB 50205-2001</w:t>
            </w:r>
          </w:p>
        </w:tc>
        <w:tc>
          <w:tcPr>
            <w:tcW w:w="1907" w:type="dxa"/>
            <w:noWrap w:val="0"/>
            <w:vAlign w:val="center"/>
          </w:tcPr>
          <w:p w14:paraId="0B3F459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71F1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BB672A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132</w:t>
            </w:r>
          </w:p>
        </w:tc>
        <w:tc>
          <w:tcPr>
            <w:tcW w:w="7019" w:type="dxa"/>
            <w:noWrap w:val="0"/>
            <w:vAlign w:val="center"/>
          </w:tcPr>
          <w:p w14:paraId="6CF3927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《钢筋焊接及验收规程》JGJ 18-2012</w:t>
            </w:r>
          </w:p>
        </w:tc>
        <w:tc>
          <w:tcPr>
            <w:tcW w:w="1907" w:type="dxa"/>
            <w:noWrap w:val="0"/>
            <w:vAlign w:val="center"/>
          </w:tcPr>
          <w:p w14:paraId="0F364AF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6D89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231431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133</w:t>
            </w:r>
          </w:p>
        </w:tc>
        <w:tc>
          <w:tcPr>
            <w:tcW w:w="7019" w:type="dxa"/>
            <w:noWrap w:val="0"/>
            <w:vAlign w:val="center"/>
          </w:tcPr>
          <w:p w14:paraId="1A2DEAA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《钢结构设计标准》GB 50017-2017</w:t>
            </w:r>
          </w:p>
        </w:tc>
        <w:tc>
          <w:tcPr>
            <w:tcW w:w="1907" w:type="dxa"/>
            <w:noWrap w:val="0"/>
            <w:vAlign w:val="center"/>
          </w:tcPr>
          <w:p w14:paraId="59CA8CB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303F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00432A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134</w:t>
            </w:r>
          </w:p>
        </w:tc>
        <w:tc>
          <w:tcPr>
            <w:tcW w:w="7019" w:type="dxa"/>
            <w:noWrap w:val="0"/>
            <w:vAlign w:val="center"/>
          </w:tcPr>
          <w:p w14:paraId="3A75AAB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《混凝土结构设计规范》 GB 50010-2010</w:t>
            </w:r>
          </w:p>
        </w:tc>
        <w:tc>
          <w:tcPr>
            <w:tcW w:w="1907" w:type="dxa"/>
            <w:noWrap w:val="0"/>
            <w:vAlign w:val="center"/>
          </w:tcPr>
          <w:p w14:paraId="2DF39CA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3A54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noWrap w:val="0"/>
            <w:vAlign w:val="center"/>
          </w:tcPr>
          <w:p w14:paraId="05D5FF2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135</w:t>
            </w:r>
          </w:p>
        </w:tc>
        <w:tc>
          <w:tcPr>
            <w:tcW w:w="7019" w:type="dxa"/>
            <w:noWrap w:val="0"/>
            <w:vAlign w:val="center"/>
          </w:tcPr>
          <w:p w14:paraId="6EBA973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《高压电缆选用导则》DL/T 401-2017</w:t>
            </w:r>
          </w:p>
        </w:tc>
        <w:tc>
          <w:tcPr>
            <w:tcW w:w="1907" w:type="dxa"/>
            <w:noWrap w:val="0"/>
            <w:vAlign w:val="center"/>
          </w:tcPr>
          <w:p w14:paraId="0E2BC89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4F22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806139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136</w:t>
            </w:r>
          </w:p>
        </w:tc>
        <w:tc>
          <w:tcPr>
            <w:tcW w:w="7019" w:type="dxa"/>
            <w:noWrap w:val="0"/>
            <w:vAlign w:val="center"/>
          </w:tcPr>
          <w:p w14:paraId="5B8F65B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《高压绝缘子瓷件技术条件》GB/T 772-2005</w:t>
            </w:r>
          </w:p>
        </w:tc>
        <w:tc>
          <w:tcPr>
            <w:tcW w:w="1907" w:type="dxa"/>
            <w:noWrap w:val="0"/>
            <w:vAlign w:val="center"/>
          </w:tcPr>
          <w:p w14:paraId="0BDF68A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0763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1D6BCA5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137</w:t>
            </w:r>
          </w:p>
        </w:tc>
        <w:tc>
          <w:tcPr>
            <w:tcW w:w="7019" w:type="dxa"/>
            <w:noWrap w:val="0"/>
            <w:vAlign w:val="center"/>
          </w:tcPr>
          <w:p w14:paraId="47CB346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《工程测量规范(附条文说明)》GB 50026-2007</w:t>
            </w:r>
          </w:p>
        </w:tc>
        <w:tc>
          <w:tcPr>
            <w:tcW w:w="1907" w:type="dxa"/>
            <w:noWrap w:val="0"/>
            <w:vAlign w:val="center"/>
          </w:tcPr>
          <w:p w14:paraId="55BE620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6AD4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96182B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138</w:t>
            </w:r>
          </w:p>
        </w:tc>
        <w:tc>
          <w:tcPr>
            <w:tcW w:w="7019" w:type="dxa"/>
            <w:noWrap w:val="0"/>
            <w:vAlign w:val="center"/>
          </w:tcPr>
          <w:p w14:paraId="26474C4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《供配电系统设计规范》  GB50052-2009</w:t>
            </w:r>
          </w:p>
        </w:tc>
        <w:tc>
          <w:tcPr>
            <w:tcW w:w="1907" w:type="dxa"/>
            <w:noWrap w:val="0"/>
            <w:vAlign w:val="center"/>
          </w:tcPr>
          <w:p w14:paraId="3292EB5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09C71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65E33E8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139</w:t>
            </w:r>
          </w:p>
        </w:tc>
        <w:tc>
          <w:tcPr>
            <w:tcW w:w="7019" w:type="dxa"/>
            <w:noWrap w:val="0"/>
            <w:vAlign w:val="center"/>
          </w:tcPr>
          <w:p w14:paraId="2F87F93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《灌注桩基础技术规程(附条文说明)》YSJ 212-1992</w:t>
            </w:r>
          </w:p>
        </w:tc>
        <w:tc>
          <w:tcPr>
            <w:tcW w:w="1907" w:type="dxa"/>
            <w:noWrap w:val="0"/>
            <w:vAlign w:val="center"/>
          </w:tcPr>
          <w:p w14:paraId="3C45029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7AE8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noWrap w:val="0"/>
            <w:vAlign w:val="center"/>
          </w:tcPr>
          <w:p w14:paraId="333667C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140</w:t>
            </w:r>
          </w:p>
        </w:tc>
        <w:tc>
          <w:tcPr>
            <w:tcW w:w="7019" w:type="dxa"/>
            <w:noWrap w:val="0"/>
            <w:vAlign w:val="center"/>
          </w:tcPr>
          <w:p w14:paraId="464E0EE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《混凝土结构工程施工质量验收规范》GB 50204-2015</w:t>
            </w:r>
          </w:p>
        </w:tc>
        <w:tc>
          <w:tcPr>
            <w:tcW w:w="1907" w:type="dxa"/>
            <w:noWrap w:val="0"/>
            <w:vAlign w:val="center"/>
          </w:tcPr>
          <w:p w14:paraId="17BBC07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14CFEB53">
        <w:tblPrEx>
          <w:tblCellMar>
            <w:top w:w="0" w:type="dxa"/>
            <w:left w:w="108" w:type="dxa"/>
            <w:bottom w:w="0" w:type="dxa"/>
            <w:right w:w="108" w:type="dxa"/>
          </w:tblCellMar>
        </w:tblPrEx>
        <w:trPr>
          <w:trHeight w:val="270" w:hRule="atLeast"/>
          <w:jc w:val="center"/>
        </w:trPr>
        <w:tc>
          <w:tcPr>
            <w:tcW w:w="760" w:type="dxa"/>
            <w:noWrap w:val="0"/>
            <w:vAlign w:val="center"/>
          </w:tcPr>
          <w:p w14:paraId="314EE1A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141</w:t>
            </w:r>
          </w:p>
        </w:tc>
        <w:tc>
          <w:tcPr>
            <w:tcW w:w="7019" w:type="dxa"/>
            <w:noWrap w:val="0"/>
            <w:vAlign w:val="center"/>
          </w:tcPr>
          <w:p w14:paraId="0CE1221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《混凝土强度检验评定标准》GB/T 50107-2010</w:t>
            </w:r>
          </w:p>
        </w:tc>
        <w:tc>
          <w:tcPr>
            <w:tcW w:w="1907" w:type="dxa"/>
            <w:noWrap w:val="0"/>
            <w:vAlign w:val="center"/>
          </w:tcPr>
          <w:p w14:paraId="5D529E5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0B50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noWrap w:val="0"/>
            <w:vAlign w:val="center"/>
          </w:tcPr>
          <w:p w14:paraId="541BC31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142</w:t>
            </w:r>
          </w:p>
        </w:tc>
        <w:tc>
          <w:tcPr>
            <w:tcW w:w="7019" w:type="dxa"/>
            <w:noWrap w:val="0"/>
            <w:vAlign w:val="center"/>
          </w:tcPr>
          <w:p w14:paraId="4792DB1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《混凝土质量控制标准》GB 50164-2011</w:t>
            </w:r>
          </w:p>
        </w:tc>
        <w:tc>
          <w:tcPr>
            <w:tcW w:w="1907" w:type="dxa"/>
            <w:noWrap w:val="0"/>
            <w:vAlign w:val="center"/>
          </w:tcPr>
          <w:p w14:paraId="4640B02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6C2D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1563807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143</w:t>
            </w:r>
          </w:p>
        </w:tc>
        <w:tc>
          <w:tcPr>
            <w:tcW w:w="7019" w:type="dxa"/>
            <w:noWrap w:val="0"/>
            <w:vAlign w:val="center"/>
          </w:tcPr>
          <w:p w14:paraId="76EAB28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《火力发电厂、变电站二次接线设计技术规程 》DL/T 5136-2012</w:t>
            </w:r>
          </w:p>
        </w:tc>
        <w:tc>
          <w:tcPr>
            <w:tcW w:w="1907" w:type="dxa"/>
            <w:noWrap w:val="0"/>
            <w:vAlign w:val="center"/>
          </w:tcPr>
          <w:p w14:paraId="652F69E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2811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2C6D7B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144</w:t>
            </w:r>
          </w:p>
        </w:tc>
        <w:tc>
          <w:tcPr>
            <w:tcW w:w="7019" w:type="dxa"/>
            <w:noWrap w:val="0"/>
            <w:vAlign w:val="center"/>
          </w:tcPr>
          <w:p w14:paraId="3DD8C31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《火力发电厂与变电站设计防火标准》GB 50229-2019</w:t>
            </w:r>
          </w:p>
        </w:tc>
        <w:tc>
          <w:tcPr>
            <w:tcW w:w="1907" w:type="dxa"/>
            <w:noWrap w:val="0"/>
            <w:vAlign w:val="center"/>
          </w:tcPr>
          <w:p w14:paraId="234E92A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6557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noWrap w:val="0"/>
            <w:vAlign w:val="center"/>
          </w:tcPr>
          <w:p w14:paraId="057BBDB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145</w:t>
            </w:r>
          </w:p>
        </w:tc>
        <w:tc>
          <w:tcPr>
            <w:tcW w:w="7019" w:type="dxa"/>
            <w:noWrap w:val="0"/>
            <w:vAlign w:val="center"/>
          </w:tcPr>
          <w:p w14:paraId="6E2C061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《继电保护和安全自动装置技术规程》GB/T 14285-2006</w:t>
            </w:r>
          </w:p>
        </w:tc>
        <w:tc>
          <w:tcPr>
            <w:tcW w:w="1907" w:type="dxa"/>
            <w:noWrap w:val="0"/>
            <w:vAlign w:val="center"/>
          </w:tcPr>
          <w:p w14:paraId="524ED1A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3C5A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noWrap w:val="0"/>
            <w:vAlign w:val="center"/>
          </w:tcPr>
          <w:p w14:paraId="285351E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146</w:t>
            </w:r>
          </w:p>
        </w:tc>
        <w:tc>
          <w:tcPr>
            <w:tcW w:w="7019" w:type="dxa"/>
            <w:noWrap w:val="0"/>
            <w:vAlign w:val="center"/>
          </w:tcPr>
          <w:p w14:paraId="48E2EA8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《架空电力线路内爆压接施工工艺规程》SDJ 277-1990</w:t>
            </w:r>
          </w:p>
        </w:tc>
        <w:tc>
          <w:tcPr>
            <w:tcW w:w="1907" w:type="dxa"/>
            <w:noWrap w:val="0"/>
            <w:vAlign w:val="center"/>
          </w:tcPr>
          <w:p w14:paraId="78AFCCA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7CCF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noWrap w:val="0"/>
            <w:vAlign w:val="center"/>
          </w:tcPr>
          <w:p w14:paraId="48E188D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147</w:t>
            </w:r>
          </w:p>
        </w:tc>
        <w:tc>
          <w:tcPr>
            <w:tcW w:w="7019" w:type="dxa"/>
            <w:noWrap w:val="0"/>
            <w:vAlign w:val="center"/>
          </w:tcPr>
          <w:p w14:paraId="652753F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《架空送电线路钢管杆设计技术规定》(DL/T5130一2001)</w:t>
            </w:r>
          </w:p>
        </w:tc>
        <w:tc>
          <w:tcPr>
            <w:tcW w:w="1907" w:type="dxa"/>
            <w:noWrap w:val="0"/>
            <w:vAlign w:val="center"/>
          </w:tcPr>
          <w:p w14:paraId="0046DED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2589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noWrap w:val="0"/>
            <w:vAlign w:val="center"/>
          </w:tcPr>
          <w:p w14:paraId="5B359C6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148</w:t>
            </w:r>
          </w:p>
        </w:tc>
        <w:tc>
          <w:tcPr>
            <w:tcW w:w="7019" w:type="dxa"/>
            <w:noWrap w:val="0"/>
            <w:vAlign w:val="center"/>
          </w:tcPr>
          <w:p w14:paraId="3E97E64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《电力工程电缆设计标准》GB50217-2018</w:t>
            </w:r>
          </w:p>
        </w:tc>
        <w:tc>
          <w:tcPr>
            <w:tcW w:w="1907" w:type="dxa"/>
            <w:noWrap w:val="0"/>
            <w:vAlign w:val="center"/>
          </w:tcPr>
          <w:p w14:paraId="2B7DF13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4F75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A66FD4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149</w:t>
            </w:r>
          </w:p>
        </w:tc>
        <w:tc>
          <w:tcPr>
            <w:tcW w:w="7019" w:type="dxa"/>
            <w:noWrap w:val="0"/>
            <w:vAlign w:val="center"/>
          </w:tcPr>
          <w:p w14:paraId="56EBF8E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《建设工程监理规范》GB/T50319-2013</w:t>
            </w:r>
          </w:p>
        </w:tc>
        <w:tc>
          <w:tcPr>
            <w:tcW w:w="1907" w:type="dxa"/>
            <w:noWrap w:val="0"/>
            <w:vAlign w:val="center"/>
          </w:tcPr>
          <w:p w14:paraId="13E89E9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7060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1F6E37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150</w:t>
            </w:r>
          </w:p>
        </w:tc>
        <w:tc>
          <w:tcPr>
            <w:tcW w:w="7019" w:type="dxa"/>
            <w:noWrap w:val="0"/>
            <w:vAlign w:val="center"/>
          </w:tcPr>
          <w:p w14:paraId="2C0A966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《电力建设工程监理规范》(DL/T 5434-2009)</w:t>
            </w:r>
          </w:p>
        </w:tc>
        <w:tc>
          <w:tcPr>
            <w:tcW w:w="1907" w:type="dxa"/>
            <w:noWrap w:val="0"/>
            <w:vAlign w:val="center"/>
          </w:tcPr>
          <w:p w14:paraId="4DE17E0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6286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178CF7C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151</w:t>
            </w:r>
          </w:p>
        </w:tc>
        <w:tc>
          <w:tcPr>
            <w:tcW w:w="7019" w:type="dxa"/>
            <w:noWrap w:val="0"/>
            <w:vAlign w:val="center"/>
          </w:tcPr>
          <w:p w14:paraId="314301D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《建筑工程施工质量验收统一标准》 GB 50300-2013</w:t>
            </w:r>
          </w:p>
        </w:tc>
        <w:tc>
          <w:tcPr>
            <w:tcW w:w="1907" w:type="dxa"/>
            <w:noWrap w:val="0"/>
            <w:vAlign w:val="center"/>
          </w:tcPr>
          <w:p w14:paraId="5D97C4C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2ABE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23B4A2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152</w:t>
            </w:r>
          </w:p>
        </w:tc>
        <w:tc>
          <w:tcPr>
            <w:tcW w:w="7019" w:type="dxa"/>
            <w:noWrap w:val="0"/>
            <w:vAlign w:val="center"/>
          </w:tcPr>
          <w:p w14:paraId="4C921A2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《工程建设标准强制性条文》（房屋建筑部分）（2013版）</w:t>
            </w:r>
          </w:p>
        </w:tc>
        <w:tc>
          <w:tcPr>
            <w:tcW w:w="1907" w:type="dxa"/>
            <w:noWrap w:val="0"/>
            <w:vAlign w:val="center"/>
          </w:tcPr>
          <w:p w14:paraId="6AB749A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64DE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1DD1A9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153</w:t>
            </w:r>
          </w:p>
        </w:tc>
        <w:tc>
          <w:tcPr>
            <w:tcW w:w="7019" w:type="dxa"/>
            <w:noWrap w:val="0"/>
            <w:vAlign w:val="center"/>
          </w:tcPr>
          <w:p w14:paraId="54DA1F4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《建设工程项目管理规范》 GB/T 50326-2017</w:t>
            </w:r>
          </w:p>
        </w:tc>
        <w:tc>
          <w:tcPr>
            <w:tcW w:w="1907" w:type="dxa"/>
            <w:noWrap w:val="0"/>
            <w:vAlign w:val="center"/>
          </w:tcPr>
          <w:p w14:paraId="24AA80B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5384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EEC79F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154</w:t>
            </w:r>
          </w:p>
        </w:tc>
        <w:tc>
          <w:tcPr>
            <w:tcW w:w="7019" w:type="dxa"/>
            <w:noWrap w:val="0"/>
            <w:vAlign w:val="center"/>
          </w:tcPr>
          <w:p w14:paraId="5662A97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《建设工程文件归档规范》GB/T 50328-2014</w:t>
            </w:r>
          </w:p>
        </w:tc>
        <w:tc>
          <w:tcPr>
            <w:tcW w:w="1907" w:type="dxa"/>
            <w:noWrap w:val="0"/>
            <w:vAlign w:val="center"/>
          </w:tcPr>
          <w:p w14:paraId="483CEA1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6241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F5F586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155</w:t>
            </w:r>
          </w:p>
        </w:tc>
        <w:tc>
          <w:tcPr>
            <w:tcW w:w="7019" w:type="dxa"/>
            <w:noWrap w:val="0"/>
            <w:vAlign w:val="center"/>
          </w:tcPr>
          <w:p w14:paraId="1961E6F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《建设项目档案管理规范》DA/T28-2018</w:t>
            </w:r>
          </w:p>
        </w:tc>
        <w:tc>
          <w:tcPr>
            <w:tcW w:w="1907" w:type="dxa"/>
            <w:noWrap w:val="0"/>
            <w:vAlign w:val="center"/>
          </w:tcPr>
          <w:p w14:paraId="11204FD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3DAA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86D955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156</w:t>
            </w:r>
          </w:p>
        </w:tc>
        <w:tc>
          <w:tcPr>
            <w:tcW w:w="7019" w:type="dxa"/>
            <w:noWrap w:val="0"/>
            <w:vAlign w:val="center"/>
          </w:tcPr>
          <w:p w14:paraId="62059D7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《建筑基桩检测技术规范》JGJ 106-2014</w:t>
            </w:r>
          </w:p>
        </w:tc>
        <w:tc>
          <w:tcPr>
            <w:tcW w:w="1907" w:type="dxa"/>
            <w:noWrap w:val="0"/>
            <w:vAlign w:val="center"/>
          </w:tcPr>
          <w:p w14:paraId="474EFD4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6505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C40EA1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157</w:t>
            </w:r>
          </w:p>
        </w:tc>
        <w:tc>
          <w:tcPr>
            <w:tcW w:w="7019" w:type="dxa"/>
            <w:noWrap w:val="0"/>
            <w:vAlign w:val="center"/>
          </w:tcPr>
          <w:p w14:paraId="5A5669F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《建筑地基处理技术规范》JGJ 79-2012</w:t>
            </w:r>
          </w:p>
        </w:tc>
        <w:tc>
          <w:tcPr>
            <w:tcW w:w="1907" w:type="dxa"/>
            <w:noWrap w:val="0"/>
            <w:vAlign w:val="center"/>
          </w:tcPr>
          <w:p w14:paraId="412CB1D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64C7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B7C9B8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158</w:t>
            </w:r>
          </w:p>
        </w:tc>
        <w:tc>
          <w:tcPr>
            <w:tcW w:w="7019" w:type="dxa"/>
            <w:noWrap w:val="0"/>
            <w:vAlign w:val="center"/>
          </w:tcPr>
          <w:p w14:paraId="44DC5F2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《建筑地基基础设计规范》GB 50027-2011</w:t>
            </w:r>
          </w:p>
        </w:tc>
        <w:tc>
          <w:tcPr>
            <w:tcW w:w="1907" w:type="dxa"/>
            <w:noWrap w:val="0"/>
            <w:vAlign w:val="center"/>
          </w:tcPr>
          <w:p w14:paraId="2F238BD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517E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504B97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159</w:t>
            </w:r>
          </w:p>
        </w:tc>
        <w:tc>
          <w:tcPr>
            <w:tcW w:w="7019" w:type="dxa"/>
            <w:noWrap w:val="0"/>
            <w:vAlign w:val="center"/>
          </w:tcPr>
          <w:p w14:paraId="40BCBE9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《建筑地基基础工程施工质量验收标准》GB 50202-2018</w:t>
            </w:r>
          </w:p>
        </w:tc>
        <w:tc>
          <w:tcPr>
            <w:tcW w:w="1907" w:type="dxa"/>
            <w:noWrap w:val="0"/>
            <w:vAlign w:val="center"/>
          </w:tcPr>
          <w:p w14:paraId="6BC0BC4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191B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noWrap w:val="0"/>
            <w:vAlign w:val="center"/>
          </w:tcPr>
          <w:p w14:paraId="058DA72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160</w:t>
            </w:r>
          </w:p>
        </w:tc>
        <w:tc>
          <w:tcPr>
            <w:tcW w:w="7019" w:type="dxa"/>
            <w:noWrap w:val="0"/>
            <w:vAlign w:val="center"/>
          </w:tcPr>
          <w:p w14:paraId="1AB3607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《建筑地面工程施工质量验收规范》 GB 50209-2010</w:t>
            </w:r>
          </w:p>
        </w:tc>
        <w:tc>
          <w:tcPr>
            <w:tcW w:w="1907" w:type="dxa"/>
            <w:noWrap w:val="0"/>
            <w:vAlign w:val="center"/>
          </w:tcPr>
          <w:p w14:paraId="548B343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5422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44A0D2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161</w:t>
            </w:r>
          </w:p>
        </w:tc>
        <w:tc>
          <w:tcPr>
            <w:tcW w:w="7019" w:type="dxa"/>
            <w:noWrap w:val="0"/>
            <w:vAlign w:val="center"/>
          </w:tcPr>
          <w:p w14:paraId="72E56A5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《建筑电气工程施工质量验收规范》GB50303-2015</w:t>
            </w:r>
          </w:p>
        </w:tc>
        <w:tc>
          <w:tcPr>
            <w:tcW w:w="1907" w:type="dxa"/>
            <w:noWrap w:val="0"/>
            <w:vAlign w:val="center"/>
          </w:tcPr>
          <w:p w14:paraId="6D733B0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7408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7A2B48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162</w:t>
            </w:r>
          </w:p>
        </w:tc>
        <w:tc>
          <w:tcPr>
            <w:tcW w:w="7019" w:type="dxa"/>
            <w:noWrap w:val="0"/>
            <w:vAlign w:val="center"/>
          </w:tcPr>
          <w:p w14:paraId="2E0F1AA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《建筑电气工程施工质量验收规范》GB 50303-2015</w:t>
            </w:r>
          </w:p>
        </w:tc>
        <w:tc>
          <w:tcPr>
            <w:tcW w:w="1907" w:type="dxa"/>
            <w:noWrap w:val="0"/>
            <w:vAlign w:val="center"/>
          </w:tcPr>
          <w:p w14:paraId="0C68EEF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6DE6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170271E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163</w:t>
            </w:r>
          </w:p>
        </w:tc>
        <w:tc>
          <w:tcPr>
            <w:tcW w:w="7019" w:type="dxa"/>
            <w:noWrap w:val="0"/>
            <w:vAlign w:val="center"/>
          </w:tcPr>
          <w:p w14:paraId="234852F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《建筑钢结构防火设计规程（附条文说明）》DG/TJ 08-20008-2000</w:t>
            </w:r>
          </w:p>
        </w:tc>
        <w:tc>
          <w:tcPr>
            <w:tcW w:w="1907" w:type="dxa"/>
            <w:noWrap w:val="0"/>
            <w:vAlign w:val="center"/>
          </w:tcPr>
          <w:p w14:paraId="007A2CF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0806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F91FE2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164</w:t>
            </w:r>
          </w:p>
        </w:tc>
        <w:tc>
          <w:tcPr>
            <w:tcW w:w="7019" w:type="dxa"/>
            <w:noWrap w:val="0"/>
            <w:vAlign w:val="center"/>
          </w:tcPr>
          <w:p w14:paraId="4EE7601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《建筑给水排水及采暖工程施工质量验收规范》GB50242-2002</w:t>
            </w:r>
          </w:p>
        </w:tc>
        <w:tc>
          <w:tcPr>
            <w:tcW w:w="1907" w:type="dxa"/>
            <w:noWrap w:val="0"/>
            <w:vAlign w:val="center"/>
          </w:tcPr>
          <w:p w14:paraId="7099C5C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2281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01CAB4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165</w:t>
            </w:r>
          </w:p>
        </w:tc>
        <w:tc>
          <w:tcPr>
            <w:tcW w:w="7019" w:type="dxa"/>
            <w:noWrap w:val="0"/>
            <w:vAlign w:val="center"/>
          </w:tcPr>
          <w:p w14:paraId="317AA0C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《建筑工程抗震设防分类标准》GB 50223-2008</w:t>
            </w:r>
          </w:p>
        </w:tc>
        <w:tc>
          <w:tcPr>
            <w:tcW w:w="1907" w:type="dxa"/>
            <w:noWrap w:val="0"/>
            <w:vAlign w:val="center"/>
          </w:tcPr>
          <w:p w14:paraId="17B609C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4B94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359CAB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166</w:t>
            </w:r>
          </w:p>
        </w:tc>
        <w:tc>
          <w:tcPr>
            <w:tcW w:w="7019" w:type="dxa"/>
            <w:noWrap w:val="0"/>
            <w:vAlign w:val="center"/>
          </w:tcPr>
          <w:p w14:paraId="261356C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《建筑结构荷载规范》GB 5009-2012</w:t>
            </w:r>
          </w:p>
        </w:tc>
        <w:tc>
          <w:tcPr>
            <w:tcW w:w="1907" w:type="dxa"/>
            <w:noWrap w:val="0"/>
            <w:vAlign w:val="center"/>
          </w:tcPr>
          <w:p w14:paraId="6E3DE31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63DB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0352E9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167</w:t>
            </w:r>
          </w:p>
        </w:tc>
        <w:tc>
          <w:tcPr>
            <w:tcW w:w="7019" w:type="dxa"/>
            <w:noWrap w:val="0"/>
            <w:vAlign w:val="center"/>
          </w:tcPr>
          <w:p w14:paraId="5F8DA90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《建筑结构检测技术标准》GB/T 50344-2004</w:t>
            </w:r>
          </w:p>
        </w:tc>
        <w:tc>
          <w:tcPr>
            <w:tcW w:w="1907" w:type="dxa"/>
            <w:noWrap w:val="0"/>
            <w:vAlign w:val="center"/>
          </w:tcPr>
          <w:p w14:paraId="480D834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3866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9072AA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168</w:t>
            </w:r>
          </w:p>
        </w:tc>
        <w:tc>
          <w:tcPr>
            <w:tcW w:w="7019" w:type="dxa"/>
            <w:noWrap w:val="0"/>
            <w:vAlign w:val="center"/>
          </w:tcPr>
          <w:p w14:paraId="5649F40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《建筑抗震设计规范（附条文说明）》GB 50011-2010</w:t>
            </w:r>
          </w:p>
        </w:tc>
        <w:tc>
          <w:tcPr>
            <w:tcW w:w="1907" w:type="dxa"/>
            <w:noWrap w:val="0"/>
            <w:vAlign w:val="center"/>
          </w:tcPr>
          <w:p w14:paraId="2993B9C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53FF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13343EE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169</w:t>
            </w:r>
          </w:p>
        </w:tc>
        <w:tc>
          <w:tcPr>
            <w:tcW w:w="7019" w:type="dxa"/>
            <w:noWrap w:val="0"/>
            <w:vAlign w:val="center"/>
          </w:tcPr>
          <w:p w14:paraId="2146505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《建筑气象参数标准》JGJ 35-1987</w:t>
            </w:r>
          </w:p>
        </w:tc>
        <w:tc>
          <w:tcPr>
            <w:tcW w:w="1907" w:type="dxa"/>
            <w:noWrap w:val="0"/>
            <w:vAlign w:val="center"/>
          </w:tcPr>
          <w:p w14:paraId="410B24D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4728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9EFCDE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170</w:t>
            </w:r>
          </w:p>
        </w:tc>
        <w:tc>
          <w:tcPr>
            <w:tcW w:w="7019" w:type="dxa"/>
            <w:noWrap w:val="0"/>
            <w:vAlign w:val="center"/>
          </w:tcPr>
          <w:p w14:paraId="587CD6D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《建筑设计防火规范》GB 50016-2014</w:t>
            </w:r>
          </w:p>
        </w:tc>
        <w:tc>
          <w:tcPr>
            <w:tcW w:w="1907" w:type="dxa"/>
            <w:noWrap w:val="0"/>
            <w:vAlign w:val="center"/>
          </w:tcPr>
          <w:p w14:paraId="6AB350E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717C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52817B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171</w:t>
            </w:r>
          </w:p>
        </w:tc>
        <w:tc>
          <w:tcPr>
            <w:tcW w:w="7019" w:type="dxa"/>
            <w:noWrap w:val="0"/>
            <w:vAlign w:val="center"/>
          </w:tcPr>
          <w:p w14:paraId="22D8149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《建筑桩基技术规范》、《建筑地基基础设计规范》JGJ94-2008、GB50007-2011</w:t>
            </w:r>
          </w:p>
        </w:tc>
        <w:tc>
          <w:tcPr>
            <w:tcW w:w="1907" w:type="dxa"/>
            <w:noWrap w:val="0"/>
            <w:vAlign w:val="center"/>
          </w:tcPr>
          <w:p w14:paraId="0236944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15AD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2266DD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172</w:t>
            </w:r>
          </w:p>
        </w:tc>
        <w:tc>
          <w:tcPr>
            <w:tcW w:w="7019" w:type="dxa"/>
            <w:noWrap w:val="0"/>
            <w:vAlign w:val="center"/>
          </w:tcPr>
          <w:p w14:paraId="5A1E679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《建筑装饰装修工程质量验收规范》GB 50210-2018</w:t>
            </w:r>
          </w:p>
        </w:tc>
        <w:tc>
          <w:tcPr>
            <w:tcW w:w="1907" w:type="dxa"/>
            <w:noWrap w:val="0"/>
            <w:vAlign w:val="center"/>
          </w:tcPr>
          <w:p w14:paraId="41C65FF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5BBB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6F0999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173</w:t>
            </w:r>
          </w:p>
        </w:tc>
        <w:tc>
          <w:tcPr>
            <w:tcW w:w="7019" w:type="dxa"/>
            <w:noWrap w:val="0"/>
            <w:vAlign w:val="center"/>
          </w:tcPr>
          <w:p w14:paraId="48C7758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《建设用卵石、碎石》GB/T 14685-2011</w:t>
            </w:r>
          </w:p>
        </w:tc>
        <w:tc>
          <w:tcPr>
            <w:tcW w:w="1907" w:type="dxa"/>
            <w:noWrap w:val="0"/>
            <w:vAlign w:val="center"/>
          </w:tcPr>
          <w:p w14:paraId="7CB3693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0282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6CF355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174</w:t>
            </w:r>
          </w:p>
        </w:tc>
        <w:tc>
          <w:tcPr>
            <w:tcW w:w="7019" w:type="dxa"/>
            <w:noWrap w:val="0"/>
            <w:vAlign w:val="center"/>
          </w:tcPr>
          <w:p w14:paraId="789CA5B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《建设用砂》GB/T 14684-2011</w:t>
            </w:r>
          </w:p>
        </w:tc>
        <w:tc>
          <w:tcPr>
            <w:tcW w:w="1907" w:type="dxa"/>
            <w:noWrap w:val="0"/>
            <w:vAlign w:val="center"/>
          </w:tcPr>
          <w:p w14:paraId="2DF4BC8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2EDE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4BF5303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175</w:t>
            </w:r>
          </w:p>
        </w:tc>
        <w:tc>
          <w:tcPr>
            <w:tcW w:w="7019" w:type="dxa"/>
            <w:noWrap w:val="0"/>
            <w:vAlign w:val="center"/>
          </w:tcPr>
          <w:p w14:paraId="3B1FED3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《交流110kV交联聚乙烯绝缘电缆及其附件订货技术规范》DL 509-1993</w:t>
            </w:r>
          </w:p>
        </w:tc>
        <w:tc>
          <w:tcPr>
            <w:tcW w:w="1907" w:type="dxa"/>
            <w:noWrap w:val="0"/>
            <w:vAlign w:val="center"/>
          </w:tcPr>
          <w:p w14:paraId="2D330B7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5A52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13CF2B7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176</w:t>
            </w:r>
          </w:p>
        </w:tc>
        <w:tc>
          <w:tcPr>
            <w:tcW w:w="7019" w:type="dxa"/>
            <w:noWrap w:val="0"/>
            <w:vAlign w:val="center"/>
          </w:tcPr>
          <w:p w14:paraId="5EDA9B3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《紧固件机械性能》（GB/T 3098.1-2010、GB/T 3098.2-2015、GB/T 3098.3-2016、GB/T 3098.5-2016、GB/T 3098.6-2014、GB/T 3098.7-2000、GB/T 3098.8-2010、GB/T 3098.9-2010、GB/T 3098.10-1993、GB/T 3098.11-2002、GB/T 3098.12-1996、GB/T 3098.13-1996、GB/T 3098.14-2000、GB/T 3098.15-2014、GB/T 3098.16-2014、GB/T 3098.17-2000、GB/T 3098.18-2004、GB/T 3098.19-2004、GB/T 3098.20-2004、GB/T 3098.21-2014、GB/T 3098.22-2009）</w:t>
            </w:r>
          </w:p>
        </w:tc>
        <w:tc>
          <w:tcPr>
            <w:tcW w:w="1907" w:type="dxa"/>
            <w:noWrap w:val="0"/>
            <w:vAlign w:val="center"/>
          </w:tcPr>
          <w:p w14:paraId="25427C0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7EF9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1A3E59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177</w:t>
            </w:r>
          </w:p>
        </w:tc>
        <w:tc>
          <w:tcPr>
            <w:tcW w:w="7019" w:type="dxa"/>
            <w:noWrap w:val="0"/>
            <w:vAlign w:val="center"/>
          </w:tcPr>
          <w:p w14:paraId="355153A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《民用建筑电气设计规范(附条文说明[另册])》 JGJ 16-2008</w:t>
            </w:r>
          </w:p>
        </w:tc>
        <w:tc>
          <w:tcPr>
            <w:tcW w:w="1907" w:type="dxa"/>
            <w:noWrap w:val="0"/>
            <w:vAlign w:val="center"/>
          </w:tcPr>
          <w:p w14:paraId="765F753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7DA7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979A3B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178</w:t>
            </w:r>
          </w:p>
        </w:tc>
        <w:tc>
          <w:tcPr>
            <w:tcW w:w="7019" w:type="dxa"/>
            <w:noWrap w:val="0"/>
            <w:vAlign w:val="center"/>
          </w:tcPr>
          <w:p w14:paraId="5637962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《木结构工程施工质量验收规范》 GB 50206-2012</w:t>
            </w:r>
          </w:p>
        </w:tc>
        <w:tc>
          <w:tcPr>
            <w:tcW w:w="1907" w:type="dxa"/>
            <w:noWrap w:val="0"/>
            <w:vAlign w:val="center"/>
          </w:tcPr>
          <w:p w14:paraId="4A9668C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63C7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FD014F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179</w:t>
            </w:r>
          </w:p>
        </w:tc>
        <w:tc>
          <w:tcPr>
            <w:tcW w:w="7019" w:type="dxa"/>
            <w:noWrap w:val="0"/>
            <w:vAlign w:val="center"/>
          </w:tcPr>
          <w:p w14:paraId="198AA6F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《普通混凝土力学性能试验方法标准》GB/T 50081-2002</w:t>
            </w:r>
          </w:p>
        </w:tc>
        <w:tc>
          <w:tcPr>
            <w:tcW w:w="1907" w:type="dxa"/>
            <w:noWrap w:val="0"/>
            <w:vAlign w:val="center"/>
          </w:tcPr>
          <w:p w14:paraId="075EFC7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5D60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48DCAD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180</w:t>
            </w:r>
          </w:p>
        </w:tc>
        <w:tc>
          <w:tcPr>
            <w:tcW w:w="7019" w:type="dxa"/>
            <w:noWrap w:val="0"/>
            <w:vAlign w:val="center"/>
          </w:tcPr>
          <w:p w14:paraId="4A87E44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《普通混凝土配合比设计规程》JGJ 55-2011</w:t>
            </w:r>
          </w:p>
        </w:tc>
        <w:tc>
          <w:tcPr>
            <w:tcW w:w="1907" w:type="dxa"/>
            <w:noWrap w:val="0"/>
            <w:vAlign w:val="center"/>
          </w:tcPr>
          <w:p w14:paraId="4BED511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7E0B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FCB63D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181</w:t>
            </w:r>
          </w:p>
        </w:tc>
        <w:tc>
          <w:tcPr>
            <w:tcW w:w="7019" w:type="dxa"/>
            <w:noWrap w:val="0"/>
            <w:vAlign w:val="center"/>
          </w:tcPr>
          <w:p w14:paraId="4E72178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《普通混凝土用砂、石质量及检验方法标准》JGJ 52-2006</w:t>
            </w:r>
          </w:p>
        </w:tc>
        <w:tc>
          <w:tcPr>
            <w:tcW w:w="1907" w:type="dxa"/>
            <w:noWrap w:val="0"/>
            <w:vAlign w:val="center"/>
          </w:tcPr>
          <w:p w14:paraId="058F9D1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10C1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01F397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182</w:t>
            </w:r>
          </w:p>
        </w:tc>
        <w:tc>
          <w:tcPr>
            <w:tcW w:w="7019" w:type="dxa"/>
            <w:noWrap w:val="0"/>
            <w:vAlign w:val="center"/>
          </w:tcPr>
          <w:p w14:paraId="34255E9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《砌体结构工程施工质量验收规范 》GB 50203-2011</w:t>
            </w:r>
          </w:p>
        </w:tc>
        <w:tc>
          <w:tcPr>
            <w:tcW w:w="1907" w:type="dxa"/>
            <w:noWrap w:val="0"/>
            <w:vAlign w:val="center"/>
          </w:tcPr>
          <w:p w14:paraId="5242B2A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6E8D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A0697B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183</w:t>
            </w:r>
          </w:p>
        </w:tc>
        <w:tc>
          <w:tcPr>
            <w:tcW w:w="7019" w:type="dxa"/>
            <w:noWrap w:val="0"/>
            <w:vAlign w:val="center"/>
          </w:tcPr>
          <w:p w14:paraId="5793571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《砌体结构设计规范》GB 50003-2011</w:t>
            </w:r>
          </w:p>
        </w:tc>
        <w:tc>
          <w:tcPr>
            <w:tcW w:w="1907" w:type="dxa"/>
            <w:noWrap w:val="0"/>
            <w:vAlign w:val="center"/>
          </w:tcPr>
          <w:p w14:paraId="2E0D46A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6C38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219C1A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184</w:t>
            </w:r>
          </w:p>
        </w:tc>
        <w:tc>
          <w:tcPr>
            <w:tcW w:w="7019" w:type="dxa"/>
            <w:noWrap w:val="0"/>
            <w:vAlign w:val="center"/>
          </w:tcPr>
          <w:p w14:paraId="07CE983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《砌筑砂浆配合比设计规程》JGJ/T 98-2010</w:t>
            </w:r>
          </w:p>
        </w:tc>
        <w:tc>
          <w:tcPr>
            <w:tcW w:w="1907" w:type="dxa"/>
            <w:noWrap w:val="0"/>
            <w:vAlign w:val="center"/>
          </w:tcPr>
          <w:p w14:paraId="022CE12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49E1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3FFB95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185</w:t>
            </w:r>
          </w:p>
        </w:tc>
        <w:tc>
          <w:tcPr>
            <w:tcW w:w="7019" w:type="dxa"/>
            <w:noWrap w:val="0"/>
            <w:vAlign w:val="center"/>
          </w:tcPr>
          <w:p w14:paraId="6D2FD87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《热强钢焊条》GB/T 5118-2012</w:t>
            </w:r>
          </w:p>
        </w:tc>
        <w:tc>
          <w:tcPr>
            <w:tcW w:w="1907" w:type="dxa"/>
            <w:noWrap w:val="0"/>
            <w:vAlign w:val="center"/>
          </w:tcPr>
          <w:p w14:paraId="1BF7FE5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5A3F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13DC4EC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186</w:t>
            </w:r>
          </w:p>
        </w:tc>
        <w:tc>
          <w:tcPr>
            <w:tcW w:w="7019" w:type="dxa"/>
            <w:noWrap w:val="0"/>
            <w:vAlign w:val="center"/>
          </w:tcPr>
          <w:p w14:paraId="6B27144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《输变电工程架空导线及地线液压压接工艺规程》DL/T 5285-2018</w:t>
            </w:r>
          </w:p>
        </w:tc>
        <w:tc>
          <w:tcPr>
            <w:tcW w:w="1907" w:type="dxa"/>
            <w:noWrap w:val="0"/>
            <w:vAlign w:val="center"/>
          </w:tcPr>
          <w:p w14:paraId="500B2C6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2183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406A85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187</w:t>
            </w:r>
          </w:p>
        </w:tc>
        <w:tc>
          <w:tcPr>
            <w:tcW w:w="7019" w:type="dxa"/>
            <w:noWrap w:val="0"/>
            <w:vAlign w:val="center"/>
          </w:tcPr>
          <w:p w14:paraId="39FD8DB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《架空输电线路施工机具基本技术要求》DL/T 875-2016 </w:t>
            </w:r>
          </w:p>
        </w:tc>
        <w:tc>
          <w:tcPr>
            <w:tcW w:w="1907" w:type="dxa"/>
            <w:noWrap w:val="0"/>
            <w:vAlign w:val="center"/>
          </w:tcPr>
          <w:p w14:paraId="01193E6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2B53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56015D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188</w:t>
            </w:r>
          </w:p>
        </w:tc>
        <w:tc>
          <w:tcPr>
            <w:tcW w:w="7019" w:type="dxa"/>
            <w:noWrap w:val="0"/>
            <w:vAlign w:val="center"/>
          </w:tcPr>
          <w:p w14:paraId="247DC79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《输电线路铁塔制造技术条件》GB/T 2694-2018</w:t>
            </w:r>
          </w:p>
        </w:tc>
        <w:tc>
          <w:tcPr>
            <w:tcW w:w="1907" w:type="dxa"/>
            <w:noWrap w:val="0"/>
            <w:vAlign w:val="center"/>
          </w:tcPr>
          <w:p w14:paraId="27E77C5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2153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3E3527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189</w:t>
            </w:r>
          </w:p>
        </w:tc>
        <w:tc>
          <w:tcPr>
            <w:tcW w:w="7019" w:type="dxa"/>
            <w:noWrap w:val="0"/>
            <w:vAlign w:val="center"/>
          </w:tcPr>
          <w:p w14:paraId="0E3340F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《水泥混凝土路面施工及验收规范》 GBJ 97-1987</w:t>
            </w:r>
          </w:p>
        </w:tc>
        <w:tc>
          <w:tcPr>
            <w:tcW w:w="1907" w:type="dxa"/>
            <w:noWrap w:val="0"/>
            <w:vAlign w:val="center"/>
          </w:tcPr>
          <w:p w14:paraId="745EBE4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76ED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99BCA9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190</w:t>
            </w:r>
          </w:p>
        </w:tc>
        <w:tc>
          <w:tcPr>
            <w:tcW w:w="7019" w:type="dxa"/>
            <w:noWrap w:val="0"/>
            <w:vAlign w:val="center"/>
          </w:tcPr>
          <w:p w14:paraId="06C9F34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《碳素结构钢》 GB/T 700-2006</w:t>
            </w:r>
          </w:p>
        </w:tc>
        <w:tc>
          <w:tcPr>
            <w:tcW w:w="1907" w:type="dxa"/>
            <w:noWrap w:val="0"/>
            <w:vAlign w:val="center"/>
          </w:tcPr>
          <w:p w14:paraId="6E450A5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11770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509D70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191</w:t>
            </w:r>
          </w:p>
        </w:tc>
        <w:tc>
          <w:tcPr>
            <w:tcW w:w="7019" w:type="dxa"/>
            <w:noWrap w:val="0"/>
            <w:vAlign w:val="center"/>
          </w:tcPr>
          <w:p w14:paraId="1A63507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《通风与空调工程施工质量验收规范》GB50243-2016</w:t>
            </w:r>
          </w:p>
        </w:tc>
        <w:tc>
          <w:tcPr>
            <w:tcW w:w="1907" w:type="dxa"/>
            <w:noWrap w:val="0"/>
            <w:vAlign w:val="center"/>
          </w:tcPr>
          <w:p w14:paraId="54B4199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0ED7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8BAF7E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192</w:t>
            </w:r>
          </w:p>
        </w:tc>
        <w:tc>
          <w:tcPr>
            <w:tcW w:w="7019" w:type="dxa"/>
            <w:noWrap w:val="0"/>
            <w:vAlign w:val="center"/>
          </w:tcPr>
          <w:p w14:paraId="48EE760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《通用用电设备配电设计规范》 GB 50055-2011</w:t>
            </w:r>
          </w:p>
        </w:tc>
        <w:tc>
          <w:tcPr>
            <w:tcW w:w="1907" w:type="dxa"/>
            <w:noWrap w:val="0"/>
            <w:vAlign w:val="center"/>
          </w:tcPr>
          <w:p w14:paraId="509EFF5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343E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1F06DD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193</w:t>
            </w:r>
          </w:p>
        </w:tc>
        <w:tc>
          <w:tcPr>
            <w:tcW w:w="7019" w:type="dxa"/>
            <w:noWrap w:val="0"/>
            <w:vAlign w:val="center"/>
          </w:tcPr>
          <w:p w14:paraId="6174A18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《土方与爆破工程施工及验收规范》GB 50201-2012</w:t>
            </w:r>
          </w:p>
        </w:tc>
        <w:tc>
          <w:tcPr>
            <w:tcW w:w="1907" w:type="dxa"/>
            <w:noWrap w:val="0"/>
            <w:vAlign w:val="center"/>
          </w:tcPr>
          <w:p w14:paraId="308670D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383E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D9146F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194</w:t>
            </w:r>
          </w:p>
        </w:tc>
        <w:tc>
          <w:tcPr>
            <w:tcW w:w="7019" w:type="dxa"/>
            <w:noWrap w:val="0"/>
            <w:vAlign w:val="center"/>
          </w:tcPr>
          <w:p w14:paraId="59E9791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《屋面工程质量验收规范》GB 50207-2012</w:t>
            </w:r>
          </w:p>
        </w:tc>
        <w:tc>
          <w:tcPr>
            <w:tcW w:w="1907" w:type="dxa"/>
            <w:noWrap w:val="0"/>
            <w:vAlign w:val="center"/>
          </w:tcPr>
          <w:p w14:paraId="437DA79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4A4D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noWrap w:val="0"/>
            <w:vAlign w:val="center"/>
          </w:tcPr>
          <w:p w14:paraId="4AC589C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195</w:t>
            </w:r>
          </w:p>
        </w:tc>
        <w:tc>
          <w:tcPr>
            <w:tcW w:w="7019" w:type="dxa"/>
            <w:noWrap w:val="0"/>
            <w:vAlign w:val="center"/>
          </w:tcPr>
          <w:p w14:paraId="20941B7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《岩土工程勘察规范》GB 50021-2001</w:t>
            </w:r>
          </w:p>
        </w:tc>
        <w:tc>
          <w:tcPr>
            <w:tcW w:w="1907" w:type="dxa"/>
            <w:noWrap w:val="0"/>
            <w:vAlign w:val="center"/>
          </w:tcPr>
          <w:p w14:paraId="725AC88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0519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91981B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196</w:t>
            </w:r>
          </w:p>
        </w:tc>
        <w:tc>
          <w:tcPr>
            <w:tcW w:w="7019" w:type="dxa"/>
            <w:noWrap w:val="0"/>
            <w:vAlign w:val="center"/>
          </w:tcPr>
          <w:p w14:paraId="3E2793C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《优质碳素结构钢》 GB/T 699-2015</w:t>
            </w:r>
          </w:p>
        </w:tc>
        <w:tc>
          <w:tcPr>
            <w:tcW w:w="1907" w:type="dxa"/>
            <w:noWrap w:val="0"/>
            <w:vAlign w:val="center"/>
          </w:tcPr>
          <w:p w14:paraId="0528878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3994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0A5B80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197</w:t>
            </w:r>
          </w:p>
        </w:tc>
        <w:tc>
          <w:tcPr>
            <w:tcW w:w="7019" w:type="dxa"/>
            <w:noWrap w:val="0"/>
            <w:vAlign w:val="center"/>
          </w:tcPr>
          <w:p w14:paraId="13EFF9B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《远动设备及系统 第5101部分:传输规约 基本远动任务配套标准》DL/T 634.5101-2002</w:t>
            </w:r>
          </w:p>
        </w:tc>
        <w:tc>
          <w:tcPr>
            <w:tcW w:w="1907" w:type="dxa"/>
            <w:noWrap w:val="0"/>
            <w:vAlign w:val="center"/>
          </w:tcPr>
          <w:p w14:paraId="367D090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592C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noWrap w:val="0"/>
            <w:vAlign w:val="center"/>
          </w:tcPr>
          <w:p w14:paraId="09EA71D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198</w:t>
            </w:r>
          </w:p>
        </w:tc>
        <w:tc>
          <w:tcPr>
            <w:tcW w:w="7019" w:type="dxa"/>
            <w:noWrap w:val="0"/>
            <w:vAlign w:val="center"/>
          </w:tcPr>
          <w:p w14:paraId="7F1B6A9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《远动设备及系统 第5-104部分：传输规约 采用标准传输协议集的IEC60870-5-101网络访问》 DL/T 634.5104-2009</w:t>
            </w:r>
          </w:p>
        </w:tc>
        <w:tc>
          <w:tcPr>
            <w:tcW w:w="1907" w:type="dxa"/>
            <w:noWrap w:val="0"/>
            <w:vAlign w:val="center"/>
          </w:tcPr>
          <w:p w14:paraId="169807D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6D17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5EF2FC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199</w:t>
            </w:r>
          </w:p>
        </w:tc>
        <w:tc>
          <w:tcPr>
            <w:tcW w:w="7019" w:type="dxa"/>
            <w:noWrap w:val="0"/>
            <w:vAlign w:val="center"/>
          </w:tcPr>
          <w:p w14:paraId="08B5BB2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《中国地震动参数区划图》GB 18306-2015</w:t>
            </w:r>
          </w:p>
        </w:tc>
        <w:tc>
          <w:tcPr>
            <w:tcW w:w="1907" w:type="dxa"/>
            <w:noWrap w:val="0"/>
            <w:vAlign w:val="center"/>
          </w:tcPr>
          <w:p w14:paraId="768AC5E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28B5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159E18B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w:t>
            </w:r>
          </w:p>
        </w:tc>
        <w:tc>
          <w:tcPr>
            <w:tcW w:w="7019" w:type="dxa"/>
            <w:noWrap w:val="0"/>
            <w:vAlign w:val="center"/>
          </w:tcPr>
          <w:p w14:paraId="73E8723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《组合钢模板技术规范》 GB/T 50214-2013</w:t>
            </w:r>
          </w:p>
        </w:tc>
        <w:tc>
          <w:tcPr>
            <w:tcW w:w="1907" w:type="dxa"/>
            <w:noWrap w:val="0"/>
            <w:vAlign w:val="center"/>
          </w:tcPr>
          <w:p w14:paraId="0C067B3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45EB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C9B19F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201</w:t>
            </w:r>
          </w:p>
        </w:tc>
        <w:tc>
          <w:tcPr>
            <w:tcW w:w="7019" w:type="dxa"/>
            <w:noWrap w:val="0"/>
            <w:vAlign w:val="center"/>
          </w:tcPr>
          <w:p w14:paraId="34CC6C3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《电力建设工程质量监督检查典型大纲（火电、送变电部分）》（电建质监[2005]57号）</w:t>
            </w:r>
          </w:p>
        </w:tc>
        <w:tc>
          <w:tcPr>
            <w:tcW w:w="1907" w:type="dxa"/>
            <w:noWrap w:val="0"/>
            <w:vAlign w:val="center"/>
          </w:tcPr>
          <w:p w14:paraId="1BC052A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7A52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D360A8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202</w:t>
            </w:r>
          </w:p>
        </w:tc>
        <w:tc>
          <w:tcPr>
            <w:tcW w:w="7019" w:type="dxa"/>
            <w:noWrap w:val="0"/>
            <w:vAlign w:val="center"/>
          </w:tcPr>
          <w:p w14:paraId="1BAC870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《电力建设施工质量验收及评价规程　第1部分：土建工程》 DL/T 5210.1-2012</w:t>
            </w:r>
          </w:p>
        </w:tc>
        <w:tc>
          <w:tcPr>
            <w:tcW w:w="1907" w:type="dxa"/>
            <w:noWrap w:val="0"/>
            <w:vAlign w:val="center"/>
          </w:tcPr>
          <w:p w14:paraId="064051A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0B84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7D33349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203</w:t>
            </w:r>
          </w:p>
        </w:tc>
        <w:tc>
          <w:tcPr>
            <w:tcW w:w="7019" w:type="dxa"/>
            <w:noWrap w:val="0"/>
            <w:vAlign w:val="center"/>
          </w:tcPr>
          <w:p w14:paraId="105CDF6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建筑结构荷载规范GB 50009-2012</w:t>
            </w:r>
          </w:p>
        </w:tc>
        <w:tc>
          <w:tcPr>
            <w:tcW w:w="1907" w:type="dxa"/>
            <w:noWrap w:val="0"/>
            <w:vAlign w:val="center"/>
          </w:tcPr>
          <w:p w14:paraId="2D015FB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3F3B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FAA829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204</w:t>
            </w:r>
          </w:p>
        </w:tc>
        <w:tc>
          <w:tcPr>
            <w:tcW w:w="7019" w:type="dxa"/>
            <w:noWrap w:val="0"/>
            <w:vAlign w:val="center"/>
          </w:tcPr>
          <w:p w14:paraId="2EBFD8A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建筑照明设计标准GB 50034-2013</w:t>
            </w:r>
          </w:p>
        </w:tc>
        <w:tc>
          <w:tcPr>
            <w:tcW w:w="1907" w:type="dxa"/>
            <w:noWrap w:val="0"/>
            <w:vAlign w:val="center"/>
          </w:tcPr>
          <w:p w14:paraId="19D01CB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1F7D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73F183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205</w:t>
            </w:r>
          </w:p>
        </w:tc>
        <w:tc>
          <w:tcPr>
            <w:tcW w:w="7019" w:type="dxa"/>
            <w:noWrap w:val="0"/>
            <w:vAlign w:val="center"/>
          </w:tcPr>
          <w:p w14:paraId="15E2909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《钢筋混凝土用钢 第1部分 热轧光圆钢筋》GB 1499.1-2017</w:t>
            </w:r>
          </w:p>
        </w:tc>
        <w:tc>
          <w:tcPr>
            <w:tcW w:w="1907" w:type="dxa"/>
            <w:noWrap w:val="0"/>
            <w:vAlign w:val="center"/>
          </w:tcPr>
          <w:p w14:paraId="2C54A06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150C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2F390C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206</w:t>
            </w:r>
          </w:p>
        </w:tc>
        <w:tc>
          <w:tcPr>
            <w:tcW w:w="7019" w:type="dxa"/>
            <w:noWrap w:val="0"/>
            <w:vAlign w:val="center"/>
          </w:tcPr>
          <w:p w14:paraId="4A31EC2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《钢筋混凝土用钢 第2部分 热轧带肋钢筋》GB 1499.2-2018</w:t>
            </w:r>
          </w:p>
        </w:tc>
        <w:tc>
          <w:tcPr>
            <w:tcW w:w="1907" w:type="dxa"/>
            <w:noWrap w:val="0"/>
            <w:vAlign w:val="center"/>
          </w:tcPr>
          <w:p w14:paraId="1C569B3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5BAC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5CC07F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207</w:t>
            </w:r>
          </w:p>
        </w:tc>
        <w:tc>
          <w:tcPr>
            <w:tcW w:w="7019" w:type="dxa"/>
            <w:noWrap w:val="0"/>
            <w:vAlign w:val="center"/>
          </w:tcPr>
          <w:p w14:paraId="0B3BFD0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《通用硅酸盐水泥》GB 175-2007/XG2-2015</w:t>
            </w:r>
          </w:p>
        </w:tc>
        <w:tc>
          <w:tcPr>
            <w:tcW w:w="1907" w:type="dxa"/>
            <w:noWrap w:val="0"/>
            <w:vAlign w:val="center"/>
          </w:tcPr>
          <w:p w14:paraId="3F8EA0F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04D6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147D7C7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208</w:t>
            </w:r>
          </w:p>
        </w:tc>
        <w:tc>
          <w:tcPr>
            <w:tcW w:w="7019" w:type="dxa"/>
            <w:noWrap w:val="0"/>
            <w:vAlign w:val="center"/>
          </w:tcPr>
          <w:p w14:paraId="124884D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《外墙饰面砖工程施工及验收规程》 JGJ 126-2015</w:t>
            </w:r>
          </w:p>
        </w:tc>
        <w:tc>
          <w:tcPr>
            <w:tcW w:w="1907" w:type="dxa"/>
            <w:noWrap w:val="0"/>
            <w:vAlign w:val="center"/>
          </w:tcPr>
          <w:p w14:paraId="5D7A924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2B5D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EA6E66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209</w:t>
            </w:r>
          </w:p>
        </w:tc>
        <w:tc>
          <w:tcPr>
            <w:tcW w:w="7019" w:type="dxa"/>
            <w:noWrap w:val="0"/>
            <w:vAlign w:val="center"/>
          </w:tcPr>
          <w:p w14:paraId="1269495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《水工混凝土施工规范》 DL/T 5144-2015</w:t>
            </w:r>
          </w:p>
        </w:tc>
        <w:tc>
          <w:tcPr>
            <w:tcW w:w="1907" w:type="dxa"/>
            <w:noWrap w:val="0"/>
            <w:vAlign w:val="center"/>
          </w:tcPr>
          <w:p w14:paraId="1FDF967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1E95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15C074A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210</w:t>
            </w:r>
          </w:p>
        </w:tc>
        <w:tc>
          <w:tcPr>
            <w:tcW w:w="7019" w:type="dxa"/>
            <w:noWrap w:val="0"/>
            <w:vAlign w:val="center"/>
          </w:tcPr>
          <w:p w14:paraId="763025A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《现场绝缘试验实施导则》DL/T 474.1～4-2018</w:t>
            </w:r>
          </w:p>
        </w:tc>
        <w:tc>
          <w:tcPr>
            <w:tcW w:w="1907" w:type="dxa"/>
            <w:noWrap w:val="0"/>
            <w:vAlign w:val="center"/>
          </w:tcPr>
          <w:p w14:paraId="7D1E0F9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4909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8224AF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211</w:t>
            </w:r>
          </w:p>
        </w:tc>
        <w:tc>
          <w:tcPr>
            <w:tcW w:w="7019" w:type="dxa"/>
            <w:noWrap w:val="0"/>
            <w:vAlign w:val="center"/>
          </w:tcPr>
          <w:p w14:paraId="5CA31DB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《光纤复合架空地线》 JB/T 8999-2014</w:t>
            </w:r>
          </w:p>
        </w:tc>
        <w:tc>
          <w:tcPr>
            <w:tcW w:w="1907" w:type="dxa"/>
            <w:noWrap w:val="0"/>
            <w:vAlign w:val="center"/>
          </w:tcPr>
          <w:p w14:paraId="0BAE3A5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1C94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7C46B1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212</w:t>
            </w:r>
          </w:p>
        </w:tc>
        <w:tc>
          <w:tcPr>
            <w:tcW w:w="7019" w:type="dxa"/>
            <w:noWrap w:val="0"/>
            <w:vAlign w:val="center"/>
          </w:tcPr>
          <w:p w14:paraId="316EAE4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《电磁环境控制限值》 GB 8702-2014</w:t>
            </w:r>
          </w:p>
        </w:tc>
        <w:tc>
          <w:tcPr>
            <w:tcW w:w="1907" w:type="dxa"/>
            <w:noWrap w:val="0"/>
            <w:vAlign w:val="center"/>
          </w:tcPr>
          <w:p w14:paraId="2B48167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6D2D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5FAB04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213</w:t>
            </w:r>
          </w:p>
        </w:tc>
        <w:tc>
          <w:tcPr>
            <w:tcW w:w="7019" w:type="dxa"/>
            <w:noWrap w:val="0"/>
            <w:vAlign w:val="center"/>
          </w:tcPr>
          <w:p w14:paraId="3EDFFEE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《电力建设工程 工程量清单计价规范-输电线路工程》 DL/T 5205-2016</w:t>
            </w:r>
          </w:p>
        </w:tc>
        <w:tc>
          <w:tcPr>
            <w:tcW w:w="1907" w:type="dxa"/>
            <w:noWrap w:val="0"/>
            <w:vAlign w:val="center"/>
          </w:tcPr>
          <w:p w14:paraId="4A9BD3F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01E9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433C594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214</w:t>
            </w:r>
          </w:p>
        </w:tc>
        <w:tc>
          <w:tcPr>
            <w:tcW w:w="7019" w:type="dxa"/>
            <w:noWrap w:val="0"/>
            <w:vAlign w:val="center"/>
          </w:tcPr>
          <w:p w14:paraId="6D287D3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《电力建设工程 工程量清单计价规范-变电工程》 DL/T 5341-2016</w:t>
            </w:r>
          </w:p>
        </w:tc>
        <w:tc>
          <w:tcPr>
            <w:tcW w:w="1907" w:type="dxa"/>
            <w:noWrap w:val="0"/>
            <w:vAlign w:val="center"/>
          </w:tcPr>
          <w:p w14:paraId="654A706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4C53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DF8A76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215</w:t>
            </w:r>
          </w:p>
        </w:tc>
        <w:tc>
          <w:tcPr>
            <w:tcW w:w="7019" w:type="dxa"/>
            <w:noWrap w:val="0"/>
            <w:vAlign w:val="center"/>
          </w:tcPr>
          <w:p w14:paraId="1397B90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《20kV及以下配电网工程工程量清单计算规范》DL/T 5766-2018</w:t>
            </w:r>
          </w:p>
        </w:tc>
        <w:tc>
          <w:tcPr>
            <w:tcW w:w="1907" w:type="dxa"/>
            <w:noWrap w:val="0"/>
            <w:vAlign w:val="center"/>
          </w:tcPr>
          <w:p w14:paraId="66ADCA0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7C1A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7B50E4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216</w:t>
            </w:r>
          </w:p>
        </w:tc>
        <w:tc>
          <w:tcPr>
            <w:tcW w:w="7019" w:type="dxa"/>
            <w:noWrap w:val="0"/>
            <w:vAlign w:val="center"/>
          </w:tcPr>
          <w:p w14:paraId="00578BC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《电网工程建设预算编制与计算规定（2013年版）》（国能电力[2013]289号）</w:t>
            </w:r>
          </w:p>
        </w:tc>
        <w:tc>
          <w:tcPr>
            <w:tcW w:w="1907" w:type="dxa"/>
            <w:noWrap w:val="0"/>
            <w:vAlign w:val="center"/>
          </w:tcPr>
          <w:p w14:paraId="38BF41E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03F1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3A9AB0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217</w:t>
            </w:r>
          </w:p>
        </w:tc>
        <w:tc>
          <w:tcPr>
            <w:tcW w:w="7019" w:type="dxa"/>
            <w:noWrap w:val="0"/>
            <w:vAlign w:val="center"/>
          </w:tcPr>
          <w:p w14:paraId="0A20DA6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《20kV及以下配电网工程建设预算编制与计算规定》（国能电力[2017]6号）</w:t>
            </w:r>
          </w:p>
        </w:tc>
        <w:tc>
          <w:tcPr>
            <w:tcW w:w="1907" w:type="dxa"/>
            <w:noWrap w:val="0"/>
            <w:vAlign w:val="center"/>
          </w:tcPr>
          <w:p w14:paraId="1636AD4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6068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7287AF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218</w:t>
            </w:r>
          </w:p>
        </w:tc>
        <w:tc>
          <w:tcPr>
            <w:tcW w:w="7019" w:type="dxa"/>
            <w:noWrap w:val="0"/>
            <w:vAlign w:val="center"/>
          </w:tcPr>
          <w:p w14:paraId="586E4C1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《国家能源局关于颁布2013版电力建设工程定额和费用计算规定的通知》（国能电力〔2013〕289号）</w:t>
            </w:r>
          </w:p>
        </w:tc>
        <w:tc>
          <w:tcPr>
            <w:tcW w:w="1907" w:type="dxa"/>
            <w:noWrap w:val="0"/>
            <w:vAlign w:val="center"/>
          </w:tcPr>
          <w:p w14:paraId="5B12E0C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4265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4201D9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219</w:t>
            </w:r>
          </w:p>
        </w:tc>
        <w:tc>
          <w:tcPr>
            <w:tcW w:w="7019" w:type="dxa"/>
            <w:noWrap w:val="0"/>
            <w:vAlign w:val="center"/>
          </w:tcPr>
          <w:p w14:paraId="68CDEB6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《国家能源局关于颁布20千伏及以下配电网工程定额及费用标准（2016年版）的通知》（国能电力〔2017〕6号）</w:t>
            </w:r>
          </w:p>
        </w:tc>
        <w:tc>
          <w:tcPr>
            <w:tcW w:w="1907" w:type="dxa"/>
            <w:noWrap w:val="0"/>
            <w:vAlign w:val="center"/>
          </w:tcPr>
          <w:p w14:paraId="33A690D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6671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5B1F60A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220</w:t>
            </w:r>
          </w:p>
        </w:tc>
        <w:tc>
          <w:tcPr>
            <w:tcW w:w="7019" w:type="dxa"/>
            <w:noWrap w:val="0"/>
            <w:vAlign w:val="center"/>
          </w:tcPr>
          <w:p w14:paraId="32BFEE6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关于落实《国家发展改革委关于进一步放开建设项目专业服务价格的通知》（发改价格[2015]299号）的指导意见（中电联定额[2015]162号文）</w:t>
            </w:r>
          </w:p>
        </w:tc>
        <w:tc>
          <w:tcPr>
            <w:tcW w:w="1907" w:type="dxa"/>
            <w:noWrap w:val="0"/>
            <w:vAlign w:val="center"/>
          </w:tcPr>
          <w:p w14:paraId="1163B0D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66FA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611F85A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221</w:t>
            </w:r>
          </w:p>
        </w:tc>
        <w:tc>
          <w:tcPr>
            <w:tcW w:w="7019" w:type="dxa"/>
            <w:noWrap w:val="0"/>
            <w:vAlign w:val="center"/>
          </w:tcPr>
          <w:p w14:paraId="68C4121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《220kV-500kV挤包固体绝缘电缆及附件试验方法要求》IEC 62067</w:t>
            </w:r>
          </w:p>
        </w:tc>
        <w:tc>
          <w:tcPr>
            <w:tcW w:w="1907" w:type="dxa"/>
            <w:noWrap w:val="0"/>
            <w:vAlign w:val="center"/>
          </w:tcPr>
          <w:p w14:paraId="2845B9D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3511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3C3315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222</w:t>
            </w:r>
          </w:p>
        </w:tc>
        <w:tc>
          <w:tcPr>
            <w:tcW w:w="7019" w:type="dxa"/>
            <w:noWrap w:val="0"/>
            <w:vAlign w:val="center"/>
          </w:tcPr>
          <w:p w14:paraId="6EC157E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《30kV-150kV挤包固体绝缘电缆及附件试验方法要求》IEC 60840</w:t>
            </w:r>
          </w:p>
        </w:tc>
        <w:tc>
          <w:tcPr>
            <w:tcW w:w="1907" w:type="dxa"/>
            <w:noWrap w:val="0"/>
            <w:vAlign w:val="center"/>
          </w:tcPr>
          <w:p w14:paraId="1D1053C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5DFF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F3450C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223</w:t>
            </w:r>
          </w:p>
        </w:tc>
        <w:tc>
          <w:tcPr>
            <w:tcW w:w="7019" w:type="dxa"/>
            <w:noWrap w:val="0"/>
            <w:vAlign w:val="center"/>
          </w:tcPr>
          <w:p w14:paraId="3CD30F4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《电缆额定电流的计算》IEC 60287-1-1-2006</w:t>
            </w:r>
          </w:p>
        </w:tc>
        <w:tc>
          <w:tcPr>
            <w:tcW w:w="1907" w:type="dxa"/>
            <w:noWrap w:val="0"/>
            <w:vAlign w:val="center"/>
          </w:tcPr>
          <w:p w14:paraId="3144AEF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3FCC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A32F3B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224</w:t>
            </w:r>
          </w:p>
        </w:tc>
        <w:tc>
          <w:tcPr>
            <w:tcW w:w="7019" w:type="dxa"/>
            <w:noWrap w:val="0"/>
            <w:vAlign w:val="center"/>
          </w:tcPr>
          <w:p w14:paraId="32B7EC0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《电缆连续（100%负荷率）允许载流量计算》IEC287</w:t>
            </w:r>
          </w:p>
        </w:tc>
        <w:tc>
          <w:tcPr>
            <w:tcW w:w="1907" w:type="dxa"/>
            <w:noWrap w:val="0"/>
            <w:vAlign w:val="center"/>
          </w:tcPr>
          <w:p w14:paraId="55B02EC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321F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34A83B8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225</w:t>
            </w:r>
          </w:p>
        </w:tc>
        <w:tc>
          <w:tcPr>
            <w:tcW w:w="7019" w:type="dxa"/>
            <w:noWrap w:val="0"/>
            <w:vAlign w:val="center"/>
          </w:tcPr>
          <w:p w14:paraId="2FFEEA2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《电缆周期性和应急额定电流计算》IEC853-2</w:t>
            </w:r>
          </w:p>
        </w:tc>
        <w:tc>
          <w:tcPr>
            <w:tcW w:w="1907" w:type="dxa"/>
            <w:noWrap w:val="0"/>
            <w:vAlign w:val="center"/>
          </w:tcPr>
          <w:p w14:paraId="0ED8DE6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0C58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noWrap w:val="0"/>
            <w:vAlign w:val="center"/>
          </w:tcPr>
          <w:p w14:paraId="16E1C83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226</w:t>
            </w:r>
          </w:p>
        </w:tc>
        <w:tc>
          <w:tcPr>
            <w:tcW w:w="7019" w:type="dxa"/>
            <w:noWrap w:val="0"/>
            <w:vAlign w:val="center"/>
          </w:tcPr>
          <w:p w14:paraId="16FCCCB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《220kV电力电缆》CSBTS/TC213-01</w:t>
            </w:r>
          </w:p>
        </w:tc>
        <w:tc>
          <w:tcPr>
            <w:tcW w:w="1907" w:type="dxa"/>
            <w:noWrap w:val="0"/>
            <w:vAlign w:val="center"/>
          </w:tcPr>
          <w:p w14:paraId="79C81C7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1826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noWrap w:val="0"/>
            <w:vAlign w:val="center"/>
          </w:tcPr>
          <w:p w14:paraId="69E1ECD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227</w:t>
            </w:r>
          </w:p>
        </w:tc>
        <w:tc>
          <w:tcPr>
            <w:tcW w:w="7019" w:type="dxa"/>
            <w:noWrap w:val="0"/>
            <w:vAlign w:val="center"/>
          </w:tcPr>
          <w:p w14:paraId="6369A7C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《220kV电力电缆附件》CSBTS/TC213-02</w:t>
            </w:r>
          </w:p>
        </w:tc>
        <w:tc>
          <w:tcPr>
            <w:tcW w:w="1907" w:type="dxa"/>
            <w:noWrap w:val="0"/>
            <w:vAlign w:val="center"/>
          </w:tcPr>
          <w:p w14:paraId="57266E3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5A6D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2E74B0C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228</w:t>
            </w:r>
          </w:p>
        </w:tc>
        <w:tc>
          <w:tcPr>
            <w:tcW w:w="7019" w:type="dxa"/>
            <w:noWrap w:val="0"/>
            <w:vAlign w:val="center"/>
          </w:tcPr>
          <w:p w14:paraId="165F9AF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《工程建设标准强制性条文》（电力工程部分）（2011版，中电联标准(2012)16号）</w:t>
            </w:r>
          </w:p>
        </w:tc>
        <w:tc>
          <w:tcPr>
            <w:tcW w:w="1907" w:type="dxa"/>
            <w:noWrap w:val="0"/>
            <w:vAlign w:val="center"/>
          </w:tcPr>
          <w:p w14:paraId="133960A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672A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noWrap w:val="0"/>
            <w:vAlign w:val="center"/>
          </w:tcPr>
          <w:p w14:paraId="059E23F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229</w:t>
            </w:r>
          </w:p>
        </w:tc>
        <w:tc>
          <w:tcPr>
            <w:tcW w:w="7019" w:type="dxa"/>
            <w:noWrap w:val="0"/>
            <w:vAlign w:val="center"/>
          </w:tcPr>
          <w:p w14:paraId="63EC91F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《电力建设工程施工安全监督管理办法》（国家发改委第28号令）</w:t>
            </w:r>
          </w:p>
        </w:tc>
        <w:tc>
          <w:tcPr>
            <w:tcW w:w="1907" w:type="dxa"/>
            <w:noWrap w:val="0"/>
            <w:vAlign w:val="center"/>
          </w:tcPr>
          <w:p w14:paraId="1200517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3F86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0" w:type="dxa"/>
            <w:noWrap w:val="0"/>
            <w:vAlign w:val="center"/>
          </w:tcPr>
          <w:p w14:paraId="1D029CA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230</w:t>
            </w:r>
          </w:p>
        </w:tc>
        <w:tc>
          <w:tcPr>
            <w:tcW w:w="7019" w:type="dxa"/>
            <w:noWrap w:val="0"/>
            <w:vAlign w:val="center"/>
          </w:tcPr>
          <w:p w14:paraId="7B01BA6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《输变电工程质量监督检查大纲》（2014版）</w:t>
            </w:r>
          </w:p>
        </w:tc>
        <w:tc>
          <w:tcPr>
            <w:tcW w:w="1907" w:type="dxa"/>
            <w:noWrap w:val="0"/>
            <w:vAlign w:val="center"/>
          </w:tcPr>
          <w:p w14:paraId="53F707C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国家/行业标准</w:t>
            </w:r>
          </w:p>
        </w:tc>
      </w:tr>
      <w:tr w14:paraId="1E6D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86" w:type="dxa"/>
            <w:gridSpan w:val="3"/>
            <w:noWrap w:val="0"/>
            <w:vAlign w:val="center"/>
          </w:tcPr>
          <w:p w14:paraId="1364C4EE">
            <w:pPr>
              <w:widowControl/>
              <w:jc w:val="center"/>
              <w:rPr>
                <w:rFonts w:ascii="宋体" w:hAnsi="宋体" w:cs="宋体"/>
                <w:color w:val="auto"/>
                <w:kern w:val="0"/>
                <w:szCs w:val="21"/>
                <w:highlight w:val="none"/>
              </w:rPr>
            </w:pPr>
            <w:r>
              <w:rPr>
                <w:rFonts w:hint="eastAsia" w:ascii="宋体" w:hAnsi="宋体" w:cs="宋体"/>
                <w:b/>
                <w:bCs/>
                <w:color w:val="auto"/>
                <w:kern w:val="0"/>
                <w:szCs w:val="21"/>
                <w:highlight w:val="none"/>
              </w:rPr>
              <w:t>南方电网管理要求、企业标准</w:t>
            </w:r>
          </w:p>
        </w:tc>
      </w:tr>
      <w:tr w14:paraId="2BCF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14:paraId="311A7FB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231</w:t>
            </w:r>
          </w:p>
        </w:tc>
        <w:tc>
          <w:tcPr>
            <w:tcW w:w="7019" w:type="dxa"/>
            <w:tcBorders>
              <w:top w:val="single" w:color="auto" w:sz="4" w:space="0"/>
              <w:left w:val="single" w:color="auto" w:sz="4" w:space="0"/>
              <w:bottom w:val="single" w:color="auto" w:sz="4" w:space="0"/>
              <w:right w:val="single" w:color="auto" w:sz="4" w:space="0"/>
            </w:tcBorders>
            <w:noWrap w:val="0"/>
            <w:vAlign w:val="bottom"/>
          </w:tcPr>
          <w:p w14:paraId="14BBB4D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《关于印发&lt;标准设计和典型造价总体技术原则&gt;的通知》（南方电网基建[2013]16号）——《标准设计和典型造价总体技术原则》（Q/CSG11102001-2013）</w:t>
            </w:r>
          </w:p>
        </w:tc>
        <w:tc>
          <w:tcPr>
            <w:tcW w:w="1907" w:type="dxa"/>
            <w:tcBorders>
              <w:top w:val="single" w:color="auto" w:sz="4" w:space="0"/>
              <w:left w:val="single" w:color="auto" w:sz="4" w:space="0"/>
              <w:bottom w:val="single" w:color="auto" w:sz="4" w:space="0"/>
              <w:right w:val="single" w:color="auto" w:sz="4" w:space="0"/>
            </w:tcBorders>
            <w:noWrap w:val="0"/>
            <w:vAlign w:val="bottom"/>
          </w:tcPr>
          <w:p w14:paraId="5190ACF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34C3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77C44E7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232</w:t>
            </w:r>
          </w:p>
        </w:tc>
        <w:tc>
          <w:tcPr>
            <w:tcW w:w="7019" w:type="dxa"/>
            <w:noWrap w:val="0"/>
            <w:vAlign w:val="bottom"/>
          </w:tcPr>
          <w:p w14:paraId="51E6B8D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《中国南方电网有限责任公司安全生产问责管理规定》</w:t>
            </w:r>
          </w:p>
        </w:tc>
        <w:tc>
          <w:tcPr>
            <w:tcW w:w="1907" w:type="dxa"/>
            <w:noWrap w:val="0"/>
            <w:vAlign w:val="bottom"/>
          </w:tcPr>
          <w:p w14:paraId="39539C7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5E754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12C5476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233</w:t>
            </w:r>
          </w:p>
        </w:tc>
        <w:tc>
          <w:tcPr>
            <w:tcW w:w="7019" w:type="dxa"/>
            <w:noWrap w:val="0"/>
            <w:vAlign w:val="bottom"/>
          </w:tcPr>
          <w:p w14:paraId="22BDAEC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《中国南方电网有限责任公司电力安全工作规程》</w:t>
            </w:r>
          </w:p>
        </w:tc>
        <w:tc>
          <w:tcPr>
            <w:tcW w:w="1907" w:type="dxa"/>
            <w:noWrap w:val="0"/>
            <w:vAlign w:val="bottom"/>
          </w:tcPr>
          <w:p w14:paraId="40C2B7C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5767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1558CAF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234</w:t>
            </w:r>
          </w:p>
        </w:tc>
        <w:tc>
          <w:tcPr>
            <w:tcW w:w="7019" w:type="dxa"/>
            <w:noWrap w:val="0"/>
            <w:vAlign w:val="bottom"/>
          </w:tcPr>
          <w:p w14:paraId="4A9E854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中国南方电网有限责任公司安全管理规定</w:t>
            </w:r>
          </w:p>
        </w:tc>
        <w:tc>
          <w:tcPr>
            <w:tcW w:w="1907" w:type="dxa"/>
            <w:noWrap w:val="0"/>
            <w:vAlign w:val="bottom"/>
          </w:tcPr>
          <w:p w14:paraId="35BC681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62A3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0CA7FD0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235</w:t>
            </w:r>
          </w:p>
        </w:tc>
        <w:tc>
          <w:tcPr>
            <w:tcW w:w="7019" w:type="dxa"/>
            <w:noWrap w:val="0"/>
            <w:vAlign w:val="bottom"/>
          </w:tcPr>
          <w:p w14:paraId="7C7AFBA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《中国南方电网有限责任公司安全监督工作规定》</w:t>
            </w:r>
          </w:p>
        </w:tc>
        <w:tc>
          <w:tcPr>
            <w:tcW w:w="1907" w:type="dxa"/>
            <w:noWrap w:val="0"/>
            <w:vAlign w:val="bottom"/>
          </w:tcPr>
          <w:p w14:paraId="273B6DD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3625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5CC4A54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236</w:t>
            </w:r>
          </w:p>
        </w:tc>
        <w:tc>
          <w:tcPr>
            <w:tcW w:w="7019" w:type="dxa"/>
            <w:noWrap w:val="0"/>
            <w:vAlign w:val="bottom"/>
          </w:tcPr>
          <w:p w14:paraId="4E9C15B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《安全生产风险管理体系审核业务指导书》</w:t>
            </w:r>
          </w:p>
        </w:tc>
        <w:tc>
          <w:tcPr>
            <w:tcW w:w="1907" w:type="dxa"/>
            <w:noWrap w:val="0"/>
            <w:vAlign w:val="bottom"/>
          </w:tcPr>
          <w:p w14:paraId="3F01D97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23BE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0311ABA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237</w:t>
            </w:r>
          </w:p>
        </w:tc>
        <w:tc>
          <w:tcPr>
            <w:tcW w:w="7019" w:type="dxa"/>
            <w:noWrap w:val="0"/>
            <w:vAlign w:val="bottom"/>
          </w:tcPr>
          <w:p w14:paraId="79C5BB7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中国南方电网有限责任公司安全工作规程考试管理业务指导书</w:t>
            </w:r>
          </w:p>
        </w:tc>
        <w:tc>
          <w:tcPr>
            <w:tcW w:w="1907" w:type="dxa"/>
            <w:noWrap w:val="0"/>
            <w:vAlign w:val="bottom"/>
          </w:tcPr>
          <w:p w14:paraId="7475362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07FB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257FE57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238</w:t>
            </w:r>
          </w:p>
        </w:tc>
        <w:tc>
          <w:tcPr>
            <w:tcW w:w="7019" w:type="dxa"/>
            <w:noWrap w:val="0"/>
            <w:vAlign w:val="bottom"/>
          </w:tcPr>
          <w:p w14:paraId="2450418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中国南方电网有限责任公司安全生产风险管控监督业务指导书</w:t>
            </w:r>
          </w:p>
        </w:tc>
        <w:tc>
          <w:tcPr>
            <w:tcW w:w="1907" w:type="dxa"/>
            <w:noWrap w:val="0"/>
            <w:vAlign w:val="bottom"/>
          </w:tcPr>
          <w:p w14:paraId="2E18936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6662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5E74147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239</w:t>
            </w:r>
          </w:p>
        </w:tc>
        <w:tc>
          <w:tcPr>
            <w:tcW w:w="7019" w:type="dxa"/>
            <w:noWrap w:val="0"/>
            <w:vAlign w:val="bottom"/>
          </w:tcPr>
          <w:p w14:paraId="3B96421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中国南方电网有限责任公司电力安全工器具管理业务指导书</w:t>
            </w:r>
          </w:p>
        </w:tc>
        <w:tc>
          <w:tcPr>
            <w:tcW w:w="1907" w:type="dxa"/>
            <w:noWrap w:val="0"/>
            <w:vAlign w:val="bottom"/>
          </w:tcPr>
          <w:p w14:paraId="16130A8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0587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756204F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240</w:t>
            </w:r>
          </w:p>
        </w:tc>
        <w:tc>
          <w:tcPr>
            <w:tcW w:w="7019" w:type="dxa"/>
            <w:noWrap w:val="0"/>
            <w:vAlign w:val="bottom"/>
          </w:tcPr>
          <w:p w14:paraId="68106E9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中国南方电网有限责任公司隐患治理监督和安全检查业务指导书</w:t>
            </w:r>
          </w:p>
        </w:tc>
        <w:tc>
          <w:tcPr>
            <w:tcW w:w="1907" w:type="dxa"/>
            <w:noWrap w:val="0"/>
            <w:vAlign w:val="bottom"/>
          </w:tcPr>
          <w:p w14:paraId="7EE4BA6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2D0E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2C1C0B0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241</w:t>
            </w:r>
          </w:p>
        </w:tc>
        <w:tc>
          <w:tcPr>
            <w:tcW w:w="7019" w:type="dxa"/>
            <w:noWrap w:val="0"/>
            <w:vAlign w:val="bottom"/>
          </w:tcPr>
          <w:p w14:paraId="109557E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中国南方电网有限责任公司基建项目作业环境管理（5S）工作指引</w:t>
            </w:r>
          </w:p>
        </w:tc>
        <w:tc>
          <w:tcPr>
            <w:tcW w:w="1907" w:type="dxa"/>
            <w:noWrap w:val="0"/>
            <w:vAlign w:val="bottom"/>
          </w:tcPr>
          <w:p w14:paraId="3CB3A1B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6F7A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1D0BC7A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242</w:t>
            </w:r>
          </w:p>
        </w:tc>
        <w:tc>
          <w:tcPr>
            <w:tcW w:w="7019" w:type="dxa"/>
            <w:noWrap w:val="0"/>
            <w:vAlign w:val="bottom"/>
          </w:tcPr>
          <w:p w14:paraId="7CFE68A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中国南方电网有限责任公司基建项目承包商管理业务指导书</w:t>
            </w:r>
          </w:p>
        </w:tc>
        <w:tc>
          <w:tcPr>
            <w:tcW w:w="1907" w:type="dxa"/>
            <w:noWrap w:val="0"/>
            <w:vAlign w:val="bottom"/>
          </w:tcPr>
          <w:p w14:paraId="02C415B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56E6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603A561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243</w:t>
            </w:r>
          </w:p>
        </w:tc>
        <w:tc>
          <w:tcPr>
            <w:tcW w:w="7019" w:type="dxa"/>
            <w:noWrap w:val="0"/>
            <w:vAlign w:val="bottom"/>
          </w:tcPr>
          <w:p w14:paraId="1494F02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《中国南方电网有限责任公司基建项目达标投产及工程评优管理业务指导书》（Q/CSG433016-2015）</w:t>
            </w:r>
          </w:p>
        </w:tc>
        <w:tc>
          <w:tcPr>
            <w:tcW w:w="1907" w:type="dxa"/>
            <w:noWrap w:val="0"/>
            <w:vAlign w:val="bottom"/>
          </w:tcPr>
          <w:p w14:paraId="701753B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2C9F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6689339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244</w:t>
            </w:r>
          </w:p>
        </w:tc>
        <w:tc>
          <w:tcPr>
            <w:tcW w:w="7019" w:type="dxa"/>
            <w:noWrap w:val="0"/>
            <w:vAlign w:val="bottom"/>
          </w:tcPr>
          <w:p w14:paraId="218FFCB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中国南方电网有限责任公司保供电管理规定(Q/CSG210004—2014)</w:t>
            </w:r>
          </w:p>
        </w:tc>
        <w:tc>
          <w:tcPr>
            <w:tcW w:w="1907" w:type="dxa"/>
            <w:noWrap w:val="0"/>
            <w:vAlign w:val="bottom"/>
          </w:tcPr>
          <w:p w14:paraId="5125AE8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2D36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29F4684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245</w:t>
            </w:r>
          </w:p>
        </w:tc>
        <w:tc>
          <w:tcPr>
            <w:tcW w:w="7019" w:type="dxa"/>
            <w:noWrap w:val="0"/>
            <w:vAlign w:val="bottom"/>
          </w:tcPr>
          <w:p w14:paraId="4FDAAE9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中国南方电网有限责任公司应急管理规定(Q/CSG210003-2014)</w:t>
            </w:r>
          </w:p>
        </w:tc>
        <w:tc>
          <w:tcPr>
            <w:tcW w:w="1907" w:type="dxa"/>
            <w:noWrap w:val="0"/>
            <w:vAlign w:val="bottom"/>
          </w:tcPr>
          <w:p w14:paraId="4720D87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6405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63061AE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246</w:t>
            </w:r>
          </w:p>
        </w:tc>
        <w:tc>
          <w:tcPr>
            <w:tcW w:w="7019" w:type="dxa"/>
            <w:noWrap w:val="0"/>
            <w:vAlign w:val="bottom"/>
          </w:tcPr>
          <w:p w14:paraId="27F6EA1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中国南方电网有限责任公司应急预案与演练管理办法</w:t>
            </w:r>
          </w:p>
        </w:tc>
        <w:tc>
          <w:tcPr>
            <w:tcW w:w="1907" w:type="dxa"/>
            <w:noWrap w:val="0"/>
            <w:vAlign w:val="bottom"/>
          </w:tcPr>
          <w:p w14:paraId="3D3A8BF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7997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79E029B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247</w:t>
            </w:r>
          </w:p>
        </w:tc>
        <w:tc>
          <w:tcPr>
            <w:tcW w:w="7019" w:type="dxa"/>
            <w:noWrap w:val="0"/>
            <w:vAlign w:val="bottom"/>
          </w:tcPr>
          <w:p w14:paraId="09A71A6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中国南方电网有限责任公司应急预警与响应管理办法</w:t>
            </w:r>
          </w:p>
        </w:tc>
        <w:tc>
          <w:tcPr>
            <w:tcW w:w="1907" w:type="dxa"/>
            <w:noWrap w:val="0"/>
            <w:vAlign w:val="bottom"/>
          </w:tcPr>
          <w:p w14:paraId="5844870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3621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10FACD3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248</w:t>
            </w:r>
          </w:p>
        </w:tc>
        <w:tc>
          <w:tcPr>
            <w:tcW w:w="7019" w:type="dxa"/>
            <w:noWrap w:val="0"/>
            <w:vAlign w:val="bottom"/>
          </w:tcPr>
          <w:p w14:paraId="1B27260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中国南方电网有限责任公司配电自动化规划导则</w:t>
            </w:r>
          </w:p>
        </w:tc>
        <w:tc>
          <w:tcPr>
            <w:tcW w:w="1907" w:type="dxa"/>
            <w:noWrap w:val="0"/>
            <w:vAlign w:val="bottom"/>
          </w:tcPr>
          <w:p w14:paraId="7FF5CF4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663D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15C2C68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249</w:t>
            </w:r>
          </w:p>
        </w:tc>
        <w:tc>
          <w:tcPr>
            <w:tcW w:w="7019" w:type="dxa"/>
            <w:noWrap w:val="0"/>
            <w:vAlign w:val="bottom"/>
          </w:tcPr>
          <w:p w14:paraId="76D4EB8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《南方电网公司基建项目造价信息化规约（电网工程部分）》（基建[2013]50号）</w:t>
            </w:r>
          </w:p>
        </w:tc>
        <w:tc>
          <w:tcPr>
            <w:tcW w:w="1907" w:type="dxa"/>
            <w:noWrap w:val="0"/>
            <w:vAlign w:val="bottom"/>
          </w:tcPr>
          <w:p w14:paraId="43A16A1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3BC0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6BB25A2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250</w:t>
            </w:r>
          </w:p>
        </w:tc>
        <w:tc>
          <w:tcPr>
            <w:tcW w:w="7019" w:type="dxa"/>
            <w:noWrap w:val="0"/>
            <w:vAlign w:val="bottom"/>
          </w:tcPr>
          <w:p w14:paraId="7F55A58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《南方电网公司基建项目造价信息化规约（2013）》（南方电网基建[2014]60号）</w:t>
            </w:r>
          </w:p>
        </w:tc>
        <w:tc>
          <w:tcPr>
            <w:tcW w:w="1907" w:type="dxa"/>
            <w:noWrap w:val="0"/>
            <w:vAlign w:val="bottom"/>
          </w:tcPr>
          <w:p w14:paraId="2C7CDE3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2A7A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332B322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251</w:t>
            </w:r>
          </w:p>
        </w:tc>
        <w:tc>
          <w:tcPr>
            <w:tcW w:w="7019" w:type="dxa"/>
            <w:noWrap w:val="0"/>
            <w:vAlign w:val="bottom"/>
          </w:tcPr>
          <w:p w14:paraId="7D38839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《基建前期继电保护相关技术问题专题会会议纪要》（系统[2012]第56期）</w:t>
            </w:r>
          </w:p>
        </w:tc>
        <w:tc>
          <w:tcPr>
            <w:tcW w:w="1907" w:type="dxa"/>
            <w:noWrap w:val="0"/>
            <w:vAlign w:val="bottom"/>
          </w:tcPr>
          <w:p w14:paraId="1BC0E75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0805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201FAD1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252</w:t>
            </w:r>
          </w:p>
        </w:tc>
        <w:tc>
          <w:tcPr>
            <w:tcW w:w="7019" w:type="dxa"/>
            <w:noWrap w:val="0"/>
            <w:vAlign w:val="bottom"/>
          </w:tcPr>
          <w:p w14:paraId="59C4911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《转发中国电力企业联合会关于落实进一步放开建设项目专业服务价格指导意见的通知》（南方电网定额〔2015〕12号）</w:t>
            </w:r>
          </w:p>
        </w:tc>
        <w:tc>
          <w:tcPr>
            <w:tcW w:w="1907" w:type="dxa"/>
            <w:noWrap w:val="0"/>
            <w:vAlign w:val="bottom"/>
          </w:tcPr>
          <w:p w14:paraId="681FB49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51ED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78B96AD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253</w:t>
            </w:r>
          </w:p>
        </w:tc>
        <w:tc>
          <w:tcPr>
            <w:tcW w:w="7019" w:type="dxa"/>
            <w:noWrap w:val="0"/>
            <w:vAlign w:val="bottom"/>
          </w:tcPr>
          <w:p w14:paraId="5CC4890E">
            <w:pPr>
              <w:widowControl/>
              <w:rPr>
                <w:rFonts w:ascii="宋体" w:hAnsi="宋体" w:cs="宋体"/>
                <w:color w:val="auto"/>
                <w:kern w:val="0"/>
                <w:szCs w:val="21"/>
                <w:highlight w:val="none"/>
              </w:rPr>
            </w:pPr>
            <w:r>
              <w:rPr>
                <w:rFonts w:hint="eastAsia" w:ascii="宋体" w:hAnsi="宋体" w:cs="宋体"/>
                <w:color w:val="auto"/>
                <w:kern w:val="0"/>
                <w:szCs w:val="21"/>
                <w:highlight w:val="none"/>
              </w:rPr>
              <w:t>公司基建工程质量控制（WHS）标准（2017年版）</w:t>
            </w:r>
          </w:p>
        </w:tc>
        <w:tc>
          <w:tcPr>
            <w:tcW w:w="1907" w:type="dxa"/>
            <w:noWrap w:val="0"/>
            <w:vAlign w:val="bottom"/>
          </w:tcPr>
          <w:p w14:paraId="53D1FF2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4FE0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7BACA27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254</w:t>
            </w:r>
          </w:p>
        </w:tc>
        <w:tc>
          <w:tcPr>
            <w:tcW w:w="7019" w:type="dxa"/>
            <w:noWrap w:val="0"/>
            <w:vAlign w:val="bottom"/>
          </w:tcPr>
          <w:p w14:paraId="15B638D8">
            <w:pPr>
              <w:widowControl/>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中国南方电网有限责任公司基建管理规定</w:t>
            </w:r>
          </w:p>
        </w:tc>
        <w:tc>
          <w:tcPr>
            <w:tcW w:w="1907" w:type="dxa"/>
            <w:noWrap w:val="0"/>
            <w:vAlign w:val="bottom"/>
          </w:tcPr>
          <w:p w14:paraId="31F2E74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3671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2D42938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255</w:t>
            </w:r>
          </w:p>
        </w:tc>
        <w:tc>
          <w:tcPr>
            <w:tcW w:w="7019" w:type="dxa"/>
            <w:noWrap w:val="0"/>
            <w:vAlign w:val="bottom"/>
          </w:tcPr>
          <w:p w14:paraId="77CB6D3F">
            <w:pPr>
              <w:widowControl/>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中国南方电网有限责任公司投资管理规定</w:t>
            </w:r>
          </w:p>
        </w:tc>
        <w:tc>
          <w:tcPr>
            <w:tcW w:w="1907" w:type="dxa"/>
            <w:noWrap w:val="0"/>
            <w:vAlign w:val="bottom"/>
          </w:tcPr>
          <w:p w14:paraId="64F318F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0604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1B9431B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256</w:t>
            </w:r>
          </w:p>
        </w:tc>
        <w:tc>
          <w:tcPr>
            <w:tcW w:w="7019" w:type="dxa"/>
            <w:noWrap w:val="0"/>
            <w:vAlign w:val="bottom"/>
          </w:tcPr>
          <w:p w14:paraId="02F702C4">
            <w:pPr>
              <w:widowControl/>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中国南方电网有限责任公司采购计划与需求管理办法(2017)(修订)</w:t>
            </w:r>
          </w:p>
        </w:tc>
        <w:tc>
          <w:tcPr>
            <w:tcW w:w="1907" w:type="dxa"/>
            <w:noWrap w:val="0"/>
            <w:vAlign w:val="bottom"/>
          </w:tcPr>
          <w:p w14:paraId="4AE15EF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76C5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576A702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257</w:t>
            </w:r>
          </w:p>
        </w:tc>
        <w:tc>
          <w:tcPr>
            <w:tcW w:w="7019" w:type="dxa"/>
            <w:noWrap w:val="0"/>
            <w:vAlign w:val="bottom"/>
          </w:tcPr>
          <w:p w14:paraId="269861E6">
            <w:pPr>
              <w:widowControl/>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中国南方电网有限责任公司仓储配送管理办法（2017）(修订)</w:t>
            </w:r>
          </w:p>
        </w:tc>
        <w:tc>
          <w:tcPr>
            <w:tcW w:w="1907" w:type="dxa"/>
            <w:noWrap w:val="0"/>
            <w:vAlign w:val="bottom"/>
          </w:tcPr>
          <w:p w14:paraId="2675FD1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1007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7675E46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258</w:t>
            </w:r>
          </w:p>
        </w:tc>
        <w:tc>
          <w:tcPr>
            <w:tcW w:w="7019" w:type="dxa"/>
            <w:noWrap w:val="0"/>
            <w:vAlign w:val="bottom"/>
          </w:tcPr>
          <w:p w14:paraId="082BCB70">
            <w:pPr>
              <w:widowControl/>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中国南方电网有限责任公司电力行业统计管理办法(修订)</w:t>
            </w:r>
          </w:p>
        </w:tc>
        <w:tc>
          <w:tcPr>
            <w:tcW w:w="1907" w:type="dxa"/>
            <w:noWrap w:val="0"/>
            <w:vAlign w:val="bottom"/>
          </w:tcPr>
          <w:p w14:paraId="2E09D70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06F3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742DB38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259</w:t>
            </w:r>
          </w:p>
        </w:tc>
        <w:tc>
          <w:tcPr>
            <w:tcW w:w="7019" w:type="dxa"/>
            <w:noWrap w:val="0"/>
            <w:vAlign w:val="bottom"/>
          </w:tcPr>
          <w:p w14:paraId="31D01FA6">
            <w:pPr>
              <w:widowControl/>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中国南方电网有限责任公司非招标采购方式管理办法(2017)(修订)</w:t>
            </w:r>
          </w:p>
        </w:tc>
        <w:tc>
          <w:tcPr>
            <w:tcW w:w="1907" w:type="dxa"/>
            <w:noWrap w:val="0"/>
            <w:vAlign w:val="bottom"/>
          </w:tcPr>
          <w:p w14:paraId="79CCE9F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260C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446D7F3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260</w:t>
            </w:r>
          </w:p>
        </w:tc>
        <w:tc>
          <w:tcPr>
            <w:tcW w:w="7019" w:type="dxa"/>
            <w:noWrap w:val="0"/>
            <w:vAlign w:val="bottom"/>
          </w:tcPr>
          <w:p w14:paraId="3A766442">
            <w:pPr>
              <w:widowControl/>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中国南方电网有限责任公司工程交接验收管理办法</w:t>
            </w:r>
          </w:p>
        </w:tc>
        <w:tc>
          <w:tcPr>
            <w:tcW w:w="1907" w:type="dxa"/>
            <w:noWrap w:val="0"/>
            <w:vAlign w:val="bottom"/>
          </w:tcPr>
          <w:p w14:paraId="48BD015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290D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1DB05CC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261</w:t>
            </w:r>
          </w:p>
        </w:tc>
        <w:tc>
          <w:tcPr>
            <w:tcW w:w="7019" w:type="dxa"/>
            <w:noWrap w:val="0"/>
            <w:vAlign w:val="bottom"/>
          </w:tcPr>
          <w:p w14:paraId="4C9103BD">
            <w:pPr>
              <w:widowControl/>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中国南方电网有限责任公司供货商扣分处罚实施细则</w:t>
            </w:r>
          </w:p>
        </w:tc>
        <w:tc>
          <w:tcPr>
            <w:tcW w:w="1907" w:type="dxa"/>
            <w:noWrap w:val="0"/>
            <w:vAlign w:val="bottom"/>
          </w:tcPr>
          <w:p w14:paraId="4778917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3932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7BD6BEC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262</w:t>
            </w:r>
          </w:p>
        </w:tc>
        <w:tc>
          <w:tcPr>
            <w:tcW w:w="7019" w:type="dxa"/>
            <w:noWrap w:val="0"/>
            <w:vAlign w:val="bottom"/>
          </w:tcPr>
          <w:p w14:paraId="180FCE98">
            <w:pPr>
              <w:widowControl/>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中国南方电网有限责任公司供应商管理办法(2017)(修订)</w:t>
            </w:r>
          </w:p>
        </w:tc>
        <w:tc>
          <w:tcPr>
            <w:tcW w:w="1907" w:type="dxa"/>
            <w:noWrap w:val="0"/>
            <w:vAlign w:val="bottom"/>
          </w:tcPr>
          <w:p w14:paraId="1A80A88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48F2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510C74E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263</w:t>
            </w:r>
          </w:p>
        </w:tc>
        <w:tc>
          <w:tcPr>
            <w:tcW w:w="7019" w:type="dxa"/>
            <w:noWrap w:val="0"/>
            <w:vAlign w:val="bottom"/>
          </w:tcPr>
          <w:p w14:paraId="370E3B16">
            <w:pPr>
              <w:widowControl/>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中国南方电网有限责任公司环境保护风险监督管理办法</w:t>
            </w:r>
          </w:p>
        </w:tc>
        <w:tc>
          <w:tcPr>
            <w:tcW w:w="1907" w:type="dxa"/>
            <w:noWrap w:val="0"/>
            <w:vAlign w:val="bottom"/>
          </w:tcPr>
          <w:p w14:paraId="0A20679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6FEE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001EC67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264</w:t>
            </w:r>
          </w:p>
        </w:tc>
        <w:tc>
          <w:tcPr>
            <w:tcW w:w="7019" w:type="dxa"/>
            <w:noWrap w:val="0"/>
            <w:vAlign w:val="bottom"/>
          </w:tcPr>
          <w:p w14:paraId="374F0B4E">
            <w:pPr>
              <w:widowControl/>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中国南方电网有限责任公司基建安全管理办法</w:t>
            </w:r>
          </w:p>
        </w:tc>
        <w:tc>
          <w:tcPr>
            <w:tcW w:w="1907" w:type="dxa"/>
            <w:noWrap w:val="0"/>
            <w:vAlign w:val="bottom"/>
          </w:tcPr>
          <w:p w14:paraId="7492CC6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5C0D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705C155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265</w:t>
            </w:r>
          </w:p>
        </w:tc>
        <w:tc>
          <w:tcPr>
            <w:tcW w:w="7019" w:type="dxa"/>
            <w:noWrap w:val="0"/>
            <w:vAlign w:val="bottom"/>
          </w:tcPr>
          <w:p w14:paraId="4619E67F">
            <w:pPr>
              <w:widowControl/>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中国南方电网有限责任公司基建工程验收管理办法</w:t>
            </w:r>
          </w:p>
        </w:tc>
        <w:tc>
          <w:tcPr>
            <w:tcW w:w="1907" w:type="dxa"/>
            <w:noWrap w:val="0"/>
            <w:vAlign w:val="bottom"/>
          </w:tcPr>
          <w:p w14:paraId="1A69C80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7B51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085D541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266</w:t>
            </w:r>
          </w:p>
        </w:tc>
        <w:tc>
          <w:tcPr>
            <w:tcW w:w="7019" w:type="dxa"/>
            <w:noWrap w:val="0"/>
            <w:vAlign w:val="bottom"/>
          </w:tcPr>
          <w:p w14:paraId="2AE0FA53">
            <w:pPr>
              <w:widowControl/>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中国南方电网有限责任公司基建技术管理办法</w:t>
            </w:r>
          </w:p>
        </w:tc>
        <w:tc>
          <w:tcPr>
            <w:tcW w:w="1907" w:type="dxa"/>
            <w:noWrap w:val="0"/>
            <w:vAlign w:val="bottom"/>
          </w:tcPr>
          <w:p w14:paraId="5E5A43A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0CCC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7635252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267</w:t>
            </w:r>
          </w:p>
        </w:tc>
        <w:tc>
          <w:tcPr>
            <w:tcW w:w="7019" w:type="dxa"/>
            <w:noWrap w:val="0"/>
            <w:vAlign w:val="bottom"/>
          </w:tcPr>
          <w:p w14:paraId="45F51FDC">
            <w:pPr>
              <w:widowControl/>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中国南方电网有限责任公司基建设计管理办法</w:t>
            </w:r>
          </w:p>
        </w:tc>
        <w:tc>
          <w:tcPr>
            <w:tcW w:w="1907" w:type="dxa"/>
            <w:noWrap w:val="0"/>
            <w:vAlign w:val="bottom"/>
          </w:tcPr>
          <w:p w14:paraId="2F09196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0326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0A7B716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268</w:t>
            </w:r>
          </w:p>
        </w:tc>
        <w:tc>
          <w:tcPr>
            <w:tcW w:w="7019" w:type="dxa"/>
            <w:noWrap w:val="0"/>
            <w:vAlign w:val="bottom"/>
          </w:tcPr>
          <w:p w14:paraId="44F62881">
            <w:pPr>
              <w:widowControl/>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中国南方电网有限责任公司基建项目进度管理办法</w:t>
            </w:r>
          </w:p>
        </w:tc>
        <w:tc>
          <w:tcPr>
            <w:tcW w:w="1907" w:type="dxa"/>
            <w:noWrap w:val="0"/>
            <w:vAlign w:val="bottom"/>
          </w:tcPr>
          <w:p w14:paraId="2082C83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121C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7049E31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269</w:t>
            </w:r>
          </w:p>
        </w:tc>
        <w:tc>
          <w:tcPr>
            <w:tcW w:w="7019" w:type="dxa"/>
            <w:noWrap w:val="0"/>
            <w:vAlign w:val="bottom"/>
          </w:tcPr>
          <w:p w14:paraId="562F9E24">
            <w:pPr>
              <w:widowControl/>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中国南方电网有限责任公司基建项目投资管控业务指导书</w:t>
            </w:r>
          </w:p>
        </w:tc>
        <w:tc>
          <w:tcPr>
            <w:tcW w:w="1907" w:type="dxa"/>
            <w:noWrap w:val="0"/>
            <w:vAlign w:val="bottom"/>
          </w:tcPr>
          <w:p w14:paraId="186154B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0024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4260DAA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270</w:t>
            </w:r>
          </w:p>
        </w:tc>
        <w:tc>
          <w:tcPr>
            <w:tcW w:w="7019" w:type="dxa"/>
            <w:noWrap w:val="0"/>
            <w:vAlign w:val="bottom"/>
          </w:tcPr>
          <w:p w14:paraId="14B80911">
            <w:pPr>
              <w:widowControl/>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中国南方电网有限责任公司基建造价管理办法</w:t>
            </w:r>
          </w:p>
        </w:tc>
        <w:tc>
          <w:tcPr>
            <w:tcW w:w="1907" w:type="dxa"/>
            <w:noWrap w:val="0"/>
            <w:vAlign w:val="bottom"/>
          </w:tcPr>
          <w:p w14:paraId="29661A5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1187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4D89099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271</w:t>
            </w:r>
          </w:p>
        </w:tc>
        <w:tc>
          <w:tcPr>
            <w:tcW w:w="7019" w:type="dxa"/>
            <w:noWrap w:val="0"/>
            <w:vAlign w:val="bottom"/>
          </w:tcPr>
          <w:p w14:paraId="5780DB1D">
            <w:pPr>
              <w:widowControl/>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中国南方电网有限责任公司基建质量管理办法</w:t>
            </w:r>
          </w:p>
        </w:tc>
        <w:tc>
          <w:tcPr>
            <w:tcW w:w="1907" w:type="dxa"/>
            <w:noWrap w:val="0"/>
            <w:vAlign w:val="bottom"/>
          </w:tcPr>
          <w:p w14:paraId="65FF50D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1E20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66A5183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272</w:t>
            </w:r>
          </w:p>
        </w:tc>
        <w:tc>
          <w:tcPr>
            <w:tcW w:w="7019" w:type="dxa"/>
            <w:noWrap w:val="0"/>
            <w:vAlign w:val="bottom"/>
          </w:tcPr>
          <w:p w14:paraId="7C68AC5F">
            <w:pPr>
              <w:widowControl/>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中国南方电网有限责任公司技术监督管理规定</w:t>
            </w:r>
          </w:p>
        </w:tc>
        <w:tc>
          <w:tcPr>
            <w:tcW w:w="1907" w:type="dxa"/>
            <w:noWrap w:val="0"/>
            <w:vAlign w:val="bottom"/>
          </w:tcPr>
          <w:p w14:paraId="2CFD660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03DF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7B2E516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273</w:t>
            </w:r>
          </w:p>
        </w:tc>
        <w:tc>
          <w:tcPr>
            <w:tcW w:w="7019" w:type="dxa"/>
            <w:noWrap w:val="0"/>
            <w:vAlign w:val="bottom"/>
          </w:tcPr>
          <w:p w14:paraId="12421863">
            <w:pPr>
              <w:widowControl/>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中国南方电网有限责任公司生产设备选型管理办法</w:t>
            </w:r>
          </w:p>
        </w:tc>
        <w:tc>
          <w:tcPr>
            <w:tcW w:w="1907" w:type="dxa"/>
            <w:noWrap w:val="0"/>
            <w:vAlign w:val="bottom"/>
          </w:tcPr>
          <w:p w14:paraId="419BF6C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2CE1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2EA9A2F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274</w:t>
            </w:r>
          </w:p>
        </w:tc>
        <w:tc>
          <w:tcPr>
            <w:tcW w:w="7019" w:type="dxa"/>
            <w:noWrap w:val="0"/>
            <w:vAlign w:val="bottom"/>
          </w:tcPr>
          <w:p w14:paraId="398BEA67">
            <w:pPr>
              <w:widowControl/>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中国南方电网有限责任公司新技术推广应用管理规定</w:t>
            </w:r>
          </w:p>
        </w:tc>
        <w:tc>
          <w:tcPr>
            <w:tcW w:w="1907" w:type="dxa"/>
            <w:noWrap w:val="0"/>
            <w:vAlign w:val="bottom"/>
          </w:tcPr>
          <w:p w14:paraId="748DEDF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1719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65ACBAF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275</w:t>
            </w:r>
          </w:p>
        </w:tc>
        <w:tc>
          <w:tcPr>
            <w:tcW w:w="7019" w:type="dxa"/>
            <w:noWrap w:val="0"/>
            <w:vAlign w:val="bottom"/>
          </w:tcPr>
          <w:p w14:paraId="7DBE1F91">
            <w:pPr>
              <w:widowControl/>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中国南方电网有限责任公司招标管理规定(2017)(修订)</w:t>
            </w:r>
          </w:p>
        </w:tc>
        <w:tc>
          <w:tcPr>
            <w:tcW w:w="1907" w:type="dxa"/>
            <w:noWrap w:val="0"/>
            <w:vAlign w:val="bottom"/>
          </w:tcPr>
          <w:p w14:paraId="16DEE44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61D0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6E73164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276</w:t>
            </w:r>
          </w:p>
        </w:tc>
        <w:tc>
          <w:tcPr>
            <w:tcW w:w="7019" w:type="dxa"/>
            <w:noWrap w:val="0"/>
            <w:vAlign w:val="bottom"/>
          </w:tcPr>
          <w:p w14:paraId="26CC1E1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关于印发工程领域违法转分包专项治理措施的通知（南方电网基建[2019]18号）</w:t>
            </w:r>
          </w:p>
        </w:tc>
        <w:tc>
          <w:tcPr>
            <w:tcW w:w="1907" w:type="dxa"/>
            <w:noWrap w:val="0"/>
            <w:vAlign w:val="bottom"/>
          </w:tcPr>
          <w:p w14:paraId="013FADA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7F9E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4B1D4E4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277</w:t>
            </w:r>
          </w:p>
        </w:tc>
        <w:tc>
          <w:tcPr>
            <w:tcW w:w="7019" w:type="dxa"/>
            <w:noWrap w:val="0"/>
            <w:vAlign w:val="bottom"/>
          </w:tcPr>
          <w:p w14:paraId="7F9BF4CE">
            <w:pPr>
              <w:widowControl/>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中国南方电网有限责任公司基建工程监理工作典型表式（2015年版）</w:t>
            </w:r>
          </w:p>
        </w:tc>
        <w:tc>
          <w:tcPr>
            <w:tcW w:w="1907" w:type="dxa"/>
            <w:noWrap w:val="0"/>
            <w:vAlign w:val="bottom"/>
          </w:tcPr>
          <w:p w14:paraId="444C673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23DF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70C6976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278</w:t>
            </w:r>
          </w:p>
        </w:tc>
        <w:tc>
          <w:tcPr>
            <w:tcW w:w="7019" w:type="dxa"/>
            <w:noWrap w:val="0"/>
            <w:vAlign w:val="bottom"/>
          </w:tcPr>
          <w:p w14:paraId="460C3306">
            <w:pPr>
              <w:widowControl/>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中国南方电网有限责任公司监理项目部工作手册</w:t>
            </w:r>
          </w:p>
        </w:tc>
        <w:tc>
          <w:tcPr>
            <w:tcW w:w="1907" w:type="dxa"/>
            <w:noWrap w:val="0"/>
            <w:vAlign w:val="bottom"/>
          </w:tcPr>
          <w:p w14:paraId="0703558C">
            <w:pPr>
              <w:widowControl/>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4D9A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35F27BA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279</w:t>
            </w:r>
          </w:p>
        </w:tc>
        <w:tc>
          <w:tcPr>
            <w:tcW w:w="7019" w:type="dxa"/>
            <w:noWrap w:val="0"/>
            <w:vAlign w:val="center"/>
          </w:tcPr>
          <w:p w14:paraId="61D807B6">
            <w:pPr>
              <w:widowControl/>
              <w:rPr>
                <w:rFonts w:ascii="宋体" w:hAnsi="宋体" w:cs="宋体"/>
                <w:color w:val="auto"/>
                <w:kern w:val="0"/>
                <w:szCs w:val="21"/>
                <w:highlight w:val="none"/>
              </w:rPr>
            </w:pPr>
            <w:bookmarkStart w:id="383" w:name="RANGE!B287"/>
            <w:r>
              <w:rPr>
                <w:rFonts w:hint="eastAsia" w:ascii="宋体" w:hAnsi="宋体" w:cs="宋体"/>
                <w:color w:val="auto"/>
                <w:kern w:val="0"/>
                <w:szCs w:val="21"/>
                <w:highlight w:val="none"/>
              </w:rPr>
              <w:t>中国南方电网有限责任公司基建承包商违章扣分实施指南（2019版）</w:t>
            </w:r>
            <w:bookmarkEnd w:id="383"/>
          </w:p>
        </w:tc>
        <w:tc>
          <w:tcPr>
            <w:tcW w:w="1907" w:type="dxa"/>
            <w:noWrap w:val="0"/>
            <w:vAlign w:val="bottom"/>
          </w:tcPr>
          <w:p w14:paraId="0FB8FAC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4CD2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28D59BD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280</w:t>
            </w:r>
          </w:p>
        </w:tc>
        <w:tc>
          <w:tcPr>
            <w:tcW w:w="7019" w:type="dxa"/>
            <w:noWrap w:val="0"/>
            <w:vAlign w:val="center"/>
          </w:tcPr>
          <w:p w14:paraId="031E0F10">
            <w:pPr>
              <w:widowControl/>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中国南方电网有限责任公司基建项目承包商评价标准</w:t>
            </w:r>
          </w:p>
        </w:tc>
        <w:tc>
          <w:tcPr>
            <w:tcW w:w="1907" w:type="dxa"/>
            <w:noWrap w:val="0"/>
            <w:vAlign w:val="bottom"/>
          </w:tcPr>
          <w:p w14:paraId="12DFDEE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2083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72B5479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281</w:t>
            </w:r>
          </w:p>
        </w:tc>
        <w:tc>
          <w:tcPr>
            <w:tcW w:w="7019" w:type="dxa"/>
            <w:noWrap w:val="0"/>
            <w:vAlign w:val="center"/>
          </w:tcPr>
          <w:p w14:paraId="1C830D50">
            <w:pPr>
              <w:widowControl/>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《中国南方电网有限责任公司工程项目质量保证金管理工作指引》（南方电网基建〔2019〕10号）</w:t>
            </w:r>
          </w:p>
        </w:tc>
        <w:tc>
          <w:tcPr>
            <w:tcW w:w="1907" w:type="dxa"/>
            <w:noWrap w:val="0"/>
            <w:vAlign w:val="bottom"/>
          </w:tcPr>
          <w:p w14:paraId="450771D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70C8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1FD88A5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282</w:t>
            </w:r>
          </w:p>
        </w:tc>
        <w:tc>
          <w:tcPr>
            <w:tcW w:w="7019" w:type="dxa"/>
            <w:noWrap w:val="0"/>
            <w:vAlign w:val="bottom"/>
          </w:tcPr>
          <w:p w14:paraId="395DB468">
            <w:pPr>
              <w:widowControl/>
              <w:rPr>
                <w:rFonts w:ascii="宋体" w:hAnsi="宋体" w:cs="宋体"/>
                <w:color w:val="auto"/>
                <w:kern w:val="0"/>
                <w:szCs w:val="21"/>
                <w:highlight w:val="none"/>
              </w:rPr>
            </w:pPr>
            <w:r>
              <w:rPr>
                <w:rFonts w:hint="eastAsia" w:ascii="宋体" w:hAnsi="宋体" w:cs="宋体"/>
                <w:color w:val="auto"/>
                <w:kern w:val="0"/>
                <w:szCs w:val="21"/>
                <w:highlight w:val="none"/>
              </w:rPr>
              <w:t>《中国南方电网有限责任公司设备缺陷定级标准》（基建分册）、《中国南方电网有限责任公司缺陷标准库》（基建分册）</w:t>
            </w:r>
          </w:p>
        </w:tc>
        <w:tc>
          <w:tcPr>
            <w:tcW w:w="1907" w:type="dxa"/>
            <w:noWrap w:val="0"/>
            <w:vAlign w:val="bottom"/>
          </w:tcPr>
          <w:p w14:paraId="411B74D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4398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3A26BAE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283</w:t>
            </w:r>
          </w:p>
        </w:tc>
        <w:tc>
          <w:tcPr>
            <w:tcW w:w="7019" w:type="dxa"/>
            <w:noWrap w:val="0"/>
            <w:vAlign w:val="bottom"/>
          </w:tcPr>
          <w:p w14:paraId="047C2B6B">
            <w:pPr>
              <w:widowControl/>
              <w:rPr>
                <w:rFonts w:ascii="宋体" w:hAnsi="宋体" w:cs="宋体"/>
                <w:color w:val="auto"/>
                <w:kern w:val="0"/>
                <w:szCs w:val="21"/>
                <w:highlight w:val="none"/>
              </w:rPr>
            </w:pPr>
            <w:r>
              <w:rPr>
                <w:rFonts w:hint="eastAsia" w:ascii="宋体" w:hAnsi="宋体" w:cs="宋体"/>
                <w:color w:val="auto"/>
                <w:kern w:val="0"/>
                <w:szCs w:val="21"/>
                <w:highlight w:val="none"/>
              </w:rPr>
              <w:t>《南方电网公司基建项目造价信息化规约（20kV及以下配网工程2016定额版）》（基建〔2017〕46号）</w:t>
            </w:r>
          </w:p>
        </w:tc>
        <w:tc>
          <w:tcPr>
            <w:tcW w:w="1907" w:type="dxa"/>
            <w:noWrap w:val="0"/>
            <w:vAlign w:val="bottom"/>
          </w:tcPr>
          <w:p w14:paraId="7F63635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南方电网管理要求</w:t>
            </w:r>
          </w:p>
        </w:tc>
      </w:tr>
      <w:tr w14:paraId="7895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7B6AD43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284</w:t>
            </w:r>
          </w:p>
        </w:tc>
        <w:tc>
          <w:tcPr>
            <w:tcW w:w="7019" w:type="dxa"/>
            <w:noWrap w:val="0"/>
            <w:vAlign w:val="bottom"/>
          </w:tcPr>
          <w:p w14:paraId="73C836EC">
            <w:pPr>
              <w:widowControl/>
              <w:rPr>
                <w:rFonts w:ascii="宋体" w:hAnsi="宋体" w:cs="宋体"/>
                <w:color w:val="auto"/>
                <w:kern w:val="0"/>
                <w:szCs w:val="21"/>
                <w:highlight w:val="none"/>
              </w:rPr>
            </w:pPr>
            <w:r>
              <w:rPr>
                <w:rFonts w:hint="eastAsia" w:ascii="宋体" w:hAnsi="宋体" w:cs="宋体"/>
                <w:color w:val="auto"/>
                <w:kern w:val="0"/>
                <w:szCs w:val="21"/>
                <w:highlight w:val="none"/>
              </w:rPr>
              <w:t>《南方电网公司技术标准体系表（2019版）》</w:t>
            </w:r>
          </w:p>
        </w:tc>
        <w:tc>
          <w:tcPr>
            <w:tcW w:w="1907" w:type="dxa"/>
            <w:noWrap w:val="0"/>
            <w:vAlign w:val="bottom"/>
          </w:tcPr>
          <w:p w14:paraId="6251055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南方电网企业标准</w:t>
            </w:r>
          </w:p>
        </w:tc>
      </w:tr>
    </w:tbl>
    <w:p w14:paraId="1D54598E">
      <w:pPr>
        <w:widowControl/>
        <w:autoSpaceDE w:val="0"/>
        <w:autoSpaceDN w:val="0"/>
        <w:adjustRightInd w:val="0"/>
        <w:spacing w:before="64"/>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以上所列的主要技术标准和规范，如未能达到国际和国内最新标准时，投标方应使用符合最近的国际、国内标准，并提供采用的标准、规范和所应用的最新版本的有关技术依据资料。</w:t>
      </w:r>
    </w:p>
    <w:p w14:paraId="09A8204E">
      <w:pPr>
        <w:pStyle w:val="9"/>
        <w:spacing w:line="360" w:lineRule="auto"/>
        <w:jc w:val="center"/>
        <w:rPr>
          <w:rFonts w:hAnsi="宋体" w:cs="仿宋_GB2312"/>
          <w:color w:val="auto"/>
          <w:szCs w:val="21"/>
          <w:highlight w:val="none"/>
        </w:rPr>
      </w:pPr>
      <w:r>
        <w:rPr>
          <w:rFonts w:hint="eastAsia" w:hAnsi="宋体" w:cs="仿宋_GB2312"/>
          <w:color w:val="auto"/>
          <w:szCs w:val="21"/>
          <w:highlight w:val="none"/>
        </w:rPr>
        <w:br w:type="page"/>
      </w:r>
    </w:p>
    <w:p w14:paraId="70749775">
      <w:pPr>
        <w:pStyle w:val="3"/>
        <w:ind w:firstLine="137"/>
        <w:rPr>
          <w:rFonts w:hint="eastAsia" w:ascii="Times New Roman" w:cs="Times New Roman"/>
          <w:color w:val="auto"/>
          <w:highlight w:val="none"/>
        </w:rPr>
      </w:pPr>
      <w:r>
        <w:rPr>
          <w:rFonts w:hint="eastAsia" w:ascii="Times New Roman" w:cs="Times New Roman"/>
          <w:color w:val="auto"/>
          <w:highlight w:val="none"/>
          <w:lang w:val="en-US" w:eastAsia="zh-CN"/>
        </w:rPr>
        <w:t>附件十：</w:t>
      </w:r>
      <w:r>
        <w:rPr>
          <w:rFonts w:hint="eastAsia" w:ascii="Times New Roman" w:cs="Times New Roman"/>
          <w:color w:val="auto"/>
          <w:highlight w:val="none"/>
          <w:lang w:val="zh-CN" w:eastAsia="zh-CN"/>
        </w:rPr>
        <w:t>保密协议</w:t>
      </w:r>
    </w:p>
    <w:p w14:paraId="47EA444A">
      <w:pPr>
        <w:spacing w:line="500" w:lineRule="exact"/>
        <w:rPr>
          <w:rFonts w:hint="eastAsia" w:ascii="仿宋" w:hAnsi="仿宋" w:eastAsia="仿宋" w:cs="仿宋"/>
          <w:b/>
          <w:color w:val="auto"/>
          <w:sz w:val="28"/>
          <w:szCs w:val="28"/>
          <w:highlight w:val="none"/>
        </w:rPr>
      </w:pPr>
      <w:bookmarkStart w:id="384" w:name="_Toc13481"/>
      <w:bookmarkStart w:id="385" w:name="_Toc4155_WPSOffice_Level1"/>
      <w:bookmarkStart w:id="386" w:name="_Toc22350"/>
      <w:bookmarkStart w:id="387" w:name="_Toc26660"/>
      <w:bookmarkStart w:id="388" w:name="_Toc4800"/>
      <w:bookmarkStart w:id="389" w:name="_Toc22832"/>
      <w:bookmarkStart w:id="390" w:name="_Toc26293_WPSOffice_Level1"/>
      <w:bookmarkStart w:id="391" w:name="_Toc21656_WPSOffice_Level1"/>
      <w:r>
        <w:rPr>
          <w:rFonts w:hint="eastAsia" w:ascii="仿宋" w:hAnsi="仿宋" w:eastAsia="仿宋" w:cs="仿宋"/>
          <w:b/>
          <w:color w:val="auto"/>
          <w:sz w:val="28"/>
          <w:szCs w:val="28"/>
          <w:highlight w:val="none"/>
        </w:rPr>
        <w:t>对应</w:t>
      </w:r>
      <w:r>
        <w:rPr>
          <w:rFonts w:hint="eastAsia" w:ascii="仿宋" w:hAnsi="仿宋" w:cs="仿宋"/>
          <w:b/>
          <w:color w:val="auto"/>
          <w:sz w:val="28"/>
          <w:szCs w:val="28"/>
          <w:highlight w:val="none"/>
          <w:lang w:val="en-US" w:eastAsia="zh-CN"/>
        </w:rPr>
        <w:t>主</w:t>
      </w:r>
      <w:r>
        <w:rPr>
          <w:rFonts w:hint="eastAsia" w:ascii="仿宋" w:hAnsi="仿宋" w:eastAsia="仿宋" w:cs="仿宋"/>
          <w:b/>
          <w:color w:val="auto"/>
          <w:sz w:val="28"/>
          <w:szCs w:val="28"/>
          <w:highlight w:val="none"/>
        </w:rPr>
        <w:t>合同编号：</w:t>
      </w:r>
      <w:r>
        <w:rPr>
          <w:rFonts w:hint="eastAsia" w:ascii="仿宋" w:hAnsi="仿宋" w:eastAsia="仿宋" w:cs="仿宋"/>
          <w:b/>
          <w:color w:val="auto"/>
          <w:sz w:val="28"/>
          <w:szCs w:val="28"/>
          <w:highlight w:val="none"/>
          <w:u w:val="single"/>
        </w:rPr>
        <w:t xml:space="preserve"> </w:t>
      </w:r>
      <w:r>
        <w:rPr>
          <w:rFonts w:hint="eastAsia" w:ascii="仿宋" w:hAnsi="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u w:val="single"/>
        </w:rPr>
        <w:t xml:space="preserve">  </w:t>
      </w:r>
    </w:p>
    <w:p w14:paraId="21479659">
      <w:pPr>
        <w:pStyle w:val="14"/>
        <w:ind w:right="-88"/>
        <w:rPr>
          <w:rFonts w:hint="eastAsia" w:ascii="仿宋" w:hAnsi="仿宋" w:eastAsia="仿宋" w:cs="仿宋"/>
          <w:b/>
          <w:bCs/>
          <w:color w:val="auto"/>
          <w:kern w:val="0"/>
          <w:sz w:val="32"/>
          <w:szCs w:val="32"/>
          <w:highlight w:val="none"/>
          <w:lang w:val="en-US" w:eastAsia="zh-CN"/>
        </w:rPr>
      </w:pPr>
    </w:p>
    <w:p w14:paraId="17971F26">
      <w:pPr>
        <w:pStyle w:val="14"/>
        <w:ind w:right="-88"/>
        <w:rPr>
          <w:rFonts w:hint="eastAsia" w:ascii="仿宋" w:hAnsi="仿宋" w:eastAsia="仿宋" w:cs="仿宋"/>
          <w:color w:val="auto"/>
          <w:highlight w:val="none"/>
        </w:rPr>
      </w:pPr>
      <w:r>
        <w:rPr>
          <w:rFonts w:hint="eastAsia" w:ascii="仿宋" w:hAnsi="仿宋" w:eastAsia="仿宋" w:cs="仿宋"/>
          <w:b/>
          <w:bCs/>
          <w:color w:val="auto"/>
          <w:kern w:val="0"/>
          <w:sz w:val="32"/>
          <w:szCs w:val="32"/>
          <w:highlight w:val="none"/>
        </w:rPr>
        <w:t>保密协议</w:t>
      </w:r>
      <w:bookmarkEnd w:id="384"/>
      <w:bookmarkEnd w:id="385"/>
      <w:bookmarkEnd w:id="386"/>
      <w:bookmarkEnd w:id="387"/>
      <w:bookmarkEnd w:id="388"/>
      <w:bookmarkEnd w:id="389"/>
      <w:bookmarkEnd w:id="390"/>
      <w:bookmarkEnd w:id="391"/>
    </w:p>
    <w:p w14:paraId="68E71336">
      <w:pPr>
        <w:snapToGrid w:val="0"/>
        <w:spacing w:line="360" w:lineRule="auto"/>
        <w:ind w:firstLine="480" w:firstLineChars="200"/>
        <w:rPr>
          <w:rFonts w:hint="eastAsia" w:ascii="仿宋" w:hAnsi="仿宋" w:eastAsia="仿宋" w:cs="仿宋"/>
          <w:color w:val="auto"/>
          <w:sz w:val="24"/>
          <w:szCs w:val="24"/>
          <w:highlight w:val="none"/>
        </w:rPr>
      </w:pPr>
    </w:p>
    <w:p w14:paraId="3B0046CC">
      <w:pPr>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u w:val="single"/>
          <w:lang w:val="en-US" w:eastAsia="zh-CN"/>
        </w:rPr>
        <w:t xml:space="preserve">    </w:t>
      </w:r>
    </w:p>
    <w:p w14:paraId="280D8D89">
      <w:pPr>
        <w:snapToGrid w:val="0"/>
        <w:spacing w:line="360" w:lineRule="auto"/>
        <w:ind w:firstLine="480" w:firstLineChars="200"/>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u w:val="single"/>
          <w:lang w:val="en-US" w:eastAsia="zh-CN"/>
        </w:rPr>
        <w:t xml:space="preserve">     </w:t>
      </w:r>
    </w:p>
    <w:p w14:paraId="761E95E4">
      <w:pPr>
        <w:snapToGrid w:val="0"/>
        <w:spacing w:line="360" w:lineRule="auto"/>
        <w:rPr>
          <w:rFonts w:hint="eastAsia" w:ascii="仿宋" w:hAnsi="仿宋" w:eastAsia="仿宋" w:cs="仿宋"/>
          <w:color w:val="auto"/>
          <w:sz w:val="24"/>
          <w:szCs w:val="24"/>
          <w:highlight w:val="none"/>
        </w:rPr>
      </w:pPr>
    </w:p>
    <w:p w14:paraId="036429A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本协议签约双方就</w:t>
      </w:r>
      <w:r>
        <w:rPr>
          <w:rFonts w:hint="eastAsia" w:ascii="仿宋" w:hAnsi="仿宋" w:eastAsia="仿宋" w:cs="仿宋"/>
          <w:color w:val="auto"/>
          <w:sz w:val="24"/>
          <w:szCs w:val="24"/>
          <w:highlight w:val="none"/>
          <w:u w:val="single"/>
        </w:rPr>
        <w:t xml:space="preserve"> </w:t>
      </w:r>
      <w:r>
        <w:rPr>
          <w:rFonts w:hint="eastAsia" w:ascii="仿宋" w:hAnsi="仿宋" w:cs="仿宋"/>
          <w:color w:val="auto"/>
          <w:sz w:val="24"/>
          <w:szCs w:val="24"/>
          <w:highlight w:val="none"/>
          <w:u w:val="single"/>
          <w:lang w:val="en-US" w:eastAsia="zh-CN"/>
        </w:rPr>
        <w:t>2025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年度</w:t>
      </w:r>
      <w:r>
        <w:rPr>
          <w:rFonts w:hint="eastAsia" w:ascii="仿宋" w:hAnsi="仿宋" w:eastAsia="仿宋" w:cs="仿宋"/>
          <w:color w:val="auto"/>
          <w:sz w:val="24"/>
          <w:szCs w:val="24"/>
          <w:highlight w:val="none"/>
          <w:u w:val="single"/>
        </w:rPr>
        <w:t xml:space="preserve"> </w:t>
      </w:r>
      <w:r>
        <w:rPr>
          <w:rFonts w:hint="eastAsia" w:ascii="宋体" w:hAnsi="宋体" w:eastAsia="宋体" w:cs="宋体"/>
          <w:color w:val="auto"/>
          <w:sz w:val="21"/>
          <w:szCs w:val="21"/>
          <w:highlight w:val="none"/>
          <w:u w:val="single"/>
          <w:lang w:val="en-US" w:eastAsia="zh-CN"/>
        </w:rPr>
        <w:t>500千伏番南输变电工程（变电站建筑）监理服务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项目实施过程中涉及双方保密信息，在真实、充分地表达各自意愿的基础上，达成如下协议，由签约双方共同恪守。</w:t>
      </w:r>
    </w:p>
    <w:p w14:paraId="5C1B3662">
      <w:pPr>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 保密信息</w:t>
      </w:r>
    </w:p>
    <w:p w14:paraId="0DF36BF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本协议中的“保密信息”指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涉及企业商业秘密、工作秘密及内部信息等内容</w:t>
      </w:r>
      <w:r>
        <w:rPr>
          <w:rFonts w:hint="eastAsia" w:ascii="仿宋" w:hAnsi="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必要时可加附件）</w:t>
      </w:r>
    </w:p>
    <w:p w14:paraId="372FFCCD">
      <w:pPr>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 保密人员</w:t>
      </w:r>
    </w:p>
    <w:p w14:paraId="56B131A6">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2.1乙方的管理人员、一般员工以及其他受乙方委托、聘用等直接或间接接触保密信息的人员均应恪尽保密义务，不因人员的流动而免责。</w:t>
      </w:r>
    </w:p>
    <w:p w14:paraId="6237929B">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乙方参加本项目的所有人员必须与乙方签有正式的保密协议，并且该人员在知晓保密信息之前应经充分了解本协议的内容。保密安全性不得低于本协议要求。甲方有检查、验证乙方与乙方人员遵守保密协议的权利，乙方在甲方提出需求后，必须提交相关资料。</w:t>
      </w:r>
    </w:p>
    <w:p w14:paraId="7ABFC2D8">
      <w:pPr>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 保密义务</w:t>
      </w:r>
    </w:p>
    <w:p w14:paraId="751D4039">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乙方有义务妥善保管保密信息，乙方对于从甲方得到的保密信息，应当按要求确保保密信息的安全，如乙方内部已有保密制度的，应将从甲方得到的保密信息视同乙方内部的保密信息进行安全管理。对于从甲方获得的保密信息，安全管理要求不得低于国家、行业和甲方相关的安全管理要求。</w:t>
      </w:r>
    </w:p>
    <w:p w14:paraId="6EFFC576">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3.2乙方所获知的保密信息须在本单位内部谨慎的使用，只能透露给本单位直接参与项目的人员，透露的内容只能是与其工作相关的信息。</w:t>
      </w:r>
    </w:p>
    <w:p w14:paraId="1D7A42F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3.3乙方应当采取必要的措施防止复制、泄漏或遗失。乙方亦不得依据保密信息，就任何问题，向第三方做出任何建议。</w:t>
      </w:r>
    </w:p>
    <w:p w14:paraId="71A0E643">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保密信息及利用保密信息所形成的工作成果非经甲方书面同意，乙方及其相关人员应负保密责任，不得以任何方式就保密信息及工作成果之全部或部分泄漏、告知、复制、传播、或对外发表、或为自己及第三人使用。</w:t>
      </w:r>
    </w:p>
    <w:p w14:paraId="2B1F070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在现场实施过程中，乙方必须在甲方指定地点办公，并遵守甲方关于第三方人员管理规定要求。未经许可不得将保密信息带离办公场所。</w:t>
      </w:r>
    </w:p>
    <w:p w14:paraId="6023789D">
      <w:pPr>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 违约责任</w:t>
      </w:r>
    </w:p>
    <w:p w14:paraId="14E37EBA">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乙方必须遵照本保密协议，承担保密责任；如果乙方违反上述保密条款，应承担相应的法律责任,并负责赔偿因违反上述保密条款而为甲方带来的直接和间接损失。</w:t>
      </w:r>
    </w:p>
    <w:p w14:paraId="1E95129C">
      <w:pPr>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 有效期限</w:t>
      </w:r>
    </w:p>
    <w:p w14:paraId="0E519DFE">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本协议是《</w:t>
      </w:r>
      <w:r>
        <w:rPr>
          <w:rFonts w:hint="eastAsia" w:ascii="仿宋" w:hAnsi="仿宋" w:eastAsia="仿宋" w:cs="仿宋"/>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500千伏番南输变电工程（变电站建筑）监理服务</w:t>
      </w:r>
      <w:r>
        <w:rPr>
          <w:rFonts w:hint="eastAsia" w:ascii="仿宋" w:hAnsi="仿宋" w:eastAsia="仿宋" w:cs="仿宋"/>
          <w:color w:val="auto"/>
          <w:sz w:val="24"/>
          <w:szCs w:val="24"/>
          <w:highlight w:val="none"/>
          <w:u w:val="single"/>
        </w:rPr>
        <w:t xml:space="preserve">合同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none"/>
          <w:lang w:val="en-US" w:eastAsia="zh-CN"/>
        </w:rPr>
        <w:t>主合同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的附件，与《</w:t>
      </w:r>
      <w:r>
        <w:rPr>
          <w:rFonts w:hint="eastAsia" w:ascii="仿宋" w:hAnsi="仿宋" w:eastAsia="仿宋" w:cs="仿宋"/>
          <w:color w:val="auto"/>
          <w:sz w:val="24"/>
          <w:szCs w:val="24"/>
          <w:highlight w:val="none"/>
          <w:u w:val="single"/>
        </w:rPr>
        <w:t xml:space="preserve"> 5</w:t>
      </w:r>
      <w:r>
        <w:rPr>
          <w:rFonts w:hint="eastAsia" w:ascii="宋体" w:hAnsi="宋体" w:eastAsia="宋体" w:cs="宋体"/>
          <w:color w:val="auto"/>
          <w:sz w:val="24"/>
          <w:szCs w:val="24"/>
          <w:highlight w:val="none"/>
          <w:u w:val="single"/>
          <w:lang w:val="en-US" w:eastAsia="zh-CN"/>
        </w:rPr>
        <w:t>00千伏番南输变电工程（变电站建筑）监理服务</w:t>
      </w:r>
      <w:r>
        <w:rPr>
          <w:rFonts w:hint="eastAsia" w:ascii="仿宋" w:hAnsi="仿宋" w:eastAsia="仿宋" w:cs="仿宋"/>
          <w:color w:val="auto"/>
          <w:sz w:val="24"/>
          <w:szCs w:val="24"/>
          <w:highlight w:val="none"/>
          <w:u w:val="single"/>
        </w:rPr>
        <w:t xml:space="preserve">合同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none"/>
          <w:lang w:val="en-US" w:eastAsia="zh-CN"/>
        </w:rPr>
        <w:t>主合同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同时生效，并永久有效。</w:t>
      </w:r>
    </w:p>
    <w:p w14:paraId="7C37FB9A">
      <w:pPr>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 其他</w:t>
      </w:r>
    </w:p>
    <w:p w14:paraId="6C60A12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6.1本协议一式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份，甲方执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份，乙方执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14:paraId="0E0EF1D5">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w:t>
      </w:r>
      <w:r>
        <w:rPr>
          <w:rFonts w:hint="eastAsia" w:ascii="仿宋" w:hAnsi="仿宋" w:eastAsia="仿宋" w:cs="仿宋"/>
          <w:color w:val="auto"/>
          <w:sz w:val="24"/>
          <w:szCs w:val="24"/>
          <w:highlight w:val="none"/>
          <w:lang w:val="en-US" w:eastAsia="zh-CN"/>
        </w:rPr>
        <w:t>本保密协议与主合同约定不一致的，以本保密协议的约定为准，其他条款按照主合同约定执行</w:t>
      </w:r>
      <w:r>
        <w:rPr>
          <w:rFonts w:hint="eastAsia" w:ascii="仿宋" w:hAnsi="仿宋" w:eastAsia="仿宋" w:cs="仿宋"/>
          <w:color w:val="auto"/>
          <w:sz w:val="24"/>
          <w:szCs w:val="24"/>
          <w:highlight w:val="none"/>
        </w:rPr>
        <w:t>。</w:t>
      </w:r>
    </w:p>
    <w:p w14:paraId="2F072C0E">
      <w:pPr>
        <w:snapToGrid w:val="0"/>
        <w:spacing w:line="360" w:lineRule="auto"/>
        <w:ind w:left="120" w:firstLine="1200" w:firstLineChars="500"/>
        <w:rPr>
          <w:rFonts w:hint="eastAsia" w:ascii="仿宋_GB2312" w:hAnsi="仿宋_GB2312" w:eastAsia="仿宋_GB2312" w:cs="仿宋_GB2312"/>
          <w:color w:val="auto"/>
          <w:sz w:val="24"/>
          <w:szCs w:val="24"/>
          <w:highlight w:val="none"/>
        </w:rPr>
      </w:pPr>
    </w:p>
    <w:p w14:paraId="4C9372DE">
      <w:pPr>
        <w:spacing w:line="500" w:lineRule="exact"/>
        <w:ind w:firstLine="280" w:firstLineChars="1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甲方（盖章）                     乙方（盖章）：</w:t>
      </w:r>
    </w:p>
    <w:p w14:paraId="7D97DA1D">
      <w:pPr>
        <w:spacing w:before="120" w:beforeLines="50" w:after="120" w:afterLines="50" w:line="500" w:lineRule="exact"/>
        <w:ind w:firstLine="560"/>
        <w:jc w:val="left"/>
        <w:rPr>
          <w:rFonts w:hint="eastAsia" w:ascii="仿宋" w:hAnsi="仿宋" w:eastAsia="仿宋" w:cs="仿宋"/>
          <w:color w:val="auto"/>
          <w:sz w:val="28"/>
          <w:szCs w:val="28"/>
          <w:highlight w:val="none"/>
        </w:rPr>
      </w:pPr>
    </w:p>
    <w:p w14:paraId="68ECAF08">
      <w:pPr>
        <w:snapToGrid w:val="0"/>
        <w:ind w:firstLine="280" w:firstLineChars="1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14950573">
      <w:pPr>
        <w:snapToGrid w:val="0"/>
        <w:ind w:firstLine="56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（或委托代理人）：                 （或委托代理人）：             </w:t>
      </w:r>
    </w:p>
    <w:p w14:paraId="31A27CC8">
      <w:pPr>
        <w:spacing w:line="500" w:lineRule="exact"/>
        <w:ind w:firstLine="560"/>
        <w:jc w:val="left"/>
        <w:rPr>
          <w:color w:val="auto"/>
          <w:highlight w:val="none"/>
        </w:rPr>
      </w:pPr>
      <w:r>
        <w:rPr>
          <w:rFonts w:hint="eastAsia" w:ascii="仿宋" w:hAnsi="仿宋" w:eastAsia="仿宋" w:cs="仿宋"/>
          <w:color w:val="auto"/>
          <w:sz w:val="28"/>
          <w:szCs w:val="28"/>
          <w:highlight w:val="none"/>
        </w:rPr>
        <w:t xml:space="preserve">            年    月     日               年    月   日</w:t>
      </w:r>
    </w:p>
    <w:p w14:paraId="49CC896C">
      <w:pPr>
        <w:autoSpaceDE w:val="0"/>
        <w:autoSpaceDN w:val="0"/>
        <w:spacing w:line="320" w:lineRule="exact"/>
        <w:rPr>
          <w:rFonts w:hint="eastAsia" w:ascii="宋体" w:hAnsi="宋体" w:cs="仿宋_GB2312"/>
          <w:color w:val="auto"/>
          <w:szCs w:val="21"/>
          <w:highlight w:val="none"/>
        </w:rPr>
      </w:pPr>
    </w:p>
    <w:p w14:paraId="79C625B7">
      <w:pPr>
        <w:autoSpaceDE w:val="0"/>
        <w:autoSpaceDN w:val="0"/>
        <w:spacing w:line="320" w:lineRule="exact"/>
        <w:rPr>
          <w:rFonts w:ascii="宋体" w:hAnsi="宋体" w:cs="仿宋_GB2312"/>
          <w:color w:val="auto"/>
          <w:szCs w:val="21"/>
          <w:highlight w:val="none"/>
        </w:rPr>
      </w:pPr>
      <w:r>
        <w:rPr>
          <w:rFonts w:hint="eastAsia" w:ascii="宋体" w:hAnsi="宋体" w:cs="仿宋_GB2312"/>
          <w:color w:val="auto"/>
          <w:szCs w:val="21"/>
          <w:highlight w:val="none"/>
        </w:rPr>
        <w:br w:type="page"/>
      </w:r>
    </w:p>
    <w:p w14:paraId="4D501563">
      <w:pPr>
        <w:pStyle w:val="3"/>
        <w:numPr>
          <w:ilvl w:val="0"/>
          <w:numId w:val="4"/>
        </w:numPr>
        <w:ind w:firstLine="643" w:firstLineChars="200"/>
        <w:jc w:val="center"/>
        <w:rPr>
          <w:rFonts w:ascii="Times New Roman" w:hAnsi="Times New Roman"/>
          <w:color w:val="auto"/>
          <w:highlight w:val="none"/>
        </w:rPr>
      </w:pPr>
      <w:bookmarkStart w:id="392" w:name="_Toc20424"/>
      <w:r>
        <w:rPr>
          <w:rFonts w:hint="eastAsia" w:ascii="Times New Roman" w:hAnsi="Times New Roman"/>
          <w:color w:val="auto"/>
          <w:highlight w:val="none"/>
        </w:rPr>
        <w:t>报价书</w:t>
      </w:r>
      <w:bookmarkEnd w:id="392"/>
    </w:p>
    <w:p w14:paraId="251D73E3">
      <w:pPr>
        <w:rPr>
          <w:color w:val="auto"/>
          <w:highlight w:val="none"/>
        </w:rPr>
      </w:pPr>
      <w:r>
        <w:rPr>
          <w:rFonts w:hint="eastAsia" w:ascii="宋体" w:hAnsi="宋体"/>
          <w:color w:val="auto"/>
          <w:szCs w:val="21"/>
          <w:highlight w:val="none"/>
        </w:rPr>
        <w:t>详见投标文件。</w:t>
      </w:r>
      <w:bookmarkEnd w:id="194"/>
      <w:bookmarkEnd w:id="195"/>
      <w:bookmarkEnd w:id="196"/>
      <w:bookmarkEnd w:id="197"/>
      <w:bookmarkEnd w:id="198"/>
      <w:bookmarkEnd w:id="199"/>
      <w:bookmarkEnd w:id="200"/>
      <w:bookmarkEnd w:id="376"/>
      <w:bookmarkEnd w:id="377"/>
      <w:bookmarkEnd w:id="378"/>
      <w:bookmarkEnd w:id="379"/>
      <w:bookmarkEnd w:id="380"/>
      <w:bookmarkEnd w:id="381"/>
      <w:permEnd w:id="129"/>
    </w:p>
    <w:p w14:paraId="412887BB">
      <w:pPr>
        <w:rPr>
          <w:color w:val="auto"/>
          <w:highlight w:val="none"/>
        </w:rPr>
      </w:pPr>
    </w:p>
    <w:sectPr>
      <w:footerReference r:id="rId3" w:type="default"/>
      <w:pgSz w:w="12240" w:h="15840"/>
      <w:pgMar w:top="1440" w:right="1800" w:bottom="1440" w:left="1800" w:header="720" w:footer="720" w:gutter="0"/>
      <w:pgNumType w:fmt="decimal"/>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18030">
    <w:altName w:val="微软雅黑"/>
    <w:panose1 w:val="02010609060101010101"/>
    <w:charset w:val="86"/>
    <w:family w:val="swiss"/>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TimesNewRomanPSMT">
    <w:altName w:val="Times New Roman"/>
    <w:panose1 w:val="02020503050405090304"/>
    <w:charset w:val="00"/>
    <w:family w:val="roman"/>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56F19">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4E3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34E3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p w14:paraId="5DAE72F9">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580B80"/>
    <w:multiLevelType w:val="singleLevel"/>
    <w:tmpl w:val="5A580B80"/>
    <w:lvl w:ilvl="0" w:tentative="0">
      <w:start w:val="3"/>
      <w:numFmt w:val="decimal"/>
      <w:suff w:val="nothing"/>
      <w:lvlText w:val="（%1）"/>
      <w:lvlJc w:val="left"/>
    </w:lvl>
  </w:abstractNum>
  <w:abstractNum w:abstractNumId="1">
    <w:nsid w:val="5A585638"/>
    <w:multiLevelType w:val="singleLevel"/>
    <w:tmpl w:val="5A585638"/>
    <w:lvl w:ilvl="0" w:tentative="0">
      <w:start w:val="4"/>
      <w:numFmt w:val="decimal"/>
      <w:suff w:val="space"/>
      <w:lvlText w:val="%1."/>
      <w:lvlJc w:val="left"/>
    </w:lvl>
  </w:abstractNum>
  <w:abstractNum w:abstractNumId="2">
    <w:nsid w:val="5A587B94"/>
    <w:multiLevelType w:val="singleLevel"/>
    <w:tmpl w:val="5A587B94"/>
    <w:lvl w:ilvl="0" w:tentative="0">
      <w:start w:val="4"/>
      <w:numFmt w:val="chineseCounting"/>
      <w:suff w:val="nothing"/>
      <w:lvlText w:val="第%1节"/>
      <w:lvlJc w:val="left"/>
    </w:lvl>
  </w:abstractNum>
  <w:abstractNum w:abstractNumId="3">
    <w:nsid w:val="5A5BFCE5"/>
    <w:multiLevelType w:val="singleLevel"/>
    <w:tmpl w:val="5A5BFCE5"/>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27399"/>
    <w:rsid w:val="06147137"/>
    <w:rsid w:val="082B7D91"/>
    <w:rsid w:val="0F0E163E"/>
    <w:rsid w:val="15B66837"/>
    <w:rsid w:val="163E476A"/>
    <w:rsid w:val="2E4D55E9"/>
    <w:rsid w:val="304B0489"/>
    <w:rsid w:val="37237F3F"/>
    <w:rsid w:val="38B02691"/>
    <w:rsid w:val="4A6D4857"/>
    <w:rsid w:val="4A895CED"/>
    <w:rsid w:val="57B14DA0"/>
    <w:rsid w:val="5FF14706"/>
    <w:rsid w:val="62605F29"/>
    <w:rsid w:val="6B2C0DA2"/>
    <w:rsid w:val="70C86CB5"/>
    <w:rsid w:val="7BEF63A9"/>
    <w:rsid w:val="7BFF705A"/>
    <w:rsid w:val="7DB223FB"/>
    <w:rsid w:val="7EDE0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Calibri" w:eastAsia="黑体"/>
      <w:sz w:val="28"/>
      <w:szCs w:val="20"/>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rPr>
      <w:szCs w:val="20"/>
    </w:rPr>
  </w:style>
  <w:style w:type="paragraph" w:styleId="6">
    <w:name w:val="Body Text"/>
    <w:basedOn w:val="1"/>
    <w:next w:val="7"/>
    <w:unhideWhenUsed/>
    <w:qFormat/>
    <w:uiPriority w:val="99"/>
    <w:pPr>
      <w:spacing w:after="120"/>
    </w:pPr>
    <w:rPr>
      <w:szCs w:val="20"/>
    </w:rPr>
  </w:style>
  <w:style w:type="paragraph" w:styleId="7">
    <w:name w:val="Title"/>
    <w:basedOn w:val="1"/>
    <w:next w:val="1"/>
    <w:qFormat/>
    <w:uiPriority w:val="10"/>
    <w:pPr>
      <w:adjustRightInd w:val="0"/>
      <w:spacing w:before="240" w:after="60" w:line="420" w:lineRule="atLeast"/>
      <w:jc w:val="center"/>
      <w:textAlignment w:val="baseline"/>
      <w:outlineLvl w:val="0"/>
    </w:pPr>
    <w:rPr>
      <w:rFonts w:ascii="Arial" w:hAnsi="Arial"/>
      <w:b/>
      <w:kern w:val="0"/>
      <w:sz w:val="32"/>
      <w:szCs w:val="20"/>
    </w:rPr>
  </w:style>
  <w:style w:type="paragraph" w:styleId="8">
    <w:name w:val="Body Text Indent"/>
    <w:basedOn w:val="1"/>
    <w:qFormat/>
    <w:uiPriority w:val="0"/>
    <w:pPr>
      <w:spacing w:after="120"/>
      <w:ind w:left="420" w:leftChars="200"/>
    </w:pPr>
    <w:rPr>
      <w:szCs w:val="20"/>
    </w:rPr>
  </w:style>
  <w:style w:type="paragraph" w:styleId="9">
    <w:name w:val="Plain Text"/>
    <w:basedOn w:val="1"/>
    <w:qFormat/>
    <w:uiPriority w:val="0"/>
    <w:rPr>
      <w:rFonts w:ascii="宋体" w:hAnsi="Calibri"/>
    </w:rPr>
  </w:style>
  <w:style w:type="paragraph" w:styleId="10">
    <w:name w:val="footer"/>
    <w:basedOn w:val="1"/>
    <w:qFormat/>
    <w:uiPriority w:val="0"/>
    <w:pPr>
      <w:tabs>
        <w:tab w:val="center" w:pos="4153"/>
        <w:tab w:val="right" w:pos="8306"/>
      </w:tabs>
      <w:snapToGrid w:val="0"/>
      <w:jc w:val="left"/>
    </w:pPr>
    <w:rPr>
      <w:rFonts w:ascii="Calibri" w:hAnsi="Calibri"/>
      <w:sz w:val="18"/>
    </w:rPr>
  </w:style>
  <w:style w:type="paragraph" w:customStyle="1" w:styleId="13">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4">
    <w:name w:val="段"/>
    <w:qFormat/>
    <w:uiPriority w:val="0"/>
    <w:pPr>
      <w:jc w:val="center"/>
    </w:pPr>
    <w:rPr>
      <w:rFonts w:ascii="宋体" w:hAnsi="Times New Roman" w:eastAsia="仿宋_GB2312" w:cs="Times New Roman"/>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a59c8e-4672-457c-aff6-502e5dd10eda}"/>
        <w:style w:val=""/>
        <w:category>
          <w:name w:val="常规"/>
          <w:gallery w:val="placeholder"/>
        </w:category>
        <w:types>
          <w:type w:val="bbPlcHdr"/>
        </w:types>
        <w:behaviors>
          <w:behavior w:val="content"/>
        </w:behaviors>
        <w:description w:val=""/>
        <w:guid w:val="{dea59c8e-4672-457c-aff6-502e5dd10eda}"/>
      </w:docPartPr>
      <w:docPartBody>
        <w:p w14:paraId="4D74C15A">
          <w:r>
            <w:rPr>
              <w:color w:val="808080"/>
            </w:rPr>
            <w:t>单击此处输入文字。</w:t>
          </w:r>
        </w:p>
      </w:docPartBody>
    </w:docPart>
    <w:docPart>
      <w:docPartPr>
        <w:name w:val="{30c4e123-1683-46f4-8849-fb379464994b}"/>
        <w:style w:val=""/>
        <w:category>
          <w:name w:val="常规"/>
          <w:gallery w:val="placeholder"/>
        </w:category>
        <w:types>
          <w:type w:val="bbPlcHdr"/>
        </w:types>
        <w:behaviors>
          <w:behavior w:val="content"/>
        </w:behaviors>
        <w:description w:val=""/>
        <w:guid w:val="{30c4e123-1683-46f4-8849-fb379464994b}"/>
      </w:docPartPr>
      <w:docPartBody>
        <w:p w14:paraId="0D0E7D4A">
          <w:r>
            <w:rPr>
              <w:color w:val="808080"/>
            </w:rPr>
            <w:t>单击此处输入文字。</w:t>
          </w:r>
        </w:p>
      </w:docPartBody>
    </w:docPart>
    <w:docPart>
      <w:docPartPr>
        <w:name w:val="{71fb224c-8ef7-498e-8acb-aa46cc3d137c}"/>
        <w:style w:val=""/>
        <w:category>
          <w:name w:val="常规"/>
          <w:gallery w:val="placeholder"/>
        </w:category>
        <w:types>
          <w:type w:val="bbPlcHdr"/>
        </w:types>
        <w:behaviors>
          <w:behavior w:val="content"/>
        </w:behaviors>
        <w:description w:val=""/>
        <w:guid w:val="{71fb224c-8ef7-498e-8acb-aa46cc3d137c}"/>
      </w:docPartPr>
      <w:docPartBody>
        <w:p w14:paraId="4B5B4578">
          <w:r>
            <w:rPr>
              <w:color w:val="808080"/>
            </w:rPr>
            <w:t>单击此处输入文字。</w:t>
          </w:r>
        </w:p>
      </w:docPartBody>
    </w:docPart>
    <w:docPart>
      <w:docPartPr>
        <w:name w:val="{4ed684f7-7a72-4515-90a2-0d0f6cdae3af}"/>
        <w:style w:val=""/>
        <w:category>
          <w:name w:val="常规"/>
          <w:gallery w:val="placeholder"/>
        </w:category>
        <w:types>
          <w:type w:val="bbPlcHdr"/>
        </w:types>
        <w:behaviors>
          <w:behavior w:val="content"/>
        </w:behaviors>
        <w:description w:val=""/>
        <w:guid w:val="{4ed684f7-7a72-4515-90a2-0d0f6cdae3af}"/>
      </w:docPartPr>
      <w:docPartBody>
        <w:p w14:paraId="23F89D50">
          <w:r>
            <w:rPr>
              <w:color w:val="808080"/>
            </w:rPr>
            <w:t>单击此处输入文字。</w:t>
          </w:r>
        </w:p>
      </w:docPartBody>
    </w:docPart>
    <w:docPart>
      <w:docPartPr>
        <w:name w:val="{ffaf60d9-efb3-4d4c-99b4-401795ad556e}"/>
        <w:style w:val=""/>
        <w:category>
          <w:name w:val="常规"/>
          <w:gallery w:val="placeholder"/>
        </w:category>
        <w:types>
          <w:type w:val="bbPlcHdr"/>
        </w:types>
        <w:behaviors>
          <w:behavior w:val="content"/>
        </w:behaviors>
        <w:description w:val=""/>
        <w:guid w:val="{ffaf60d9-efb3-4d4c-99b4-401795ad556e}"/>
      </w:docPartPr>
      <w:docPartBody>
        <w:p w14:paraId="4199999D">
          <w:r>
            <w:rPr>
              <w:color w:val="808080"/>
            </w:rPr>
            <w:t>单击此处输入文字。</w:t>
          </w:r>
        </w:p>
      </w:docPartBody>
    </w:docPart>
    <w:docPart>
      <w:docPartPr>
        <w:name w:val="{1d5a13cc-10f9-4249-b50c-00f351dac052}"/>
        <w:style w:val=""/>
        <w:category>
          <w:name w:val="常规"/>
          <w:gallery w:val="placeholder"/>
        </w:category>
        <w:types>
          <w:type w:val="bbPlcHdr"/>
        </w:types>
        <w:behaviors>
          <w:behavior w:val="content"/>
        </w:behaviors>
        <w:description w:val=""/>
        <w:guid w:val="{1d5a13cc-10f9-4249-b50c-00f351dac052}"/>
      </w:docPartPr>
      <w:docPartBody>
        <w:p w14:paraId="68672E54">
          <w:r>
            <w:rPr>
              <w:color w:val="808080"/>
            </w:rPr>
            <w:t>单击此处输入文字。</w:t>
          </w:r>
        </w:p>
      </w:docPartBody>
    </w:docPart>
    <w:docPart>
      <w:docPartPr>
        <w:name w:val="{05831dd9-7f66-4c5a-86e4-233761c6e73b}"/>
        <w:style w:val=""/>
        <w:category>
          <w:name w:val="常规"/>
          <w:gallery w:val="placeholder"/>
        </w:category>
        <w:types>
          <w:type w:val="bbPlcHdr"/>
        </w:types>
        <w:behaviors>
          <w:behavior w:val="content"/>
        </w:behaviors>
        <w:description w:val=""/>
        <w:guid w:val="{05831dd9-7f66-4c5a-86e4-233761c6e73b}"/>
      </w:docPartPr>
      <w:docPartBody>
        <w:p w14:paraId="0D504DE3">
          <w:r>
            <w:rPr>
              <w:color w:val="808080"/>
            </w:rPr>
            <w:t>单击此处输入文字。</w:t>
          </w:r>
        </w:p>
      </w:docPartBody>
    </w:docPart>
    <w:docPart>
      <w:docPartPr>
        <w:name w:val="{86493cc7-958b-4644-a01b-fac0e51ac46b}"/>
        <w:style w:val=""/>
        <w:category>
          <w:name w:val="常规"/>
          <w:gallery w:val="placeholder"/>
        </w:category>
        <w:types>
          <w:type w:val="bbPlcHdr"/>
        </w:types>
        <w:behaviors>
          <w:behavior w:val="content"/>
        </w:behaviors>
        <w:description w:val=""/>
        <w:guid w:val="{86493cc7-958b-4644-a01b-fac0e51ac46b}"/>
      </w:docPartPr>
      <w:docPartBody>
        <w:p w14:paraId="28E68D22">
          <w:r>
            <w:rPr>
              <w:color w:val="808080"/>
            </w:rPr>
            <w:t>单击此处输入文字。</w:t>
          </w:r>
        </w:p>
      </w:docPartBody>
    </w:docPart>
    <w:docPart>
      <w:docPartPr>
        <w:name w:val="{490e9ded-2104-4bb1-9f56-70f0260a47f6}"/>
        <w:style w:val=""/>
        <w:category>
          <w:name w:val="常规"/>
          <w:gallery w:val="placeholder"/>
        </w:category>
        <w:types>
          <w:type w:val="bbPlcHdr"/>
        </w:types>
        <w:behaviors>
          <w:behavior w:val="content"/>
        </w:behaviors>
        <w:description w:val=""/>
        <w:guid w:val="{490e9ded-2104-4bb1-9f56-70f0260a47f6}"/>
      </w:docPartPr>
      <w:docPartBody>
        <w:p w14:paraId="2BA17070">
          <w:r>
            <w:rPr>
              <w:color w:val="808080"/>
            </w:rPr>
            <w:t>单击此处输入文字。</w:t>
          </w:r>
        </w:p>
      </w:docPartBody>
    </w:docPart>
    <w:docPart>
      <w:docPartPr>
        <w:name w:val="{08930d46-f9c1-495f-b7ae-71b858d74ee3}"/>
        <w:style w:val=""/>
        <w:category>
          <w:name w:val="常规"/>
          <w:gallery w:val="placeholder"/>
        </w:category>
        <w:types>
          <w:type w:val="bbPlcHdr"/>
        </w:types>
        <w:behaviors>
          <w:behavior w:val="content"/>
        </w:behaviors>
        <w:description w:val=""/>
        <w:guid w:val="{08930d46-f9c1-495f-b7ae-71b858d74ee3}"/>
      </w:docPartPr>
      <w:docPartBody>
        <w:p w14:paraId="50E5C58C">
          <w:r>
            <w:rPr>
              <w:color w:val="808080"/>
            </w:rPr>
            <w:t>单击此处输入文字。</w:t>
          </w:r>
        </w:p>
      </w:docPartBody>
    </w:docPart>
    <w:docPart>
      <w:docPartPr>
        <w:name w:val="{a3ff74ef-95cb-480c-9205-771a4f1aca51}"/>
        <w:style w:val=""/>
        <w:category>
          <w:name w:val="常规"/>
          <w:gallery w:val="placeholder"/>
        </w:category>
        <w:types>
          <w:type w:val="bbPlcHdr"/>
        </w:types>
        <w:behaviors>
          <w:behavior w:val="content"/>
        </w:behaviors>
        <w:description w:val=""/>
        <w:guid w:val="{a3ff74ef-95cb-480c-9205-771a4f1aca51}"/>
      </w:docPartPr>
      <w:docPartBody>
        <w:p w14:paraId="4A45C092">
          <w:r>
            <w:rPr>
              <w:color w:val="808080"/>
            </w:rPr>
            <w:t>单击此处输入文字。</w:t>
          </w:r>
        </w:p>
      </w:docPartBody>
    </w:docPart>
    <w:docPart>
      <w:docPartPr>
        <w:name w:val="{09fdc14a-840d-408b-8ba0-c224665d83fc}"/>
        <w:style w:val=""/>
        <w:category>
          <w:name w:val="常规"/>
          <w:gallery w:val="placeholder"/>
        </w:category>
        <w:types>
          <w:type w:val="bbPlcHdr"/>
        </w:types>
        <w:behaviors>
          <w:behavior w:val="content"/>
        </w:behaviors>
        <w:description w:val=""/>
        <w:guid w:val="{09fdc14a-840d-408b-8ba0-c224665d83fc}"/>
      </w:docPartPr>
      <w:docPartBody>
        <w:p w14:paraId="5B5E773D">
          <w:r>
            <w:rPr>
              <w:color w:val="808080"/>
            </w:rPr>
            <w:t>单击此处输入文字。</w:t>
          </w:r>
        </w:p>
      </w:docPartBody>
    </w:docPart>
    <w:docPart>
      <w:docPartPr>
        <w:name w:val="{42e4ac0a-4190-465f-8616-0b193ca03582}"/>
        <w:style w:val=""/>
        <w:category>
          <w:name w:val="常规"/>
          <w:gallery w:val="placeholder"/>
        </w:category>
        <w:types>
          <w:type w:val="bbPlcHdr"/>
        </w:types>
        <w:behaviors>
          <w:behavior w:val="content"/>
        </w:behaviors>
        <w:description w:val=""/>
        <w:guid w:val="{42e4ac0a-4190-465f-8616-0b193ca03582}"/>
      </w:docPartPr>
      <w:docPartBody>
        <w:p w14:paraId="160055B0">
          <w:r>
            <w:rPr>
              <w:color w:val="808080"/>
            </w:rPr>
            <w:t>单击此处输入文字。</w:t>
          </w:r>
        </w:p>
      </w:docPartBody>
    </w:docPart>
    <w:docPart>
      <w:docPartPr>
        <w:name w:val="{160dbd89-eb86-488d-9634-11f5108d053e}"/>
        <w:style w:val=""/>
        <w:category>
          <w:name w:val="常规"/>
          <w:gallery w:val="placeholder"/>
        </w:category>
        <w:types>
          <w:type w:val="bbPlcHdr"/>
        </w:types>
        <w:behaviors>
          <w:behavior w:val="content"/>
        </w:behaviors>
        <w:description w:val=""/>
        <w:guid w:val="{160dbd89-eb86-488d-9634-11f5108d053e}"/>
      </w:docPartPr>
      <w:docPartBody>
        <w:p w14:paraId="02E46159">
          <w:r>
            <w:rPr>
              <w:color w:val="808080"/>
            </w:rPr>
            <w:t>单击此处输入文字。</w:t>
          </w:r>
        </w:p>
      </w:docPartBody>
    </w:docPart>
    <w:docPart>
      <w:docPartPr>
        <w:name w:val="{76f56ca3-432c-49e9-a1db-38d12658f012}"/>
        <w:style w:val=""/>
        <w:category>
          <w:name w:val="常规"/>
          <w:gallery w:val="placeholder"/>
        </w:category>
        <w:types>
          <w:type w:val="bbPlcHdr"/>
        </w:types>
        <w:behaviors>
          <w:behavior w:val="content"/>
        </w:behaviors>
        <w:description w:val=""/>
        <w:guid w:val="{76f56ca3-432c-49e9-a1db-38d12658f012}"/>
      </w:docPartPr>
      <w:docPartBody>
        <w:p w14:paraId="64008C91">
          <w:r>
            <w:rPr>
              <w:color w:val="808080"/>
            </w:rPr>
            <w:t>单击此处输入文字。</w:t>
          </w:r>
        </w:p>
      </w:docPartBody>
    </w:docPart>
    <w:docPart>
      <w:docPartPr>
        <w:name w:val="{76c3784a-ba33-44e5-ac8e-7c3af81fc9e6}"/>
        <w:style w:val=""/>
        <w:category>
          <w:name w:val="常规"/>
          <w:gallery w:val="placeholder"/>
        </w:category>
        <w:types>
          <w:type w:val="bbPlcHdr"/>
        </w:types>
        <w:behaviors>
          <w:behavior w:val="content"/>
        </w:behaviors>
        <w:description w:val=""/>
        <w:guid w:val="{76c3784a-ba33-44e5-ac8e-7c3af81fc9e6}"/>
      </w:docPartPr>
      <w:docPartBody>
        <w:p w14:paraId="2A6220AB">
          <w:r>
            <w:rPr>
              <w:color w:val="808080"/>
            </w:rPr>
            <w:t>单击此处输入文字。</w:t>
          </w:r>
        </w:p>
      </w:docPartBody>
    </w:docPart>
    <w:docPart>
      <w:docPartPr>
        <w:name w:val="{a82037d7-6cb5-42f8-a184-c5dbf63f4828}"/>
        <w:style w:val=""/>
        <w:category>
          <w:name w:val="常规"/>
          <w:gallery w:val="placeholder"/>
        </w:category>
        <w:types>
          <w:type w:val="bbPlcHdr"/>
        </w:types>
        <w:behaviors>
          <w:behavior w:val="content"/>
        </w:behaviors>
        <w:description w:val=""/>
        <w:guid w:val="{a82037d7-6cb5-42f8-a184-c5dbf63f4828}"/>
      </w:docPartPr>
      <w:docPartBody>
        <w:p w14:paraId="0103DA5D">
          <w:r>
            <w:rPr>
              <w:color w:val="808080"/>
            </w:rPr>
            <w:t>单击此处输入文字。</w:t>
          </w:r>
        </w:p>
      </w:docPartBody>
    </w:docPart>
    <w:docPart>
      <w:docPartPr>
        <w:name w:val="{ae94232e-4d76-4895-9931-a56f229b32b0}"/>
        <w:style w:val=""/>
        <w:category>
          <w:name w:val="常规"/>
          <w:gallery w:val="placeholder"/>
        </w:category>
        <w:types>
          <w:type w:val="bbPlcHdr"/>
        </w:types>
        <w:behaviors>
          <w:behavior w:val="content"/>
        </w:behaviors>
        <w:description w:val=""/>
        <w:guid w:val="{ae94232e-4d76-4895-9931-a56f229b32b0}"/>
      </w:docPartPr>
      <w:docPartBody>
        <w:p w14:paraId="537CC085">
          <w:r>
            <w:rPr>
              <w:color w:val="808080"/>
            </w:rPr>
            <w:t>单击此处输入文字。</w:t>
          </w:r>
        </w:p>
      </w:docPartBody>
    </w:docPart>
    <w:docPart>
      <w:docPartPr>
        <w:name w:val="{0bf1823a-91f6-4618-994a-950ce3efa577}"/>
        <w:style w:val=""/>
        <w:category>
          <w:name w:val="常规"/>
          <w:gallery w:val="placeholder"/>
        </w:category>
        <w:types>
          <w:type w:val="bbPlcHdr"/>
        </w:types>
        <w:behaviors>
          <w:behavior w:val="content"/>
        </w:behaviors>
        <w:description w:val=""/>
        <w:guid w:val="{0bf1823a-91f6-4618-994a-950ce3efa577}"/>
      </w:docPartPr>
      <w:docPartBody>
        <w:p w14:paraId="1A8CC157">
          <w:r>
            <w:rPr>
              <w:color w:val="808080"/>
            </w:rPr>
            <w:t>单击此处输入日期。</w:t>
          </w:r>
        </w:p>
      </w:docPartBody>
    </w:docPart>
    <w:docPart>
      <w:docPartPr>
        <w:name w:val="{16c0b9c7-a71e-4789-b353-e76c23ba24f3}"/>
        <w:style w:val=""/>
        <w:category>
          <w:name w:val="常规"/>
          <w:gallery w:val="placeholder"/>
        </w:category>
        <w:types>
          <w:type w:val="bbPlcHdr"/>
        </w:types>
        <w:behaviors>
          <w:behavior w:val="content"/>
        </w:behaviors>
        <w:description w:val=""/>
        <w:guid w:val="{16c0b9c7-a71e-4789-b353-e76c23ba24f3}"/>
      </w:docPartPr>
      <w:docPartBody>
        <w:p w14:paraId="73544026">
          <w:r>
            <w:rPr>
              <w:color w:val="808080"/>
            </w:rPr>
            <w:t>单击此处输入日期。</w:t>
          </w:r>
        </w:p>
      </w:docPartBody>
    </w:docPart>
    <w:docPart>
      <w:docPartPr>
        <w:name w:val="{6c5a40e1-983b-4696-a833-7eb654bb4b7e}"/>
        <w:style w:val=""/>
        <w:category>
          <w:name w:val="常规"/>
          <w:gallery w:val="placeholder"/>
        </w:category>
        <w:types>
          <w:type w:val="bbPlcHdr"/>
        </w:types>
        <w:behaviors>
          <w:behavior w:val="content"/>
        </w:behaviors>
        <w:description w:val=""/>
        <w:guid w:val="{6c5a40e1-983b-4696-a833-7eb654bb4b7e}"/>
      </w:docPartPr>
      <w:docPartBody>
        <w:p w14:paraId="15841705">
          <w:r>
            <w:rPr>
              <w:color w:val="808080"/>
            </w:rPr>
            <w:t>单击此处输入文字。</w:t>
          </w:r>
        </w:p>
      </w:docPartBody>
    </w:docPart>
    <w:docPart>
      <w:docPartPr>
        <w:name w:val="{ca2ffb24-239a-46d6-bcb7-3d164de108e0}"/>
        <w:style w:val=""/>
        <w:category>
          <w:name w:val="常规"/>
          <w:gallery w:val="placeholder"/>
        </w:category>
        <w:types>
          <w:type w:val="bbPlcHdr"/>
        </w:types>
        <w:behaviors>
          <w:behavior w:val="content"/>
        </w:behaviors>
        <w:description w:val=""/>
        <w:guid w:val="{ca2ffb24-239a-46d6-bcb7-3d164de108e0}"/>
      </w:docPartPr>
      <w:docPartBody>
        <w:p w14:paraId="4EB9446A">
          <w:r>
            <w:rPr>
              <w:color w:val="808080"/>
            </w:rPr>
            <w:t>单击此处输入文字。</w:t>
          </w:r>
        </w:p>
      </w:docPartBody>
    </w:docPart>
    <w:docPart>
      <w:docPartPr>
        <w:name w:val="{18f53c96-5c07-477a-9695-549be74208e5}"/>
        <w:style w:val=""/>
        <w:category>
          <w:name w:val="常规"/>
          <w:gallery w:val="placeholder"/>
        </w:category>
        <w:types>
          <w:type w:val="bbPlcHdr"/>
        </w:types>
        <w:behaviors>
          <w:behavior w:val="content"/>
        </w:behaviors>
        <w:description w:val=""/>
        <w:guid w:val="{18f53c96-5c07-477a-9695-549be74208e5}"/>
      </w:docPartPr>
      <w:docPartBody>
        <w:p w14:paraId="03D1812A">
          <w:r>
            <w:rPr>
              <w:color w:val="808080"/>
            </w:rPr>
            <w:t>单击此处输入文字。</w:t>
          </w:r>
        </w:p>
      </w:docPartBody>
    </w:docPart>
    <w:docPart>
      <w:docPartPr>
        <w:name w:val="{cb563b81-2f11-46c0-bb50-18cbfe11a88c}"/>
        <w:style w:val=""/>
        <w:category>
          <w:name w:val="常规"/>
          <w:gallery w:val="placeholder"/>
        </w:category>
        <w:types>
          <w:type w:val="bbPlcHdr"/>
        </w:types>
        <w:behaviors>
          <w:behavior w:val="content"/>
        </w:behaviors>
        <w:description w:val=""/>
        <w:guid w:val="{cb563b81-2f11-46c0-bb50-18cbfe11a88c}"/>
      </w:docPartPr>
      <w:docPartBody>
        <w:p w14:paraId="7B64BEEE">
          <w:r>
            <w:rPr>
              <w:color w:val="808080"/>
            </w:rPr>
            <w:t>单击此处输入文字。</w:t>
          </w:r>
        </w:p>
      </w:docPartBody>
    </w:docPart>
    <w:docPart>
      <w:docPartPr>
        <w:name w:val="{5a380f52-7373-4b56-8fc5-e7f5cad94589}"/>
        <w:style w:val=""/>
        <w:category>
          <w:name w:val="常规"/>
          <w:gallery w:val="placeholder"/>
        </w:category>
        <w:types>
          <w:type w:val="bbPlcHdr"/>
        </w:types>
        <w:behaviors>
          <w:behavior w:val="content"/>
        </w:behaviors>
        <w:description w:val=""/>
        <w:guid w:val="{5a380f52-7373-4b56-8fc5-e7f5cad94589}"/>
      </w:docPartPr>
      <w:docPartBody>
        <w:p w14:paraId="56B68B2D">
          <w:r>
            <w:rPr>
              <w:color w:val="808080"/>
            </w:rPr>
            <w:t>单击此处输入文字。</w:t>
          </w:r>
        </w:p>
      </w:docPartBody>
    </w:docPart>
    <w:docPart>
      <w:docPartPr>
        <w:name w:val="{dcceeadb-813a-40b8-a68d-70c98998da50}"/>
        <w:style w:val=""/>
        <w:category>
          <w:name w:val="常规"/>
          <w:gallery w:val="placeholder"/>
        </w:category>
        <w:types>
          <w:type w:val="bbPlcHdr"/>
        </w:types>
        <w:behaviors>
          <w:behavior w:val="content"/>
        </w:behaviors>
        <w:description w:val=""/>
        <w:guid w:val="{dcceeadb-813a-40b8-a68d-70c98998da50}"/>
      </w:docPartPr>
      <w:docPartBody>
        <w:p w14:paraId="6D65DF01">
          <w:r>
            <w:rPr>
              <w:color w:val="808080"/>
            </w:rPr>
            <w:t>单击此处输入文字。</w:t>
          </w:r>
        </w:p>
      </w:docPartBody>
    </w:docPart>
    <w:docPart>
      <w:docPartPr>
        <w:name w:val="{b0ce4d99-629c-49d0-930e-dcb04c21b9f6}"/>
        <w:style w:val=""/>
        <w:category>
          <w:name w:val="常规"/>
          <w:gallery w:val="placeholder"/>
        </w:category>
        <w:types>
          <w:type w:val="bbPlcHdr"/>
        </w:types>
        <w:behaviors>
          <w:behavior w:val="content"/>
        </w:behaviors>
        <w:description w:val=""/>
        <w:guid w:val="{b0ce4d99-629c-49d0-930e-dcb04c21b9f6}"/>
      </w:docPartPr>
      <w:docPartBody>
        <w:p w14:paraId="4FC65CC8">
          <w:r>
            <w:rPr>
              <w:color w:val="808080"/>
            </w:rPr>
            <w:t>选择一项。</w:t>
          </w:r>
        </w:p>
      </w:docPartBody>
    </w:docPart>
    <w:docPart>
      <w:docPartPr>
        <w:name w:val="{9384143b-bda0-4814-96dd-a56729b0cc99}"/>
        <w:style w:val=""/>
        <w:category>
          <w:name w:val="常规"/>
          <w:gallery w:val="placeholder"/>
        </w:category>
        <w:types>
          <w:type w:val="bbPlcHdr"/>
        </w:types>
        <w:behaviors>
          <w:behavior w:val="content"/>
        </w:behaviors>
        <w:description w:val=""/>
        <w:guid w:val="{9384143b-bda0-4814-96dd-a56729b0cc99}"/>
      </w:docPartPr>
      <w:docPartBody>
        <w:p w14:paraId="72878093">
          <w:r>
            <w:rPr>
              <w:color w:val="808080"/>
            </w:rPr>
            <w:t>单击此处输入文字。</w:t>
          </w:r>
        </w:p>
      </w:docPartBody>
    </w:docPart>
    <w:docPart>
      <w:docPartPr>
        <w:name w:val="{c0882042-40d6-45cb-bd2b-17254fc958f1}"/>
        <w:style w:val=""/>
        <w:category>
          <w:name w:val="常规"/>
          <w:gallery w:val="placeholder"/>
        </w:category>
        <w:types>
          <w:type w:val="bbPlcHdr"/>
        </w:types>
        <w:behaviors>
          <w:behavior w:val="content"/>
        </w:behaviors>
        <w:description w:val=""/>
        <w:guid w:val="{c0882042-40d6-45cb-bd2b-17254fc958f1}"/>
      </w:docPartPr>
      <w:docPartBody>
        <w:p w14:paraId="61C33AC1">
          <w:r>
            <w:rPr>
              <w:color w:val="808080"/>
            </w:rPr>
            <w:t>单击此处输入文字。</w:t>
          </w:r>
        </w:p>
      </w:docPartBody>
    </w:docPart>
    <w:docPart>
      <w:docPartPr>
        <w:name w:val="{9a8ee424-b870-4735-ab9d-33dddeb02b96}"/>
        <w:style w:val=""/>
        <w:category>
          <w:name w:val="常规"/>
          <w:gallery w:val="placeholder"/>
        </w:category>
        <w:types>
          <w:type w:val="bbPlcHdr"/>
        </w:types>
        <w:behaviors>
          <w:behavior w:val="content"/>
        </w:behaviors>
        <w:description w:val=""/>
        <w:guid w:val="{9a8ee424-b870-4735-ab9d-33dddeb02b96}"/>
      </w:docPartPr>
      <w:docPartBody>
        <w:p w14:paraId="7804D660">
          <w:r>
            <w:rPr>
              <w:color w:val="808080"/>
            </w:rPr>
            <w:t>单击此处输入文字。</w:t>
          </w:r>
        </w:p>
      </w:docPartBody>
    </w:docPart>
    <w:docPart>
      <w:docPartPr>
        <w:name w:val="{a0c79a12-b0c7-4e1b-8e05-c3257e031f1b}"/>
        <w:style w:val=""/>
        <w:category>
          <w:name w:val="常规"/>
          <w:gallery w:val="placeholder"/>
        </w:category>
        <w:types>
          <w:type w:val="bbPlcHdr"/>
        </w:types>
        <w:behaviors>
          <w:behavior w:val="content"/>
        </w:behaviors>
        <w:description w:val=""/>
        <w:guid w:val="{a0c79a12-b0c7-4e1b-8e05-c3257e031f1b}"/>
      </w:docPartPr>
      <w:docPartBody>
        <w:p w14:paraId="06541BFB">
          <w:r>
            <w:rPr>
              <w:color w:val="808080"/>
            </w:rPr>
            <w:t>单击此处输入文字。</w:t>
          </w:r>
        </w:p>
      </w:docPartBody>
    </w:docPart>
    <w:docPart>
      <w:docPartPr>
        <w:name w:val="{9950b068-7972-4bbb-bef2-46edd902c052}"/>
        <w:style w:val=""/>
        <w:category>
          <w:name w:val="常规"/>
          <w:gallery w:val="placeholder"/>
        </w:category>
        <w:types>
          <w:type w:val="bbPlcHdr"/>
        </w:types>
        <w:behaviors>
          <w:behavior w:val="content"/>
        </w:behaviors>
        <w:description w:val=""/>
        <w:guid w:val="{9950b068-7972-4bbb-bef2-46edd902c052}"/>
      </w:docPartPr>
      <w:docPartBody>
        <w:p w14:paraId="12685FC5">
          <w:r>
            <w:rPr>
              <w:color w:val="808080"/>
            </w:rPr>
            <w:t>单击此处输入文字。</w:t>
          </w:r>
        </w:p>
      </w:docPartBody>
    </w:docPart>
    <w:docPart>
      <w:docPartPr>
        <w:name w:val="{00ee4fd0-d461-42a6-bac6-58cba807295d}"/>
        <w:style w:val=""/>
        <w:category>
          <w:name w:val="常规"/>
          <w:gallery w:val="placeholder"/>
        </w:category>
        <w:types>
          <w:type w:val="bbPlcHdr"/>
        </w:types>
        <w:behaviors>
          <w:behavior w:val="content"/>
        </w:behaviors>
        <w:description w:val=""/>
        <w:guid w:val="{00ee4fd0-d461-42a6-bac6-58cba807295d}"/>
      </w:docPartPr>
      <w:docPartBody>
        <w:p w14:paraId="390A5FB0">
          <w:r>
            <w:rPr>
              <w:color w:val="808080"/>
            </w:rPr>
            <w:t>单击此处输入文字。</w:t>
          </w:r>
        </w:p>
      </w:docPartBody>
    </w:docPart>
    <w:docPart>
      <w:docPartPr>
        <w:name w:val="{685c6eae-fd69-408c-b952-434cb847b425}"/>
        <w:style w:val=""/>
        <w:category>
          <w:name w:val="常规"/>
          <w:gallery w:val="placeholder"/>
        </w:category>
        <w:types>
          <w:type w:val="bbPlcHdr"/>
        </w:types>
        <w:behaviors>
          <w:behavior w:val="content"/>
        </w:behaviors>
        <w:description w:val=""/>
        <w:guid w:val="{685c6eae-fd69-408c-b952-434cb847b425}"/>
      </w:docPartPr>
      <w:docPartBody>
        <w:p w14:paraId="7330B0D3">
          <w:r>
            <w:rPr>
              <w:color w:val="808080"/>
            </w:rPr>
            <w:t>单击此处输入文字。</w:t>
          </w:r>
        </w:p>
      </w:docPartBody>
    </w:docPart>
    <w:docPart>
      <w:docPartPr>
        <w:name w:val="{706a9ee8-f117-428f-b165-d06867148eca}"/>
        <w:style w:val=""/>
        <w:category>
          <w:name w:val="常规"/>
          <w:gallery w:val="placeholder"/>
        </w:category>
        <w:types>
          <w:type w:val="bbPlcHdr"/>
        </w:types>
        <w:behaviors>
          <w:behavior w:val="content"/>
        </w:behaviors>
        <w:description w:val=""/>
        <w:guid w:val="{706a9ee8-f117-428f-b165-d06867148eca}"/>
      </w:docPartPr>
      <w:docPartBody>
        <w:p w14:paraId="5B6EA139">
          <w:r>
            <w:rPr>
              <w:color w:val="808080"/>
            </w:rPr>
            <w:t>单击此处输入文字。</w:t>
          </w:r>
        </w:p>
      </w:docPartBody>
    </w:docPart>
    <w:docPart>
      <w:docPartPr>
        <w:name w:val="{e67bdade-0cb5-4209-849c-8862edb590c7}"/>
        <w:style w:val=""/>
        <w:category>
          <w:name w:val="常规"/>
          <w:gallery w:val="placeholder"/>
        </w:category>
        <w:types>
          <w:type w:val="bbPlcHdr"/>
        </w:types>
        <w:behaviors>
          <w:behavior w:val="content"/>
        </w:behaviors>
        <w:description w:val=""/>
        <w:guid w:val="{e67bdade-0cb5-4209-849c-8862edb590c7}"/>
      </w:docPartPr>
      <w:docPartBody>
        <w:p w14:paraId="34DF96DD">
          <w:r>
            <w:rPr>
              <w:color w:val="808080"/>
            </w:rPr>
            <w:t>单击此处输入文字。</w:t>
          </w:r>
        </w:p>
      </w:docPartBody>
    </w:docPart>
    <w:docPart>
      <w:docPartPr>
        <w:name w:val="{db4d97dc-8b9a-442f-8e15-e2018ffcea64}"/>
        <w:style w:val=""/>
        <w:category>
          <w:name w:val="常规"/>
          <w:gallery w:val="placeholder"/>
        </w:category>
        <w:types>
          <w:type w:val="bbPlcHdr"/>
        </w:types>
        <w:behaviors>
          <w:behavior w:val="content"/>
        </w:behaviors>
        <w:description w:val=""/>
        <w:guid w:val="{db4d97dc-8b9a-442f-8e15-e2018ffcea64}"/>
      </w:docPartPr>
      <w:docPartBody>
        <w:p w14:paraId="3A9BFEED">
          <w:r>
            <w:rPr>
              <w:color w:val="808080"/>
            </w:rPr>
            <w:t>单击此处输入文字。</w:t>
          </w:r>
        </w:p>
      </w:docPartBody>
    </w:docPart>
    <w:docPart>
      <w:docPartPr>
        <w:name w:val="{a83ef914-a14a-4b29-a761-4ccccb63bcea}"/>
        <w:style w:val=""/>
        <w:category>
          <w:name w:val="常规"/>
          <w:gallery w:val="placeholder"/>
        </w:category>
        <w:types>
          <w:type w:val="bbPlcHdr"/>
        </w:types>
        <w:behaviors>
          <w:behavior w:val="content"/>
        </w:behaviors>
        <w:description w:val=""/>
        <w:guid w:val="{a83ef914-a14a-4b29-a761-4ccccb63bcea}"/>
      </w:docPartPr>
      <w:docPartBody>
        <w:p w14:paraId="7C28D772">
          <w:r>
            <w:rPr>
              <w:color w:val="808080"/>
            </w:rPr>
            <w:t>单击此处输入文字。</w:t>
          </w:r>
        </w:p>
      </w:docPartBody>
    </w:docPart>
    <w:docPart>
      <w:docPartPr>
        <w:name w:val="{5ffe8954-846e-42ac-99c4-694cbb2eb7f8}"/>
        <w:style w:val=""/>
        <w:category>
          <w:name w:val="常规"/>
          <w:gallery w:val="placeholder"/>
        </w:category>
        <w:types>
          <w:type w:val="bbPlcHdr"/>
        </w:types>
        <w:behaviors>
          <w:behavior w:val="content"/>
        </w:behaviors>
        <w:description w:val=""/>
        <w:guid w:val="{5ffe8954-846e-42ac-99c4-694cbb2eb7f8}"/>
      </w:docPartPr>
      <w:docPartBody>
        <w:p w14:paraId="4009C869">
          <w:r>
            <w:rPr>
              <w:color w:val="808080"/>
            </w:rPr>
            <w:t>单击此处输入文字。</w:t>
          </w:r>
        </w:p>
      </w:docPartBody>
    </w:docPart>
    <w:docPart>
      <w:docPartPr>
        <w:name w:val="{f18d968e-6ae7-4009-92c8-769761edb06e}"/>
        <w:style w:val=""/>
        <w:category>
          <w:name w:val="常规"/>
          <w:gallery w:val="placeholder"/>
        </w:category>
        <w:types>
          <w:type w:val="bbPlcHdr"/>
        </w:types>
        <w:behaviors>
          <w:behavior w:val="content"/>
        </w:behaviors>
        <w:description w:val=""/>
        <w:guid w:val="{f18d968e-6ae7-4009-92c8-769761edb06e}"/>
      </w:docPartPr>
      <w:docPartBody>
        <w:p w14:paraId="5DFF33F9">
          <w:r>
            <w:rPr>
              <w:color w:val="808080"/>
            </w:rPr>
            <w:t>单击此处输入文字。</w:t>
          </w:r>
        </w:p>
      </w:docPartBody>
    </w:docPart>
    <w:docPart>
      <w:docPartPr>
        <w:name w:val="{70e4b8ce-8470-43f5-a46c-81ec0d22b065}"/>
        <w:style w:val=""/>
        <w:category>
          <w:name w:val="常规"/>
          <w:gallery w:val="placeholder"/>
        </w:category>
        <w:types>
          <w:type w:val="bbPlcHdr"/>
        </w:types>
        <w:behaviors>
          <w:behavior w:val="content"/>
        </w:behaviors>
        <w:description w:val=""/>
        <w:guid w:val="{70e4b8ce-8470-43f5-a46c-81ec0d22b065}"/>
      </w:docPartPr>
      <w:docPartBody>
        <w:p w14:paraId="738EF663">
          <w:r>
            <w:rPr>
              <w:color w:val="808080"/>
            </w:rPr>
            <w:t>单击此处输入文字。</w:t>
          </w:r>
        </w:p>
      </w:docPartBody>
    </w:docPart>
    <w:docPart>
      <w:docPartPr>
        <w:name w:val="{6317f787-9a22-482e-b323-03aaab5c55db}"/>
        <w:style w:val=""/>
        <w:category>
          <w:name w:val="常规"/>
          <w:gallery w:val="placeholder"/>
        </w:category>
        <w:types>
          <w:type w:val="bbPlcHdr"/>
        </w:types>
        <w:behaviors>
          <w:behavior w:val="content"/>
        </w:behaviors>
        <w:description w:val=""/>
        <w:guid w:val="{6317f787-9a22-482e-b323-03aaab5c55db}"/>
      </w:docPartPr>
      <w:docPartBody>
        <w:p w14:paraId="6CBC6668">
          <w:r>
            <w:rPr>
              <w:color w:val="808080"/>
            </w:rPr>
            <w:t>单击此处输入文字。</w:t>
          </w:r>
        </w:p>
      </w:docPartBody>
    </w:docPart>
    <w:docPart>
      <w:docPartPr>
        <w:name w:val="{191709e9-e690-41b9-9f32-38b583c410fb}"/>
        <w:style w:val=""/>
        <w:category>
          <w:name w:val="常规"/>
          <w:gallery w:val="placeholder"/>
        </w:category>
        <w:types>
          <w:type w:val="bbPlcHdr"/>
        </w:types>
        <w:behaviors>
          <w:behavior w:val="content"/>
        </w:behaviors>
        <w:description w:val=""/>
        <w:guid w:val="{191709e9-e690-41b9-9f32-38b583c410fb}"/>
      </w:docPartPr>
      <w:docPartBody>
        <w:p w14:paraId="4F01D435">
          <w:r>
            <w:rPr>
              <w:color w:val="808080"/>
            </w:rPr>
            <w:t>单击此处输入文字。</w:t>
          </w:r>
        </w:p>
      </w:docPartBody>
    </w:docPart>
    <w:docPart>
      <w:docPartPr>
        <w:name w:val="{ede3ea59-285b-4a06-b475-48a1a49bb99a}"/>
        <w:style w:val=""/>
        <w:category>
          <w:name w:val="常规"/>
          <w:gallery w:val="placeholder"/>
        </w:category>
        <w:types>
          <w:type w:val="bbPlcHdr"/>
        </w:types>
        <w:behaviors>
          <w:behavior w:val="content"/>
        </w:behaviors>
        <w:description w:val=""/>
        <w:guid w:val="{ede3ea59-285b-4a06-b475-48a1a49bb99a}"/>
      </w:docPartPr>
      <w:docPartBody>
        <w:p w14:paraId="63EA7C66">
          <w:r>
            <w:rPr>
              <w:color w:val="808080"/>
            </w:rPr>
            <w:t>单击此处输入文字。</w:t>
          </w:r>
        </w:p>
      </w:docPartBody>
    </w:docPart>
    <w:docPart>
      <w:docPartPr>
        <w:name w:val="{d152aa71-e116-4fa8-bea9-ff03929a20fd}"/>
        <w:style w:val=""/>
        <w:category>
          <w:name w:val="常规"/>
          <w:gallery w:val="placeholder"/>
        </w:category>
        <w:types>
          <w:type w:val="bbPlcHdr"/>
        </w:types>
        <w:behaviors>
          <w:behavior w:val="content"/>
        </w:behaviors>
        <w:description w:val=""/>
        <w:guid w:val="{d152aa71-e116-4fa8-bea9-ff03929a20fd}"/>
      </w:docPartPr>
      <w:docPartBody>
        <w:p w14:paraId="34846AA4">
          <w:r>
            <w:rPr>
              <w:color w:val="808080"/>
            </w:rPr>
            <w:t>单击此处输入文字。</w:t>
          </w:r>
        </w:p>
      </w:docPartBody>
    </w:docPart>
    <w:docPart>
      <w:docPartPr>
        <w:name w:val="{29c0eda5-5e5f-490f-b39f-cb6b65be896d}"/>
        <w:style w:val=""/>
        <w:category>
          <w:name w:val="常规"/>
          <w:gallery w:val="placeholder"/>
        </w:category>
        <w:types>
          <w:type w:val="bbPlcHdr"/>
        </w:types>
        <w:behaviors>
          <w:behavior w:val="content"/>
        </w:behaviors>
        <w:description w:val=""/>
        <w:guid w:val="{29c0eda5-5e5f-490f-b39f-cb6b65be896d}"/>
      </w:docPartPr>
      <w:docPartBody>
        <w:p w14:paraId="5F9AE4F6">
          <w:r>
            <w:rPr>
              <w:color w:val="808080"/>
            </w:rPr>
            <w:t>单击此处输入文字。</w:t>
          </w:r>
        </w:p>
      </w:docPartBody>
    </w:docPart>
    <w:docPart>
      <w:docPartPr>
        <w:name w:val="{10e2ac6d-eed0-447e-ac69-7a4bdb45cf3f}"/>
        <w:style w:val=""/>
        <w:category>
          <w:name w:val="常规"/>
          <w:gallery w:val="placeholder"/>
        </w:category>
        <w:types>
          <w:type w:val="bbPlcHdr"/>
        </w:types>
        <w:behaviors>
          <w:behavior w:val="content"/>
        </w:behaviors>
        <w:description w:val=""/>
        <w:guid w:val="{10e2ac6d-eed0-447e-ac69-7a4bdb45cf3f}"/>
      </w:docPartPr>
      <w:docPartBody>
        <w:p w14:paraId="284E7CC4">
          <w:r>
            <w:rPr>
              <w:color w:val="808080"/>
            </w:rPr>
            <w:t>单击此处输入文字。</w:t>
          </w:r>
        </w:p>
      </w:docPartBody>
    </w:docPart>
    <w:docPart>
      <w:docPartPr>
        <w:name w:val="{0fd64566-713e-40d2-b158-49783a76344c}"/>
        <w:style w:val=""/>
        <w:category>
          <w:name w:val="常规"/>
          <w:gallery w:val="placeholder"/>
        </w:category>
        <w:types>
          <w:type w:val="bbPlcHdr"/>
        </w:types>
        <w:behaviors>
          <w:behavior w:val="content"/>
        </w:behaviors>
        <w:description w:val=""/>
        <w:guid w:val="{0fd64566-713e-40d2-b158-49783a76344c}"/>
      </w:docPartPr>
      <w:docPartBody>
        <w:p w14:paraId="18846168">
          <w:r>
            <w:rPr>
              <w:rFonts w:hint="eastAsia"/>
              <w:color w:val="808080"/>
              <w:lang w:val="en-US" w:eastAsia="zh-CN"/>
            </w:rPr>
            <w:t>输入项目名称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56840</Words>
  <Characters>60837</Characters>
  <Lines>0</Lines>
  <Paragraphs>0</Paragraphs>
  <TotalTime>14</TotalTime>
  <ScaleCrop>false</ScaleCrop>
  <LinksUpToDate>false</LinksUpToDate>
  <CharactersWithSpaces>63264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2025-10-20T11:08:00Z</dcterms:created>
  <dc:creator>黄子杰</dc:creator>
  <cp:lastModifiedBy>批注</cp:lastModifiedBy>
  <dcterms:modified xsi:type="dcterms:W3CDTF">2025-10-27T11:26:25Z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eyJoZGlkIjoiNjk1YzQ3ZTY3M2YxMzQ5OWFkMGYzMTViMmI3Y2JhYzQiLCJ1c2VySWQiOiIxNjg2MTI2NzE0In0=</vt:lpwstr>
  </property>
  <property fmtid="{D5CDD505-2E9C-101B-9397-08002B2CF9AE}" pid="4" name="ICV">
    <vt:lpwstr>11A48B604C8A4866B1617AE75E6B3B52_13</vt:lpwstr>
  </property>
</Properties>
</file>