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1ED6B">
      <w:pPr>
        <w:tabs>
          <w:tab w:val="left" w:pos="2127"/>
        </w:tabs>
        <w:kinsoku/>
        <w:overflowPunct/>
        <w:bidi w:val="0"/>
        <w:spacing w:line="360" w:lineRule="auto"/>
        <w:ind w:firstLine="0" w:firstLineChars="0"/>
        <w:jc w:val="left"/>
        <w:textAlignment w:val="auto"/>
        <w:rPr>
          <w:rFonts w:hint="eastAsia" w:ascii="宋体" w:hAnsi="宋体" w:cs="Times New Roman"/>
          <w:b/>
          <w:color w:val="auto"/>
          <w:sz w:val="44"/>
          <w:szCs w:val="20"/>
          <w:highlight w:val="none"/>
          <w:lang w:eastAsia="zh-CN"/>
        </w:rPr>
      </w:pPr>
      <w:bookmarkStart w:id="0" w:name="_Toc14253"/>
      <w:bookmarkStart w:id="1" w:name="_Toc6995"/>
      <w:bookmarkStart w:id="2" w:name="_Toc6131"/>
      <w:bookmarkStart w:id="3" w:name="_Toc22435"/>
      <w:bookmarkStart w:id="4" w:name="_Toc2362"/>
      <w:bookmarkStart w:id="5" w:name="_Toc31603"/>
      <w:bookmarkStart w:id="6" w:name="_Toc503190116"/>
    </w:p>
    <w:p w14:paraId="591CFE76">
      <w:pPr>
        <w:tabs>
          <w:tab w:val="left" w:pos="2127"/>
        </w:tabs>
        <w:kinsoku/>
        <w:overflowPunct/>
        <w:bidi w:val="0"/>
        <w:spacing w:line="360" w:lineRule="auto"/>
        <w:ind w:firstLine="0" w:firstLineChars="0"/>
        <w:jc w:val="left"/>
        <w:textAlignment w:val="auto"/>
        <w:rPr>
          <w:rFonts w:hint="eastAsia" w:ascii="宋体" w:hAnsi="宋体" w:cs="Times New Roman"/>
          <w:b/>
          <w:color w:val="auto"/>
          <w:sz w:val="44"/>
          <w:szCs w:val="20"/>
          <w:highlight w:val="none"/>
          <w:lang w:eastAsia="zh-CN"/>
        </w:rPr>
      </w:pPr>
    </w:p>
    <w:p w14:paraId="15CAA23C">
      <w:pPr>
        <w:tabs>
          <w:tab w:val="left" w:pos="2127"/>
        </w:tabs>
        <w:kinsoku/>
        <w:overflowPunct/>
        <w:bidi w:val="0"/>
        <w:spacing w:line="360" w:lineRule="auto"/>
        <w:ind w:firstLine="0" w:firstLineChars="0"/>
        <w:jc w:val="center"/>
        <w:textAlignment w:val="auto"/>
        <w:rPr>
          <w:rFonts w:hint="eastAsia" w:ascii="宋体" w:hAnsi="宋体" w:eastAsia="宋体" w:cs="Times New Roman"/>
          <w:b/>
          <w:color w:val="auto"/>
          <w:sz w:val="44"/>
          <w:szCs w:val="20"/>
          <w:highlight w:val="none"/>
          <w:lang w:eastAsia="zh-CN"/>
        </w:rPr>
      </w:pPr>
      <w:r>
        <w:rPr>
          <w:rFonts w:hint="eastAsia" w:ascii="宋体" w:hAnsi="宋体" w:cs="Times New Roman"/>
          <w:b/>
          <w:color w:val="auto"/>
          <w:sz w:val="44"/>
          <w:szCs w:val="20"/>
          <w:highlight w:val="none"/>
          <w:lang w:eastAsia="zh-CN"/>
        </w:rPr>
        <w:t>500千伏番南输变电工程（变电站建筑）土建施工总承包</w:t>
      </w:r>
      <w:bookmarkStart w:id="13" w:name="_GoBack"/>
      <w:bookmarkEnd w:id="13"/>
    </w:p>
    <w:p w14:paraId="06B2FEAD">
      <w:pPr>
        <w:tabs>
          <w:tab w:val="left" w:pos="2127"/>
        </w:tabs>
        <w:kinsoku/>
        <w:overflowPunct/>
        <w:bidi w:val="0"/>
        <w:spacing w:line="360" w:lineRule="auto"/>
        <w:ind w:firstLine="0" w:firstLineChars="0"/>
        <w:jc w:val="center"/>
        <w:textAlignment w:val="auto"/>
        <w:rPr>
          <w:rFonts w:ascii="宋体" w:hAnsi="宋体" w:cs="Times New Roman"/>
          <w:b/>
          <w:color w:val="auto"/>
          <w:sz w:val="44"/>
          <w:szCs w:val="20"/>
          <w:highlight w:val="none"/>
        </w:rPr>
      </w:pPr>
    </w:p>
    <w:p w14:paraId="2456BAB9">
      <w:pPr>
        <w:tabs>
          <w:tab w:val="left" w:pos="2127"/>
        </w:tabs>
        <w:kinsoku/>
        <w:overflowPunct/>
        <w:bidi w:val="0"/>
        <w:spacing w:line="360" w:lineRule="auto"/>
        <w:ind w:firstLine="0" w:firstLineChars="0"/>
        <w:jc w:val="center"/>
        <w:textAlignment w:val="auto"/>
        <w:rPr>
          <w:rFonts w:hint="eastAsia" w:ascii="宋体" w:hAnsi="宋体" w:cs="Times New Roman"/>
          <w:b/>
          <w:color w:val="auto"/>
          <w:sz w:val="84"/>
          <w:szCs w:val="20"/>
          <w:highlight w:val="none"/>
        </w:rPr>
      </w:pPr>
    </w:p>
    <w:p w14:paraId="02D4A23F">
      <w:pPr>
        <w:tabs>
          <w:tab w:val="left" w:pos="2127"/>
        </w:tabs>
        <w:kinsoku/>
        <w:overflowPunct/>
        <w:bidi w:val="0"/>
        <w:spacing w:line="360" w:lineRule="auto"/>
        <w:ind w:firstLine="0" w:firstLineChars="0"/>
        <w:jc w:val="center"/>
        <w:textAlignment w:val="auto"/>
        <w:rPr>
          <w:rFonts w:hint="eastAsia" w:ascii="楷体" w:hAnsi="楷体" w:eastAsia="楷体" w:cs="楷体"/>
          <w:b/>
          <w:color w:val="auto"/>
          <w:sz w:val="84"/>
          <w:szCs w:val="84"/>
          <w:highlight w:val="none"/>
          <w:lang w:eastAsia="zh-CN"/>
        </w:rPr>
      </w:pPr>
      <w:r>
        <w:rPr>
          <w:rFonts w:hint="eastAsia" w:ascii="楷体" w:hAnsi="楷体" w:eastAsia="楷体" w:cs="楷体"/>
          <w:b/>
          <w:color w:val="auto"/>
          <w:sz w:val="84"/>
          <w:szCs w:val="84"/>
          <w:highlight w:val="none"/>
          <w:lang w:eastAsia="zh-CN"/>
        </w:rPr>
        <w:t>招标</w:t>
      </w:r>
      <w:r>
        <w:rPr>
          <w:rFonts w:hint="eastAsia" w:ascii="楷体" w:hAnsi="楷体" w:eastAsia="楷体" w:cs="楷体"/>
          <w:b/>
          <w:color w:val="auto"/>
          <w:sz w:val="84"/>
          <w:szCs w:val="84"/>
          <w:highlight w:val="none"/>
          <w:lang w:val="en-US" w:eastAsia="zh-CN"/>
        </w:rPr>
        <w:t>公告</w:t>
      </w:r>
    </w:p>
    <w:p w14:paraId="158C3632">
      <w:pPr>
        <w:tabs>
          <w:tab w:val="left" w:pos="2127"/>
        </w:tabs>
        <w:kinsoku/>
        <w:overflowPunct/>
        <w:bidi w:val="0"/>
        <w:spacing w:line="360" w:lineRule="auto"/>
        <w:ind w:firstLine="0" w:firstLineChars="0"/>
        <w:jc w:val="center"/>
        <w:textAlignment w:val="auto"/>
        <w:rPr>
          <w:rFonts w:ascii="宋体" w:hAnsi="宋体" w:cs="Times New Roman"/>
          <w:b/>
          <w:color w:val="auto"/>
          <w:sz w:val="44"/>
          <w:szCs w:val="20"/>
          <w:highlight w:val="none"/>
        </w:rPr>
      </w:pPr>
    </w:p>
    <w:p w14:paraId="772EEEF5">
      <w:pPr>
        <w:tabs>
          <w:tab w:val="left" w:pos="2127"/>
        </w:tabs>
        <w:kinsoku/>
        <w:overflowPunct/>
        <w:bidi w:val="0"/>
        <w:spacing w:line="360" w:lineRule="auto"/>
        <w:ind w:firstLine="0" w:firstLineChars="0"/>
        <w:textAlignment w:val="auto"/>
        <w:rPr>
          <w:rFonts w:ascii="宋体" w:hAnsi="宋体" w:cs="Times New Roman"/>
          <w:color w:val="auto"/>
          <w:sz w:val="32"/>
          <w:szCs w:val="20"/>
          <w:highlight w:val="none"/>
        </w:rPr>
      </w:pPr>
    </w:p>
    <w:p w14:paraId="02FAE66A">
      <w:pPr>
        <w:tabs>
          <w:tab w:val="left" w:pos="2127"/>
        </w:tabs>
        <w:kinsoku/>
        <w:overflowPunct/>
        <w:bidi w:val="0"/>
        <w:spacing w:line="360" w:lineRule="auto"/>
        <w:ind w:firstLine="0" w:firstLineChars="0"/>
        <w:textAlignment w:val="auto"/>
        <w:rPr>
          <w:rFonts w:ascii="宋体" w:hAnsi="宋体" w:cs="Times New Roman"/>
          <w:color w:val="auto"/>
          <w:sz w:val="32"/>
          <w:szCs w:val="20"/>
          <w:highlight w:val="none"/>
        </w:rPr>
      </w:pPr>
    </w:p>
    <w:p w14:paraId="4ABA01DE">
      <w:pPr>
        <w:kinsoku/>
        <w:overflowPunct/>
        <w:bidi w:val="0"/>
        <w:spacing w:line="360" w:lineRule="auto"/>
        <w:ind w:firstLine="0" w:firstLineChars="0"/>
        <w:jc w:val="center"/>
        <w:textAlignment w:val="auto"/>
        <w:rPr>
          <w:rFonts w:hint="eastAsia" w:ascii="楷体" w:hAnsi="楷体" w:eastAsia="楷体" w:cs="楷体"/>
          <w:b/>
          <w:strike/>
          <w:color w:val="auto"/>
          <w:sz w:val="36"/>
          <w:szCs w:val="20"/>
          <w:highlight w:val="none"/>
        </w:rPr>
      </w:pPr>
      <w:r>
        <w:rPr>
          <w:rFonts w:hint="eastAsia" w:ascii="楷体" w:hAnsi="楷体" w:eastAsia="楷体" w:cs="楷体"/>
          <w:b/>
          <w:color w:val="auto"/>
          <w:sz w:val="36"/>
          <w:szCs w:val="20"/>
          <w:highlight w:val="none"/>
          <w:lang w:val="en-US" w:eastAsia="zh-CN"/>
        </w:rPr>
        <w:t>招标</w:t>
      </w:r>
      <w:r>
        <w:rPr>
          <w:rFonts w:hint="eastAsia" w:ascii="楷体" w:hAnsi="楷体" w:eastAsia="楷体" w:cs="楷体"/>
          <w:b/>
          <w:color w:val="auto"/>
          <w:sz w:val="36"/>
          <w:szCs w:val="20"/>
          <w:highlight w:val="none"/>
        </w:rPr>
        <w:t>人：</w:t>
      </w:r>
      <w:r>
        <w:rPr>
          <w:rFonts w:hint="eastAsia" w:ascii="楷体" w:hAnsi="楷体" w:eastAsia="楷体" w:cs="楷体"/>
          <w:b/>
          <w:color w:val="auto"/>
          <w:kern w:val="2"/>
          <w:sz w:val="36"/>
          <w:szCs w:val="22"/>
          <w:highlight w:val="none"/>
          <w:u w:val="none"/>
          <w:lang w:val="en-US" w:eastAsia="zh-CN" w:bidi="ar-SA"/>
        </w:rPr>
        <w:t>广州市番南能源有限公司</w:t>
      </w:r>
    </w:p>
    <w:p w14:paraId="068454D9">
      <w:pPr>
        <w:kinsoku/>
        <w:overflowPunct/>
        <w:bidi w:val="0"/>
        <w:spacing w:line="360" w:lineRule="auto"/>
        <w:ind w:firstLine="0" w:firstLineChars="0"/>
        <w:jc w:val="center"/>
        <w:textAlignment w:val="auto"/>
        <w:rPr>
          <w:rFonts w:hint="eastAsia" w:ascii="楷体" w:hAnsi="楷体" w:eastAsia="楷体" w:cs="楷体"/>
          <w:b/>
          <w:color w:val="auto"/>
          <w:sz w:val="36"/>
          <w:szCs w:val="20"/>
          <w:highlight w:val="none"/>
          <w:lang w:val="en-US" w:eastAsia="zh-CN"/>
        </w:rPr>
      </w:pPr>
    </w:p>
    <w:p w14:paraId="38296C5A">
      <w:pPr>
        <w:kinsoku/>
        <w:overflowPunct/>
        <w:bidi w:val="0"/>
        <w:spacing w:line="360" w:lineRule="auto"/>
        <w:ind w:firstLine="0" w:firstLineChars="0"/>
        <w:jc w:val="center"/>
        <w:textAlignment w:val="auto"/>
        <w:rPr>
          <w:rFonts w:hint="eastAsia" w:ascii="楷体" w:hAnsi="楷体" w:eastAsia="楷体" w:cs="楷体"/>
          <w:b/>
          <w:color w:val="auto"/>
          <w:sz w:val="36"/>
          <w:szCs w:val="20"/>
          <w:highlight w:val="none"/>
          <w:u w:val="none"/>
        </w:rPr>
      </w:pPr>
      <w:r>
        <w:rPr>
          <w:rFonts w:hint="eastAsia" w:ascii="楷体" w:hAnsi="楷体" w:eastAsia="楷体" w:cs="楷体"/>
          <w:b/>
          <w:color w:val="auto"/>
          <w:sz w:val="36"/>
          <w:szCs w:val="20"/>
          <w:highlight w:val="none"/>
          <w:lang w:val="en-US" w:eastAsia="zh-CN"/>
        </w:rPr>
        <w:t>招标</w:t>
      </w:r>
      <w:r>
        <w:rPr>
          <w:rFonts w:hint="eastAsia" w:ascii="楷体" w:hAnsi="楷体" w:eastAsia="楷体" w:cs="楷体"/>
          <w:b/>
          <w:color w:val="auto"/>
          <w:sz w:val="36"/>
          <w:szCs w:val="20"/>
          <w:highlight w:val="none"/>
          <w:u w:val="none"/>
          <w:lang w:eastAsia="zh-CN"/>
        </w:rPr>
        <w:t>服务机构</w:t>
      </w:r>
      <w:r>
        <w:rPr>
          <w:rFonts w:hint="eastAsia" w:ascii="楷体" w:hAnsi="楷体" w:eastAsia="楷体" w:cs="楷体"/>
          <w:b/>
          <w:color w:val="auto"/>
          <w:sz w:val="36"/>
          <w:szCs w:val="20"/>
          <w:highlight w:val="none"/>
          <w:u w:val="none"/>
        </w:rPr>
        <w:t>：广州竣盛工程造价咨询有限公司</w:t>
      </w:r>
    </w:p>
    <w:p w14:paraId="4431F73E">
      <w:pPr>
        <w:kinsoku/>
        <w:overflowPunct/>
        <w:bidi w:val="0"/>
        <w:spacing w:line="360" w:lineRule="auto"/>
        <w:ind w:firstLine="0" w:firstLineChars="0"/>
        <w:jc w:val="center"/>
        <w:textAlignment w:val="auto"/>
        <w:rPr>
          <w:rFonts w:hint="eastAsia" w:ascii="楷体" w:hAnsi="楷体" w:eastAsia="楷体" w:cs="楷体"/>
          <w:b/>
          <w:color w:val="auto"/>
          <w:sz w:val="36"/>
          <w:szCs w:val="20"/>
          <w:highlight w:val="none"/>
          <w:u w:val="none"/>
          <w:lang w:val="en-US" w:eastAsia="zh-CN"/>
        </w:rPr>
      </w:pPr>
      <w:r>
        <w:rPr>
          <w:rFonts w:hint="eastAsia" w:ascii="楷体" w:hAnsi="楷体" w:eastAsia="楷体" w:cs="楷体"/>
          <w:b/>
          <w:color w:val="auto"/>
          <w:sz w:val="36"/>
          <w:szCs w:val="20"/>
          <w:highlight w:val="none"/>
          <w:u w:val="none"/>
          <w:lang w:val="en-US" w:eastAsia="zh-CN"/>
        </w:rPr>
        <w:t xml:space="preserve">  </w:t>
      </w:r>
    </w:p>
    <w:p w14:paraId="5883EF99">
      <w:pPr>
        <w:kinsoku/>
        <w:overflowPunct/>
        <w:bidi w:val="0"/>
        <w:spacing w:line="360" w:lineRule="auto"/>
        <w:ind w:firstLine="0" w:firstLineChars="0"/>
        <w:jc w:val="center"/>
        <w:textAlignment w:val="auto"/>
        <w:rPr>
          <w:rFonts w:hint="eastAsia" w:ascii="楷体" w:hAnsi="楷体" w:eastAsia="楷体" w:cs="楷体"/>
          <w:b/>
          <w:color w:val="auto"/>
          <w:sz w:val="36"/>
          <w:szCs w:val="20"/>
          <w:highlight w:val="none"/>
          <w:u w:val="none"/>
        </w:rPr>
      </w:pPr>
      <w:r>
        <w:rPr>
          <w:rFonts w:hint="eastAsia" w:ascii="楷体" w:hAnsi="楷体" w:eastAsia="楷体" w:cs="楷体"/>
          <w:b/>
          <w:color w:val="auto"/>
          <w:sz w:val="36"/>
          <w:szCs w:val="20"/>
          <w:highlight w:val="none"/>
          <w:u w:val="none"/>
          <w:lang w:val="en-US" w:eastAsia="zh-CN"/>
        </w:rPr>
        <w:t xml:space="preserve">  </w:t>
      </w:r>
      <w:r>
        <w:rPr>
          <w:rFonts w:hint="eastAsia" w:ascii="楷体" w:hAnsi="楷体" w:eastAsia="楷体" w:cs="楷体"/>
          <w:b/>
          <w:color w:val="auto"/>
          <w:sz w:val="36"/>
          <w:szCs w:val="20"/>
          <w:highlight w:val="none"/>
          <w:u w:val="none"/>
        </w:rPr>
        <w:t>招标监督机构：广东电网有限责任公司广州供电局</w:t>
      </w:r>
    </w:p>
    <w:p w14:paraId="43E12F03">
      <w:pPr>
        <w:widowControl w:val="0"/>
        <w:ind w:firstLine="400" w:firstLineChars="200"/>
        <w:jc w:val="both"/>
        <w:rPr>
          <w:rFonts w:hint="eastAsia" w:ascii="@DotumChe" w:hAnsi="@DotumChe" w:eastAsia="@DotumChe" w:cs="@DotumChe"/>
          <w:color w:val="auto"/>
          <w:kern w:val="2"/>
          <w:sz w:val="20"/>
          <w:highlight w:val="none"/>
          <w:lang w:val="en-US" w:eastAsia="zh-CN" w:bidi="ar-SA"/>
        </w:rPr>
      </w:pPr>
    </w:p>
    <w:p w14:paraId="454DEDF7">
      <w:pPr>
        <w:kinsoku/>
        <w:overflowPunct/>
        <w:bidi w:val="0"/>
        <w:spacing w:line="360" w:lineRule="auto"/>
        <w:ind w:firstLine="0" w:firstLineChars="0"/>
        <w:jc w:val="center"/>
        <w:textAlignment w:val="auto"/>
        <w:rPr>
          <w:rFonts w:hint="eastAsia" w:ascii="楷体_GB2312" w:hAnsi="宋体" w:eastAsia="楷体_GB2312" w:cs="Times New Roman"/>
          <w:b/>
          <w:color w:val="auto"/>
          <w:sz w:val="36"/>
          <w:szCs w:val="20"/>
          <w:highlight w:val="none"/>
          <w:u w:val="none"/>
        </w:rPr>
      </w:pPr>
      <w:r>
        <w:rPr>
          <w:rFonts w:hint="eastAsia" w:ascii="楷体" w:hAnsi="楷体" w:eastAsia="楷体" w:cs="楷体"/>
          <w:b/>
          <w:color w:val="auto"/>
          <w:kern w:val="2"/>
          <w:sz w:val="36"/>
          <w:szCs w:val="22"/>
          <w:highlight w:val="none"/>
          <w:u w:val="none"/>
          <w:lang w:val="en-US" w:eastAsia="zh-CN" w:bidi="ar-SA"/>
        </w:rPr>
        <w:t>2025年10月</w:t>
      </w:r>
    </w:p>
    <w:p w14:paraId="3DAC7526">
      <w:pP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br w:type="page"/>
      </w:r>
    </w:p>
    <w:p w14:paraId="6BA4D69D">
      <w:pPr>
        <w:rPr>
          <w:rFonts w:hint="eastAsia" w:ascii="宋体" w:hAnsi="宋体" w:eastAsia="宋体" w:cs="宋体"/>
          <w:b/>
          <w:color w:val="auto"/>
          <w:sz w:val="32"/>
          <w:szCs w:val="32"/>
          <w:highlight w:val="none"/>
          <w:lang w:eastAsia="zh-CN"/>
        </w:rPr>
      </w:pPr>
    </w:p>
    <w:p w14:paraId="137DBA23">
      <w:pPr>
        <w:keepNext w:val="0"/>
        <w:keepLines w:val="0"/>
        <w:pageBreakBefore w:val="0"/>
        <w:kinsoku/>
        <w:overflowPunct/>
        <w:bidi w:val="0"/>
        <w:snapToGrid/>
        <w:spacing w:line="360" w:lineRule="auto"/>
        <w:ind w:left="432" w:hanging="432" w:firstLineChars="0"/>
        <w:jc w:val="center"/>
        <w:textAlignment w:val="auto"/>
        <w:outlineLvl w:val="9"/>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500千伏番南输变电工程（变电站建筑）土建施工总承包</w:t>
      </w:r>
    </w:p>
    <w:p w14:paraId="006FB0F8">
      <w:pPr>
        <w:keepNext w:val="0"/>
        <w:keepLines w:val="0"/>
        <w:pageBreakBefore w:val="0"/>
        <w:kinsoku/>
        <w:overflowPunct/>
        <w:bidi w:val="0"/>
        <w:snapToGrid/>
        <w:spacing w:line="360" w:lineRule="auto"/>
        <w:ind w:left="432" w:hanging="432" w:firstLineChars="0"/>
        <w:jc w:val="center"/>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招标</w:t>
      </w:r>
      <w:bookmarkEnd w:id="0"/>
      <w:bookmarkEnd w:id="1"/>
      <w:bookmarkEnd w:id="2"/>
      <w:bookmarkEnd w:id="3"/>
      <w:bookmarkEnd w:id="4"/>
      <w:r>
        <w:rPr>
          <w:rFonts w:hint="eastAsia" w:ascii="宋体" w:hAnsi="宋体" w:eastAsia="宋体" w:cs="宋体"/>
          <w:b/>
          <w:color w:val="auto"/>
          <w:sz w:val="32"/>
          <w:szCs w:val="32"/>
          <w:highlight w:val="none"/>
        </w:rPr>
        <w:t>公告</w:t>
      </w:r>
      <w:bookmarkEnd w:id="5"/>
      <w:bookmarkEnd w:id="6"/>
    </w:p>
    <w:p w14:paraId="21CE81D0">
      <w:pPr>
        <w:keepNext w:val="0"/>
        <w:keepLines w:val="0"/>
        <w:pageBreakBefore w:val="0"/>
        <w:tabs>
          <w:tab w:val="left" w:pos="2127"/>
        </w:tabs>
        <w:kinsoku/>
        <w:wordWrap/>
        <w:overflowPunct/>
        <w:topLinePunct w:val="0"/>
        <w:autoSpaceDE/>
        <w:autoSpaceDN/>
        <w:bidi w:val="0"/>
        <w:adjustRightInd/>
        <w:snapToGrid/>
        <w:spacing w:line="312" w:lineRule="auto"/>
        <w:ind w:firstLine="0" w:firstLineChars="0"/>
        <w:jc w:val="left"/>
        <w:textAlignment w:val="auto"/>
        <w:rPr>
          <w:rFonts w:hint="eastAsia" w:ascii="宋体" w:hAnsi="宋体" w:eastAsia="宋体" w:cs="宋体"/>
          <w:b/>
          <w:bCs/>
          <w:color w:val="auto"/>
          <w:sz w:val="21"/>
          <w:szCs w:val="21"/>
          <w:highlight w:val="none"/>
          <w:shd w:val="clear" w:color="auto" w:fill="FFFFFF"/>
        </w:rPr>
      </w:pPr>
      <w:bookmarkStart w:id="7" w:name="_Toc12437"/>
    </w:p>
    <w:p w14:paraId="597A76FE">
      <w:pPr>
        <w:keepNext w:val="0"/>
        <w:keepLines w:val="0"/>
        <w:pageBreakBefore w:val="0"/>
        <w:tabs>
          <w:tab w:val="left" w:pos="2127"/>
        </w:tabs>
        <w:kinsoku/>
        <w:wordWrap/>
        <w:overflowPunct/>
        <w:topLinePunct w:val="0"/>
        <w:autoSpaceDE/>
        <w:autoSpaceDN/>
        <w:bidi w:val="0"/>
        <w:adjustRightInd/>
        <w:snapToGrid/>
        <w:spacing w:line="312" w:lineRule="auto"/>
        <w:ind w:firstLine="0" w:firstLineChars="0"/>
        <w:jc w:val="left"/>
        <w:textAlignment w:val="auto"/>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1.</w:t>
      </w:r>
      <w:r>
        <w:rPr>
          <w:rFonts w:hint="eastAsia" w:ascii="宋体" w:hAnsi="宋体" w:eastAsia="宋体" w:cs="宋体"/>
          <w:b/>
          <w:bCs/>
          <w:color w:val="auto"/>
          <w:sz w:val="21"/>
          <w:szCs w:val="21"/>
          <w:highlight w:val="none"/>
          <w:shd w:val="clear" w:color="auto" w:fill="FFFFFF"/>
          <w:lang w:val="en-US" w:eastAsia="zh-CN"/>
        </w:rPr>
        <w:t>招标</w:t>
      </w:r>
      <w:r>
        <w:rPr>
          <w:rFonts w:hint="eastAsia" w:ascii="宋体" w:hAnsi="宋体" w:eastAsia="宋体" w:cs="宋体"/>
          <w:b/>
          <w:bCs/>
          <w:color w:val="auto"/>
          <w:sz w:val="21"/>
          <w:szCs w:val="21"/>
          <w:highlight w:val="none"/>
          <w:shd w:val="clear" w:color="auto" w:fill="FFFFFF"/>
        </w:rPr>
        <w:t>条件</w:t>
      </w:r>
    </w:p>
    <w:p w14:paraId="56F3FD40">
      <w:pPr>
        <w:keepNext w:val="0"/>
        <w:keepLines w:val="0"/>
        <w:pageBreakBefore w:val="0"/>
        <w:tabs>
          <w:tab w:val="left" w:pos="2127"/>
        </w:tabs>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本招标</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u w:val="single"/>
          <w:lang w:eastAsia="zh-CN"/>
        </w:rPr>
        <w:t>500千伏番南输变电工程（变电站建筑）土建施工总承包</w:t>
      </w:r>
      <w:r>
        <w:rPr>
          <w:rFonts w:hint="eastAsia" w:ascii="宋体" w:hAnsi="宋体" w:eastAsia="宋体" w:cs="宋体"/>
          <w:color w:val="auto"/>
          <w:sz w:val="21"/>
          <w:szCs w:val="21"/>
          <w:highlight w:val="none"/>
        </w:rPr>
        <w:t>，招标</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u w:val="single"/>
          <w:lang w:eastAsia="zh-CN"/>
        </w:rPr>
        <w:t>广州市番南能源有限公司</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lang w:val="en-US" w:eastAsia="zh-CN"/>
        </w:rPr>
        <w:t>资金已落实</w:t>
      </w:r>
      <w:r>
        <w:rPr>
          <w:rFonts w:hint="eastAsia" w:ascii="宋体" w:hAnsi="宋体" w:eastAsia="宋体" w:cs="宋体"/>
          <w:color w:val="auto"/>
          <w:sz w:val="21"/>
          <w:szCs w:val="21"/>
          <w:highlight w:val="none"/>
        </w:rPr>
        <w:t>。项目已具备招标条件，现对该项目进行</w:t>
      </w:r>
      <w:r>
        <w:rPr>
          <w:rFonts w:hint="eastAsia" w:ascii="宋体" w:hAnsi="宋体" w:eastAsia="宋体" w:cs="宋体"/>
          <w:strike w:val="0"/>
          <w:dstrike w:val="0"/>
          <w:color w:val="auto"/>
          <w:sz w:val="21"/>
          <w:szCs w:val="21"/>
          <w:highlight w:val="none"/>
          <w:u w:val="single"/>
          <w:lang w:val="en-US" w:eastAsia="zh-CN"/>
        </w:rPr>
        <w:t>公开招标</w:t>
      </w:r>
      <w:r>
        <w:rPr>
          <w:rFonts w:hint="eastAsia" w:ascii="宋体" w:hAnsi="宋体" w:eastAsia="宋体" w:cs="宋体"/>
          <w:color w:val="auto"/>
          <w:sz w:val="21"/>
          <w:szCs w:val="21"/>
          <w:highlight w:val="none"/>
        </w:rPr>
        <w:t>。</w:t>
      </w:r>
    </w:p>
    <w:bookmarkEnd w:id="7"/>
    <w:p w14:paraId="736F8A1D">
      <w:pPr>
        <w:kinsoku/>
        <w:overflowPunct/>
        <w:bidi w:val="0"/>
        <w:spacing w:line="360" w:lineRule="auto"/>
        <w:ind w:firstLine="0" w:firstLineChars="0"/>
        <w:outlineLvl w:val="9"/>
        <w:rPr>
          <w:rFonts w:hint="eastAsia" w:ascii="宋体" w:hAnsi="宋体" w:eastAsia="宋体" w:cs="宋体"/>
          <w:b/>
          <w:bCs/>
          <w:color w:val="auto"/>
          <w:sz w:val="21"/>
          <w:szCs w:val="21"/>
          <w:highlight w:val="none"/>
        </w:rPr>
      </w:pPr>
      <w:bookmarkStart w:id="8" w:name="_Toc25946"/>
      <w:r>
        <w:rPr>
          <w:rFonts w:hint="eastAsia" w:ascii="宋体" w:hAnsi="宋体" w:eastAsia="宋体" w:cs="宋体"/>
          <w:b/>
          <w:bCs/>
          <w:color w:val="auto"/>
          <w:sz w:val="21"/>
          <w:szCs w:val="21"/>
          <w:highlight w:val="none"/>
          <w:lang w:val="en-US" w:eastAsia="zh-CN"/>
        </w:rPr>
        <w:t>2.项目概况和招标范围</w:t>
      </w:r>
    </w:p>
    <w:p w14:paraId="2AA1BCA9">
      <w:pPr>
        <w:keepNext w:val="0"/>
        <w:keepLines w:val="0"/>
        <w:pageBreakBefore w:val="0"/>
        <w:widowControl w:val="0"/>
        <w:kinsoku/>
        <w:wordWrap/>
        <w:overflowPunct/>
        <w:topLinePunct w:val="0"/>
        <w:autoSpaceDE/>
        <w:autoSpaceDN/>
        <w:bidi w:val="0"/>
        <w:adjustRightInd/>
        <w:snapToGrid/>
        <w:spacing w:before="0" w:after="0" w:afterLines="0" w:line="360" w:lineRule="auto"/>
        <w:ind w:left="0" w:lef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2.1项目地点：广州市番禺区</w:t>
      </w:r>
    </w:p>
    <w:p w14:paraId="44160E47">
      <w:pPr>
        <w:keepNext w:val="0"/>
        <w:keepLines w:val="0"/>
        <w:pageBreakBefore w:val="0"/>
        <w:widowControl w:val="0"/>
        <w:kinsoku/>
        <w:wordWrap/>
        <w:overflowPunct/>
        <w:topLinePunct w:val="0"/>
        <w:autoSpaceDE/>
        <w:autoSpaceDN/>
        <w:bidi w:val="0"/>
        <w:adjustRightInd/>
        <w:snapToGrid/>
        <w:spacing w:before="0" w:after="0" w:afterLines="0" w:line="360" w:lineRule="auto"/>
        <w:ind w:left="0" w:lef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2.2合同估算金额（采购预算金额）：13000万元，含9%税。</w:t>
      </w:r>
    </w:p>
    <w:p w14:paraId="35F726A5">
      <w:pPr>
        <w:keepNext w:val="0"/>
        <w:keepLines w:val="0"/>
        <w:pageBreakBefore w:val="0"/>
        <w:widowControl w:val="0"/>
        <w:kinsoku/>
        <w:wordWrap/>
        <w:overflowPunct/>
        <w:topLinePunct w:val="0"/>
        <w:autoSpaceDE/>
        <w:autoSpaceDN/>
        <w:bidi w:val="0"/>
        <w:adjustRightInd/>
        <w:snapToGrid/>
        <w:spacing w:before="0" w:after="0" w:afterLines="0" w:line="360" w:lineRule="auto"/>
        <w:ind w:left="0" w:lef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2.3项目概况：</w:t>
      </w:r>
    </w:p>
    <w:p w14:paraId="7692ED1C">
      <w:pPr>
        <w:keepNext w:val="0"/>
        <w:keepLines w:val="0"/>
        <w:pageBreakBefore w:val="0"/>
        <w:widowControl w:val="0"/>
        <w:kinsoku/>
        <w:wordWrap/>
        <w:overflowPunct/>
        <w:topLinePunct w:val="0"/>
        <w:autoSpaceDE/>
        <w:autoSpaceDN/>
        <w:bidi w:val="0"/>
        <w:adjustRightInd/>
        <w:snapToGrid/>
        <w:spacing w:before="0" w:after="0" w:afterLines="0" w:line="360" w:lineRule="auto"/>
        <w:ind w:left="0" w:lef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2.3.1 工程建设地点：广州市番禺区东南部石楼镇南派村。</w:t>
      </w:r>
    </w:p>
    <w:p w14:paraId="27F6AB21">
      <w:pPr>
        <w:keepNext w:val="0"/>
        <w:keepLines w:val="0"/>
        <w:pageBreakBefore w:val="0"/>
        <w:widowControl w:val="0"/>
        <w:kinsoku/>
        <w:wordWrap/>
        <w:overflowPunct/>
        <w:topLinePunct w:val="0"/>
        <w:autoSpaceDE/>
        <w:autoSpaceDN/>
        <w:bidi w:val="0"/>
        <w:adjustRightInd/>
        <w:snapToGrid/>
        <w:spacing w:before="0" w:after="0" w:afterLines="0" w:line="360" w:lineRule="auto"/>
        <w:ind w:left="0" w:lef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2.3.2 500kV番南输变电工程：番南能源科技基地开发用地红线范围内需配套建设500kV傍海（番南）变电站 1 座，用地面积约为34505平方米，总建筑面积约为15889平方米，变电站基底面积约为5390平方米（最终以规划批复文件为准）。本项目为500kV傍海（番南）变电站的建、构筑物土建工程，及开发项目红线内建设的开发项目配套变电站进出线电缆管沟土建工程。具体建设规模以施工图纸为准。</w:t>
      </w:r>
    </w:p>
    <w:p w14:paraId="6B32E78A">
      <w:pPr>
        <w:keepNext w:val="0"/>
        <w:keepLines w:val="0"/>
        <w:pageBreakBefore w:val="0"/>
        <w:widowControl w:val="0"/>
        <w:kinsoku/>
        <w:wordWrap/>
        <w:overflowPunct/>
        <w:topLinePunct w:val="0"/>
        <w:autoSpaceDE/>
        <w:autoSpaceDN/>
        <w:bidi w:val="0"/>
        <w:adjustRightInd/>
        <w:snapToGrid/>
        <w:spacing w:before="0" w:after="0" w:afterLines="0" w:line="360" w:lineRule="auto"/>
        <w:ind w:left="0" w:lef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2.4招标范围：施工图纸范围内的变电站建筑及安装【含挡土墙、临时性进站道路、临时施工道路、地基处理、场地平整、全站接地网（含接地网导通测试），建筑防雷接地、消防系统、照明部分、红线范围内电缆沟道部分、天车设备安装、拆除工程、施工期间的围蔽视频监控及建设资料的电子化移交】。具体招标范围以施工图纸为准。</w:t>
      </w:r>
    </w:p>
    <w:p w14:paraId="3F20AB74">
      <w:pPr>
        <w:keepNext w:val="0"/>
        <w:keepLines w:val="0"/>
        <w:pageBreakBefore w:val="0"/>
        <w:widowControl w:val="0"/>
        <w:kinsoku/>
        <w:wordWrap/>
        <w:overflowPunct/>
        <w:topLinePunct w:val="0"/>
        <w:autoSpaceDE/>
        <w:autoSpaceDN/>
        <w:bidi w:val="0"/>
        <w:adjustRightInd/>
        <w:snapToGrid/>
        <w:spacing w:before="0" w:after="0" w:afterLines="0" w:line="360" w:lineRule="auto"/>
        <w:ind w:left="0" w:leftChars="0" w:firstLine="420" w:firstLineChars="200"/>
        <w:jc w:val="left"/>
        <w:textAlignment w:val="auto"/>
        <w:outlineLvl w:val="9"/>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2.5计划工期：合同签订之日起至2026年6月30日（计划要求2026年3月30日前封顶并移交部分场地给电力设施安装单位进场安装），实际工期以开工报告、竣工报告为准。</w:t>
      </w:r>
    </w:p>
    <w:p w14:paraId="117C3080">
      <w:pPr>
        <w:keepNext w:val="0"/>
        <w:keepLines w:val="0"/>
        <w:pageBreakBefore w:val="0"/>
        <w:widowControl w:val="0"/>
        <w:kinsoku/>
        <w:wordWrap/>
        <w:overflowPunct/>
        <w:topLinePunct w:val="0"/>
        <w:autoSpaceDE/>
        <w:autoSpaceDN/>
        <w:bidi w:val="0"/>
        <w:adjustRightInd/>
        <w:snapToGrid/>
        <w:spacing w:before="0" w:after="0" w:afterLines="0" w:line="360" w:lineRule="auto"/>
        <w:ind w:left="0" w:lef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2.6资格审查方式：资格后审</w:t>
      </w:r>
    </w:p>
    <w:p w14:paraId="0272E262">
      <w:pPr>
        <w:keepNext w:val="0"/>
        <w:keepLines w:val="0"/>
        <w:pageBreakBefore w:val="0"/>
        <w:widowControl w:val="0"/>
        <w:kinsoku/>
        <w:wordWrap/>
        <w:overflowPunct/>
        <w:topLinePunct w:val="0"/>
        <w:autoSpaceDE/>
        <w:autoSpaceDN/>
        <w:bidi w:val="0"/>
        <w:adjustRightInd/>
        <w:snapToGrid/>
        <w:spacing w:before="0" w:after="0" w:afterLines="0" w:line="360" w:lineRule="auto"/>
        <w:ind w:left="0" w:lef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2.7采购类别：工程类</w:t>
      </w:r>
    </w:p>
    <w:p w14:paraId="550CE9D1">
      <w:pPr>
        <w:keepNext w:val="0"/>
        <w:keepLines w:val="0"/>
        <w:pageBreakBefore w:val="0"/>
        <w:widowControl w:val="0"/>
        <w:kinsoku/>
        <w:wordWrap/>
        <w:overflowPunct/>
        <w:topLinePunct w:val="0"/>
        <w:autoSpaceDE/>
        <w:autoSpaceDN/>
        <w:bidi w:val="0"/>
        <w:adjustRightInd/>
        <w:snapToGrid/>
        <w:spacing w:before="0" w:after="0" w:afterLines="0" w:line="360" w:lineRule="auto"/>
        <w:ind w:left="0" w:lef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2.8招标相关要求：</w:t>
      </w:r>
    </w:p>
    <w:p w14:paraId="337EDA18">
      <w:pPr>
        <w:keepNext w:val="0"/>
        <w:keepLines w:val="0"/>
        <w:pageBreakBefore w:val="0"/>
        <w:widowControl w:val="0"/>
        <w:kinsoku/>
        <w:wordWrap/>
        <w:overflowPunct/>
        <w:topLinePunct w:val="0"/>
        <w:autoSpaceDE/>
        <w:autoSpaceDN/>
        <w:bidi w:val="0"/>
        <w:adjustRightInd/>
        <w:snapToGrid/>
        <w:spacing w:before="0" w:after="0" w:afterLines="0" w:line="360" w:lineRule="auto"/>
        <w:ind w:left="0" w:lef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质量标准：本工程竣工验收必须达到国家、地方、中国南方电网有限责任公司质量标准及行业质量检验评定的合格标准，对于发包人项目所在地政府部门有其他检验和检查要求的工程，承包人必须保证工程通过当地政府部门检查和检验，且移交工程能正常投入使用。若工程质量不合格的，承包人必须按发包人和监理单位指定的期限对不合格工程返工、修复或采取发包人认可的其他补救措施，使之达到合同和法定标准要求。</w:t>
      </w:r>
    </w:p>
    <w:p w14:paraId="6F02FB44">
      <w:pPr>
        <w:keepNext w:val="0"/>
        <w:keepLines w:val="0"/>
        <w:pageBreakBefore w:val="0"/>
        <w:widowControl w:val="0"/>
        <w:kinsoku/>
        <w:wordWrap/>
        <w:overflowPunct/>
        <w:topLinePunct w:val="0"/>
        <w:autoSpaceDE/>
        <w:autoSpaceDN/>
        <w:bidi w:val="0"/>
        <w:adjustRightInd/>
        <w:snapToGrid/>
        <w:spacing w:before="0" w:after="0" w:afterLines="0" w:line="360" w:lineRule="auto"/>
        <w:ind w:left="0" w:lef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施工承包方式：按照本合同约定范围、招标文件、图纸内容、工程技术文件和工程量清单等有关资料及说明实行工程施工总承包模式，即包工程相关报批手续与配合、包人工、包材料、包工期、包质量、包安全、包文明施工、包税金、包对本工程相关的各专业工程提供总承包管理协调及配合服务、包深化图设计、包竣工资料的制作汇编、包验收移交、包保修等。同时积极协助及办理相关报建手续（如合同备案、质量安全监督登记、施工许可证等）。</w:t>
      </w:r>
    </w:p>
    <w:p w14:paraId="52DEA1FF">
      <w:pPr>
        <w:keepNext w:val="0"/>
        <w:keepLines w:val="0"/>
        <w:pageBreakBefore w:val="0"/>
        <w:widowControl w:val="0"/>
        <w:kinsoku/>
        <w:wordWrap/>
        <w:overflowPunct/>
        <w:topLinePunct w:val="0"/>
        <w:autoSpaceDE/>
        <w:autoSpaceDN/>
        <w:bidi w:val="0"/>
        <w:adjustRightInd/>
        <w:snapToGrid/>
        <w:spacing w:before="0" w:after="0" w:afterLines="0" w:line="360" w:lineRule="auto"/>
        <w:ind w:left="0" w:leftChars="0" w:firstLine="420" w:firstLineChars="200"/>
        <w:jc w:val="left"/>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2.9标段划分：划分为1个标段，详见下表。</w:t>
      </w:r>
    </w:p>
    <w:bookmarkEnd w:id="8"/>
    <w:tbl>
      <w:tblPr>
        <w:tblStyle w:val="11"/>
        <w:tblW w:w="50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22"/>
        <w:gridCol w:w="999"/>
        <w:gridCol w:w="748"/>
        <w:gridCol w:w="748"/>
        <w:gridCol w:w="911"/>
        <w:gridCol w:w="1144"/>
        <w:gridCol w:w="1741"/>
        <w:gridCol w:w="2046"/>
        <w:gridCol w:w="1124"/>
      </w:tblGrid>
      <w:tr w14:paraId="420C9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9" w:hRule="atLeast"/>
          <w:tblHeader/>
          <w:jc w:val="center"/>
        </w:trPr>
        <w:tc>
          <w:tcPr>
            <w:tcW w:w="165" w:type="pct"/>
            <w:noWrap w:val="0"/>
            <w:vAlign w:val="center"/>
          </w:tcPr>
          <w:p w14:paraId="61E4F756">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eastAsia" w:ascii="宋体" w:hAnsi="宋体" w:eastAsia="宋体" w:cs="宋体"/>
                <w:color w:val="auto"/>
                <w:sz w:val="21"/>
                <w:szCs w:val="21"/>
                <w:highlight w:val="none"/>
                <w:u w:val="none"/>
              </w:rPr>
            </w:pPr>
            <w:bookmarkStart w:id="9" w:name="_Toc32043"/>
            <w:r>
              <w:rPr>
                <w:rFonts w:hint="eastAsia" w:ascii="宋体" w:hAnsi="宋体" w:eastAsia="宋体" w:cs="宋体"/>
                <w:b/>
                <w:bCs/>
                <w:color w:val="auto"/>
                <w:sz w:val="21"/>
                <w:szCs w:val="21"/>
                <w:highlight w:val="none"/>
                <w:u w:val="none"/>
              </w:rPr>
              <w:t>序号</w:t>
            </w:r>
          </w:p>
        </w:tc>
        <w:tc>
          <w:tcPr>
            <w:tcW w:w="510" w:type="pct"/>
            <w:noWrap w:val="0"/>
            <w:vAlign w:val="center"/>
          </w:tcPr>
          <w:p w14:paraId="6D96F611">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标段名称</w:t>
            </w:r>
          </w:p>
        </w:tc>
        <w:tc>
          <w:tcPr>
            <w:tcW w:w="382" w:type="pct"/>
            <w:noWrap w:val="0"/>
            <w:vAlign w:val="center"/>
          </w:tcPr>
          <w:p w14:paraId="61EE1E42">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b/>
                <w:bCs/>
                <w:color w:val="auto"/>
                <w:sz w:val="21"/>
                <w:szCs w:val="21"/>
                <w:highlight w:val="none"/>
                <w:u w:val="none"/>
                <w:lang w:val="en-US" w:eastAsia="zh-CN"/>
              </w:rPr>
              <w:t>合同估算金额</w:t>
            </w:r>
            <w:r>
              <w:rPr>
                <w:rFonts w:hint="eastAsia" w:ascii="宋体" w:hAnsi="宋体" w:eastAsia="宋体" w:cs="宋体"/>
                <w:b/>
                <w:bCs/>
                <w:color w:val="auto"/>
                <w:sz w:val="21"/>
                <w:szCs w:val="21"/>
                <w:highlight w:val="none"/>
                <w:u w:val="none"/>
              </w:rPr>
              <w:t>（万元）</w:t>
            </w:r>
          </w:p>
        </w:tc>
        <w:tc>
          <w:tcPr>
            <w:tcW w:w="382" w:type="pct"/>
            <w:noWrap w:val="0"/>
            <w:vAlign w:val="center"/>
          </w:tcPr>
          <w:p w14:paraId="775FAF8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12" w:lineRule="auto"/>
              <w:ind w:left="0" w:leftChars="0" w:right="0" w:rightChars="0" w:firstLine="0" w:firstLineChars="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最高限价</w:t>
            </w:r>
          </w:p>
          <w:p w14:paraId="465C333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12" w:lineRule="auto"/>
              <w:ind w:left="0" w:leftChars="0" w:right="0" w:rightChars="0" w:firstLine="0" w:firstLineChars="0"/>
              <w:jc w:val="center"/>
              <w:textAlignment w:val="auto"/>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rPr>
              <w:t>（万元）</w:t>
            </w:r>
          </w:p>
        </w:tc>
        <w:tc>
          <w:tcPr>
            <w:tcW w:w="465" w:type="pct"/>
            <w:noWrap w:val="0"/>
            <w:vAlign w:val="center"/>
          </w:tcPr>
          <w:p w14:paraId="59F8936C">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中标人</w:t>
            </w:r>
            <w:r>
              <w:rPr>
                <w:rFonts w:hint="eastAsia" w:ascii="宋体" w:hAnsi="宋体" w:eastAsia="宋体" w:cs="宋体"/>
                <w:b/>
                <w:bCs/>
                <w:color w:val="auto"/>
                <w:sz w:val="21"/>
                <w:szCs w:val="21"/>
                <w:highlight w:val="none"/>
                <w:u w:val="none"/>
              </w:rPr>
              <w:t>数量</w:t>
            </w:r>
            <w:r>
              <w:rPr>
                <w:rFonts w:hint="eastAsia" w:ascii="宋体" w:hAnsi="宋体" w:eastAsia="宋体" w:cs="宋体"/>
                <w:b/>
                <w:bCs/>
                <w:color w:val="auto"/>
                <w:sz w:val="21"/>
                <w:szCs w:val="21"/>
                <w:highlight w:val="none"/>
                <w:u w:val="none"/>
                <w:lang w:val="en-US" w:eastAsia="zh-CN"/>
              </w:rPr>
              <w:t>N</w:t>
            </w:r>
          </w:p>
        </w:tc>
        <w:tc>
          <w:tcPr>
            <w:tcW w:w="584" w:type="pct"/>
            <w:noWrap w:val="0"/>
            <w:vAlign w:val="center"/>
          </w:tcPr>
          <w:p w14:paraId="777C86F7">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b/>
                <w:bCs/>
                <w:color w:val="auto"/>
                <w:sz w:val="21"/>
                <w:szCs w:val="21"/>
                <w:highlight w:val="none"/>
                <w:u w:val="none"/>
                <w:lang w:val="en-US" w:eastAsia="zh-CN"/>
              </w:rPr>
              <w:t>中标比例</w:t>
            </w:r>
          </w:p>
        </w:tc>
        <w:tc>
          <w:tcPr>
            <w:tcW w:w="889" w:type="pct"/>
            <w:noWrap w:val="0"/>
            <w:vAlign w:val="center"/>
          </w:tcPr>
          <w:p w14:paraId="4CDAF845">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报价方式</w:t>
            </w:r>
          </w:p>
        </w:tc>
        <w:tc>
          <w:tcPr>
            <w:tcW w:w="1045" w:type="pct"/>
            <w:noWrap w:val="0"/>
            <w:vAlign w:val="center"/>
          </w:tcPr>
          <w:p w14:paraId="39CF271C">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结算方式</w:t>
            </w:r>
          </w:p>
        </w:tc>
        <w:tc>
          <w:tcPr>
            <w:tcW w:w="574" w:type="pct"/>
            <w:noWrap w:val="0"/>
            <w:vAlign w:val="center"/>
          </w:tcPr>
          <w:p w14:paraId="5940E287">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备注</w:t>
            </w:r>
          </w:p>
        </w:tc>
      </w:tr>
      <w:tr w14:paraId="3BAA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5" w:hRule="atLeast"/>
          <w:jc w:val="center"/>
        </w:trPr>
        <w:tc>
          <w:tcPr>
            <w:tcW w:w="165" w:type="pct"/>
            <w:noWrap w:val="0"/>
            <w:vAlign w:val="center"/>
          </w:tcPr>
          <w:p w14:paraId="69F00B6D">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w:t>
            </w:r>
          </w:p>
        </w:tc>
        <w:tc>
          <w:tcPr>
            <w:tcW w:w="510" w:type="pct"/>
            <w:noWrap w:val="0"/>
            <w:vAlign w:val="center"/>
          </w:tcPr>
          <w:p w14:paraId="18B7209F">
            <w:pPr>
              <w:keepNext w:val="0"/>
              <w:keepLines w:val="0"/>
              <w:pageBreakBefore w:val="0"/>
              <w:widowControl w:val="0"/>
              <w:kinsoku/>
              <w:wordWrap/>
              <w:overflowPunct/>
              <w:topLinePunct w:val="0"/>
              <w:autoSpaceDE/>
              <w:autoSpaceDN/>
              <w:bidi w:val="0"/>
              <w:adjustRightInd/>
              <w:snapToGrid/>
              <w:spacing w:line="312" w:lineRule="auto"/>
              <w:ind w:firstLine="0" w:firstLineChars="0"/>
              <w:jc w:val="left"/>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500千伏番南输变电工程（变电站建筑）土建施工总承包</w:t>
            </w:r>
          </w:p>
        </w:tc>
        <w:tc>
          <w:tcPr>
            <w:tcW w:w="382" w:type="pct"/>
            <w:noWrap w:val="0"/>
            <w:vAlign w:val="center"/>
          </w:tcPr>
          <w:p w14:paraId="5F90E2D9">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13000</w:t>
            </w:r>
          </w:p>
        </w:tc>
        <w:tc>
          <w:tcPr>
            <w:tcW w:w="382" w:type="pct"/>
            <w:noWrap w:val="0"/>
            <w:vAlign w:val="center"/>
          </w:tcPr>
          <w:p w14:paraId="343C719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12" w:lineRule="auto"/>
              <w:ind w:left="0" w:leftChars="0" w:right="0" w:rightChars="0"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w:t>
            </w:r>
          </w:p>
        </w:tc>
        <w:tc>
          <w:tcPr>
            <w:tcW w:w="465" w:type="pct"/>
            <w:noWrap w:val="0"/>
            <w:vAlign w:val="center"/>
          </w:tcPr>
          <w:p w14:paraId="2349F859">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w:t>
            </w:r>
          </w:p>
        </w:tc>
        <w:tc>
          <w:tcPr>
            <w:tcW w:w="584" w:type="pct"/>
            <w:noWrap w:val="0"/>
            <w:vAlign w:val="center"/>
          </w:tcPr>
          <w:p w14:paraId="0645ABCF">
            <w:pPr>
              <w:keepNext w:val="0"/>
              <w:keepLines w:val="0"/>
              <w:pageBreakBefore w:val="0"/>
              <w:widowControl w:val="0"/>
              <w:kinsoku/>
              <w:wordWrap/>
              <w:overflowPunct/>
              <w:topLinePunct w:val="0"/>
              <w:autoSpaceDE/>
              <w:autoSpaceDN/>
              <w:bidi w:val="0"/>
              <w:adjustRightInd/>
              <w:snapToGrid/>
              <w:spacing w:line="312" w:lineRule="auto"/>
              <w:ind w:firstLine="0" w:firstLineChars="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第1</w:t>
            </w:r>
            <w:r>
              <w:rPr>
                <w:rFonts w:hint="eastAsia" w:ascii="宋体" w:hAnsi="宋体" w:eastAsia="宋体" w:cs="宋体"/>
                <w:color w:val="auto"/>
                <w:sz w:val="21"/>
                <w:szCs w:val="21"/>
                <w:highlight w:val="none"/>
                <w:u w:val="none"/>
                <w:lang w:val="en-US" w:eastAsia="zh-CN"/>
              </w:rPr>
              <w:t>中标人：中标比例100</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eastAsia="zh-CN"/>
              </w:rPr>
              <w:t>。</w:t>
            </w:r>
          </w:p>
        </w:tc>
        <w:tc>
          <w:tcPr>
            <w:tcW w:w="889" w:type="pct"/>
            <w:noWrap w:val="0"/>
            <w:vAlign w:val="center"/>
          </w:tcPr>
          <w:p w14:paraId="155E84DF">
            <w:pPr>
              <w:keepNext w:val="0"/>
              <w:keepLines w:val="0"/>
              <w:pageBreakBefore w:val="0"/>
              <w:widowControl w:val="0"/>
              <w:kinsoku/>
              <w:wordWrap/>
              <w:overflowPunct/>
              <w:topLinePunct w:val="0"/>
              <w:autoSpaceDE/>
              <w:autoSpaceDN/>
              <w:bidi w:val="0"/>
              <w:adjustRightInd/>
              <w:snapToGrid/>
              <w:spacing w:line="312" w:lineRule="auto"/>
              <w:ind w:firstLine="0" w:firstLineChars="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投标人根据《工程报价表》进行报价。其中总报价作为定标评审的依据。报价如有小数，最多保留两位小数。</w:t>
            </w:r>
          </w:p>
        </w:tc>
        <w:tc>
          <w:tcPr>
            <w:tcW w:w="1045" w:type="pct"/>
            <w:noWrap w:val="0"/>
            <w:vAlign w:val="center"/>
          </w:tcPr>
          <w:p w14:paraId="3AFAA0CC">
            <w:pPr>
              <w:keepNext w:val="0"/>
              <w:keepLines w:val="0"/>
              <w:pageBreakBefore w:val="0"/>
              <w:widowControl w:val="0"/>
              <w:kinsoku/>
              <w:wordWrap/>
              <w:overflowPunct/>
              <w:topLinePunct w:val="0"/>
              <w:autoSpaceDE/>
              <w:autoSpaceDN/>
              <w:bidi w:val="0"/>
              <w:adjustRightInd/>
              <w:snapToGrid/>
              <w:spacing w:line="312" w:lineRule="auto"/>
              <w:ind w:firstLine="0" w:firstLineChars="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计价采用《电网工程建设预算编制与计算规定》、《电力建设工程预算定额》（2018年）及配套文件为依据。具体详见招标文件附件</w:t>
            </w:r>
            <w:r>
              <w:rPr>
                <w:rFonts w:hint="eastAsia" w:ascii="宋体" w:hAnsi="宋体" w:eastAsia="宋体" w:cs="宋体"/>
                <w:color w:val="auto"/>
                <w:sz w:val="21"/>
                <w:szCs w:val="21"/>
                <w:highlight w:val="none"/>
                <w:u w:val="none"/>
                <w:lang w:eastAsia="zh-CN"/>
              </w:rPr>
              <w:t>《工程报价表》中的</w:t>
            </w:r>
            <w:r>
              <w:rPr>
                <w:rFonts w:hint="eastAsia" w:ascii="宋体" w:hAnsi="宋体" w:eastAsia="宋体" w:cs="宋体"/>
                <w:color w:val="auto"/>
                <w:sz w:val="21"/>
                <w:szCs w:val="21"/>
                <w:highlight w:val="none"/>
                <w:u w:val="none"/>
                <w:lang w:val="en-US" w:eastAsia="zh-CN"/>
              </w:rPr>
              <w:t>报价总说明章节及合同约定。</w:t>
            </w:r>
          </w:p>
        </w:tc>
        <w:tc>
          <w:tcPr>
            <w:tcW w:w="574" w:type="pct"/>
            <w:noWrap w:val="0"/>
            <w:vAlign w:val="center"/>
          </w:tcPr>
          <w:p w14:paraId="05850521">
            <w:pPr>
              <w:keepNext w:val="0"/>
              <w:keepLines w:val="0"/>
              <w:pageBreakBefore w:val="0"/>
              <w:widowControl w:val="0"/>
              <w:kinsoku/>
              <w:wordWrap/>
              <w:overflowPunct/>
              <w:topLinePunct w:val="0"/>
              <w:autoSpaceDE/>
              <w:autoSpaceDN/>
              <w:bidi w:val="0"/>
              <w:adjustRightInd/>
              <w:snapToGrid/>
              <w:spacing w:line="312" w:lineRule="auto"/>
              <w:ind w:firstLine="0" w:firstLineChars="0"/>
              <w:jc w:val="left"/>
              <w:textAlignment w:val="auto"/>
              <w:rPr>
                <w:rFonts w:hint="eastAsia" w:ascii="宋体" w:hAnsi="宋体" w:eastAsia="宋体" w:cs="宋体"/>
                <w:color w:val="auto"/>
                <w:sz w:val="21"/>
                <w:szCs w:val="21"/>
                <w:highlight w:val="none"/>
                <w:u w:val="none"/>
                <w:lang w:val="en-US" w:eastAsia="zh-CN"/>
              </w:rPr>
            </w:pPr>
          </w:p>
        </w:tc>
      </w:tr>
      <w:tr w14:paraId="717E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675" w:type="pct"/>
            <w:gridSpan w:val="2"/>
            <w:noWrap w:val="0"/>
            <w:vAlign w:val="center"/>
          </w:tcPr>
          <w:p w14:paraId="54749804">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合计</w:t>
            </w:r>
          </w:p>
        </w:tc>
        <w:tc>
          <w:tcPr>
            <w:tcW w:w="382" w:type="pct"/>
            <w:noWrap w:val="0"/>
            <w:vAlign w:val="center"/>
          </w:tcPr>
          <w:p w14:paraId="4BDCD750">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13000</w:t>
            </w:r>
          </w:p>
        </w:tc>
        <w:tc>
          <w:tcPr>
            <w:tcW w:w="382" w:type="pct"/>
            <w:noWrap w:val="0"/>
            <w:vAlign w:val="center"/>
          </w:tcPr>
          <w:p w14:paraId="3067C639">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eastAsia" w:ascii="宋体" w:hAnsi="宋体" w:eastAsia="宋体" w:cs="宋体"/>
                <w:color w:val="auto"/>
                <w:sz w:val="21"/>
                <w:szCs w:val="21"/>
                <w:highlight w:val="none"/>
                <w:u w:val="none"/>
                <w:lang w:val="en-US" w:eastAsia="zh-CN"/>
              </w:rPr>
            </w:pPr>
          </w:p>
        </w:tc>
        <w:tc>
          <w:tcPr>
            <w:tcW w:w="465" w:type="pct"/>
            <w:noWrap w:val="0"/>
            <w:vAlign w:val="center"/>
          </w:tcPr>
          <w:p w14:paraId="7187B962">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eastAsia" w:ascii="宋体" w:hAnsi="宋体" w:eastAsia="宋体" w:cs="宋体"/>
                <w:color w:val="auto"/>
                <w:sz w:val="21"/>
                <w:szCs w:val="21"/>
                <w:highlight w:val="none"/>
                <w:u w:val="none"/>
                <w:lang w:eastAsia="zh-CN"/>
              </w:rPr>
            </w:pPr>
          </w:p>
        </w:tc>
        <w:tc>
          <w:tcPr>
            <w:tcW w:w="584" w:type="pct"/>
            <w:noWrap w:val="0"/>
            <w:vAlign w:val="center"/>
          </w:tcPr>
          <w:p w14:paraId="1D56E96D">
            <w:pPr>
              <w:keepNext w:val="0"/>
              <w:keepLines w:val="0"/>
              <w:pageBreakBefore w:val="0"/>
              <w:widowControl w:val="0"/>
              <w:kinsoku/>
              <w:wordWrap/>
              <w:overflowPunct/>
              <w:topLinePunct w:val="0"/>
              <w:autoSpaceDE/>
              <w:autoSpaceDN/>
              <w:bidi w:val="0"/>
              <w:adjustRightInd/>
              <w:snapToGrid/>
              <w:spacing w:line="312" w:lineRule="auto"/>
              <w:ind w:firstLine="0" w:firstLineChars="0"/>
              <w:jc w:val="left"/>
              <w:textAlignment w:val="auto"/>
              <w:rPr>
                <w:rFonts w:hint="eastAsia" w:ascii="宋体" w:hAnsi="宋体" w:eastAsia="宋体" w:cs="宋体"/>
                <w:color w:val="auto"/>
                <w:sz w:val="21"/>
                <w:szCs w:val="21"/>
                <w:highlight w:val="none"/>
                <w:u w:val="none"/>
              </w:rPr>
            </w:pPr>
          </w:p>
        </w:tc>
        <w:tc>
          <w:tcPr>
            <w:tcW w:w="889" w:type="pct"/>
            <w:noWrap w:val="0"/>
            <w:vAlign w:val="center"/>
          </w:tcPr>
          <w:p w14:paraId="7BE4712E">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eastAsia" w:ascii="宋体" w:hAnsi="宋体" w:eastAsia="宋体" w:cs="宋体"/>
                <w:color w:val="auto"/>
                <w:sz w:val="21"/>
                <w:szCs w:val="21"/>
                <w:highlight w:val="none"/>
                <w:u w:val="none"/>
              </w:rPr>
            </w:pPr>
          </w:p>
        </w:tc>
        <w:tc>
          <w:tcPr>
            <w:tcW w:w="1045" w:type="pct"/>
            <w:noWrap w:val="0"/>
            <w:vAlign w:val="center"/>
          </w:tcPr>
          <w:p w14:paraId="32F3F608">
            <w:pPr>
              <w:keepNext w:val="0"/>
              <w:keepLines w:val="0"/>
              <w:pageBreakBefore w:val="0"/>
              <w:widowControl w:val="0"/>
              <w:kinsoku/>
              <w:wordWrap/>
              <w:overflowPunct/>
              <w:topLinePunct w:val="0"/>
              <w:autoSpaceDE/>
              <w:autoSpaceDN/>
              <w:bidi w:val="0"/>
              <w:adjustRightInd/>
              <w:snapToGrid/>
              <w:spacing w:line="312" w:lineRule="auto"/>
              <w:ind w:firstLine="0" w:firstLineChars="0"/>
              <w:jc w:val="left"/>
              <w:textAlignment w:val="auto"/>
              <w:rPr>
                <w:rFonts w:hint="eastAsia" w:ascii="宋体" w:hAnsi="宋体" w:eastAsia="宋体" w:cs="宋体"/>
                <w:color w:val="auto"/>
                <w:sz w:val="21"/>
                <w:szCs w:val="21"/>
                <w:highlight w:val="none"/>
                <w:u w:val="none"/>
              </w:rPr>
            </w:pPr>
          </w:p>
        </w:tc>
        <w:tc>
          <w:tcPr>
            <w:tcW w:w="574" w:type="pct"/>
            <w:noWrap w:val="0"/>
            <w:vAlign w:val="center"/>
          </w:tcPr>
          <w:p w14:paraId="76E78AF1">
            <w:pPr>
              <w:keepNext w:val="0"/>
              <w:keepLines w:val="0"/>
              <w:pageBreakBefore w:val="0"/>
              <w:widowControl w:val="0"/>
              <w:kinsoku/>
              <w:wordWrap/>
              <w:overflowPunct/>
              <w:topLinePunct w:val="0"/>
              <w:autoSpaceDE/>
              <w:autoSpaceDN/>
              <w:bidi w:val="0"/>
              <w:adjustRightInd/>
              <w:snapToGrid/>
              <w:spacing w:line="312" w:lineRule="auto"/>
              <w:ind w:firstLine="0" w:firstLineChars="0"/>
              <w:jc w:val="left"/>
              <w:textAlignment w:val="auto"/>
              <w:rPr>
                <w:rFonts w:hint="eastAsia" w:ascii="宋体" w:hAnsi="宋体" w:eastAsia="宋体" w:cs="宋体"/>
                <w:color w:val="auto"/>
                <w:sz w:val="21"/>
                <w:szCs w:val="21"/>
                <w:highlight w:val="none"/>
                <w:u w:val="none"/>
              </w:rPr>
            </w:pPr>
          </w:p>
        </w:tc>
      </w:tr>
    </w:tbl>
    <w:p w14:paraId="0560FE91">
      <w:pPr>
        <w:kinsoku/>
        <w:overflowPunct/>
        <w:bidi w:val="0"/>
        <w:spacing w:line="360" w:lineRule="auto"/>
        <w:ind w:firstLine="0" w:firstLineChars="0"/>
        <w:outlineLvl w:val="9"/>
        <w:rPr>
          <w:rFonts w:hint="eastAsia" w:ascii="宋体" w:hAnsi="宋体" w:eastAsia="宋体" w:cs="宋体"/>
          <w:b/>
          <w:bCs/>
          <w:color w:val="auto"/>
          <w:sz w:val="21"/>
          <w:szCs w:val="21"/>
          <w:highlight w:val="none"/>
          <w:lang w:val="en-US" w:eastAsia="zh-CN"/>
        </w:rPr>
      </w:pPr>
    </w:p>
    <w:p w14:paraId="1C9B19D9">
      <w:pPr>
        <w:kinsoku/>
        <w:overflowPunct/>
        <w:bidi w:val="0"/>
        <w:spacing w:line="360" w:lineRule="auto"/>
        <w:ind w:firstLine="0" w:firstLineChars="0"/>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3.投标人资格要求</w:t>
      </w:r>
    </w:p>
    <w:bookmarkEnd w:id="9"/>
    <w:tbl>
      <w:tblPr>
        <w:tblStyle w:val="12"/>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832"/>
        <w:gridCol w:w="6923"/>
      </w:tblGrid>
      <w:tr w14:paraId="12E1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Align w:val="center"/>
          </w:tcPr>
          <w:p w14:paraId="4F6A5279">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标段名称</w:t>
            </w:r>
          </w:p>
        </w:tc>
        <w:tc>
          <w:tcPr>
            <w:tcW w:w="832" w:type="dxa"/>
            <w:vAlign w:val="center"/>
          </w:tcPr>
          <w:p w14:paraId="703DFD5A">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序号</w:t>
            </w:r>
          </w:p>
        </w:tc>
        <w:tc>
          <w:tcPr>
            <w:tcW w:w="6923" w:type="dxa"/>
            <w:vAlign w:val="center"/>
          </w:tcPr>
          <w:p w14:paraId="2391414F">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center"/>
              <w:textAlignment w:val="auto"/>
              <w:rPr>
                <w:rFonts w:hint="eastAsia" w:ascii="宋体" w:hAnsi="宋体" w:eastAsia="宋体" w:cs="宋体"/>
                <w:b/>
                <w:bCs/>
                <w:color w:val="auto"/>
                <w:sz w:val="21"/>
                <w:szCs w:val="21"/>
                <w:highlight w:val="none"/>
                <w:vertAlign w:val="baseline"/>
                <w:lang w:eastAsia="zh-CN"/>
              </w:rPr>
            </w:pPr>
            <w:r>
              <w:rPr>
                <w:rFonts w:hint="eastAsia" w:ascii="宋体" w:hAnsi="宋体" w:eastAsia="宋体" w:cs="宋体"/>
                <w:b/>
                <w:bCs/>
                <w:color w:val="auto"/>
                <w:sz w:val="21"/>
                <w:szCs w:val="21"/>
                <w:highlight w:val="none"/>
                <w:vertAlign w:val="baseline"/>
                <w:lang w:eastAsia="zh-CN"/>
              </w:rPr>
              <w:t>通用资格</w:t>
            </w:r>
          </w:p>
        </w:tc>
      </w:tr>
      <w:tr w14:paraId="5DC1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Merge w:val="restart"/>
            <w:vAlign w:val="center"/>
          </w:tcPr>
          <w:p w14:paraId="6AC1424E">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center"/>
              <w:textAlignment w:val="auto"/>
              <w:rPr>
                <w:rFonts w:hint="eastAsia" w:ascii="宋体" w:hAnsi="宋体" w:eastAsia="宋体" w:cs="宋体"/>
                <w:b w:val="0"/>
                <w:bCs w:val="0"/>
                <w:color w:val="auto"/>
                <w:sz w:val="21"/>
                <w:szCs w:val="21"/>
                <w:highlight w:val="none"/>
                <w:u w:val="single"/>
                <w:vertAlign w:val="baseline"/>
                <w:lang w:val="en-US" w:eastAsia="zh-CN"/>
              </w:rPr>
            </w:pPr>
            <w:r>
              <w:rPr>
                <w:rFonts w:hint="eastAsia" w:ascii="宋体" w:hAnsi="宋体" w:eastAsia="宋体" w:cs="宋体"/>
                <w:color w:val="auto"/>
                <w:sz w:val="21"/>
                <w:szCs w:val="21"/>
                <w:highlight w:val="none"/>
                <w:u w:val="none"/>
                <w:lang w:val="en-US" w:eastAsia="zh-CN"/>
              </w:rPr>
              <w:t>500千伏番南输变电工程（变电站建筑）土建施工总承包</w:t>
            </w:r>
          </w:p>
        </w:tc>
        <w:tc>
          <w:tcPr>
            <w:tcW w:w="832" w:type="dxa"/>
            <w:vAlign w:val="center"/>
          </w:tcPr>
          <w:p w14:paraId="7236F8AC">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1</w:t>
            </w:r>
          </w:p>
        </w:tc>
        <w:tc>
          <w:tcPr>
            <w:tcW w:w="6923" w:type="dxa"/>
            <w:vAlign w:val="center"/>
          </w:tcPr>
          <w:p w14:paraId="0652A6AF">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left"/>
              <w:textAlignment w:val="auto"/>
              <w:rPr>
                <w:rFonts w:hint="eastAsia" w:ascii="宋体" w:hAnsi="宋体" w:eastAsia="宋体" w:cs="宋体"/>
                <w:b w:val="0"/>
                <w:bCs w:val="0"/>
                <w:color w:val="auto"/>
                <w:sz w:val="21"/>
                <w:szCs w:val="21"/>
                <w:highlight w:val="none"/>
                <w:u w:val="none"/>
                <w:vertAlign w:val="baseline"/>
              </w:rPr>
            </w:pPr>
            <w:r>
              <w:rPr>
                <w:rFonts w:hint="eastAsia" w:ascii="宋体" w:hAnsi="宋体" w:eastAsia="宋体" w:cs="宋体"/>
                <w:b w:val="0"/>
                <w:bCs w:val="0"/>
                <w:color w:val="auto"/>
                <w:sz w:val="21"/>
                <w:szCs w:val="21"/>
                <w:highlight w:val="none"/>
                <w:u w:val="none"/>
                <w:vertAlign w:val="baseline"/>
              </w:rPr>
              <w:t>投标人具有独立法人资格，持有合法有效的法人营业执照。</w:t>
            </w:r>
          </w:p>
        </w:tc>
      </w:tr>
      <w:tr w14:paraId="588B7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Merge w:val="continue"/>
            <w:vAlign w:val="center"/>
          </w:tcPr>
          <w:p w14:paraId="147BA61A">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center"/>
              <w:textAlignment w:val="auto"/>
              <w:rPr>
                <w:rFonts w:hint="eastAsia" w:ascii="宋体" w:hAnsi="宋体" w:eastAsia="宋体" w:cs="宋体"/>
                <w:b w:val="0"/>
                <w:bCs w:val="0"/>
                <w:color w:val="auto"/>
                <w:sz w:val="21"/>
                <w:szCs w:val="21"/>
                <w:highlight w:val="none"/>
                <w:u w:val="single"/>
                <w:vertAlign w:val="baseline"/>
                <w:lang w:val="en-US" w:eastAsia="zh-CN"/>
              </w:rPr>
            </w:pPr>
          </w:p>
        </w:tc>
        <w:tc>
          <w:tcPr>
            <w:tcW w:w="832" w:type="dxa"/>
            <w:vAlign w:val="center"/>
          </w:tcPr>
          <w:p w14:paraId="386B026E">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2</w:t>
            </w:r>
          </w:p>
        </w:tc>
        <w:tc>
          <w:tcPr>
            <w:tcW w:w="6923" w:type="dxa"/>
            <w:vAlign w:val="center"/>
          </w:tcPr>
          <w:p w14:paraId="17514F18">
            <w:pPr>
              <w:keepNext w:val="0"/>
              <w:keepLines w:val="0"/>
              <w:pageBreakBefore w:val="0"/>
              <w:widowControl w:val="0"/>
              <w:kinsoku/>
              <w:wordWrap/>
              <w:overflowPunct/>
              <w:topLinePunct w:val="0"/>
              <w:autoSpaceDE/>
              <w:autoSpaceDN/>
              <w:bidi w:val="0"/>
              <w:adjustRightInd/>
              <w:snapToGrid/>
              <w:spacing w:line="312" w:lineRule="auto"/>
              <w:ind w:firstLine="0" w:firstLineChars="0"/>
              <w:jc w:val="left"/>
              <w:textAlignment w:val="auto"/>
              <w:rPr>
                <w:rFonts w:hint="eastAsia" w:ascii="宋体" w:hAnsi="宋体" w:eastAsia="宋体" w:cs="宋体"/>
                <w:color w:val="auto"/>
                <w:sz w:val="21"/>
                <w:szCs w:val="20"/>
                <w:highlight w:val="none"/>
                <w:lang w:eastAsia="zh-CN"/>
              </w:rPr>
            </w:pPr>
            <w:r>
              <w:rPr>
                <w:rFonts w:hint="eastAsia" w:ascii="宋体" w:hAnsi="宋体" w:eastAsia="宋体" w:cs="宋体"/>
                <w:color w:val="auto"/>
                <w:sz w:val="21"/>
                <w:szCs w:val="20"/>
                <w:highlight w:val="none"/>
                <w:lang w:eastAsia="zh-CN"/>
              </w:rPr>
              <w:t>投标人没有在</w:t>
            </w:r>
            <w:r>
              <w:rPr>
                <w:rFonts w:hint="eastAsia" w:ascii="宋体" w:hAnsi="宋体" w:eastAsia="宋体" w:cs="宋体"/>
                <w:color w:val="auto"/>
                <w:sz w:val="21"/>
                <w:szCs w:val="21"/>
                <w:highlight w:val="none"/>
                <w:lang w:val="en-US" w:eastAsia="zh-CN"/>
              </w:rPr>
              <w:t>广州市城市建设投资集团有限公司、</w:t>
            </w:r>
            <w:r>
              <w:rPr>
                <w:rFonts w:hint="eastAsia" w:ascii="宋体" w:hAnsi="宋体" w:eastAsia="宋体" w:cs="宋体"/>
                <w:color w:val="auto"/>
                <w:sz w:val="21"/>
                <w:szCs w:val="20"/>
                <w:highlight w:val="none"/>
                <w:lang w:eastAsia="zh-CN"/>
              </w:rPr>
              <w:t>中国南方电网有限责任公司、广州南方投资集团有限公司及项目所在地政府暂停投标资格、取消投标资格、不接受投标、市场禁入，且未解除的。</w:t>
            </w:r>
          </w:p>
          <w:p w14:paraId="4834121E">
            <w:pPr>
              <w:keepNext w:val="0"/>
              <w:keepLines w:val="0"/>
              <w:pageBreakBefore w:val="0"/>
              <w:widowControl w:val="0"/>
              <w:kinsoku/>
              <w:wordWrap/>
              <w:overflowPunct/>
              <w:topLinePunct w:val="0"/>
              <w:autoSpaceDE/>
              <w:autoSpaceDN/>
              <w:bidi w:val="0"/>
              <w:adjustRightInd/>
              <w:snapToGrid/>
              <w:spacing w:line="312" w:lineRule="auto"/>
              <w:ind w:firstLine="0" w:firstLineChars="0"/>
              <w:jc w:val="left"/>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default" w:ascii="宋体" w:hAnsi="宋体" w:eastAsia="宋体" w:cs="宋体"/>
                <w:b w:val="0"/>
                <w:bCs w:val="0"/>
                <w:color w:val="auto"/>
                <w:sz w:val="21"/>
                <w:szCs w:val="21"/>
                <w:highlight w:val="none"/>
                <w:u w:val="none"/>
                <w:vertAlign w:val="baseline"/>
                <w:lang w:val="en-US" w:eastAsia="zh-CN"/>
              </w:rPr>
              <w:t>注：暂停投标资格、取消投标资格、不接受投标、市场禁入按品类实施处理的，指供应商没有在采购标的物对应品类被实施暂停投标资格、取消投标资格、不接受投标、市场禁入，且未解除的。</w:t>
            </w:r>
          </w:p>
        </w:tc>
      </w:tr>
      <w:tr w14:paraId="14DBF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Merge w:val="continue"/>
            <w:vAlign w:val="center"/>
          </w:tcPr>
          <w:p w14:paraId="78A774C2">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center"/>
              <w:textAlignment w:val="auto"/>
              <w:rPr>
                <w:rFonts w:hint="eastAsia" w:ascii="宋体" w:hAnsi="宋体" w:eastAsia="宋体" w:cs="宋体"/>
                <w:b w:val="0"/>
                <w:bCs w:val="0"/>
                <w:color w:val="auto"/>
                <w:sz w:val="21"/>
                <w:szCs w:val="21"/>
                <w:highlight w:val="none"/>
                <w:u w:val="single"/>
                <w:vertAlign w:val="baseline"/>
                <w:lang w:val="en-US" w:eastAsia="zh-CN"/>
              </w:rPr>
            </w:pPr>
          </w:p>
        </w:tc>
        <w:tc>
          <w:tcPr>
            <w:tcW w:w="832" w:type="dxa"/>
            <w:vAlign w:val="center"/>
          </w:tcPr>
          <w:p w14:paraId="189844F4">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center"/>
              <w:textAlignment w:val="auto"/>
              <w:rPr>
                <w:rFonts w:hint="eastAsia" w:ascii="宋体" w:hAnsi="宋体" w:eastAsia="宋体" w:cs="宋体"/>
                <w:b w:val="0"/>
                <w:bCs w:val="0"/>
                <w:color w:val="auto"/>
                <w:kern w:val="2"/>
                <w:sz w:val="21"/>
                <w:szCs w:val="21"/>
                <w:highlight w:val="none"/>
                <w:u w:val="none"/>
                <w:vertAlign w:val="baseline"/>
                <w:lang w:val="en-US" w:eastAsia="zh-CN" w:bidi="ar-SA"/>
              </w:rPr>
            </w:pPr>
            <w:r>
              <w:rPr>
                <w:rFonts w:hint="eastAsia" w:ascii="宋体" w:hAnsi="宋体" w:eastAsia="宋体" w:cs="宋体"/>
                <w:b w:val="0"/>
                <w:bCs w:val="0"/>
                <w:color w:val="auto"/>
                <w:sz w:val="21"/>
                <w:szCs w:val="21"/>
                <w:highlight w:val="none"/>
                <w:u w:val="none"/>
                <w:vertAlign w:val="baseline"/>
                <w:lang w:val="en-US" w:eastAsia="zh-CN"/>
              </w:rPr>
              <w:t>3</w:t>
            </w:r>
          </w:p>
        </w:tc>
        <w:tc>
          <w:tcPr>
            <w:tcW w:w="6923" w:type="dxa"/>
            <w:vAlign w:val="center"/>
          </w:tcPr>
          <w:p w14:paraId="5A7860CA">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left"/>
              <w:textAlignment w:val="auto"/>
              <w:rPr>
                <w:rFonts w:hint="eastAsia" w:ascii="宋体" w:hAnsi="宋体" w:eastAsia="宋体" w:cs="宋体"/>
                <w:b w:val="0"/>
                <w:bCs w:val="0"/>
                <w:color w:val="auto"/>
                <w:sz w:val="21"/>
                <w:szCs w:val="21"/>
                <w:highlight w:val="none"/>
                <w:u w:val="none"/>
                <w:vertAlign w:val="baseline"/>
                <w:lang w:eastAsia="zh-CN"/>
              </w:rPr>
            </w:pPr>
            <w:r>
              <w:rPr>
                <w:rFonts w:hint="eastAsia" w:ascii="宋体" w:hAnsi="宋体" w:eastAsia="宋体" w:cs="宋体"/>
                <w:b w:val="0"/>
                <w:bCs w:val="0"/>
                <w:color w:val="auto"/>
                <w:sz w:val="21"/>
                <w:szCs w:val="21"/>
                <w:highlight w:val="none"/>
                <w:u w:val="none"/>
                <w:vertAlign w:val="baseline"/>
                <w:lang w:eastAsia="zh-CN"/>
              </w:rPr>
              <w:t>不接受联合体。</w:t>
            </w:r>
          </w:p>
        </w:tc>
      </w:tr>
      <w:tr w14:paraId="7245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Merge w:val="continue"/>
            <w:vAlign w:val="center"/>
          </w:tcPr>
          <w:p w14:paraId="3620C04A">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center"/>
              <w:textAlignment w:val="auto"/>
              <w:rPr>
                <w:rFonts w:hint="eastAsia" w:ascii="宋体" w:hAnsi="宋体" w:eastAsia="宋体" w:cs="宋体"/>
                <w:b w:val="0"/>
                <w:bCs w:val="0"/>
                <w:color w:val="auto"/>
                <w:sz w:val="21"/>
                <w:szCs w:val="21"/>
                <w:highlight w:val="none"/>
                <w:u w:val="single"/>
                <w:vertAlign w:val="baseline"/>
                <w:lang w:val="en-US" w:eastAsia="zh-CN"/>
              </w:rPr>
            </w:pPr>
          </w:p>
        </w:tc>
        <w:tc>
          <w:tcPr>
            <w:tcW w:w="832" w:type="dxa"/>
            <w:vAlign w:val="center"/>
          </w:tcPr>
          <w:p w14:paraId="15967FBA">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4</w:t>
            </w:r>
          </w:p>
        </w:tc>
        <w:tc>
          <w:tcPr>
            <w:tcW w:w="6923" w:type="dxa"/>
            <w:vAlign w:val="center"/>
          </w:tcPr>
          <w:p w14:paraId="716C8ED9">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left"/>
              <w:textAlignment w:val="auto"/>
              <w:rPr>
                <w:rFonts w:hint="eastAsia" w:ascii="宋体" w:hAnsi="宋体" w:eastAsia="宋体" w:cs="宋体"/>
                <w:b w:val="0"/>
                <w:bCs w:val="0"/>
                <w:color w:val="auto"/>
                <w:sz w:val="21"/>
                <w:szCs w:val="21"/>
                <w:highlight w:val="none"/>
                <w:u w:val="none"/>
                <w:vertAlign w:val="baseline"/>
                <w:lang w:eastAsia="zh-CN"/>
              </w:rPr>
            </w:pPr>
            <w:r>
              <w:rPr>
                <w:rFonts w:hint="eastAsia" w:ascii="宋体" w:hAnsi="宋体" w:eastAsia="宋体" w:cs="宋体"/>
                <w:b w:val="0"/>
                <w:bCs w:val="0"/>
                <w:color w:val="auto"/>
                <w:sz w:val="21"/>
                <w:szCs w:val="21"/>
                <w:highlight w:val="none"/>
                <w:u w:val="none"/>
                <w:lang w:val="en-US" w:eastAsia="zh-CN"/>
              </w:rPr>
              <w:t>投标人应保证在招标过程中所提供的一切材料都是真实的，不存在伪造、变造、涂改等弄虚作假、违法违规行为。（按标准格式提供“投标行为承诺函”）</w:t>
            </w:r>
          </w:p>
        </w:tc>
      </w:tr>
      <w:tr w14:paraId="2D6E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Merge w:val="continue"/>
            <w:vAlign w:val="center"/>
          </w:tcPr>
          <w:p w14:paraId="0605E549">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center"/>
              <w:textAlignment w:val="auto"/>
              <w:rPr>
                <w:rFonts w:hint="eastAsia" w:ascii="宋体" w:hAnsi="宋体" w:eastAsia="宋体" w:cs="宋体"/>
                <w:b w:val="0"/>
                <w:bCs w:val="0"/>
                <w:color w:val="auto"/>
                <w:sz w:val="21"/>
                <w:szCs w:val="21"/>
                <w:highlight w:val="none"/>
                <w:u w:val="single"/>
                <w:vertAlign w:val="baseline"/>
                <w:lang w:val="en-US" w:eastAsia="zh-CN"/>
              </w:rPr>
            </w:pPr>
          </w:p>
        </w:tc>
        <w:tc>
          <w:tcPr>
            <w:tcW w:w="832" w:type="dxa"/>
            <w:vAlign w:val="center"/>
          </w:tcPr>
          <w:p w14:paraId="0C32FE06">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5</w:t>
            </w:r>
          </w:p>
        </w:tc>
        <w:tc>
          <w:tcPr>
            <w:tcW w:w="6923" w:type="dxa"/>
            <w:vAlign w:val="center"/>
          </w:tcPr>
          <w:p w14:paraId="18E7155F">
            <w:pPr>
              <w:keepNext w:val="0"/>
              <w:keepLines w:val="0"/>
              <w:pageBreakBefore w:val="0"/>
              <w:widowControl w:val="0"/>
              <w:kinsoku/>
              <w:wordWrap/>
              <w:overflowPunct/>
              <w:topLinePunct w:val="0"/>
              <w:autoSpaceDE/>
              <w:autoSpaceDN/>
              <w:bidi w:val="0"/>
              <w:adjustRightInd/>
              <w:snapToGrid/>
              <w:spacing w:line="312" w:lineRule="auto"/>
              <w:ind w:firstLine="0" w:firstLineChars="0"/>
              <w:jc w:val="left"/>
              <w:textAlignment w:val="auto"/>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投标人未在国家企业信用信息公示系统（www.gsxt.gov.cn)中列入严重违法失信企业名单，且未在“信用中国”网站（www.creditchina.gov.cn）中列入失信被执行人名单。</w:t>
            </w:r>
          </w:p>
          <w:p w14:paraId="0F5DE5C2">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left"/>
              <w:textAlignment w:val="auto"/>
              <w:rPr>
                <w:rFonts w:hint="eastAsia" w:ascii="宋体" w:hAnsi="宋体" w:eastAsia="宋体" w:cs="宋体"/>
                <w:b w:val="0"/>
                <w:bCs w:val="0"/>
                <w:color w:val="auto"/>
                <w:sz w:val="21"/>
                <w:szCs w:val="21"/>
                <w:highlight w:val="none"/>
                <w:u w:val="none"/>
                <w:vertAlign w:val="baseline"/>
                <w:lang w:eastAsia="zh-CN"/>
              </w:rPr>
            </w:pPr>
            <w:r>
              <w:rPr>
                <w:rFonts w:hint="eastAsia" w:ascii="宋体" w:hAnsi="宋体" w:eastAsia="宋体" w:cs="宋体"/>
                <w:color w:val="auto"/>
                <w:sz w:val="21"/>
                <w:szCs w:val="21"/>
                <w:highlight w:val="none"/>
                <w:lang w:val="en-US" w:eastAsia="zh-CN"/>
              </w:rPr>
              <w:t>注：对于未在“国家企业信用信息公示系统”进行相关信息公示的事业单位或涉密性质单位（例如：事业单位、机关单位、民办非企业单位、执业律师事务所等非市场主体，若有最新规定的，从其规定），暂无法提供相关信息内容查询结果的，投标时无需提供查询资料，但在本项目投标文件中需就该情况进行特别说明，并提供相关证明材料。</w:t>
            </w:r>
          </w:p>
        </w:tc>
      </w:tr>
      <w:tr w14:paraId="264A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Merge w:val="continue"/>
            <w:vAlign w:val="center"/>
          </w:tcPr>
          <w:p w14:paraId="54CA79D7">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center"/>
              <w:textAlignment w:val="auto"/>
              <w:rPr>
                <w:rFonts w:hint="eastAsia" w:ascii="宋体" w:hAnsi="宋体" w:eastAsia="宋体" w:cs="宋体"/>
                <w:b w:val="0"/>
                <w:bCs w:val="0"/>
                <w:color w:val="auto"/>
                <w:sz w:val="21"/>
                <w:szCs w:val="21"/>
                <w:highlight w:val="none"/>
                <w:u w:val="single"/>
                <w:vertAlign w:val="baseline"/>
                <w:lang w:val="en-US" w:eastAsia="zh-CN"/>
              </w:rPr>
            </w:pPr>
          </w:p>
        </w:tc>
        <w:tc>
          <w:tcPr>
            <w:tcW w:w="832" w:type="dxa"/>
            <w:vAlign w:val="center"/>
          </w:tcPr>
          <w:p w14:paraId="56BE0918">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center"/>
              <w:textAlignment w:val="auto"/>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序号</w:t>
            </w:r>
          </w:p>
        </w:tc>
        <w:tc>
          <w:tcPr>
            <w:tcW w:w="6923" w:type="dxa"/>
            <w:vAlign w:val="center"/>
          </w:tcPr>
          <w:p w14:paraId="30D1B550">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center"/>
              <w:textAlignment w:val="auto"/>
              <w:rPr>
                <w:rFonts w:hint="eastAsia" w:ascii="宋体" w:hAnsi="宋体" w:eastAsia="宋体" w:cs="宋体"/>
                <w:color w:val="auto"/>
                <w:sz w:val="21"/>
                <w:szCs w:val="20"/>
                <w:highlight w:val="none"/>
                <w:lang w:val="en-US" w:eastAsia="zh-CN"/>
              </w:rPr>
            </w:pPr>
            <w:r>
              <w:rPr>
                <w:rFonts w:hint="eastAsia" w:ascii="宋体" w:hAnsi="宋体" w:eastAsia="宋体" w:cs="宋体"/>
                <w:b/>
                <w:bCs/>
                <w:color w:val="auto"/>
                <w:sz w:val="21"/>
                <w:szCs w:val="21"/>
                <w:highlight w:val="none"/>
                <w:vertAlign w:val="baseline"/>
                <w:lang w:eastAsia="zh-CN"/>
              </w:rPr>
              <w:t>专用资格</w:t>
            </w:r>
          </w:p>
        </w:tc>
      </w:tr>
      <w:tr w14:paraId="2102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99" w:type="dxa"/>
            <w:vMerge w:val="continue"/>
            <w:vAlign w:val="center"/>
          </w:tcPr>
          <w:p w14:paraId="2AC3556D">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center"/>
              <w:textAlignment w:val="auto"/>
              <w:rPr>
                <w:rFonts w:hint="eastAsia" w:ascii="宋体" w:hAnsi="宋体" w:eastAsia="宋体" w:cs="宋体"/>
                <w:b w:val="0"/>
                <w:bCs w:val="0"/>
                <w:color w:val="auto"/>
                <w:sz w:val="21"/>
                <w:szCs w:val="21"/>
                <w:highlight w:val="none"/>
                <w:u w:val="single"/>
                <w:vertAlign w:val="baseline"/>
                <w:lang w:val="en-US" w:eastAsia="zh-CN"/>
              </w:rPr>
            </w:pPr>
          </w:p>
        </w:tc>
        <w:tc>
          <w:tcPr>
            <w:tcW w:w="832" w:type="dxa"/>
            <w:vAlign w:val="center"/>
          </w:tcPr>
          <w:p w14:paraId="1B08A5E0">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default"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1</w:t>
            </w:r>
          </w:p>
        </w:tc>
        <w:tc>
          <w:tcPr>
            <w:tcW w:w="6923" w:type="dxa"/>
            <w:vAlign w:val="center"/>
          </w:tcPr>
          <w:p w14:paraId="51AF13FE">
            <w:pPr>
              <w:keepNext w:val="0"/>
              <w:keepLines w:val="0"/>
              <w:pageBreakBefore w:val="0"/>
              <w:widowControl w:val="0"/>
              <w:kinsoku/>
              <w:wordWrap/>
              <w:overflowPunct/>
              <w:topLinePunct w:val="0"/>
              <w:autoSpaceDE/>
              <w:autoSpaceDN/>
              <w:bidi w:val="0"/>
              <w:adjustRightInd/>
              <w:snapToGrid/>
              <w:spacing w:line="312" w:lineRule="auto"/>
              <w:ind w:firstLine="0" w:firstLineChars="0"/>
              <w:jc w:val="left"/>
              <w:textAlignment w:val="auto"/>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具备有效的建筑工程施工总承包三级及以上资质，或电力工程施工总承包一级及以上资质。</w:t>
            </w:r>
          </w:p>
        </w:tc>
      </w:tr>
      <w:tr w14:paraId="2445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Merge w:val="continue"/>
            <w:vAlign w:val="center"/>
          </w:tcPr>
          <w:p w14:paraId="4AD1F39C">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center"/>
              <w:textAlignment w:val="auto"/>
              <w:rPr>
                <w:rFonts w:hint="eastAsia" w:ascii="宋体" w:hAnsi="宋体" w:eastAsia="宋体" w:cs="宋体"/>
                <w:b w:val="0"/>
                <w:bCs w:val="0"/>
                <w:color w:val="auto"/>
                <w:sz w:val="21"/>
                <w:szCs w:val="21"/>
                <w:highlight w:val="none"/>
                <w:u w:val="single"/>
                <w:vertAlign w:val="baseline"/>
                <w:lang w:val="en-US" w:eastAsia="zh-CN"/>
              </w:rPr>
            </w:pPr>
          </w:p>
        </w:tc>
        <w:tc>
          <w:tcPr>
            <w:tcW w:w="832" w:type="dxa"/>
            <w:vAlign w:val="center"/>
          </w:tcPr>
          <w:p w14:paraId="4FC69CE1">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default"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2</w:t>
            </w:r>
          </w:p>
        </w:tc>
        <w:tc>
          <w:tcPr>
            <w:tcW w:w="6923" w:type="dxa"/>
            <w:vAlign w:val="center"/>
          </w:tcPr>
          <w:p w14:paraId="2BBE0783">
            <w:pPr>
              <w:keepNext w:val="0"/>
              <w:keepLines w:val="0"/>
              <w:pageBreakBefore w:val="0"/>
              <w:widowControl w:val="0"/>
              <w:kinsoku/>
              <w:wordWrap/>
              <w:overflowPunct/>
              <w:topLinePunct w:val="0"/>
              <w:autoSpaceDE/>
              <w:autoSpaceDN/>
              <w:bidi w:val="0"/>
              <w:adjustRightInd/>
              <w:snapToGrid/>
              <w:spacing w:line="312" w:lineRule="auto"/>
              <w:ind w:firstLine="0" w:firstLineChars="0"/>
              <w:jc w:val="left"/>
              <w:textAlignment w:val="auto"/>
              <w:rPr>
                <w:rFonts w:hint="eastAsia" w:ascii="宋体" w:hAnsi="宋体" w:eastAsia="宋体" w:cs="宋体"/>
                <w:color w:val="auto"/>
                <w:sz w:val="21"/>
                <w:szCs w:val="20"/>
                <w:highlight w:val="none"/>
                <w:lang w:val="en-US" w:eastAsia="zh-CN"/>
              </w:rPr>
            </w:pPr>
            <w:r>
              <w:rPr>
                <w:rFonts w:hint="default" w:ascii="宋体" w:hAnsi="宋体" w:eastAsia="宋体" w:cs="宋体"/>
                <w:color w:val="auto"/>
                <w:sz w:val="21"/>
                <w:szCs w:val="20"/>
                <w:highlight w:val="none"/>
                <w:lang w:eastAsia="zh-CN"/>
              </w:rPr>
              <w:t>具备有效的建设行政主管部门颁发的安全生产许可证。</w:t>
            </w:r>
          </w:p>
        </w:tc>
      </w:tr>
      <w:tr w14:paraId="20BA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vMerge w:val="continue"/>
            <w:vAlign w:val="center"/>
          </w:tcPr>
          <w:p w14:paraId="15D75567">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center"/>
              <w:textAlignment w:val="auto"/>
              <w:rPr>
                <w:rFonts w:hint="eastAsia" w:ascii="宋体" w:hAnsi="宋体" w:eastAsia="宋体" w:cs="宋体"/>
                <w:b w:val="0"/>
                <w:bCs w:val="0"/>
                <w:color w:val="auto"/>
                <w:sz w:val="21"/>
                <w:szCs w:val="21"/>
                <w:highlight w:val="none"/>
                <w:u w:val="single"/>
                <w:vertAlign w:val="baseline"/>
                <w:lang w:val="en-US" w:eastAsia="zh-CN"/>
              </w:rPr>
            </w:pPr>
          </w:p>
        </w:tc>
        <w:tc>
          <w:tcPr>
            <w:tcW w:w="832" w:type="dxa"/>
            <w:vAlign w:val="center"/>
          </w:tcPr>
          <w:p w14:paraId="21BA57C1">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default"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3</w:t>
            </w:r>
          </w:p>
        </w:tc>
        <w:tc>
          <w:tcPr>
            <w:tcW w:w="6923" w:type="dxa"/>
            <w:vAlign w:val="center"/>
          </w:tcPr>
          <w:p w14:paraId="5F944268">
            <w:pPr>
              <w:keepNext w:val="0"/>
              <w:keepLines w:val="0"/>
              <w:pageBreakBefore w:val="0"/>
              <w:widowControl w:val="0"/>
              <w:kinsoku/>
              <w:wordWrap/>
              <w:overflowPunct/>
              <w:topLinePunct w:val="0"/>
              <w:autoSpaceDE/>
              <w:autoSpaceDN/>
              <w:bidi w:val="0"/>
              <w:adjustRightInd/>
              <w:snapToGrid/>
              <w:spacing w:line="312" w:lineRule="auto"/>
              <w:ind w:firstLine="0" w:firstLineChars="0"/>
              <w:jc w:val="left"/>
              <w:textAlignment w:val="auto"/>
              <w:rPr>
                <w:rFonts w:hint="eastAsia" w:ascii="宋体" w:hAnsi="宋体" w:eastAsia="宋体" w:cs="宋体"/>
                <w:color w:val="auto"/>
                <w:sz w:val="21"/>
                <w:szCs w:val="20"/>
                <w:highlight w:val="none"/>
                <w:lang w:val="en-US" w:eastAsia="zh-CN"/>
              </w:rPr>
            </w:pPr>
            <w:r>
              <w:rPr>
                <w:rFonts w:hint="default" w:ascii="宋体" w:hAnsi="宋体" w:eastAsia="宋体" w:cs="宋体"/>
                <w:color w:val="auto"/>
                <w:sz w:val="21"/>
                <w:szCs w:val="20"/>
                <w:highlight w:val="none"/>
                <w:lang w:eastAsia="zh-CN"/>
              </w:rPr>
              <w:t>拟派驻的项目负责人已取得二级或以上注册建造师</w:t>
            </w:r>
            <w:r>
              <w:rPr>
                <w:rFonts w:hint="eastAsia" w:ascii="宋体" w:hAnsi="宋体" w:eastAsia="宋体" w:cs="宋体"/>
                <w:color w:val="auto"/>
                <w:sz w:val="21"/>
                <w:szCs w:val="20"/>
                <w:highlight w:val="none"/>
                <w:lang w:val="en-US" w:eastAsia="zh-CN"/>
              </w:rPr>
              <w:t>注册</w:t>
            </w:r>
            <w:r>
              <w:rPr>
                <w:rFonts w:hint="default" w:ascii="宋体" w:hAnsi="宋体" w:eastAsia="宋体" w:cs="宋体"/>
                <w:color w:val="auto"/>
                <w:sz w:val="21"/>
                <w:szCs w:val="20"/>
                <w:highlight w:val="none"/>
                <w:lang w:eastAsia="zh-CN"/>
              </w:rPr>
              <w:t>证书（建筑工程专业），同时持有安全生产考核合格证（B类）或建筑施工企业项目负责人安全生产考核合格证书。相关证书均在有效期内并在投标单位注册，且须提供在本单位投标截止日期前半年内连续3个月的社保证明。</w:t>
            </w:r>
          </w:p>
        </w:tc>
      </w:tr>
      <w:tr w14:paraId="7585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jc w:val="center"/>
        </w:trPr>
        <w:tc>
          <w:tcPr>
            <w:tcW w:w="1599" w:type="dxa"/>
            <w:vMerge w:val="continue"/>
            <w:vAlign w:val="center"/>
          </w:tcPr>
          <w:p w14:paraId="400249A3">
            <w:pPr>
              <w:keepNext w:val="0"/>
              <w:keepLines w:val="0"/>
              <w:pageBreakBefore w:val="0"/>
              <w:widowControl w:val="0"/>
              <w:kinsoku/>
              <w:wordWrap/>
              <w:overflowPunct/>
              <w:topLinePunct w:val="0"/>
              <w:autoSpaceDE/>
              <w:autoSpaceDN/>
              <w:bidi w:val="0"/>
              <w:adjustRightInd/>
              <w:snapToGrid/>
              <w:spacing w:before="0" w:after="0" w:line="312" w:lineRule="auto"/>
              <w:ind w:firstLine="0" w:firstLineChars="0"/>
              <w:jc w:val="center"/>
              <w:textAlignment w:val="auto"/>
              <w:rPr>
                <w:rFonts w:hint="eastAsia" w:ascii="宋体" w:hAnsi="宋体" w:eastAsia="宋体" w:cs="宋体"/>
                <w:b w:val="0"/>
                <w:bCs w:val="0"/>
                <w:color w:val="auto"/>
                <w:sz w:val="21"/>
                <w:szCs w:val="21"/>
                <w:highlight w:val="none"/>
                <w:u w:val="single"/>
                <w:vertAlign w:val="baseline"/>
                <w:lang w:val="en-US" w:eastAsia="zh-CN"/>
              </w:rPr>
            </w:pPr>
          </w:p>
        </w:tc>
        <w:tc>
          <w:tcPr>
            <w:tcW w:w="832" w:type="dxa"/>
            <w:vAlign w:val="center"/>
          </w:tcPr>
          <w:p w14:paraId="1E0F40D0">
            <w:pPr>
              <w:keepNext w:val="0"/>
              <w:keepLines w:val="0"/>
              <w:pageBreakBefore w:val="0"/>
              <w:widowControl w:val="0"/>
              <w:kinsoku/>
              <w:wordWrap/>
              <w:overflowPunct/>
              <w:topLinePunct w:val="0"/>
              <w:autoSpaceDE/>
              <w:autoSpaceDN/>
              <w:bidi w:val="0"/>
              <w:adjustRightInd/>
              <w:snapToGrid/>
              <w:spacing w:line="312" w:lineRule="auto"/>
              <w:ind w:firstLine="0" w:firstLineChars="0"/>
              <w:jc w:val="center"/>
              <w:textAlignment w:val="auto"/>
              <w:rPr>
                <w:rFonts w:hint="default"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4</w:t>
            </w:r>
          </w:p>
        </w:tc>
        <w:tc>
          <w:tcPr>
            <w:tcW w:w="6923" w:type="dxa"/>
            <w:vAlign w:val="center"/>
          </w:tcPr>
          <w:p w14:paraId="5A4E2DD8">
            <w:pPr>
              <w:keepNext w:val="0"/>
              <w:keepLines w:val="0"/>
              <w:pageBreakBefore w:val="0"/>
              <w:widowControl w:val="0"/>
              <w:kinsoku/>
              <w:wordWrap/>
              <w:overflowPunct/>
              <w:topLinePunct w:val="0"/>
              <w:autoSpaceDE/>
              <w:autoSpaceDN/>
              <w:bidi w:val="0"/>
              <w:adjustRightInd/>
              <w:snapToGrid/>
              <w:spacing w:line="312" w:lineRule="auto"/>
              <w:ind w:firstLine="0" w:firstLineChars="0"/>
              <w:jc w:val="left"/>
              <w:textAlignment w:val="auto"/>
              <w:rPr>
                <w:rFonts w:hint="eastAsia" w:ascii="宋体" w:hAnsi="宋体" w:eastAsia="宋体" w:cs="宋体"/>
                <w:color w:val="auto"/>
                <w:sz w:val="21"/>
                <w:szCs w:val="20"/>
                <w:highlight w:val="none"/>
                <w:lang w:val="en-US" w:eastAsia="zh-CN"/>
              </w:rPr>
            </w:pPr>
            <w:r>
              <w:rPr>
                <w:rFonts w:ascii="宋体" w:hAnsi="宋体" w:eastAsia="宋体" w:cs="宋体"/>
                <w:color w:val="auto"/>
                <w:spacing w:val="-4"/>
                <w:sz w:val="21"/>
                <w:szCs w:val="21"/>
                <w:highlight w:val="none"/>
              </w:rPr>
              <w:t>已在广州公共资源</w:t>
            </w:r>
            <w:r>
              <w:rPr>
                <w:rFonts w:ascii="宋体" w:hAnsi="宋体" w:eastAsia="宋体" w:cs="宋体"/>
                <w:color w:val="auto"/>
                <w:spacing w:val="-2"/>
                <w:sz w:val="21"/>
                <w:szCs w:val="21"/>
                <w:highlight w:val="none"/>
              </w:rPr>
              <w:t>交易中心办理企业信息登记</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提供</w:t>
            </w:r>
            <w:r>
              <w:rPr>
                <w:rFonts w:ascii="宋体" w:hAnsi="宋体" w:eastAsia="宋体" w:cs="宋体"/>
                <w:color w:val="auto"/>
                <w:spacing w:val="-4"/>
                <w:sz w:val="21"/>
                <w:szCs w:val="21"/>
                <w:highlight w:val="none"/>
              </w:rPr>
              <w:t>已在广州公共资源</w:t>
            </w:r>
            <w:r>
              <w:rPr>
                <w:rFonts w:ascii="宋体" w:hAnsi="宋体" w:eastAsia="宋体" w:cs="宋体"/>
                <w:color w:val="auto"/>
                <w:spacing w:val="-2"/>
                <w:sz w:val="21"/>
                <w:szCs w:val="21"/>
                <w:highlight w:val="none"/>
              </w:rPr>
              <w:t>交易中心办理企业信息登记</w:t>
            </w:r>
            <w:r>
              <w:rPr>
                <w:rFonts w:hint="eastAsia" w:ascii="宋体" w:hAnsi="宋体" w:eastAsia="宋体" w:cs="宋体"/>
                <w:color w:val="auto"/>
                <w:spacing w:val="-2"/>
                <w:sz w:val="21"/>
                <w:szCs w:val="21"/>
                <w:highlight w:val="none"/>
                <w:lang w:val="en-US" w:eastAsia="zh-CN"/>
              </w:rPr>
              <w:t>的网页截图</w:t>
            </w:r>
            <w:r>
              <w:rPr>
                <w:rFonts w:hint="eastAsia" w:ascii="宋体" w:hAnsi="宋体" w:eastAsia="宋体" w:cs="宋体"/>
                <w:color w:val="auto"/>
                <w:spacing w:val="-2"/>
                <w:sz w:val="21"/>
                <w:szCs w:val="21"/>
                <w:highlight w:val="none"/>
                <w:lang w:eastAsia="zh-CN"/>
              </w:rPr>
              <w:t>）</w:t>
            </w:r>
            <w:r>
              <w:rPr>
                <w:rFonts w:ascii="宋体" w:hAnsi="宋体" w:eastAsia="宋体" w:cs="宋体"/>
                <w:color w:val="auto"/>
                <w:spacing w:val="-2"/>
                <w:sz w:val="21"/>
                <w:szCs w:val="21"/>
                <w:highlight w:val="none"/>
              </w:rPr>
              <w:t>，且拟担任本工程</w:t>
            </w:r>
            <w:r>
              <w:rPr>
                <w:rFonts w:ascii="宋体" w:hAnsi="宋体" w:eastAsia="宋体" w:cs="宋体"/>
                <w:color w:val="auto"/>
                <w:spacing w:val="2"/>
                <w:sz w:val="21"/>
                <w:szCs w:val="21"/>
                <w:highlight w:val="none"/>
              </w:rPr>
              <w:t>项目负责人须是本企业在广州公共</w:t>
            </w:r>
            <w:r>
              <w:rPr>
                <w:rFonts w:ascii="宋体" w:hAnsi="宋体" w:eastAsia="宋体" w:cs="宋体"/>
                <w:color w:val="auto"/>
                <w:spacing w:val="1"/>
                <w:sz w:val="21"/>
                <w:szCs w:val="21"/>
                <w:highlight w:val="none"/>
              </w:rPr>
              <w:t>资源交易中心的企业信息登记</w:t>
            </w:r>
            <w:r>
              <w:rPr>
                <w:rFonts w:ascii="宋体" w:hAnsi="宋体" w:eastAsia="宋体" w:cs="宋体"/>
                <w:color w:val="auto"/>
                <w:spacing w:val="-4"/>
                <w:sz w:val="21"/>
                <w:szCs w:val="21"/>
                <w:highlight w:val="none"/>
              </w:rPr>
              <w:t>在册人员</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提供</w:t>
            </w:r>
            <w:r>
              <w:rPr>
                <w:rFonts w:ascii="宋体" w:hAnsi="宋体" w:eastAsia="宋体" w:cs="宋体"/>
                <w:color w:val="auto"/>
                <w:spacing w:val="-2"/>
                <w:sz w:val="21"/>
                <w:szCs w:val="21"/>
                <w:highlight w:val="none"/>
              </w:rPr>
              <w:t>拟担任本工程</w:t>
            </w:r>
            <w:r>
              <w:rPr>
                <w:rFonts w:ascii="宋体" w:hAnsi="宋体" w:eastAsia="宋体" w:cs="宋体"/>
                <w:color w:val="auto"/>
                <w:spacing w:val="2"/>
                <w:sz w:val="21"/>
                <w:szCs w:val="21"/>
                <w:highlight w:val="none"/>
              </w:rPr>
              <w:t>项目负责人是本企业在广州公共</w:t>
            </w:r>
            <w:r>
              <w:rPr>
                <w:rFonts w:ascii="宋体" w:hAnsi="宋体" w:eastAsia="宋体" w:cs="宋体"/>
                <w:color w:val="auto"/>
                <w:spacing w:val="1"/>
                <w:sz w:val="21"/>
                <w:szCs w:val="21"/>
                <w:highlight w:val="none"/>
              </w:rPr>
              <w:t>资源交易中心的企业信息登记</w:t>
            </w:r>
            <w:r>
              <w:rPr>
                <w:rFonts w:ascii="宋体" w:hAnsi="宋体" w:eastAsia="宋体" w:cs="宋体"/>
                <w:color w:val="auto"/>
                <w:spacing w:val="-4"/>
                <w:sz w:val="21"/>
                <w:szCs w:val="21"/>
                <w:highlight w:val="none"/>
              </w:rPr>
              <w:t>在册人员</w:t>
            </w:r>
            <w:r>
              <w:rPr>
                <w:rFonts w:hint="eastAsia" w:ascii="宋体" w:hAnsi="宋体" w:eastAsia="宋体" w:cs="宋体"/>
                <w:color w:val="auto"/>
                <w:spacing w:val="-4"/>
                <w:sz w:val="21"/>
                <w:szCs w:val="21"/>
                <w:highlight w:val="none"/>
                <w:lang w:val="en-US" w:eastAsia="zh-CN"/>
              </w:rPr>
              <w:t>的</w:t>
            </w:r>
            <w:r>
              <w:rPr>
                <w:rFonts w:hint="eastAsia" w:ascii="宋体" w:hAnsi="宋体" w:eastAsia="宋体" w:cs="宋体"/>
                <w:color w:val="auto"/>
                <w:spacing w:val="-2"/>
                <w:sz w:val="21"/>
                <w:szCs w:val="21"/>
                <w:highlight w:val="none"/>
                <w:lang w:val="en-US" w:eastAsia="zh-CN"/>
              </w:rPr>
              <w:t>网页截图</w:t>
            </w:r>
            <w:r>
              <w:rPr>
                <w:rFonts w:hint="eastAsia" w:ascii="宋体" w:hAnsi="宋体" w:eastAsia="宋体" w:cs="宋体"/>
                <w:color w:val="auto"/>
                <w:spacing w:val="-2"/>
                <w:sz w:val="21"/>
                <w:szCs w:val="21"/>
                <w:highlight w:val="none"/>
                <w:lang w:eastAsia="zh-CN"/>
              </w:rPr>
              <w:t>）</w:t>
            </w:r>
          </w:p>
        </w:tc>
      </w:tr>
      <w:tr w14:paraId="57C55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4" w:type="dxa"/>
            <w:gridSpan w:val="3"/>
            <w:vAlign w:val="center"/>
          </w:tcPr>
          <w:p w14:paraId="05258430">
            <w:pPr>
              <w:keepNext w:val="0"/>
              <w:keepLines w:val="0"/>
              <w:pageBreakBefore w:val="0"/>
              <w:widowControl w:val="0"/>
              <w:kinsoku/>
              <w:wordWrap/>
              <w:overflowPunct/>
              <w:topLinePunct w:val="0"/>
              <w:autoSpaceDE/>
              <w:autoSpaceDN/>
              <w:bidi w:val="0"/>
              <w:adjustRightInd/>
              <w:snapToGrid/>
              <w:spacing w:line="312" w:lineRule="auto"/>
              <w:ind w:firstLine="0" w:firstLineChars="0"/>
              <w:jc w:val="left"/>
              <w:textAlignment w:val="auto"/>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一、企业诚信行为要求：</w:t>
            </w:r>
          </w:p>
          <w:p w14:paraId="0ECB6CC9">
            <w:pPr>
              <w:keepNext w:val="0"/>
              <w:keepLines w:val="0"/>
              <w:pageBreakBefore w:val="0"/>
              <w:widowControl w:val="0"/>
              <w:kinsoku/>
              <w:wordWrap/>
              <w:overflowPunct/>
              <w:topLinePunct w:val="0"/>
              <w:autoSpaceDE/>
              <w:autoSpaceDN/>
              <w:bidi w:val="0"/>
              <w:adjustRightInd/>
              <w:snapToGrid/>
              <w:spacing w:line="312" w:lineRule="auto"/>
              <w:ind w:firstLine="0" w:firstLineChars="0"/>
              <w:jc w:val="left"/>
              <w:textAlignment w:val="auto"/>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1.投标人被纳入南方电网、广东电网公司、广州供电局廉情（黑名单）预警名单范围内，未完成评标的，由评标委员在初评环节予以否决；未定标的，由原评标委员会重新评议,对被纳入南方电网、广东电网公司、广州供电局廉情（黑名单）预警名单范围内的投标人作否决投标处理。</w:t>
            </w:r>
          </w:p>
          <w:p w14:paraId="56426646">
            <w:pPr>
              <w:keepNext w:val="0"/>
              <w:keepLines w:val="0"/>
              <w:pageBreakBefore w:val="0"/>
              <w:widowControl w:val="0"/>
              <w:kinsoku/>
              <w:wordWrap/>
              <w:overflowPunct/>
              <w:topLinePunct w:val="0"/>
              <w:autoSpaceDE/>
              <w:autoSpaceDN/>
              <w:bidi w:val="0"/>
              <w:adjustRightInd/>
              <w:snapToGrid/>
              <w:spacing w:line="312" w:lineRule="auto"/>
              <w:ind w:firstLine="0" w:firstLineChars="0"/>
              <w:jc w:val="left"/>
              <w:textAlignment w:val="auto"/>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2.根据《中国南方电网有限责任公司供货商扣分处罚实施细则》和《南方电网公司供应商行贿行为记录及处置办法》，被南方电网公司实施不接受投标或市场禁入处理的投标人，在处理期限内尚未完成评标的，作否决投标处理，尚未发出中标通知书或成交通知书的，作取消中标或成交资格处理。</w:t>
            </w:r>
          </w:p>
          <w:p w14:paraId="7F10A04F">
            <w:pPr>
              <w:keepNext w:val="0"/>
              <w:keepLines w:val="0"/>
              <w:pageBreakBefore w:val="0"/>
              <w:widowControl w:val="0"/>
              <w:kinsoku/>
              <w:wordWrap/>
              <w:overflowPunct/>
              <w:topLinePunct w:val="0"/>
              <w:autoSpaceDE/>
              <w:autoSpaceDN/>
              <w:bidi w:val="0"/>
              <w:adjustRightInd/>
              <w:snapToGrid/>
              <w:spacing w:line="312" w:lineRule="auto"/>
              <w:ind w:firstLine="0" w:firstLineChars="0"/>
              <w:jc w:val="left"/>
              <w:textAlignment w:val="auto"/>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3.被广东电网公司、广州南方投资集团有限公司暂停投标资格的投标人，在处理期限内尚未完成评标的，作否决投标处理，尚未发出中标通知书或成交通知书的，作取消中标或成交资格处理。</w:t>
            </w:r>
          </w:p>
          <w:p w14:paraId="56C3C1DF">
            <w:pPr>
              <w:keepNext w:val="0"/>
              <w:keepLines w:val="0"/>
              <w:pageBreakBefore w:val="0"/>
              <w:widowControl w:val="0"/>
              <w:kinsoku/>
              <w:wordWrap/>
              <w:overflowPunct/>
              <w:topLinePunct w:val="0"/>
              <w:autoSpaceDE/>
              <w:autoSpaceDN/>
              <w:bidi w:val="0"/>
              <w:adjustRightInd/>
              <w:snapToGrid/>
              <w:spacing w:line="312" w:lineRule="auto"/>
              <w:ind w:firstLine="0" w:firstLineChars="0"/>
              <w:jc w:val="left"/>
              <w:textAlignment w:val="auto"/>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4.市场禁入对象范围</w:t>
            </w:r>
          </w:p>
          <w:p w14:paraId="799D8DBB">
            <w:pPr>
              <w:keepNext w:val="0"/>
              <w:keepLines w:val="0"/>
              <w:pageBreakBefore w:val="0"/>
              <w:widowControl w:val="0"/>
              <w:kinsoku/>
              <w:wordWrap/>
              <w:overflowPunct/>
              <w:topLinePunct w:val="0"/>
              <w:autoSpaceDE/>
              <w:autoSpaceDN/>
              <w:bidi w:val="0"/>
              <w:adjustRightInd/>
              <w:snapToGrid/>
              <w:spacing w:line="312" w:lineRule="auto"/>
              <w:ind w:firstLine="0" w:firstLineChars="0"/>
              <w:jc w:val="left"/>
              <w:textAlignment w:val="auto"/>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（1）投标人因行贿行为被实施市场禁入的，市场禁入范围包括法定代表人（首席合伙人、执行事务合伙人、负责人、投资人或经营者，下同）与该投标人法定代表人相同的其他所有法人和其他组织。</w:t>
            </w:r>
          </w:p>
          <w:p w14:paraId="7A64EC1E">
            <w:pPr>
              <w:keepNext w:val="0"/>
              <w:keepLines w:val="0"/>
              <w:pageBreakBefore w:val="0"/>
              <w:widowControl w:val="0"/>
              <w:kinsoku/>
              <w:wordWrap/>
              <w:overflowPunct/>
              <w:topLinePunct w:val="0"/>
              <w:autoSpaceDE/>
              <w:autoSpaceDN/>
              <w:bidi w:val="0"/>
              <w:adjustRightInd/>
              <w:snapToGrid/>
              <w:spacing w:line="312" w:lineRule="auto"/>
              <w:ind w:firstLine="0" w:firstLineChars="0"/>
              <w:jc w:val="left"/>
              <w:textAlignment w:val="auto"/>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2）投标人因行贿行为被实施市场禁入的，市场禁入范围包括其下属所有分公司（分所等）；投标人为分公司（分所等）的，因行贿行为被实施市场禁入的，市场禁入范围包括其总公司（总所等）和其总公司（总所等）的其它分公司；</w:t>
            </w:r>
          </w:p>
          <w:p w14:paraId="5782A5B8">
            <w:pPr>
              <w:keepNext w:val="0"/>
              <w:keepLines w:val="0"/>
              <w:pageBreakBefore w:val="0"/>
              <w:widowControl w:val="0"/>
              <w:kinsoku/>
              <w:wordWrap/>
              <w:overflowPunct/>
              <w:topLinePunct w:val="0"/>
              <w:autoSpaceDE/>
              <w:autoSpaceDN/>
              <w:bidi w:val="0"/>
              <w:adjustRightInd/>
              <w:snapToGrid/>
              <w:spacing w:line="312" w:lineRule="auto"/>
              <w:ind w:firstLine="0" w:firstLineChars="0"/>
              <w:jc w:val="left"/>
              <w:textAlignment w:val="auto"/>
              <w:rPr>
                <w:rFonts w:hint="eastAsia" w:ascii="宋体" w:hAnsi="宋体" w:eastAsia="宋体" w:cs="宋体"/>
                <w:color w:val="auto"/>
                <w:sz w:val="21"/>
                <w:szCs w:val="20"/>
                <w:highlight w:val="none"/>
                <w:lang w:val="en-US" w:eastAsia="zh-CN"/>
              </w:rPr>
            </w:pPr>
            <w:r>
              <w:rPr>
                <w:rFonts w:hint="eastAsia" w:ascii="宋体" w:hAnsi="宋体" w:eastAsia="宋体" w:cs="宋体"/>
                <w:color w:val="auto"/>
                <w:sz w:val="21"/>
                <w:szCs w:val="20"/>
                <w:highlight w:val="none"/>
                <w:lang w:val="en-US" w:eastAsia="zh-CN"/>
              </w:rPr>
              <w:t>（3）投标人因行贿行为被实施市场禁入的，市场禁入范围不包括其子公司、其母公司和其母公司的其它子公司，但以上公司法定代表人与该投标人法定代表人相同的除外。</w:t>
            </w:r>
          </w:p>
          <w:p w14:paraId="1B354452">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b w:val="0"/>
                <w:bCs/>
                <w:color w:val="auto"/>
                <w:sz w:val="21"/>
                <w:szCs w:val="21"/>
                <w:highlight w:val="none"/>
                <w:u w:val="none"/>
                <w:lang w:val="en-US" w:eastAsia="zh-CN"/>
              </w:rPr>
            </w:pPr>
            <w:r>
              <w:rPr>
                <w:rFonts w:hint="eastAsia" w:ascii="宋体" w:hAnsi="宋体" w:eastAsia="宋体" w:cs="宋体"/>
                <w:b w:val="0"/>
                <w:bCs/>
                <w:color w:val="auto"/>
                <w:sz w:val="21"/>
                <w:szCs w:val="21"/>
                <w:highlight w:val="none"/>
                <w:u w:val="none"/>
                <w:lang w:val="en-US" w:eastAsia="zh-CN"/>
              </w:rPr>
              <w:t>二、项目负责人相关证书说明：</w:t>
            </w:r>
          </w:p>
          <w:p w14:paraId="12A5EC3B">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b w:val="0"/>
                <w:bCs/>
                <w:color w:val="auto"/>
                <w:sz w:val="21"/>
                <w:szCs w:val="21"/>
                <w:highlight w:val="none"/>
                <w:u w:val="none"/>
                <w:lang w:val="en-US" w:eastAsia="zh-CN"/>
              </w:rPr>
            </w:pPr>
            <w:r>
              <w:rPr>
                <w:rFonts w:hint="eastAsia" w:ascii="宋体" w:hAnsi="宋体" w:eastAsia="宋体" w:cs="宋体"/>
                <w:b w:val="0"/>
                <w:bCs/>
                <w:color w:val="auto"/>
                <w:sz w:val="21"/>
                <w:szCs w:val="21"/>
                <w:highlight w:val="none"/>
                <w:u w:val="none"/>
                <w:lang w:val="en-US" w:eastAsia="zh-CN"/>
              </w:rPr>
              <w:t>1.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389A6D73">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b w:val="0"/>
                <w:bCs/>
                <w:color w:val="auto"/>
                <w:sz w:val="21"/>
                <w:szCs w:val="21"/>
                <w:highlight w:val="none"/>
                <w:u w:val="none"/>
                <w:lang w:val="en-US" w:eastAsia="zh-CN"/>
              </w:rPr>
            </w:pPr>
            <w:r>
              <w:rPr>
                <w:rFonts w:hint="eastAsia" w:ascii="宋体" w:hAnsi="宋体" w:eastAsia="宋体" w:cs="宋体"/>
                <w:b w:val="0"/>
                <w:bCs/>
                <w:color w:val="auto"/>
                <w:sz w:val="21"/>
                <w:szCs w:val="21"/>
                <w:highlight w:val="none"/>
                <w:u w:val="none"/>
                <w:lang w:val="en-US" w:eastAsia="zh-CN"/>
              </w:rPr>
              <w:t>2.若投标人提供的注册建造师电子证书超过使用有效期、未在个人签名处手写签名或手写签名应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4AFA84B8">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b w:val="0"/>
                <w:bCs/>
                <w:color w:val="auto"/>
                <w:sz w:val="21"/>
                <w:szCs w:val="21"/>
                <w:highlight w:val="none"/>
                <w:u w:val="none"/>
                <w:lang w:val="en-US" w:eastAsia="zh-CN"/>
              </w:rPr>
            </w:pPr>
            <w:r>
              <w:rPr>
                <w:rFonts w:hint="eastAsia" w:ascii="宋体" w:hAnsi="宋体" w:eastAsia="宋体" w:cs="宋体"/>
                <w:b w:val="0"/>
                <w:bCs/>
                <w:color w:val="auto"/>
                <w:sz w:val="21"/>
                <w:szCs w:val="21"/>
                <w:highlight w:val="none"/>
                <w:u w:val="none"/>
                <w:lang w:val="en-US" w:eastAsia="zh-CN"/>
              </w:rPr>
              <w:t>3.根据广东省住建厅《关于明确二级建造师注册执业有关问题的通知》（粤建市函〔2023〕469号），二级建造师应在考试取得执业资格的省、自治区、直辖市申请注册，二级注册建造师可随注册企业在全国范围内执业。</w:t>
            </w:r>
          </w:p>
          <w:p w14:paraId="24C056C8">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0"/>
                <w:highlight w:val="none"/>
                <w:lang w:val="en-US" w:eastAsia="zh-CN"/>
              </w:rPr>
            </w:pPr>
            <w:r>
              <w:rPr>
                <w:rFonts w:hint="eastAsia" w:ascii="宋体" w:hAnsi="宋体" w:eastAsia="宋体" w:cs="宋体"/>
                <w:b w:val="0"/>
                <w:bCs/>
                <w:color w:val="auto"/>
                <w:sz w:val="21"/>
                <w:szCs w:val="21"/>
                <w:highlight w:val="none"/>
                <w:u w:val="none"/>
                <w:lang w:val="en-US" w:eastAsia="zh-CN"/>
              </w:rPr>
              <w:t>4.针对安全生产考核合格证证书：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14:paraId="75BBAD5B">
            <w:pPr>
              <w:keepNext w:val="0"/>
              <w:keepLines w:val="0"/>
              <w:pageBreakBefore w:val="0"/>
              <w:widowControl w:val="0"/>
              <w:kinsoku/>
              <w:wordWrap/>
              <w:overflowPunct/>
              <w:topLinePunct w:val="0"/>
              <w:autoSpaceDE/>
              <w:autoSpaceDN/>
              <w:bidi w:val="0"/>
              <w:adjustRightInd/>
              <w:snapToGrid w:val="0"/>
              <w:spacing w:line="312" w:lineRule="auto"/>
              <w:ind w:firstLine="0" w:firstLineChars="0"/>
              <w:textAlignment w:val="auto"/>
              <w:rPr>
                <w:rFonts w:hint="eastAsia" w:ascii="宋体" w:hAnsi="宋体" w:eastAsia="宋体" w:cs="宋体"/>
                <w:b w:val="0"/>
                <w:bCs/>
                <w:color w:val="auto"/>
                <w:sz w:val="21"/>
                <w:szCs w:val="21"/>
                <w:highlight w:val="none"/>
                <w:u w:val="none"/>
                <w:lang w:val="en-US" w:eastAsia="zh-CN"/>
              </w:rPr>
            </w:pPr>
            <w:r>
              <w:rPr>
                <w:rFonts w:hint="eastAsia" w:ascii="宋体" w:hAnsi="宋体" w:eastAsia="宋体" w:cs="宋体"/>
                <w:b w:val="0"/>
                <w:bCs/>
                <w:color w:val="auto"/>
                <w:sz w:val="21"/>
                <w:szCs w:val="21"/>
                <w:highlight w:val="none"/>
                <w:u w:val="none"/>
                <w:lang w:val="en-US" w:eastAsia="zh-CN"/>
              </w:rPr>
              <w:t>三、工程施工资质备注说明</w:t>
            </w:r>
          </w:p>
          <w:p w14:paraId="138B0F5B">
            <w:pPr>
              <w:keepNext w:val="0"/>
              <w:keepLines w:val="0"/>
              <w:pageBreakBefore w:val="0"/>
              <w:widowControl w:val="0"/>
              <w:kinsoku/>
              <w:wordWrap/>
              <w:overflowPunct/>
              <w:topLinePunct w:val="0"/>
              <w:autoSpaceDE/>
              <w:autoSpaceDN/>
              <w:bidi w:val="0"/>
              <w:adjustRightInd/>
              <w:snapToGrid w:val="0"/>
              <w:spacing w:line="312" w:lineRule="auto"/>
              <w:ind w:firstLine="420" w:firstLineChars="200"/>
              <w:textAlignment w:val="auto"/>
              <w:rPr>
                <w:rFonts w:hint="eastAsia" w:ascii="宋体" w:hAnsi="宋体" w:eastAsia="宋体" w:cs="宋体"/>
                <w:b w:val="0"/>
                <w:bCs/>
                <w:color w:val="auto"/>
                <w:sz w:val="21"/>
                <w:szCs w:val="21"/>
                <w:highlight w:val="none"/>
                <w:u w:val="none"/>
                <w:lang w:val="en-US" w:eastAsia="zh-CN"/>
              </w:rPr>
            </w:pPr>
            <w:r>
              <w:rPr>
                <w:rFonts w:hint="eastAsia" w:ascii="宋体" w:hAnsi="宋体" w:eastAsia="宋体" w:cs="宋体"/>
                <w:b w:val="0"/>
                <w:bCs/>
                <w:color w:val="auto"/>
                <w:sz w:val="21"/>
                <w:szCs w:val="21"/>
                <w:highlight w:val="none"/>
                <w:u w:val="none"/>
                <w:lang w:val="en-US" w:eastAsia="zh-CN"/>
              </w:rPr>
              <w:t>（1）工程施工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等相关文件的要求设置。</w:t>
            </w:r>
          </w:p>
          <w:p w14:paraId="56188F9A">
            <w:pPr>
              <w:keepNext w:val="0"/>
              <w:keepLines w:val="0"/>
              <w:pageBreakBefore w:val="0"/>
              <w:widowControl w:val="0"/>
              <w:kinsoku/>
              <w:wordWrap/>
              <w:overflowPunct/>
              <w:topLinePunct w:val="0"/>
              <w:autoSpaceDE/>
              <w:autoSpaceDN/>
              <w:bidi w:val="0"/>
              <w:adjustRightInd/>
              <w:snapToGrid w:val="0"/>
              <w:spacing w:line="312" w:lineRule="auto"/>
              <w:ind w:firstLine="420" w:firstLineChars="200"/>
              <w:textAlignment w:val="auto"/>
              <w:rPr>
                <w:rFonts w:hint="eastAsia" w:ascii="宋体" w:hAnsi="宋体" w:eastAsia="宋体" w:cs="宋体"/>
                <w:b w:val="0"/>
                <w:bCs/>
                <w:color w:val="auto"/>
                <w:sz w:val="21"/>
                <w:szCs w:val="21"/>
                <w:highlight w:val="none"/>
                <w:u w:val="none"/>
                <w:lang w:val="en-US" w:eastAsia="zh-CN"/>
              </w:rPr>
            </w:pPr>
            <w:r>
              <w:rPr>
                <w:rFonts w:hint="eastAsia" w:ascii="宋体" w:hAnsi="宋体" w:eastAsia="宋体" w:cs="宋体"/>
                <w:b w:val="0"/>
                <w:bCs/>
                <w:color w:val="auto"/>
                <w:sz w:val="21"/>
                <w:szCs w:val="21"/>
                <w:highlight w:val="none"/>
                <w:u w:val="none"/>
                <w:lang w:val="en-US" w:eastAsia="zh-CN"/>
              </w:rPr>
              <w:t>（2）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住房城乡建设部办公厅关于做好有关建设工程企业资质证书换领和延续工作的通知》（建办市〔2023〕47号）、《广东省住房和城乡建设厅关于做好有关建设工程企业资质证书换领工作的通知》（粤建许函〔2024〕124号）等相关文件执行。地方各级住房和城乡建设主管部门核发的建设工程企业资质证书延续有关政策按各省级住房和城乡建设主管部门规定执行。根据上述文件的要求，投标人需办理企业资质有效期延续的，应当按照相关规定及时办理。相关注意事项如下：</w:t>
            </w:r>
          </w:p>
          <w:p w14:paraId="29356147">
            <w:pPr>
              <w:keepNext w:val="0"/>
              <w:keepLines w:val="0"/>
              <w:pageBreakBefore w:val="0"/>
              <w:widowControl w:val="0"/>
              <w:kinsoku/>
              <w:wordWrap/>
              <w:overflowPunct/>
              <w:topLinePunct w:val="0"/>
              <w:autoSpaceDE/>
              <w:autoSpaceDN/>
              <w:bidi w:val="0"/>
              <w:adjustRightInd/>
              <w:snapToGrid w:val="0"/>
              <w:spacing w:line="312" w:lineRule="auto"/>
              <w:ind w:firstLine="420" w:firstLineChars="200"/>
              <w:textAlignment w:val="auto"/>
              <w:rPr>
                <w:rFonts w:hint="eastAsia" w:ascii="宋体" w:hAnsi="宋体" w:eastAsia="宋体" w:cs="宋体"/>
                <w:b w:val="0"/>
                <w:bCs/>
                <w:color w:val="auto"/>
                <w:sz w:val="21"/>
                <w:szCs w:val="21"/>
                <w:highlight w:val="none"/>
                <w:u w:val="none"/>
                <w:lang w:val="en-US" w:eastAsia="zh-CN"/>
              </w:rPr>
            </w:pPr>
            <w:r>
              <w:rPr>
                <w:rFonts w:hint="eastAsia" w:ascii="宋体" w:hAnsi="宋体" w:eastAsia="宋体" w:cs="宋体"/>
                <w:b w:val="0"/>
                <w:bCs/>
                <w:color w:val="auto"/>
                <w:sz w:val="21"/>
                <w:szCs w:val="21"/>
                <w:highlight w:val="none"/>
                <w:u w:val="none"/>
                <w:lang w:val="en-US" w:eastAsia="zh-CN"/>
              </w:rPr>
              <w:t>1）投标人按照上述规定办理了资质延期或换领新证，在投标截止前已取得新证的，投标人须在投标文件中提供经核准延期后的新资质证书。</w:t>
            </w:r>
          </w:p>
          <w:p w14:paraId="647BB3F0">
            <w:pPr>
              <w:keepNext w:val="0"/>
              <w:keepLines w:val="0"/>
              <w:pageBreakBefore w:val="0"/>
              <w:widowControl w:val="0"/>
              <w:kinsoku/>
              <w:wordWrap/>
              <w:overflowPunct/>
              <w:topLinePunct w:val="0"/>
              <w:autoSpaceDE/>
              <w:autoSpaceDN/>
              <w:bidi w:val="0"/>
              <w:adjustRightInd/>
              <w:snapToGrid w:val="0"/>
              <w:spacing w:line="312" w:lineRule="auto"/>
              <w:ind w:firstLine="420" w:firstLineChars="200"/>
              <w:textAlignment w:val="auto"/>
              <w:rPr>
                <w:rFonts w:hint="eastAsia" w:ascii="Times New Roman" w:hAnsi="Times New Roman" w:eastAsia="宋体" w:cs="Times New Roman"/>
                <w:color w:val="auto"/>
                <w:sz w:val="21"/>
                <w:szCs w:val="20"/>
                <w:highlight w:val="none"/>
                <w:lang w:eastAsia="zh-CN"/>
              </w:rPr>
            </w:pPr>
            <w:r>
              <w:rPr>
                <w:rFonts w:hint="eastAsia" w:ascii="宋体" w:hAnsi="宋体" w:eastAsia="宋体" w:cs="宋体"/>
                <w:b w:val="0"/>
                <w:bCs/>
                <w:color w:val="auto"/>
                <w:sz w:val="21"/>
                <w:szCs w:val="21"/>
                <w:highlight w:val="none"/>
                <w:u w:val="none"/>
                <w:lang w:val="en-US" w:eastAsia="zh-CN"/>
              </w:rPr>
              <w:t>2）投标人按照上述规定办理了资质延期或换领新证，在投标截止前未取得新证的，以中华人民共和国住房和城乡建设部或相关主管行政部门发布的核准建设工程企业资质延续名单公告或通知、或全国建筑市场监管公共服务平台（简称四库一平台）、或广东省住房和城乡建设厅三库一平台管理信息服务系统（简称三库一平台）中企业资质信息为准，并提供资质信息网页截图或相关证明资料</w:t>
            </w:r>
            <w:r>
              <w:rPr>
                <w:rFonts w:hint="eastAsia" w:ascii="宋体" w:hAnsi="宋体" w:eastAsia="宋体" w:cs="宋体"/>
                <w:color w:val="auto"/>
                <w:sz w:val="21"/>
                <w:szCs w:val="20"/>
                <w:highlight w:val="none"/>
                <w:lang w:val="en-US" w:eastAsia="zh-CN"/>
              </w:rPr>
              <w:t>，否则视为资质证书不在有效期内，作否决投标处理。</w:t>
            </w:r>
          </w:p>
        </w:tc>
      </w:tr>
    </w:tbl>
    <w:p w14:paraId="0C8306FA">
      <w:pPr>
        <w:kinsoku/>
        <w:overflowPunct/>
        <w:bidi w:val="0"/>
        <w:spacing w:line="360" w:lineRule="auto"/>
        <w:ind w:firstLine="0" w:firstLineChars="0"/>
        <w:outlineLvl w:val="9"/>
        <w:rPr>
          <w:rFonts w:hint="eastAsia" w:ascii="宋体" w:hAnsi="宋体" w:eastAsia="宋体" w:cs="宋体"/>
          <w:b/>
          <w:bCs/>
          <w:color w:val="auto"/>
          <w:sz w:val="21"/>
          <w:szCs w:val="21"/>
          <w:highlight w:val="none"/>
          <w:lang w:val="en-US" w:eastAsia="zh-CN"/>
        </w:rPr>
      </w:pPr>
    </w:p>
    <w:p w14:paraId="0563352C">
      <w:pPr>
        <w:kinsoku/>
        <w:overflowPunct/>
        <w:bidi w:val="0"/>
        <w:spacing w:line="360" w:lineRule="auto"/>
        <w:ind w:firstLine="0" w:firstLineChars="0"/>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4.公告发布、递交投标文件（含定标文件）时间与开标时间</w:t>
      </w:r>
    </w:p>
    <w:p w14:paraId="52040D22">
      <w:pPr>
        <w:keepNext w:val="0"/>
        <w:keepLines w:val="0"/>
        <w:pageBreakBefore w:val="0"/>
        <w:tabs>
          <w:tab w:val="left" w:pos="360"/>
        </w:tabs>
        <w:kinsoku/>
        <w:overflowPunct/>
        <w:bidi w:val="0"/>
        <w:snapToGrid/>
        <w:spacing w:line="360" w:lineRule="auto"/>
        <w:ind w:firstLine="420" w:firstLineChars="200"/>
        <w:textAlignment w:val="auto"/>
        <w:outlineLvl w:val="9"/>
        <w:rPr>
          <w:rFonts w:hint="eastAsia" w:ascii="宋体" w:hAnsi="宋体" w:eastAsia="宋体" w:cs="宋体"/>
          <w:b w:val="0"/>
          <w:bCs w:val="0"/>
          <w:color w:val="auto"/>
          <w:sz w:val="21"/>
          <w:szCs w:val="20"/>
          <w:highlight w:val="none"/>
        </w:rPr>
      </w:pPr>
      <w:r>
        <w:rPr>
          <w:rFonts w:hint="eastAsia" w:ascii="宋体" w:hAnsi="宋体" w:eastAsia="宋体" w:cs="宋体"/>
          <w:b w:val="0"/>
          <w:bCs w:val="0"/>
          <w:color w:val="auto"/>
          <w:sz w:val="21"/>
          <w:szCs w:val="21"/>
          <w:highlight w:val="none"/>
          <w:shd w:val="clear" w:color="auto" w:fill="auto"/>
          <w:lang w:val="en-US" w:eastAsia="zh-CN"/>
        </w:rPr>
        <w:t>4.1公告发布（含本日）：</w:t>
      </w:r>
      <w:r>
        <w:rPr>
          <w:rFonts w:hint="eastAsia" w:ascii="宋体" w:hAnsi="宋体" w:eastAsia="宋体" w:cs="宋体"/>
          <w:b w:val="0"/>
          <w:bCs w:val="0"/>
          <w:color w:val="auto"/>
          <w:sz w:val="21"/>
          <w:szCs w:val="21"/>
          <w:highlight w:val="none"/>
          <w:u w:val="single"/>
          <w:shd w:val="clear" w:color="auto" w:fill="auto"/>
          <w:lang w:val="en-US" w:eastAsia="zh-CN"/>
        </w:rPr>
        <w:t>2025</w:t>
      </w:r>
      <w:r>
        <w:rPr>
          <w:rFonts w:hint="eastAsia" w:ascii="宋体" w:hAnsi="宋体" w:eastAsia="宋体" w:cs="宋体"/>
          <w:b w:val="0"/>
          <w:bCs w:val="0"/>
          <w:color w:val="auto"/>
          <w:sz w:val="21"/>
          <w:szCs w:val="21"/>
          <w:highlight w:val="none"/>
          <w:u w:val="none"/>
          <w:shd w:val="clear" w:color="auto" w:fill="auto"/>
          <w:lang w:val="en-US" w:eastAsia="zh-CN"/>
        </w:rPr>
        <w:t>年</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月</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日</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时</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分</w:t>
      </w:r>
      <w:r>
        <w:rPr>
          <w:rFonts w:hint="eastAsia" w:ascii="宋体" w:hAnsi="宋体" w:eastAsia="宋体" w:cs="宋体"/>
          <w:b w:val="0"/>
          <w:bCs w:val="0"/>
          <w:i w:val="0"/>
          <w:iCs w:val="0"/>
          <w:caps w:val="0"/>
          <w:color w:val="auto"/>
          <w:spacing w:val="0"/>
          <w:sz w:val="21"/>
          <w:szCs w:val="21"/>
          <w:highlight w:val="none"/>
          <w:u w:val="single"/>
          <w:lang w:val="en-US" w:eastAsia="zh-CN"/>
        </w:rPr>
        <w:t xml:space="preserve">  </w:t>
      </w:r>
      <w:r>
        <w:rPr>
          <w:rFonts w:hint="eastAsia" w:ascii="宋体" w:hAnsi="宋体" w:eastAsia="宋体" w:cs="宋体"/>
          <w:b w:val="0"/>
          <w:bCs w:val="0"/>
          <w:i w:val="0"/>
          <w:iCs w:val="0"/>
          <w:caps w:val="0"/>
          <w:color w:val="auto"/>
          <w:spacing w:val="0"/>
          <w:sz w:val="21"/>
          <w:szCs w:val="21"/>
          <w:highlight w:val="none"/>
          <w:u w:val="none"/>
        </w:rPr>
        <w:t>秒</w:t>
      </w:r>
      <w:r>
        <w:rPr>
          <w:rFonts w:hint="eastAsia" w:ascii="宋体" w:hAnsi="宋体" w:eastAsia="宋体" w:cs="宋体"/>
          <w:b w:val="0"/>
          <w:bCs w:val="0"/>
          <w:color w:val="auto"/>
          <w:sz w:val="21"/>
          <w:szCs w:val="21"/>
          <w:highlight w:val="none"/>
          <w:shd w:val="clear" w:color="auto" w:fill="auto"/>
          <w:lang w:val="en-US" w:eastAsia="zh-CN"/>
        </w:rPr>
        <w:t>至</w:t>
      </w:r>
      <w:r>
        <w:rPr>
          <w:rFonts w:hint="eastAsia" w:ascii="宋体" w:hAnsi="宋体" w:eastAsia="宋体" w:cs="宋体"/>
          <w:b w:val="0"/>
          <w:bCs w:val="0"/>
          <w:color w:val="auto"/>
          <w:sz w:val="21"/>
          <w:szCs w:val="21"/>
          <w:highlight w:val="none"/>
          <w:u w:val="single"/>
          <w:shd w:val="clear" w:color="auto" w:fill="auto"/>
          <w:lang w:val="en-US" w:eastAsia="zh-CN"/>
        </w:rPr>
        <w:t>2025</w:t>
      </w:r>
      <w:r>
        <w:rPr>
          <w:rFonts w:hint="eastAsia" w:ascii="宋体" w:hAnsi="宋体" w:eastAsia="宋体" w:cs="宋体"/>
          <w:b w:val="0"/>
          <w:bCs w:val="0"/>
          <w:color w:val="auto"/>
          <w:sz w:val="21"/>
          <w:szCs w:val="21"/>
          <w:highlight w:val="none"/>
          <w:u w:val="none"/>
          <w:shd w:val="clear" w:color="auto" w:fill="auto"/>
          <w:lang w:val="en-US" w:eastAsia="zh-CN"/>
        </w:rPr>
        <w:t>年</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月</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日</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时</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分</w:t>
      </w:r>
      <w:r>
        <w:rPr>
          <w:rFonts w:hint="eastAsia" w:ascii="宋体" w:hAnsi="宋体" w:eastAsia="宋体" w:cs="宋体"/>
          <w:b w:val="0"/>
          <w:bCs w:val="0"/>
          <w:i w:val="0"/>
          <w:iCs w:val="0"/>
          <w:caps w:val="0"/>
          <w:color w:val="auto"/>
          <w:spacing w:val="0"/>
          <w:sz w:val="21"/>
          <w:szCs w:val="21"/>
          <w:highlight w:val="none"/>
          <w:u w:val="single"/>
          <w:lang w:val="en-US" w:eastAsia="zh-CN"/>
        </w:rPr>
        <w:t xml:space="preserve">  </w:t>
      </w:r>
      <w:r>
        <w:rPr>
          <w:rFonts w:hint="eastAsia" w:ascii="宋体" w:hAnsi="宋体" w:eastAsia="宋体" w:cs="宋体"/>
          <w:b w:val="0"/>
          <w:bCs w:val="0"/>
          <w:i w:val="0"/>
          <w:iCs w:val="0"/>
          <w:caps w:val="0"/>
          <w:color w:val="auto"/>
          <w:spacing w:val="0"/>
          <w:sz w:val="21"/>
          <w:szCs w:val="21"/>
          <w:highlight w:val="none"/>
          <w:u w:val="none"/>
        </w:rPr>
        <w:t>秒</w:t>
      </w:r>
      <w:r>
        <w:rPr>
          <w:rFonts w:hint="eastAsia" w:ascii="宋体" w:hAnsi="宋体" w:eastAsia="宋体" w:cs="宋体"/>
          <w:b w:val="0"/>
          <w:bCs w:val="0"/>
          <w:i w:val="0"/>
          <w:iCs w:val="0"/>
          <w:caps w:val="0"/>
          <w:color w:val="auto"/>
          <w:spacing w:val="0"/>
          <w:sz w:val="21"/>
          <w:szCs w:val="21"/>
          <w:highlight w:val="none"/>
          <w:u w:val="single"/>
          <w:lang w:eastAsia="zh-CN"/>
        </w:rPr>
        <w:t>；</w:t>
      </w:r>
      <w:bookmarkStart w:id="10" w:name="_Toc2442"/>
      <w:r>
        <w:rPr>
          <w:rFonts w:hint="eastAsia" w:ascii="宋体" w:hAnsi="宋体" w:eastAsia="宋体" w:cs="宋体"/>
          <w:b w:val="0"/>
          <w:bCs w:val="0"/>
          <w:color w:val="auto"/>
          <w:sz w:val="21"/>
          <w:szCs w:val="20"/>
          <w:highlight w:val="none"/>
        </w:rPr>
        <w:t>凡有意参加投标者，请登录广州交易集团有限公司（广州公共资源交易中心）交易平台网站下载电子招标文件。</w:t>
      </w:r>
    </w:p>
    <w:bookmarkEnd w:id="10"/>
    <w:p w14:paraId="2AB3FAAE">
      <w:pPr>
        <w:kinsoku/>
        <w:overflowPunct/>
        <w:bidi w:val="0"/>
        <w:spacing w:line="360" w:lineRule="auto"/>
        <w:ind w:firstLine="0" w:firstLineChars="0"/>
        <w:outlineLvl w:val="9"/>
        <w:rPr>
          <w:rFonts w:hint="eastAsia" w:ascii="宋体" w:hAnsi="宋体" w:eastAsia="宋体" w:cs="宋体"/>
          <w:b/>
          <w:bCs/>
          <w:color w:val="auto"/>
          <w:sz w:val="21"/>
          <w:szCs w:val="21"/>
          <w:highlight w:val="none"/>
          <w:lang w:val="en-US" w:eastAsia="zh-CN"/>
        </w:rPr>
      </w:pPr>
      <w:bookmarkStart w:id="11" w:name="_Toc2450"/>
      <w:r>
        <w:rPr>
          <w:rFonts w:hint="eastAsia" w:ascii="宋体" w:hAnsi="宋体" w:eastAsia="宋体" w:cs="宋体"/>
          <w:b/>
          <w:bCs/>
          <w:color w:val="auto"/>
          <w:sz w:val="21"/>
          <w:szCs w:val="21"/>
          <w:highlight w:val="none"/>
          <w:lang w:val="en-US" w:eastAsia="zh-CN"/>
        </w:rPr>
        <w:t xml:space="preserve"> 注：发布招标公告的时间为招标公告发出之日起至投标截止时间止。</w:t>
      </w:r>
    </w:p>
    <w:p w14:paraId="4D7D96F8">
      <w:pPr>
        <w:keepNext w:val="0"/>
        <w:keepLines w:val="0"/>
        <w:pageBreakBefore w:val="0"/>
        <w:tabs>
          <w:tab w:val="left" w:pos="360"/>
        </w:tabs>
        <w:kinsoku/>
        <w:overflowPunct/>
        <w:bidi w:val="0"/>
        <w:snapToGrid/>
        <w:spacing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4.2递交投标文件（含定标文件）起始时间：</w:t>
      </w:r>
      <w:r>
        <w:rPr>
          <w:rFonts w:hint="eastAsia" w:ascii="宋体" w:hAnsi="宋体" w:eastAsia="宋体" w:cs="宋体"/>
          <w:b w:val="0"/>
          <w:bCs w:val="0"/>
          <w:color w:val="auto"/>
          <w:sz w:val="21"/>
          <w:szCs w:val="21"/>
          <w:highlight w:val="none"/>
          <w:u w:val="single"/>
          <w:shd w:val="clear" w:color="auto" w:fill="auto"/>
          <w:lang w:val="en-US" w:eastAsia="zh-CN"/>
        </w:rPr>
        <w:t>2025</w:t>
      </w:r>
      <w:r>
        <w:rPr>
          <w:rFonts w:hint="eastAsia" w:ascii="宋体" w:hAnsi="宋体" w:eastAsia="宋体" w:cs="宋体"/>
          <w:b w:val="0"/>
          <w:bCs w:val="0"/>
          <w:color w:val="auto"/>
          <w:sz w:val="21"/>
          <w:szCs w:val="21"/>
          <w:highlight w:val="none"/>
          <w:u w:val="none"/>
          <w:shd w:val="clear" w:color="auto" w:fill="auto"/>
          <w:lang w:val="en-US" w:eastAsia="zh-CN"/>
        </w:rPr>
        <w:t>年</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月</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日</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时</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分</w:t>
      </w:r>
      <w:r>
        <w:rPr>
          <w:rFonts w:hint="eastAsia" w:ascii="宋体" w:hAnsi="宋体" w:eastAsia="宋体" w:cs="宋体"/>
          <w:b w:val="0"/>
          <w:bCs w:val="0"/>
          <w:i w:val="0"/>
          <w:iCs w:val="0"/>
          <w:caps w:val="0"/>
          <w:color w:val="auto"/>
          <w:spacing w:val="0"/>
          <w:sz w:val="21"/>
          <w:szCs w:val="21"/>
          <w:highlight w:val="none"/>
          <w:u w:val="single"/>
          <w:lang w:val="en-US" w:eastAsia="zh-CN"/>
        </w:rPr>
        <w:t xml:space="preserve">  </w:t>
      </w:r>
      <w:r>
        <w:rPr>
          <w:rFonts w:hint="eastAsia" w:ascii="宋体" w:hAnsi="宋体" w:eastAsia="宋体" w:cs="宋体"/>
          <w:b w:val="0"/>
          <w:bCs w:val="0"/>
          <w:i w:val="0"/>
          <w:iCs w:val="0"/>
          <w:caps w:val="0"/>
          <w:color w:val="auto"/>
          <w:spacing w:val="0"/>
          <w:sz w:val="21"/>
          <w:szCs w:val="21"/>
          <w:highlight w:val="none"/>
          <w:u w:val="none"/>
        </w:rPr>
        <w:t>秒</w:t>
      </w:r>
      <w:r>
        <w:rPr>
          <w:rFonts w:hint="eastAsia" w:ascii="宋体" w:hAnsi="宋体" w:eastAsia="宋体" w:cs="宋体"/>
          <w:b w:val="0"/>
          <w:bCs w:val="0"/>
          <w:color w:val="auto"/>
          <w:sz w:val="21"/>
          <w:szCs w:val="21"/>
          <w:highlight w:val="none"/>
          <w:shd w:val="clear" w:color="auto" w:fill="auto"/>
          <w:lang w:val="en-US" w:eastAsia="zh-CN"/>
        </w:rPr>
        <w:t>； 截止时间：</w:t>
      </w:r>
      <w:r>
        <w:rPr>
          <w:rFonts w:hint="eastAsia" w:ascii="宋体" w:hAnsi="宋体" w:eastAsia="宋体" w:cs="宋体"/>
          <w:b w:val="0"/>
          <w:bCs w:val="0"/>
          <w:color w:val="auto"/>
          <w:sz w:val="21"/>
          <w:szCs w:val="21"/>
          <w:highlight w:val="none"/>
          <w:u w:val="single"/>
          <w:shd w:val="clear" w:color="auto" w:fill="auto"/>
          <w:lang w:val="en-US" w:eastAsia="zh-CN"/>
        </w:rPr>
        <w:t>2025</w:t>
      </w:r>
      <w:r>
        <w:rPr>
          <w:rFonts w:hint="eastAsia" w:ascii="宋体" w:hAnsi="宋体" w:eastAsia="宋体" w:cs="宋体"/>
          <w:b w:val="0"/>
          <w:bCs w:val="0"/>
          <w:color w:val="auto"/>
          <w:sz w:val="21"/>
          <w:szCs w:val="21"/>
          <w:highlight w:val="none"/>
          <w:u w:val="none"/>
          <w:shd w:val="clear" w:color="auto" w:fill="auto"/>
          <w:lang w:val="en-US" w:eastAsia="zh-CN"/>
        </w:rPr>
        <w:t>年</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月</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日</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时</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分</w:t>
      </w:r>
      <w:r>
        <w:rPr>
          <w:rFonts w:hint="eastAsia" w:ascii="宋体" w:hAnsi="宋体" w:eastAsia="宋体" w:cs="宋体"/>
          <w:b w:val="0"/>
          <w:bCs w:val="0"/>
          <w:i w:val="0"/>
          <w:iCs w:val="0"/>
          <w:caps w:val="0"/>
          <w:color w:val="auto"/>
          <w:spacing w:val="0"/>
          <w:sz w:val="21"/>
          <w:szCs w:val="21"/>
          <w:highlight w:val="none"/>
          <w:u w:val="single"/>
          <w:lang w:val="en-US" w:eastAsia="zh-CN"/>
        </w:rPr>
        <w:t xml:space="preserve">  </w:t>
      </w:r>
      <w:r>
        <w:rPr>
          <w:rFonts w:hint="eastAsia" w:ascii="宋体" w:hAnsi="宋体" w:eastAsia="宋体" w:cs="宋体"/>
          <w:b w:val="0"/>
          <w:bCs w:val="0"/>
          <w:i w:val="0"/>
          <w:iCs w:val="0"/>
          <w:caps w:val="0"/>
          <w:color w:val="auto"/>
          <w:spacing w:val="0"/>
          <w:sz w:val="21"/>
          <w:szCs w:val="21"/>
          <w:highlight w:val="none"/>
          <w:u w:val="none"/>
        </w:rPr>
        <w:t>秒</w:t>
      </w:r>
      <w:r>
        <w:rPr>
          <w:rFonts w:hint="eastAsia" w:ascii="宋体" w:hAnsi="宋体" w:eastAsia="宋体" w:cs="宋体"/>
          <w:b w:val="0"/>
          <w:bCs w:val="0"/>
          <w:color w:val="auto"/>
          <w:sz w:val="21"/>
          <w:szCs w:val="21"/>
          <w:highlight w:val="none"/>
          <w:shd w:val="clear" w:color="auto" w:fill="auto"/>
          <w:lang w:val="en-US" w:eastAsia="zh-CN"/>
        </w:rPr>
        <w:t>。</w:t>
      </w:r>
    </w:p>
    <w:p w14:paraId="2E1E7189">
      <w:pPr>
        <w:keepNext w:val="0"/>
        <w:keepLines w:val="0"/>
        <w:pageBreakBefore w:val="0"/>
        <w:tabs>
          <w:tab w:val="left" w:pos="360"/>
        </w:tabs>
        <w:kinsoku/>
        <w:overflowPunct/>
        <w:bidi w:val="0"/>
        <w:snapToGrid/>
        <w:spacing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4.3递交投标文件（含定标文件）备用光盘（或U盘）时间：</w:t>
      </w:r>
      <w:r>
        <w:rPr>
          <w:rFonts w:hint="eastAsia" w:ascii="宋体" w:hAnsi="宋体" w:eastAsia="宋体" w:cs="宋体"/>
          <w:b w:val="0"/>
          <w:bCs w:val="0"/>
          <w:color w:val="auto"/>
          <w:sz w:val="21"/>
          <w:szCs w:val="21"/>
          <w:highlight w:val="none"/>
          <w:u w:val="single"/>
          <w:shd w:val="clear" w:color="auto" w:fill="auto"/>
          <w:lang w:val="en-US" w:eastAsia="zh-CN"/>
        </w:rPr>
        <w:t>2025</w:t>
      </w:r>
      <w:r>
        <w:rPr>
          <w:rFonts w:hint="eastAsia" w:ascii="宋体" w:hAnsi="宋体" w:eastAsia="宋体" w:cs="宋体"/>
          <w:b w:val="0"/>
          <w:bCs w:val="0"/>
          <w:color w:val="auto"/>
          <w:sz w:val="21"/>
          <w:szCs w:val="21"/>
          <w:highlight w:val="none"/>
          <w:u w:val="none"/>
          <w:shd w:val="clear" w:color="auto" w:fill="auto"/>
          <w:lang w:val="en-US" w:eastAsia="zh-CN"/>
        </w:rPr>
        <w:t>年</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月</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日</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时</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分</w:t>
      </w:r>
      <w:r>
        <w:rPr>
          <w:rFonts w:hint="eastAsia" w:ascii="宋体" w:hAnsi="宋体" w:eastAsia="宋体" w:cs="宋体"/>
          <w:b w:val="0"/>
          <w:bCs w:val="0"/>
          <w:i w:val="0"/>
          <w:iCs w:val="0"/>
          <w:caps w:val="0"/>
          <w:color w:val="auto"/>
          <w:spacing w:val="0"/>
          <w:sz w:val="21"/>
          <w:szCs w:val="21"/>
          <w:highlight w:val="none"/>
          <w:u w:val="single"/>
          <w:lang w:val="en-US" w:eastAsia="zh-CN"/>
        </w:rPr>
        <w:t xml:space="preserve">  </w:t>
      </w:r>
      <w:r>
        <w:rPr>
          <w:rFonts w:hint="eastAsia" w:ascii="宋体" w:hAnsi="宋体" w:eastAsia="宋体" w:cs="宋体"/>
          <w:b w:val="0"/>
          <w:bCs w:val="0"/>
          <w:i w:val="0"/>
          <w:iCs w:val="0"/>
          <w:caps w:val="0"/>
          <w:color w:val="auto"/>
          <w:spacing w:val="0"/>
          <w:sz w:val="21"/>
          <w:szCs w:val="21"/>
          <w:highlight w:val="none"/>
          <w:u w:val="none"/>
        </w:rPr>
        <w:t>秒</w:t>
      </w:r>
      <w:r>
        <w:rPr>
          <w:rFonts w:hint="eastAsia" w:ascii="宋体" w:hAnsi="宋体" w:eastAsia="宋体" w:cs="宋体"/>
          <w:b w:val="0"/>
          <w:bCs w:val="0"/>
          <w:color w:val="auto"/>
          <w:sz w:val="21"/>
          <w:szCs w:val="21"/>
          <w:highlight w:val="none"/>
          <w:shd w:val="clear" w:color="auto" w:fill="auto"/>
          <w:lang w:val="en-US" w:eastAsia="zh-CN"/>
        </w:rPr>
        <w:t>至</w:t>
      </w:r>
      <w:r>
        <w:rPr>
          <w:rFonts w:hint="eastAsia" w:ascii="宋体" w:hAnsi="宋体" w:eastAsia="宋体" w:cs="宋体"/>
          <w:b w:val="0"/>
          <w:bCs w:val="0"/>
          <w:color w:val="auto"/>
          <w:sz w:val="21"/>
          <w:szCs w:val="21"/>
          <w:highlight w:val="none"/>
          <w:u w:val="single"/>
          <w:shd w:val="clear" w:color="auto" w:fill="auto"/>
          <w:lang w:val="en-US" w:eastAsia="zh-CN"/>
        </w:rPr>
        <w:t>2025</w:t>
      </w:r>
      <w:r>
        <w:rPr>
          <w:rFonts w:hint="eastAsia" w:ascii="宋体" w:hAnsi="宋体" w:eastAsia="宋体" w:cs="宋体"/>
          <w:b w:val="0"/>
          <w:bCs w:val="0"/>
          <w:color w:val="auto"/>
          <w:sz w:val="21"/>
          <w:szCs w:val="21"/>
          <w:highlight w:val="none"/>
          <w:u w:val="none"/>
          <w:shd w:val="clear" w:color="auto" w:fill="auto"/>
          <w:lang w:val="en-US" w:eastAsia="zh-CN"/>
        </w:rPr>
        <w:t>年</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月</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日</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时</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分</w:t>
      </w:r>
      <w:r>
        <w:rPr>
          <w:rFonts w:hint="eastAsia" w:ascii="宋体" w:hAnsi="宋体" w:eastAsia="宋体" w:cs="宋体"/>
          <w:b w:val="0"/>
          <w:bCs w:val="0"/>
          <w:i w:val="0"/>
          <w:iCs w:val="0"/>
          <w:caps w:val="0"/>
          <w:color w:val="auto"/>
          <w:spacing w:val="0"/>
          <w:sz w:val="21"/>
          <w:szCs w:val="21"/>
          <w:highlight w:val="none"/>
          <w:u w:val="single"/>
          <w:lang w:val="en-US" w:eastAsia="zh-CN"/>
        </w:rPr>
        <w:t xml:space="preserve">  </w:t>
      </w:r>
      <w:r>
        <w:rPr>
          <w:rFonts w:hint="eastAsia" w:ascii="宋体" w:hAnsi="宋体" w:eastAsia="宋体" w:cs="宋体"/>
          <w:b w:val="0"/>
          <w:bCs w:val="0"/>
          <w:i w:val="0"/>
          <w:iCs w:val="0"/>
          <w:caps w:val="0"/>
          <w:color w:val="auto"/>
          <w:spacing w:val="0"/>
          <w:sz w:val="21"/>
          <w:szCs w:val="21"/>
          <w:highlight w:val="none"/>
          <w:u w:val="none"/>
        </w:rPr>
        <w:t>秒</w:t>
      </w:r>
      <w:r>
        <w:rPr>
          <w:rFonts w:hint="eastAsia" w:ascii="宋体" w:hAnsi="宋体" w:eastAsia="宋体" w:cs="宋体"/>
          <w:b w:val="0"/>
          <w:bCs w:val="0"/>
          <w:color w:val="auto"/>
          <w:sz w:val="21"/>
          <w:szCs w:val="21"/>
          <w:highlight w:val="none"/>
          <w:shd w:val="clear" w:color="auto" w:fill="auto"/>
          <w:lang w:val="en-US" w:eastAsia="zh-CN"/>
        </w:rPr>
        <w:t>；</w:t>
      </w:r>
    </w:p>
    <w:p w14:paraId="2853B83C">
      <w:pPr>
        <w:keepNext w:val="0"/>
        <w:keepLines w:val="0"/>
        <w:pageBreakBefore w:val="0"/>
        <w:tabs>
          <w:tab w:val="left" w:pos="360"/>
        </w:tabs>
        <w:kinsoku/>
        <w:overflowPunct/>
        <w:bidi w:val="0"/>
        <w:snapToGrid/>
        <w:spacing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递交投标文件（含定标文件）备用光盘（或U盘）地点：广州交易集团有限公司（广州公共资源交易中心）（广州市天河区天润路333号）第</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shd w:val="clear" w:color="auto" w:fill="auto"/>
          <w:lang w:val="en-US" w:eastAsia="zh-CN"/>
        </w:rPr>
        <w:t>开标室。投标人递交的电子光盘（或U盘）需按规定封装，且将数据刻录到电子光盘（或U盘）之后，投标前应自行检查文件是否可以读取。</w:t>
      </w:r>
    </w:p>
    <w:p w14:paraId="03088AFC">
      <w:pPr>
        <w:keepNext w:val="0"/>
        <w:keepLines w:val="0"/>
        <w:pageBreakBefore w:val="0"/>
        <w:tabs>
          <w:tab w:val="left" w:pos="360"/>
        </w:tabs>
        <w:kinsoku/>
        <w:overflowPunct/>
        <w:bidi w:val="0"/>
        <w:snapToGrid/>
        <w:spacing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4.4逾期送达的投标文件（含定标文件），电子招标投标交易平台将予以拒收。逾期或未在指定地点递交投标文件（含定标文件）光盘（或U盘）的，招标人拒绝接收其投标文件（含定标文件）光盘（或U盘）。</w:t>
      </w:r>
    </w:p>
    <w:p w14:paraId="1C8C169C">
      <w:pPr>
        <w:keepNext w:val="0"/>
        <w:keepLines w:val="0"/>
        <w:pageBreakBefore w:val="0"/>
        <w:tabs>
          <w:tab w:val="left" w:pos="360"/>
        </w:tabs>
        <w:kinsoku/>
        <w:overflowPunct/>
        <w:bidi w:val="0"/>
        <w:snapToGrid/>
        <w:spacing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4.5开标开始时间：</w:t>
      </w:r>
      <w:r>
        <w:rPr>
          <w:rFonts w:hint="eastAsia" w:ascii="宋体" w:hAnsi="宋体" w:eastAsia="宋体" w:cs="宋体"/>
          <w:b w:val="0"/>
          <w:bCs w:val="0"/>
          <w:color w:val="auto"/>
          <w:sz w:val="21"/>
          <w:szCs w:val="21"/>
          <w:highlight w:val="none"/>
          <w:u w:val="single"/>
          <w:shd w:val="clear" w:color="auto" w:fill="auto"/>
          <w:lang w:val="en-US" w:eastAsia="zh-CN"/>
        </w:rPr>
        <w:t>2025</w:t>
      </w:r>
      <w:r>
        <w:rPr>
          <w:rFonts w:hint="eastAsia" w:ascii="宋体" w:hAnsi="宋体" w:eastAsia="宋体" w:cs="宋体"/>
          <w:b w:val="0"/>
          <w:bCs w:val="0"/>
          <w:color w:val="auto"/>
          <w:sz w:val="21"/>
          <w:szCs w:val="21"/>
          <w:highlight w:val="none"/>
          <w:u w:val="none"/>
          <w:shd w:val="clear" w:color="auto" w:fill="auto"/>
          <w:lang w:val="en-US" w:eastAsia="zh-CN"/>
        </w:rPr>
        <w:t>年</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月</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日</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时</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分</w:t>
      </w:r>
      <w:r>
        <w:rPr>
          <w:rFonts w:hint="eastAsia" w:ascii="宋体" w:hAnsi="宋体" w:eastAsia="宋体" w:cs="宋体"/>
          <w:b w:val="0"/>
          <w:bCs w:val="0"/>
          <w:i w:val="0"/>
          <w:iCs w:val="0"/>
          <w:caps w:val="0"/>
          <w:color w:val="auto"/>
          <w:spacing w:val="0"/>
          <w:sz w:val="21"/>
          <w:szCs w:val="21"/>
          <w:highlight w:val="none"/>
          <w:u w:val="single"/>
          <w:lang w:val="en-US" w:eastAsia="zh-CN"/>
        </w:rPr>
        <w:t xml:space="preserve">  </w:t>
      </w:r>
      <w:r>
        <w:rPr>
          <w:rFonts w:hint="eastAsia" w:ascii="宋体" w:hAnsi="宋体" w:eastAsia="宋体" w:cs="宋体"/>
          <w:b w:val="0"/>
          <w:bCs w:val="0"/>
          <w:i w:val="0"/>
          <w:iCs w:val="0"/>
          <w:caps w:val="0"/>
          <w:color w:val="auto"/>
          <w:spacing w:val="0"/>
          <w:sz w:val="21"/>
          <w:szCs w:val="21"/>
          <w:highlight w:val="none"/>
          <w:u w:val="none"/>
        </w:rPr>
        <w:t>秒</w:t>
      </w:r>
      <w:r>
        <w:rPr>
          <w:rFonts w:hint="eastAsia" w:ascii="宋体" w:hAnsi="宋体" w:eastAsia="宋体" w:cs="宋体"/>
          <w:b w:val="0"/>
          <w:bCs w:val="0"/>
          <w:color w:val="auto"/>
          <w:sz w:val="21"/>
          <w:szCs w:val="21"/>
          <w:highlight w:val="none"/>
          <w:shd w:val="clear" w:color="auto" w:fill="auto"/>
          <w:lang w:val="en-US" w:eastAsia="zh-CN"/>
        </w:rPr>
        <w:t>。</w:t>
      </w:r>
    </w:p>
    <w:p w14:paraId="4C0A9FF9">
      <w:pPr>
        <w:keepNext w:val="0"/>
        <w:keepLines w:val="0"/>
        <w:pageBreakBefore w:val="0"/>
        <w:tabs>
          <w:tab w:val="left" w:pos="360"/>
        </w:tabs>
        <w:kinsoku/>
        <w:overflowPunct/>
        <w:bidi w:val="0"/>
        <w:snapToGrid/>
        <w:spacing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4.6投标文件（含定标文件）解密时间为</w:t>
      </w:r>
      <w:r>
        <w:rPr>
          <w:rFonts w:hint="eastAsia" w:ascii="宋体" w:hAnsi="宋体" w:eastAsia="宋体" w:cs="宋体"/>
          <w:b w:val="0"/>
          <w:bCs w:val="0"/>
          <w:color w:val="auto"/>
          <w:sz w:val="21"/>
          <w:szCs w:val="21"/>
          <w:highlight w:val="none"/>
          <w:u w:val="single"/>
          <w:shd w:val="clear" w:color="auto" w:fill="auto"/>
          <w:lang w:val="en-US" w:eastAsia="zh-CN"/>
        </w:rPr>
        <w:t>2025</w:t>
      </w:r>
      <w:r>
        <w:rPr>
          <w:rFonts w:hint="eastAsia" w:ascii="宋体" w:hAnsi="宋体" w:eastAsia="宋体" w:cs="宋体"/>
          <w:b w:val="0"/>
          <w:bCs w:val="0"/>
          <w:color w:val="auto"/>
          <w:sz w:val="21"/>
          <w:szCs w:val="21"/>
          <w:highlight w:val="none"/>
          <w:u w:val="none"/>
          <w:shd w:val="clear" w:color="auto" w:fill="auto"/>
          <w:lang w:val="en-US" w:eastAsia="zh-CN"/>
        </w:rPr>
        <w:t>年</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月</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日</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时</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分</w:t>
      </w:r>
      <w:r>
        <w:rPr>
          <w:rFonts w:hint="eastAsia" w:ascii="宋体" w:hAnsi="宋体" w:eastAsia="宋体" w:cs="宋体"/>
          <w:b w:val="0"/>
          <w:bCs w:val="0"/>
          <w:i w:val="0"/>
          <w:iCs w:val="0"/>
          <w:caps w:val="0"/>
          <w:color w:val="auto"/>
          <w:spacing w:val="0"/>
          <w:sz w:val="21"/>
          <w:szCs w:val="21"/>
          <w:highlight w:val="none"/>
          <w:u w:val="single"/>
          <w:lang w:val="en-US" w:eastAsia="zh-CN"/>
        </w:rPr>
        <w:t xml:space="preserve">  </w:t>
      </w:r>
      <w:r>
        <w:rPr>
          <w:rFonts w:hint="eastAsia" w:ascii="宋体" w:hAnsi="宋体" w:eastAsia="宋体" w:cs="宋体"/>
          <w:b w:val="0"/>
          <w:bCs w:val="0"/>
          <w:i w:val="0"/>
          <w:iCs w:val="0"/>
          <w:caps w:val="0"/>
          <w:color w:val="auto"/>
          <w:spacing w:val="0"/>
          <w:sz w:val="21"/>
          <w:szCs w:val="21"/>
          <w:highlight w:val="none"/>
          <w:u w:val="none"/>
        </w:rPr>
        <w:t>秒</w:t>
      </w:r>
      <w:r>
        <w:rPr>
          <w:rFonts w:hint="eastAsia" w:ascii="宋体" w:hAnsi="宋体" w:eastAsia="宋体" w:cs="宋体"/>
          <w:b w:val="0"/>
          <w:bCs w:val="0"/>
          <w:color w:val="auto"/>
          <w:sz w:val="21"/>
          <w:szCs w:val="21"/>
          <w:highlight w:val="none"/>
          <w:shd w:val="clear" w:color="auto" w:fill="auto"/>
          <w:lang w:val="en-US" w:eastAsia="zh-CN"/>
        </w:rPr>
        <w:t>至</w:t>
      </w:r>
      <w:r>
        <w:rPr>
          <w:rFonts w:hint="eastAsia" w:ascii="宋体" w:hAnsi="宋体" w:eastAsia="宋体" w:cs="宋体"/>
          <w:b w:val="0"/>
          <w:bCs w:val="0"/>
          <w:color w:val="auto"/>
          <w:sz w:val="21"/>
          <w:szCs w:val="21"/>
          <w:highlight w:val="none"/>
          <w:u w:val="single"/>
          <w:shd w:val="clear" w:color="auto" w:fill="auto"/>
          <w:lang w:val="en-US" w:eastAsia="zh-CN"/>
        </w:rPr>
        <w:t>2025</w:t>
      </w:r>
      <w:r>
        <w:rPr>
          <w:rFonts w:hint="eastAsia" w:ascii="宋体" w:hAnsi="宋体" w:eastAsia="宋体" w:cs="宋体"/>
          <w:b w:val="0"/>
          <w:bCs w:val="0"/>
          <w:color w:val="auto"/>
          <w:sz w:val="21"/>
          <w:szCs w:val="21"/>
          <w:highlight w:val="none"/>
          <w:u w:val="none"/>
          <w:shd w:val="clear" w:color="auto" w:fill="auto"/>
          <w:lang w:val="en-US" w:eastAsia="zh-CN"/>
        </w:rPr>
        <w:t>年</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月</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日</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时</w:t>
      </w:r>
      <w:r>
        <w:rPr>
          <w:rFonts w:hint="eastAsia" w:ascii="宋体" w:hAnsi="宋体" w:eastAsia="宋体" w:cs="宋体"/>
          <w:b w:val="0"/>
          <w:bCs w:val="0"/>
          <w:color w:val="auto"/>
          <w:sz w:val="21"/>
          <w:szCs w:val="21"/>
          <w:highlight w:val="none"/>
          <w:u w:val="single"/>
          <w:shd w:val="clear" w:color="auto" w:fill="auto"/>
          <w:lang w:val="en-US" w:eastAsia="zh-CN"/>
        </w:rPr>
        <w:t xml:space="preserve">  </w:t>
      </w:r>
      <w:r>
        <w:rPr>
          <w:rFonts w:hint="eastAsia" w:ascii="宋体" w:hAnsi="宋体" w:eastAsia="宋体" w:cs="宋体"/>
          <w:b w:val="0"/>
          <w:bCs w:val="0"/>
          <w:color w:val="auto"/>
          <w:sz w:val="21"/>
          <w:szCs w:val="21"/>
          <w:highlight w:val="none"/>
          <w:u w:val="none"/>
          <w:shd w:val="clear" w:color="auto" w:fill="auto"/>
          <w:lang w:val="en-US" w:eastAsia="zh-CN"/>
        </w:rPr>
        <w:t>分</w:t>
      </w:r>
      <w:r>
        <w:rPr>
          <w:rFonts w:hint="eastAsia" w:ascii="宋体" w:hAnsi="宋体" w:eastAsia="宋体" w:cs="宋体"/>
          <w:b w:val="0"/>
          <w:bCs w:val="0"/>
          <w:i w:val="0"/>
          <w:iCs w:val="0"/>
          <w:caps w:val="0"/>
          <w:color w:val="auto"/>
          <w:spacing w:val="0"/>
          <w:sz w:val="21"/>
          <w:szCs w:val="21"/>
          <w:highlight w:val="none"/>
          <w:u w:val="single"/>
          <w:lang w:val="en-US" w:eastAsia="zh-CN"/>
        </w:rPr>
        <w:t xml:space="preserve">  </w:t>
      </w:r>
      <w:r>
        <w:rPr>
          <w:rFonts w:hint="eastAsia" w:ascii="宋体" w:hAnsi="宋体" w:eastAsia="宋体" w:cs="宋体"/>
          <w:b w:val="0"/>
          <w:bCs w:val="0"/>
          <w:i w:val="0"/>
          <w:iCs w:val="0"/>
          <w:caps w:val="0"/>
          <w:color w:val="auto"/>
          <w:spacing w:val="0"/>
          <w:sz w:val="21"/>
          <w:szCs w:val="21"/>
          <w:highlight w:val="none"/>
          <w:u w:val="none"/>
        </w:rPr>
        <w:t>秒</w:t>
      </w:r>
      <w:r>
        <w:rPr>
          <w:rFonts w:hint="eastAsia" w:ascii="宋体" w:hAnsi="宋体" w:eastAsia="宋体" w:cs="宋体"/>
          <w:b w:val="0"/>
          <w:bCs w:val="0"/>
          <w:color w:val="auto"/>
          <w:sz w:val="21"/>
          <w:szCs w:val="21"/>
          <w:highlight w:val="none"/>
          <w:shd w:val="clear" w:color="auto" w:fill="auto"/>
          <w:lang w:val="en-US" w:eastAsia="zh-CN"/>
        </w:rPr>
        <w:t>，投标人应在截止时间前通过广州交易集团有限公司（广州公共资源交易中心）网站交易平台对电子投标文件（含定标文件）进行文件解密。</w:t>
      </w:r>
    </w:p>
    <w:p w14:paraId="7296F859">
      <w:pPr>
        <w:keepNext w:val="0"/>
        <w:keepLines w:val="0"/>
        <w:pageBreakBefore w:val="0"/>
        <w:tabs>
          <w:tab w:val="left" w:pos="360"/>
        </w:tabs>
        <w:kinsoku/>
        <w:overflowPunct/>
        <w:bidi w:val="0"/>
        <w:snapToGrid/>
        <w:spacing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4.7投标人通过广州交易集团有限公司（广州公共资源交易中心）交易平台递交电子投标文件（含定标文件）。投标人应在递交投标文件（含定标文件）截止时间前，登录广州交易集团有限公司（广州公共资源交易中心）交易平台网站办理网上投标登记手续。按照交易平台关于全流程电子化项目的相关指南进行操作。详见：广州交易集团有限公司（广州公共资源交易中心网站http:// www.gzggzy.cn）《【通用版】新电子招投标系统通用版操作指引（适用于建设工程不使用范本的各类电子标项目）》。投标人完成电子投标文件（含定标文件）上传后，广州交易集团有限公司（广州公共资源交易中心）数字交易平台即时向投标人发出递交回执通知。递交时间以递交回执通知载明的传输时间为准。</w:t>
      </w:r>
    </w:p>
    <w:p w14:paraId="69AA6661">
      <w:pPr>
        <w:keepNext w:val="0"/>
        <w:keepLines w:val="0"/>
        <w:pageBreakBefore w:val="0"/>
        <w:tabs>
          <w:tab w:val="left" w:pos="360"/>
        </w:tabs>
        <w:kinsoku/>
        <w:overflowPunct/>
        <w:bidi w:val="0"/>
        <w:snapToGrid/>
        <w:spacing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4.8本项目各项投标活动具体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递交投标文件（含定标文件）截止时间及开标时间是否有变化，请密切留意广州交易集团有限公司（广州公共资源交易中心）网站的相关信息。</w:t>
      </w:r>
    </w:p>
    <w:p w14:paraId="24B1F396">
      <w:pPr>
        <w:kinsoku/>
        <w:overflowPunct/>
        <w:bidi w:val="0"/>
        <w:spacing w:line="360" w:lineRule="auto"/>
        <w:ind w:firstLine="0" w:firstLineChars="0"/>
        <w:outlineLvl w:val="9"/>
        <w:rPr>
          <w:rFonts w:hint="eastAsia" w:ascii="宋体" w:hAnsi="宋体" w:eastAsia="宋体" w:cs="宋体"/>
          <w:b/>
          <w:bCs/>
          <w:color w:val="auto"/>
          <w:sz w:val="21"/>
          <w:szCs w:val="21"/>
          <w:highlight w:val="none"/>
          <w:lang w:val="en-US" w:eastAsia="zh-CN"/>
        </w:rPr>
      </w:pPr>
    </w:p>
    <w:p w14:paraId="601ED8C9">
      <w:pPr>
        <w:kinsoku/>
        <w:overflowPunct/>
        <w:bidi w:val="0"/>
        <w:spacing w:line="360" w:lineRule="auto"/>
        <w:ind w:firstLine="0" w:firstLineChars="0"/>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5.招标文件获取方式</w:t>
      </w:r>
    </w:p>
    <w:p w14:paraId="0A328E04">
      <w:pPr>
        <w:keepNext w:val="0"/>
        <w:keepLines w:val="0"/>
        <w:pageBreakBefore w:val="0"/>
        <w:tabs>
          <w:tab w:val="left" w:pos="360"/>
        </w:tabs>
        <w:kinsoku/>
        <w:overflowPunct/>
        <w:bidi w:val="0"/>
        <w:snapToGrid/>
        <w:spacing w:line="360" w:lineRule="auto"/>
        <w:ind w:firstLine="420" w:firstLineChars="200"/>
        <w:textAlignment w:val="auto"/>
        <w:outlineLvl w:val="9"/>
        <w:rPr>
          <w:rFonts w:hint="eastAsia" w:ascii="宋体" w:hAnsi="宋体" w:eastAsia="宋体" w:cs="宋体"/>
          <w:b w:val="0"/>
          <w:bCs w:val="0"/>
          <w:color w:val="auto"/>
          <w:sz w:val="21"/>
          <w:szCs w:val="21"/>
          <w:highlight w:val="none"/>
          <w:shd w:val="clear" w:color="auto" w:fill="auto"/>
          <w:lang w:val="en-US" w:eastAsia="zh-CN"/>
        </w:rPr>
      </w:pPr>
      <w:r>
        <w:rPr>
          <w:rFonts w:hint="eastAsia" w:ascii="宋体" w:hAnsi="宋体" w:eastAsia="宋体" w:cs="宋体"/>
          <w:b w:val="0"/>
          <w:bCs w:val="0"/>
          <w:color w:val="auto"/>
          <w:sz w:val="21"/>
          <w:szCs w:val="21"/>
          <w:highlight w:val="none"/>
          <w:shd w:val="clear" w:color="auto" w:fill="auto"/>
          <w:lang w:val="en-US" w:eastAsia="zh-CN"/>
        </w:rPr>
        <w:t>本项目招标文件随招标公告一并在广州交易集团有限公司（广州公共资源交易中心）交易平台网站发布。招标文件一经在广州交易集团有限公司（广州公共资源交易中心）交易平台发布，视为送达给所有投标人，招标文件由投标人自行在广州交易集团有限公司（广州公共资源交易中心）交易平台网站下载。</w:t>
      </w:r>
    </w:p>
    <w:bookmarkEnd w:id="11"/>
    <w:p w14:paraId="250DEAC3">
      <w:pPr>
        <w:kinsoku/>
        <w:overflowPunct/>
        <w:bidi w:val="0"/>
        <w:spacing w:line="360" w:lineRule="auto"/>
        <w:ind w:firstLine="0" w:firstLineChars="0"/>
        <w:outlineLvl w:val="9"/>
        <w:rPr>
          <w:rFonts w:hint="eastAsia" w:ascii="宋体" w:hAnsi="宋体" w:eastAsia="宋体" w:cs="宋体"/>
          <w:b/>
          <w:bCs/>
          <w:color w:val="auto"/>
          <w:sz w:val="21"/>
          <w:szCs w:val="21"/>
          <w:highlight w:val="none"/>
          <w:lang w:val="en-US" w:eastAsia="zh-CN"/>
        </w:rPr>
      </w:pPr>
    </w:p>
    <w:p w14:paraId="0B363592">
      <w:pPr>
        <w:kinsoku/>
        <w:overflowPunct/>
        <w:bidi w:val="0"/>
        <w:spacing w:line="360" w:lineRule="auto"/>
        <w:ind w:firstLine="0" w:firstLineChars="0"/>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6.发布公告的媒介</w:t>
      </w:r>
    </w:p>
    <w:p w14:paraId="327C21C5">
      <w:pPr>
        <w:keepNext w:val="0"/>
        <w:keepLines w:val="0"/>
        <w:pageBreakBefore w:val="0"/>
        <w:kinsoku/>
        <w:wordWrap/>
        <w:overflowPunct/>
        <w:topLinePunct w:val="0"/>
        <w:autoSpaceDE/>
        <w:autoSpaceDN/>
        <w:bidi w:val="0"/>
        <w:adjustRightInd/>
        <w:spacing w:line="360" w:lineRule="auto"/>
        <w:ind w:firstLine="420" w:firstLineChars="200"/>
        <w:rPr>
          <w:rFonts w:hint="eastAsia" w:ascii="宋体" w:hAnsi="宋体" w:eastAsia="宋体" w:cs="Times New Roman"/>
          <w:b w:val="0"/>
          <w:bCs w:val="0"/>
          <w:color w:val="auto"/>
          <w:sz w:val="21"/>
          <w:szCs w:val="21"/>
          <w:highlight w:val="none"/>
        </w:rPr>
      </w:pPr>
      <w:r>
        <w:rPr>
          <w:rFonts w:hint="eastAsia" w:ascii="宋体" w:hAnsi="宋体" w:eastAsia="宋体" w:cs="宋体"/>
          <w:color w:val="auto"/>
          <w:sz w:val="21"/>
          <w:szCs w:val="21"/>
          <w:highlight w:val="none"/>
        </w:rPr>
        <w:t>本次</w:t>
      </w: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公告在广州交易集团有限公司(广州公共资源交易中心)网站(www.gzggzy.cn)、广东省招标投标监管网( zbtb.gd.gov.cn)</w:t>
      </w:r>
      <w:r>
        <w:rPr>
          <w:rFonts w:hint="eastAsia" w:ascii="宋体" w:hAnsi="宋体" w:eastAsia="宋体" w:cs="宋体"/>
          <w:b w:val="0"/>
          <w:bCs w:val="0"/>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rPr>
        <w:t>中国招标投标公共服务平台（www.cebpubservice.com）</w:t>
      </w:r>
      <w:r>
        <w:rPr>
          <w:rFonts w:hint="eastAsia" w:ascii="宋体" w:hAnsi="宋体" w:eastAsia="宋体" w:cs="宋体"/>
          <w:color w:val="auto"/>
          <w:sz w:val="21"/>
          <w:szCs w:val="21"/>
          <w:highlight w:val="none"/>
          <w:lang w:eastAsia="zh-CN"/>
        </w:rPr>
        <w:t>、广州国企阳光采购信息发布平台（https://ygcg.gzggzy.cn）</w:t>
      </w:r>
      <w:r>
        <w:rPr>
          <w:rFonts w:hint="eastAsia" w:ascii="宋体" w:hAnsi="宋体" w:eastAsia="宋体" w:cs="宋体"/>
          <w:color w:val="auto"/>
          <w:sz w:val="21"/>
          <w:szCs w:val="21"/>
          <w:highlight w:val="none"/>
        </w:rPr>
        <w:t>上发布。本公告的修改、补充，在广州交易集团有限公司（广州公共资源交易中心）官网发布。本公告在各平台发布的文本如有不同之处，以在广东省招标投标监管网发布的文本为准。本项目相关附件具体详见广州交易集团有限公司（广州公共资源交易中心）网站。</w:t>
      </w:r>
    </w:p>
    <w:p w14:paraId="72D3DC21">
      <w:pPr>
        <w:kinsoku/>
        <w:overflowPunct/>
        <w:bidi w:val="0"/>
        <w:spacing w:line="360" w:lineRule="auto"/>
        <w:ind w:firstLine="0" w:firstLineChars="0"/>
        <w:outlineLvl w:val="9"/>
        <w:rPr>
          <w:rFonts w:hint="eastAsia" w:ascii="宋体" w:hAnsi="宋体" w:eastAsia="宋体" w:cs="宋体"/>
          <w:b/>
          <w:bCs/>
          <w:color w:val="auto"/>
          <w:sz w:val="21"/>
          <w:szCs w:val="21"/>
          <w:highlight w:val="none"/>
          <w:lang w:val="en-US" w:eastAsia="zh-CN"/>
        </w:rPr>
      </w:pPr>
      <w:bookmarkStart w:id="12" w:name="_Toc20761"/>
    </w:p>
    <w:p w14:paraId="5ACECDF4">
      <w:pPr>
        <w:widowControl w:val="0"/>
        <w:ind w:firstLine="420" w:firstLineChars="200"/>
        <w:jc w:val="both"/>
        <w:rPr>
          <w:rFonts w:hint="eastAsia" w:ascii="Times New Roman" w:hAnsi="Times New Roman" w:eastAsia="宋体" w:cs="Times New Roman"/>
          <w:color w:val="auto"/>
          <w:kern w:val="2"/>
          <w:sz w:val="21"/>
          <w:highlight w:val="none"/>
          <w:lang w:val="en-US" w:eastAsia="zh-CN" w:bidi="ar-SA"/>
        </w:rPr>
      </w:pPr>
    </w:p>
    <w:p w14:paraId="69852DCB">
      <w:pPr>
        <w:kinsoku/>
        <w:overflowPunct/>
        <w:bidi w:val="0"/>
        <w:spacing w:line="360" w:lineRule="auto"/>
        <w:ind w:firstLine="0" w:firstLineChars="0"/>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7.联系方式</w:t>
      </w:r>
    </w:p>
    <w:p w14:paraId="5567DDA4">
      <w:pPr>
        <w:kinsoku/>
        <w:overflowPunct/>
        <w:bidi w:val="0"/>
        <w:spacing w:line="360" w:lineRule="auto"/>
        <w:ind w:left="0" w:leftChars="0" w:firstLine="420" w:firstLineChars="200"/>
        <w:outlineLvl w:val="9"/>
        <w:rPr>
          <w:rFonts w:hint="eastAsia" w:ascii="宋体" w:hAnsi="宋体" w:eastAsia="宋体" w:cs="宋体"/>
          <w:color w:val="auto"/>
          <w:sz w:val="21"/>
          <w:szCs w:val="20"/>
          <w:highlight w:val="none"/>
          <w:u w:val="none"/>
        </w:rPr>
      </w:pPr>
      <w:r>
        <w:rPr>
          <w:rFonts w:hint="eastAsia" w:ascii="宋体" w:hAnsi="宋体" w:eastAsia="宋体" w:cs="宋体"/>
          <w:color w:val="auto"/>
          <w:sz w:val="21"/>
          <w:szCs w:val="20"/>
          <w:highlight w:val="none"/>
          <w:u w:val="none"/>
          <w:lang w:val="en-US" w:eastAsia="zh-CN"/>
        </w:rPr>
        <w:t>招标</w:t>
      </w:r>
      <w:r>
        <w:rPr>
          <w:rFonts w:hint="eastAsia" w:ascii="宋体" w:hAnsi="宋体" w:eastAsia="宋体" w:cs="宋体"/>
          <w:color w:val="auto"/>
          <w:sz w:val="21"/>
          <w:szCs w:val="20"/>
          <w:highlight w:val="none"/>
          <w:u w:val="none"/>
        </w:rPr>
        <w:t>人：</w:t>
      </w:r>
      <w:r>
        <w:rPr>
          <w:rFonts w:hint="eastAsia" w:ascii="宋体" w:hAnsi="宋体" w:eastAsia="宋体" w:cs="宋体"/>
          <w:color w:val="auto"/>
          <w:sz w:val="21"/>
          <w:szCs w:val="20"/>
          <w:highlight w:val="none"/>
          <w:u w:val="none"/>
          <w:lang w:eastAsia="zh-CN"/>
        </w:rPr>
        <w:t>广州市番南能源有限公司</w:t>
      </w:r>
    </w:p>
    <w:p w14:paraId="7FA0CBBA">
      <w:pPr>
        <w:kinsoku/>
        <w:overflowPunct/>
        <w:bidi w:val="0"/>
        <w:spacing w:line="360" w:lineRule="auto"/>
        <w:ind w:left="0" w:leftChars="0" w:firstLine="420" w:firstLineChars="200"/>
        <w:outlineLvl w:val="9"/>
        <w:rPr>
          <w:rFonts w:hint="eastAsia" w:ascii="宋体" w:hAnsi="宋体" w:eastAsia="宋体" w:cs="宋体"/>
          <w:color w:val="auto"/>
          <w:sz w:val="21"/>
          <w:szCs w:val="20"/>
          <w:highlight w:val="none"/>
          <w:u w:val="none"/>
        </w:rPr>
      </w:pPr>
      <w:r>
        <w:rPr>
          <w:rFonts w:hint="eastAsia" w:ascii="宋体" w:hAnsi="宋体" w:eastAsia="宋体" w:cs="宋体"/>
          <w:color w:val="auto"/>
          <w:sz w:val="21"/>
          <w:szCs w:val="20"/>
          <w:highlight w:val="none"/>
          <w:u w:val="none"/>
        </w:rPr>
        <w:t>地    址：</w:t>
      </w:r>
      <w:r>
        <w:rPr>
          <w:rFonts w:hint="eastAsia" w:ascii="Times New Roman" w:hAnsi="Times New Roman" w:eastAsia="宋体" w:cs="Times New Roman"/>
          <w:color w:val="auto"/>
          <w:sz w:val="21"/>
          <w:szCs w:val="21"/>
          <w:highlight w:val="none"/>
        </w:rPr>
        <w:t>广州市海珠区琶洲大道188号南方投资大厦1</w:t>
      </w:r>
      <w:r>
        <w:rPr>
          <w:rFonts w:hint="eastAsia" w:ascii="Times New Roman" w:hAnsi="Times New Roman" w:eastAsia="宋体" w:cs="Times New Roman"/>
          <w:color w:val="auto"/>
          <w:sz w:val="21"/>
          <w:szCs w:val="21"/>
          <w:highlight w:val="none"/>
          <w:lang w:val="en-US" w:eastAsia="zh-CN"/>
        </w:rPr>
        <w:t>5</w:t>
      </w:r>
      <w:r>
        <w:rPr>
          <w:rFonts w:hint="eastAsia" w:ascii="Times New Roman" w:hAnsi="Times New Roman" w:eastAsia="宋体" w:cs="Times New Roman"/>
          <w:color w:val="auto"/>
          <w:sz w:val="21"/>
          <w:szCs w:val="21"/>
          <w:highlight w:val="none"/>
        </w:rPr>
        <w:t>层</w:t>
      </w:r>
    </w:p>
    <w:p w14:paraId="57D76AE4">
      <w:pPr>
        <w:kinsoku/>
        <w:overflowPunct/>
        <w:bidi w:val="0"/>
        <w:spacing w:line="360" w:lineRule="auto"/>
        <w:ind w:left="0" w:leftChars="0" w:firstLine="420" w:firstLineChars="200"/>
        <w:outlineLvl w:val="9"/>
        <w:rPr>
          <w:rFonts w:hint="eastAsia" w:ascii="宋体" w:hAnsi="宋体" w:eastAsia="宋体" w:cs="宋体"/>
          <w:color w:val="auto"/>
          <w:sz w:val="21"/>
          <w:szCs w:val="20"/>
          <w:highlight w:val="none"/>
          <w:u w:val="none"/>
        </w:rPr>
      </w:pPr>
      <w:r>
        <w:rPr>
          <w:rFonts w:hint="eastAsia" w:ascii="宋体" w:hAnsi="宋体" w:eastAsia="宋体" w:cs="宋体"/>
          <w:color w:val="auto"/>
          <w:sz w:val="21"/>
          <w:szCs w:val="20"/>
          <w:highlight w:val="none"/>
          <w:u w:val="none"/>
        </w:rPr>
        <w:t>联 系 人：</w:t>
      </w:r>
      <w:r>
        <w:rPr>
          <w:rFonts w:hint="eastAsia" w:ascii="宋体" w:hAnsi="宋体" w:eastAsia="宋体" w:cs="宋体"/>
          <w:color w:val="auto"/>
          <w:sz w:val="21"/>
          <w:szCs w:val="20"/>
          <w:highlight w:val="none"/>
          <w:u w:val="none"/>
          <w:lang w:eastAsia="zh-CN"/>
        </w:rPr>
        <w:t>吕</w:t>
      </w:r>
      <w:r>
        <w:rPr>
          <w:rFonts w:hint="eastAsia" w:ascii="Times New Roman" w:hAnsi="Times New Roman" w:eastAsia="宋体" w:cs="Times New Roman"/>
          <w:color w:val="auto"/>
          <w:sz w:val="21"/>
          <w:szCs w:val="21"/>
          <w:highlight w:val="none"/>
        </w:rPr>
        <w:t>工</w:t>
      </w:r>
    </w:p>
    <w:p w14:paraId="08CED65A">
      <w:pPr>
        <w:kinsoku/>
        <w:overflowPunct/>
        <w:bidi w:val="0"/>
        <w:spacing w:line="360" w:lineRule="auto"/>
        <w:ind w:left="0" w:leftChars="0"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0"/>
          <w:highlight w:val="none"/>
          <w:u w:val="none"/>
        </w:rPr>
        <w:t>电    话：</w:t>
      </w:r>
      <w:r>
        <w:rPr>
          <w:rFonts w:hint="eastAsia" w:ascii="Times New Roman" w:hAnsi="Times New Roman" w:eastAsia="宋体" w:cs="Times New Roman"/>
          <w:color w:val="auto"/>
          <w:sz w:val="21"/>
          <w:szCs w:val="21"/>
          <w:highlight w:val="none"/>
        </w:rPr>
        <w:t>020-62316005</w:t>
      </w:r>
    </w:p>
    <w:p w14:paraId="338196EF">
      <w:pPr>
        <w:tabs>
          <w:tab w:val="left" w:pos="2127"/>
        </w:tabs>
        <w:kinsoku/>
        <w:topLinePunct/>
        <w:bidi w:val="0"/>
        <w:spacing w:before="10" w:after="1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0"/>
          <w:highlight w:val="none"/>
          <w:u w:val="none"/>
          <w:lang w:val="en-US" w:eastAsia="zh-CN"/>
        </w:rPr>
        <w:t>招标</w:t>
      </w:r>
      <w:r>
        <w:rPr>
          <w:rFonts w:hint="eastAsia" w:ascii="宋体" w:hAnsi="宋体" w:eastAsia="宋体" w:cs="宋体"/>
          <w:color w:val="auto"/>
          <w:sz w:val="21"/>
          <w:szCs w:val="21"/>
          <w:highlight w:val="none"/>
        </w:rPr>
        <w:t>服务机构：广州竣盛工程造价咨询有限公司</w:t>
      </w:r>
    </w:p>
    <w:p w14:paraId="682666A6">
      <w:pPr>
        <w:tabs>
          <w:tab w:val="left" w:pos="2127"/>
        </w:tabs>
        <w:kinsoku/>
        <w:topLinePunct/>
        <w:bidi w:val="0"/>
        <w:spacing w:before="10" w:after="10"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shd w:val="clear" w:color="auto" w:fill="FFFFFF"/>
        </w:rPr>
        <w:t>广州市海珠区琶洲大道188号南方投资大厦12层</w:t>
      </w:r>
    </w:p>
    <w:p w14:paraId="51DCB00E">
      <w:pPr>
        <w:tabs>
          <w:tab w:val="left" w:pos="2127"/>
        </w:tabs>
        <w:kinsoku/>
        <w:topLinePunct/>
        <w:bidi w:val="0"/>
        <w:spacing w:before="10" w:after="10" w:line="360" w:lineRule="auto"/>
        <w:ind w:firstLine="420" w:firstLineChars="200"/>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 系 人：</w:t>
      </w:r>
      <w:r>
        <w:rPr>
          <w:rFonts w:hint="eastAsia" w:ascii="宋体" w:hAnsi="宋体" w:eastAsia="宋体" w:cs="宋体"/>
          <w:color w:val="auto"/>
          <w:sz w:val="21"/>
          <w:szCs w:val="21"/>
          <w:highlight w:val="none"/>
          <w:lang w:val="en-US" w:eastAsia="zh-CN"/>
        </w:rPr>
        <w:t>黄</w:t>
      </w:r>
      <w:r>
        <w:rPr>
          <w:rFonts w:hint="eastAsia" w:ascii="宋体" w:hAnsi="宋体" w:eastAsia="宋体" w:cs="宋体"/>
          <w:color w:val="auto"/>
          <w:sz w:val="21"/>
          <w:szCs w:val="21"/>
          <w:highlight w:val="none"/>
          <w:lang w:eastAsia="zh-CN"/>
        </w:rPr>
        <w:t>工</w:t>
      </w:r>
    </w:p>
    <w:p w14:paraId="33A6AA26">
      <w:pPr>
        <w:tabs>
          <w:tab w:val="left" w:pos="2127"/>
        </w:tabs>
        <w:kinsoku/>
        <w:topLinePunct/>
        <w:bidi w:val="0"/>
        <w:spacing w:before="10" w:after="10" w:line="360" w:lineRule="auto"/>
        <w:ind w:firstLine="420" w:firstLineChars="200"/>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    话：</w:t>
      </w:r>
      <w:r>
        <w:rPr>
          <w:rFonts w:hint="eastAsia" w:ascii="Times New Roman" w:hAnsi="Times New Roman" w:eastAsia="宋体" w:cs="Times New Roman"/>
          <w:color w:val="auto"/>
          <w:sz w:val="21"/>
          <w:szCs w:val="21"/>
          <w:highlight w:val="none"/>
          <w:lang w:val="en-US" w:eastAsia="zh-CN"/>
        </w:rPr>
        <w:t>15013049870</w:t>
      </w:r>
    </w:p>
    <w:p w14:paraId="2FD7921C">
      <w:pPr>
        <w:widowControl/>
        <w:kinsoku/>
        <w:bidi w:val="0"/>
        <w:spacing w:before="10" w:after="10" w:line="360" w:lineRule="auto"/>
        <w:ind w:firstLine="426"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w:t>
      </w:r>
      <w:r>
        <w:rPr>
          <w:rFonts w:hint="eastAsia" w:ascii="宋体" w:hAnsi="宋体" w:eastAsia="宋体" w:cs="宋体"/>
          <w:color w:val="auto"/>
          <w:sz w:val="21"/>
          <w:szCs w:val="21"/>
          <w:highlight w:val="none"/>
          <w:lang w:val="en-US" w:eastAsia="zh-CN"/>
        </w:rPr>
        <w:t>邮箱</w:t>
      </w:r>
      <w:r>
        <w:rPr>
          <w:rFonts w:hint="eastAsia" w:ascii="宋体" w:hAnsi="宋体" w:eastAsia="宋体" w:cs="宋体"/>
          <w:color w:val="auto"/>
          <w:sz w:val="21"/>
          <w:szCs w:val="21"/>
          <w:highlight w:val="none"/>
        </w:rPr>
        <w:t>：junshengzb@126.com</w:t>
      </w:r>
    </w:p>
    <w:bookmarkEnd w:id="12"/>
    <w:p w14:paraId="50B74C8F">
      <w:pPr>
        <w:widowControl w:val="0"/>
        <w:ind w:left="0" w:leftChars="0" w:firstLine="0" w:firstLineChars="0"/>
        <w:jc w:val="both"/>
        <w:rPr>
          <w:rFonts w:hint="eastAsia" w:ascii="Times New Roman" w:hAnsi="Times New Roman" w:eastAsia="宋体" w:cs="Times New Roman"/>
          <w:color w:val="auto"/>
          <w:kern w:val="2"/>
          <w:sz w:val="21"/>
          <w:highlight w:val="none"/>
          <w:lang w:val="en-US" w:eastAsia="zh-CN" w:bidi="ar-SA"/>
        </w:rPr>
      </w:pPr>
    </w:p>
    <w:p w14:paraId="4560C7FD">
      <w:pPr>
        <w:kinsoku/>
        <w:overflowPunct/>
        <w:bidi w:val="0"/>
        <w:spacing w:line="360" w:lineRule="auto"/>
        <w:ind w:firstLine="0" w:firstLineChars="0"/>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8.其他</w:t>
      </w:r>
    </w:p>
    <w:p w14:paraId="485442AB">
      <w:pPr>
        <w:kinsoku/>
        <w:overflowPunct/>
        <w:bidi w:val="0"/>
        <w:spacing w:line="360" w:lineRule="auto"/>
        <w:ind w:firstLine="420" w:firstLineChars="200"/>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u w:val="none"/>
        </w:rPr>
        <w:t>若举报违法违规行为，应书面（签字或盖章）提出，向广东电网有限责任公司广州供电局举报。通讯地址：广东省广州市天河区天河南二路2号，邮政编码：510000；监督电话：（020）87120056。</w:t>
      </w:r>
    </w:p>
    <w:p w14:paraId="251C9B2E">
      <w:pPr>
        <w:keepNext w:val="0"/>
        <w:keepLines w:val="0"/>
        <w:pageBreakBefore w:val="0"/>
        <w:widowControl w:val="0"/>
        <w:kinsoku/>
        <w:wordWrap w:val="0"/>
        <w:overflowPunct/>
        <w:topLinePunct w:val="0"/>
        <w:autoSpaceDE/>
        <w:autoSpaceDN/>
        <w:bidi w:val="0"/>
        <w:adjustRightInd/>
        <w:snapToGrid/>
        <w:spacing w:line="480" w:lineRule="auto"/>
        <w:ind w:right="140" w:firstLine="0" w:firstLineChars="0"/>
        <w:jc w:val="right"/>
        <w:textAlignment w:val="auto"/>
        <w:outlineLvl w:val="9"/>
        <w:rPr>
          <w:rFonts w:hint="eastAsia" w:ascii="宋体" w:hAnsi="宋体" w:eastAsia="宋体" w:cs="宋体"/>
          <w:b w:val="0"/>
          <w:bCs/>
          <w:color w:val="auto"/>
          <w:sz w:val="21"/>
          <w:szCs w:val="21"/>
          <w:highlight w:val="none"/>
          <w:lang w:val="en-US" w:eastAsia="zh-CN"/>
        </w:rPr>
      </w:pPr>
    </w:p>
    <w:p w14:paraId="1881BF0D">
      <w:pPr>
        <w:keepNext w:val="0"/>
        <w:keepLines w:val="0"/>
        <w:pageBreakBefore w:val="0"/>
        <w:widowControl w:val="0"/>
        <w:kinsoku/>
        <w:wordWrap w:val="0"/>
        <w:overflowPunct/>
        <w:topLinePunct w:val="0"/>
        <w:autoSpaceDE/>
        <w:autoSpaceDN/>
        <w:bidi w:val="0"/>
        <w:adjustRightInd/>
        <w:snapToGrid/>
        <w:spacing w:line="480" w:lineRule="auto"/>
        <w:ind w:right="140" w:firstLine="0" w:firstLineChars="0"/>
        <w:jc w:val="right"/>
        <w:textAlignment w:val="auto"/>
        <w:outlineLvl w:val="9"/>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val="en-US" w:eastAsia="zh-CN"/>
        </w:rPr>
        <w:t>招标</w:t>
      </w:r>
      <w:r>
        <w:rPr>
          <w:rFonts w:hint="eastAsia" w:ascii="宋体" w:hAnsi="宋体" w:eastAsia="宋体" w:cs="宋体"/>
          <w:b w:val="0"/>
          <w:bCs/>
          <w:color w:val="auto"/>
          <w:sz w:val="21"/>
          <w:szCs w:val="21"/>
          <w:highlight w:val="none"/>
        </w:rPr>
        <w:t>人：</w:t>
      </w:r>
      <w:r>
        <w:rPr>
          <w:rFonts w:hint="eastAsia" w:ascii="宋体" w:hAnsi="宋体" w:eastAsia="宋体" w:cs="宋体"/>
          <w:b w:val="0"/>
          <w:bCs/>
          <w:color w:val="auto"/>
          <w:sz w:val="21"/>
          <w:szCs w:val="21"/>
          <w:highlight w:val="none"/>
          <w:lang w:eastAsia="zh-CN"/>
        </w:rPr>
        <w:t>广州市番南能源有限公司</w:t>
      </w:r>
    </w:p>
    <w:p w14:paraId="3F72FEAE">
      <w:pPr>
        <w:keepNext w:val="0"/>
        <w:keepLines w:val="0"/>
        <w:pageBreakBefore w:val="0"/>
        <w:widowControl w:val="0"/>
        <w:kinsoku/>
        <w:wordWrap w:val="0"/>
        <w:overflowPunct/>
        <w:topLinePunct w:val="0"/>
        <w:autoSpaceDE/>
        <w:autoSpaceDN/>
        <w:bidi w:val="0"/>
        <w:adjustRightInd/>
        <w:snapToGrid/>
        <w:spacing w:line="480" w:lineRule="auto"/>
        <w:ind w:right="90" w:firstLine="0" w:firstLineChars="0"/>
        <w:jc w:val="right"/>
        <w:textAlignment w:val="auto"/>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招标</w:t>
      </w:r>
      <w:r>
        <w:rPr>
          <w:rFonts w:hint="eastAsia" w:ascii="宋体" w:hAnsi="宋体" w:eastAsia="宋体" w:cs="宋体"/>
          <w:color w:val="auto"/>
          <w:sz w:val="21"/>
          <w:szCs w:val="21"/>
          <w:highlight w:val="none"/>
        </w:rPr>
        <w:t>服务机构</w:t>
      </w:r>
      <w:r>
        <w:rPr>
          <w:rFonts w:hint="eastAsia" w:ascii="宋体" w:hAnsi="宋体" w:eastAsia="宋体" w:cs="宋体"/>
          <w:b w:val="0"/>
          <w:bCs/>
          <w:color w:val="auto"/>
          <w:sz w:val="21"/>
          <w:szCs w:val="21"/>
          <w:highlight w:val="none"/>
        </w:rPr>
        <w:t>：广州竣盛工程造价咨询有限公司</w:t>
      </w:r>
    </w:p>
    <w:p w14:paraId="01DA9348">
      <w:pPr>
        <w:keepNext w:val="0"/>
        <w:keepLines w:val="0"/>
        <w:pageBreakBefore w:val="0"/>
        <w:widowControl w:val="0"/>
        <w:kinsoku/>
        <w:wordWrap w:val="0"/>
        <w:overflowPunct/>
        <w:topLinePunct w:val="0"/>
        <w:autoSpaceDE/>
        <w:autoSpaceDN/>
        <w:bidi w:val="0"/>
        <w:adjustRightInd/>
        <w:snapToGrid/>
        <w:spacing w:line="480" w:lineRule="auto"/>
        <w:ind w:right="90" w:firstLine="0" w:firstLineChars="0"/>
        <w:jc w:val="right"/>
        <w:textAlignment w:val="auto"/>
        <w:rPr>
          <w:rFonts w:hint="default"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t>2025年  月  日</w:t>
      </w:r>
    </w:p>
    <w:p w14:paraId="09D3C6D5"/>
    <w:sectPr>
      <w:pgSz w:w="11906" w:h="16838"/>
      <w:pgMar w:top="1440" w:right="1083" w:bottom="1440" w:left="1083"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8F55E7"/>
    <w:multiLevelType w:val="multilevel"/>
    <w:tmpl w:val="3C8F55E7"/>
    <w:lvl w:ilvl="0" w:tentative="0">
      <w:start w:val="1"/>
      <w:numFmt w:val="chineseCounting"/>
      <w:pStyle w:val="2"/>
      <w:suff w:val="space"/>
      <w:lvlText w:val="第%1章"/>
      <w:lvlJc w:val="left"/>
      <w:pPr>
        <w:tabs>
          <w:tab w:val="left" w:pos="108"/>
        </w:tabs>
        <w:ind w:left="0" w:firstLine="0"/>
      </w:pPr>
      <w:rPr>
        <w:rFonts w:hint="eastAsia" w:ascii="Times New Roman" w:hAnsi="Times New Roman"/>
      </w:rPr>
    </w:lvl>
    <w:lvl w:ilvl="1" w:tentative="0">
      <w:start w:val="1"/>
      <w:numFmt w:val="chineseCounting"/>
      <w:pStyle w:val="3"/>
      <w:suff w:val="nothing"/>
      <w:lvlText w:val="%2、"/>
      <w:lvlJc w:val="left"/>
      <w:pPr>
        <w:ind w:left="0" w:firstLine="0"/>
      </w:pPr>
      <w:rPr>
        <w:rFonts w:hint="eastAsia" w:ascii="Times New Roman" w:hAnsi="Times New Roman"/>
      </w:rPr>
    </w:lvl>
    <w:lvl w:ilvl="2" w:tentative="0">
      <w:start w:val="1"/>
      <w:numFmt w:val="chineseCounting"/>
      <w:pStyle w:val="4"/>
      <w:suff w:val="nothing"/>
      <w:lvlText w:val="（%3）"/>
      <w:lvlJc w:val="left"/>
      <w:pPr>
        <w:ind w:left="0" w:firstLine="0"/>
      </w:pPr>
      <w:rPr>
        <w:rFonts w:hint="eastAsia"/>
      </w:rPr>
    </w:lvl>
    <w:lvl w:ilvl="3" w:tentative="0">
      <w:start w:val="1"/>
      <w:numFmt w:val="decimal"/>
      <w:pStyle w:val="5"/>
      <w:suff w:val="nothing"/>
      <w:lvlText w:val="%4."/>
      <w:lvlJc w:val="left"/>
      <w:pPr>
        <w:ind w:left="0" w:firstLine="0"/>
      </w:pPr>
      <w:rPr>
        <w:rFonts w:hint="eastAsia"/>
      </w:rPr>
    </w:lvl>
    <w:lvl w:ilvl="4" w:tentative="0">
      <w:start w:val="1"/>
      <w:numFmt w:val="decimal"/>
      <w:pStyle w:val="6"/>
      <w:suff w:val="nothing"/>
      <w:lvlText w:val="（%5）"/>
      <w:lvlJc w:val="left"/>
      <w:pPr>
        <w:ind w:left="0" w:firstLine="0"/>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824E2"/>
    <w:rsid w:val="080D7397"/>
    <w:rsid w:val="0B6A4871"/>
    <w:rsid w:val="10C663F1"/>
    <w:rsid w:val="28526934"/>
    <w:rsid w:val="28E33635"/>
    <w:rsid w:val="2A99512F"/>
    <w:rsid w:val="383A3324"/>
    <w:rsid w:val="3BAB3D47"/>
    <w:rsid w:val="3F935B7E"/>
    <w:rsid w:val="501839C5"/>
    <w:rsid w:val="532C5467"/>
    <w:rsid w:val="576C542A"/>
    <w:rsid w:val="5E505FEC"/>
    <w:rsid w:val="65FC13C7"/>
    <w:rsid w:val="6D265811"/>
    <w:rsid w:val="74E07CE4"/>
    <w:rsid w:val="78D13FA5"/>
    <w:rsid w:val="7A531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eastAsia="宋体" w:asciiTheme="minorAscii" w:hAnsiTheme="minorAscii" w:cstheme="minorBidi"/>
      <w:kern w:val="2"/>
      <w:sz w:val="24"/>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360" w:lineRule="auto"/>
      <w:ind w:firstLine="0" w:firstLineChars="0"/>
      <w:jc w:val="center"/>
      <w:outlineLvl w:val="0"/>
    </w:pPr>
    <w:rPr>
      <w:b/>
      <w:kern w:val="44"/>
      <w:sz w:val="32"/>
    </w:rPr>
  </w:style>
  <w:style w:type="paragraph" w:styleId="3">
    <w:name w:val="heading 2"/>
    <w:basedOn w:val="1"/>
    <w:next w:val="1"/>
    <w:semiHidden/>
    <w:unhideWhenUsed/>
    <w:qFormat/>
    <w:uiPriority w:val="0"/>
    <w:pPr>
      <w:keepNext/>
      <w:keepLines/>
      <w:numPr>
        <w:ilvl w:val="1"/>
        <w:numId w:val="1"/>
      </w:numPr>
      <w:spacing w:beforeLines="0" w:beforeAutospacing="0" w:afterLines="0" w:afterAutospacing="0" w:line="360" w:lineRule="auto"/>
      <w:ind w:firstLine="0" w:firstLineChars="0"/>
      <w:outlineLvl w:val="1"/>
    </w:pPr>
    <w:rPr>
      <w:rFonts w:ascii="Arial" w:hAnsi="Arial"/>
      <w:b/>
      <w:sz w:val="28"/>
    </w:rPr>
  </w:style>
  <w:style w:type="paragraph" w:styleId="4">
    <w:name w:val="heading 3"/>
    <w:basedOn w:val="1"/>
    <w:next w:val="1"/>
    <w:semiHidden/>
    <w:unhideWhenUsed/>
    <w:qFormat/>
    <w:uiPriority w:val="0"/>
    <w:pPr>
      <w:keepNext/>
      <w:keepLines/>
      <w:numPr>
        <w:ilvl w:val="2"/>
        <w:numId w:val="1"/>
      </w:numPr>
      <w:spacing w:beforeLines="0" w:beforeAutospacing="0" w:afterLines="0" w:afterAutospacing="0" w:line="360" w:lineRule="auto"/>
      <w:ind w:firstLine="0" w:firstLineChars="0"/>
      <w:outlineLvl w:val="2"/>
    </w:pPr>
    <w:rPr>
      <w:b/>
      <w:sz w:val="24"/>
    </w:rPr>
  </w:style>
  <w:style w:type="paragraph" w:styleId="5">
    <w:name w:val="heading 4"/>
    <w:basedOn w:val="1"/>
    <w:next w:val="1"/>
    <w:semiHidden/>
    <w:unhideWhenUsed/>
    <w:qFormat/>
    <w:uiPriority w:val="0"/>
    <w:pPr>
      <w:keepNext/>
      <w:keepLines/>
      <w:numPr>
        <w:ilvl w:val="3"/>
        <w:numId w:val="1"/>
      </w:numPr>
      <w:spacing w:beforeLines="0" w:beforeAutospacing="0" w:afterLines="0" w:afterAutospacing="0" w:line="360" w:lineRule="auto"/>
      <w:ind w:firstLine="0" w:firstLineChars="0"/>
      <w:outlineLvl w:val="3"/>
    </w:pPr>
    <w:rPr>
      <w:rFonts w:ascii="Arial" w:hAnsi="Arial"/>
      <w:sz w:val="21"/>
    </w:rPr>
  </w:style>
  <w:style w:type="paragraph" w:styleId="6">
    <w:name w:val="heading 5"/>
    <w:basedOn w:val="1"/>
    <w:next w:val="1"/>
    <w:semiHidden/>
    <w:unhideWhenUsed/>
    <w:qFormat/>
    <w:uiPriority w:val="0"/>
    <w:pPr>
      <w:keepNext/>
      <w:keepLines/>
      <w:numPr>
        <w:ilvl w:val="4"/>
        <w:numId w:val="1"/>
      </w:numPr>
      <w:spacing w:beforeLines="0" w:beforeAutospacing="0" w:afterLines="0" w:afterAutospacing="0" w:line="360" w:lineRule="auto"/>
      <w:ind w:firstLine="0" w:firstLineChars="0"/>
      <w:outlineLvl w:val="4"/>
    </w:pPr>
    <w:rPr>
      <w:sz w:val="21"/>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table" w:styleId="12">
    <w:name w:val="Table Grid"/>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5970</Words>
  <Characters>6377</Characters>
  <Lines>0</Lines>
  <Paragraphs>0</Paragraphs>
  <TotalTime>0</TotalTime>
  <ScaleCrop>false</ScaleCrop>
  <LinksUpToDate>false</LinksUpToDate>
  <CharactersWithSpaces>6505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2025-02-10T01:44:00Z</dcterms:created>
  <dc:creator>叶吴其</dc:creator>
  <cp:lastModifiedBy>批注</cp:lastModifiedBy>
  <dcterms:modified xsi:type="dcterms:W3CDTF">2025-10-27T13:05:59Z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84FAC1F6866D47F8A62D0B3E09021341_12</vt:lpwstr>
  </property>
  <property fmtid="{D5CDD505-2E9C-101B-9397-08002B2CF9AE}" pid="4" name="KSOTemplateDocerSaveRecord">
    <vt:lpwstr>eyJoZGlkIjoiNjk1YzQ3ZTY3M2YxMzQ5OWFkMGYzMTViMmI3Y2JhYzQiLCJ1c2VySWQiOiIxNjg2MTI2NzE0In0=</vt:lpwstr>
  </property>
</Properties>
</file>