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11743">
      <w:pPr>
        <w:rPr>
          <w:color w:val="auto"/>
          <w:highlight w:val="none"/>
        </w:rPr>
      </w:pPr>
    </w:p>
    <w:p w14:paraId="4CC771C3">
      <w:pPr>
        <w:jc w:val="center"/>
        <w:rPr>
          <w:rFonts w:hint="eastAsia" w:ascii="宋体" w:hAnsi="宋体" w:cs="宋体"/>
          <w:color w:val="auto"/>
          <w:sz w:val="20"/>
          <w:szCs w:val="20"/>
          <w:highlight w:val="none"/>
        </w:rPr>
      </w:pPr>
    </w:p>
    <w:p w14:paraId="77AAA95C">
      <w:pPr>
        <w:spacing w:line="480" w:lineRule="auto"/>
        <w:jc w:val="center"/>
        <w:rPr>
          <w:rFonts w:hint="eastAsia" w:ascii="宋体" w:hAnsi="宋体" w:cs="宋体"/>
          <w:b/>
          <w:color w:val="auto"/>
          <w:spacing w:val="-6"/>
          <w:sz w:val="36"/>
          <w:szCs w:val="36"/>
          <w:highlight w:val="none"/>
        </w:rPr>
      </w:pPr>
      <w:r>
        <w:rPr>
          <w:rFonts w:hint="eastAsia" w:ascii="宋体" w:hAnsi="宋体" w:cs="宋体"/>
          <w:b/>
          <w:color w:val="auto"/>
          <w:spacing w:val="-6"/>
          <w:sz w:val="36"/>
          <w:szCs w:val="36"/>
          <w:highlight w:val="none"/>
        </w:rPr>
        <w:t>中山大学中山眼科中心药学部制剂室搬迁重建设计施工一体化项目</w:t>
      </w:r>
    </w:p>
    <w:p w14:paraId="07A1A7FC">
      <w:pPr>
        <w:rPr>
          <w:color w:val="auto"/>
          <w:highlight w:val="none"/>
        </w:rPr>
      </w:pPr>
    </w:p>
    <w:p w14:paraId="53F538ED">
      <w:pPr>
        <w:rPr>
          <w:color w:val="auto"/>
          <w:highlight w:val="none"/>
        </w:rPr>
      </w:pPr>
    </w:p>
    <w:p w14:paraId="1FF5A036">
      <w:pPr>
        <w:rPr>
          <w:color w:val="auto"/>
          <w:highlight w:val="none"/>
        </w:rPr>
      </w:pPr>
    </w:p>
    <w:p w14:paraId="116795E5">
      <w:pPr>
        <w:rPr>
          <w:color w:val="auto"/>
          <w:highlight w:val="none"/>
        </w:rPr>
      </w:pPr>
    </w:p>
    <w:p w14:paraId="29989180">
      <w:pPr>
        <w:rPr>
          <w:color w:val="auto"/>
          <w:highlight w:val="none"/>
        </w:rPr>
      </w:pPr>
    </w:p>
    <w:p w14:paraId="0880CDB3">
      <w:pPr>
        <w:rPr>
          <w:color w:val="auto"/>
          <w:highlight w:val="none"/>
        </w:rPr>
      </w:pPr>
    </w:p>
    <w:p w14:paraId="4D75A4D0">
      <w:pPr>
        <w:rPr>
          <w:color w:val="auto"/>
          <w:highlight w:val="none"/>
        </w:rPr>
      </w:pPr>
    </w:p>
    <w:p w14:paraId="7906B22A">
      <w:pPr>
        <w:rPr>
          <w:color w:val="auto"/>
          <w:highlight w:val="none"/>
        </w:rPr>
      </w:pPr>
    </w:p>
    <w:p w14:paraId="4A52DD04">
      <w:pPr>
        <w:rPr>
          <w:color w:val="auto"/>
          <w:highlight w:val="none"/>
        </w:rPr>
      </w:pPr>
    </w:p>
    <w:p w14:paraId="2CCA2488">
      <w:pPr>
        <w:rPr>
          <w:color w:val="auto"/>
          <w:highlight w:val="none"/>
        </w:rPr>
      </w:pPr>
    </w:p>
    <w:p w14:paraId="7C07D3F0">
      <w:pPr>
        <w:jc w:val="center"/>
        <w:rPr>
          <w:rFonts w:hint="eastAsia" w:ascii="宋体" w:hAnsi="宋体" w:cs="宋体"/>
          <w:color w:val="auto"/>
          <w:sz w:val="96"/>
          <w:szCs w:val="96"/>
          <w:highlight w:val="none"/>
        </w:rPr>
      </w:pPr>
      <w:r>
        <w:rPr>
          <w:rFonts w:hint="eastAsia" w:ascii="宋体" w:hAnsi="宋体" w:cs="宋体"/>
          <w:color w:val="auto"/>
          <w:sz w:val="96"/>
          <w:szCs w:val="96"/>
          <w:highlight w:val="none"/>
        </w:rPr>
        <w:t>招标文件</w:t>
      </w:r>
    </w:p>
    <w:p w14:paraId="74D5C3F0">
      <w:pPr>
        <w:rPr>
          <w:color w:val="auto"/>
          <w:highlight w:val="none"/>
        </w:rPr>
      </w:pPr>
    </w:p>
    <w:p w14:paraId="2B3FABB5">
      <w:pPr>
        <w:rPr>
          <w:color w:val="auto"/>
          <w:highlight w:val="none"/>
        </w:rPr>
      </w:pPr>
    </w:p>
    <w:p w14:paraId="054E734E">
      <w:pPr>
        <w:rPr>
          <w:color w:val="auto"/>
          <w:highlight w:val="none"/>
        </w:rPr>
      </w:pPr>
    </w:p>
    <w:p w14:paraId="26910EF6">
      <w:pPr>
        <w:rPr>
          <w:color w:val="auto"/>
          <w:highlight w:val="none"/>
        </w:rPr>
      </w:pPr>
    </w:p>
    <w:p w14:paraId="0D922071">
      <w:pPr>
        <w:rPr>
          <w:color w:val="auto"/>
          <w:highlight w:val="none"/>
        </w:rPr>
      </w:pPr>
    </w:p>
    <w:p w14:paraId="4711E0ED">
      <w:pPr>
        <w:rPr>
          <w:color w:val="auto"/>
          <w:highlight w:val="none"/>
        </w:rPr>
      </w:pPr>
    </w:p>
    <w:p w14:paraId="539338FE">
      <w:pPr>
        <w:rPr>
          <w:color w:val="auto"/>
          <w:highlight w:val="none"/>
        </w:rPr>
      </w:pPr>
    </w:p>
    <w:p w14:paraId="74F91B79">
      <w:pPr>
        <w:rPr>
          <w:color w:val="auto"/>
          <w:highlight w:val="none"/>
        </w:rPr>
      </w:pPr>
    </w:p>
    <w:p w14:paraId="0C6061CD">
      <w:pPr>
        <w:rPr>
          <w:color w:val="auto"/>
          <w:highlight w:val="none"/>
        </w:rPr>
      </w:pPr>
    </w:p>
    <w:p w14:paraId="58AA952E">
      <w:pPr>
        <w:rPr>
          <w:color w:val="auto"/>
          <w:highlight w:val="none"/>
        </w:rPr>
      </w:pPr>
    </w:p>
    <w:p w14:paraId="55F221F6">
      <w:pPr>
        <w:rPr>
          <w:color w:val="auto"/>
          <w:highlight w:val="none"/>
        </w:rPr>
      </w:pPr>
    </w:p>
    <w:p w14:paraId="6E567EE4">
      <w:pPr>
        <w:rPr>
          <w:color w:val="auto"/>
          <w:highlight w:val="none"/>
        </w:rPr>
      </w:pPr>
    </w:p>
    <w:p w14:paraId="2942BA7F">
      <w:pPr>
        <w:rPr>
          <w:color w:val="auto"/>
          <w:highlight w:val="none"/>
        </w:rPr>
      </w:pPr>
    </w:p>
    <w:p w14:paraId="1BC5E29A">
      <w:pPr>
        <w:rPr>
          <w:color w:val="auto"/>
          <w:highlight w:val="none"/>
        </w:rPr>
      </w:pPr>
    </w:p>
    <w:p w14:paraId="1E43F2C9">
      <w:pPr>
        <w:rPr>
          <w:color w:val="auto"/>
          <w:highlight w:val="none"/>
        </w:rPr>
      </w:pPr>
    </w:p>
    <w:p w14:paraId="10D06F5D">
      <w:pPr>
        <w:ind w:left="1134" w:leftChars="54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招   标   人：</w:t>
      </w:r>
      <w:r>
        <w:rPr>
          <w:rFonts w:hint="eastAsia" w:ascii="宋体" w:hAnsi="宋体" w:cs="宋体"/>
          <w:color w:val="auto"/>
          <w:sz w:val="28"/>
          <w:szCs w:val="28"/>
          <w:highlight w:val="none"/>
          <w:u w:val="single"/>
        </w:rPr>
        <w:t>中山大学中山眼科中心</w:t>
      </w:r>
      <w:r>
        <w:rPr>
          <w:rFonts w:hint="eastAsia" w:ascii="宋体" w:hAnsi="宋体" w:cs="宋体"/>
          <w:color w:val="auto"/>
          <w:sz w:val="28"/>
          <w:szCs w:val="28"/>
          <w:highlight w:val="none"/>
        </w:rPr>
        <w:t>（盖单位章）</w:t>
      </w:r>
    </w:p>
    <w:p w14:paraId="61AC7639">
      <w:pPr>
        <w:ind w:left="1134" w:leftChars="540"/>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招标代理单位：</w:t>
      </w:r>
      <w:r>
        <w:rPr>
          <w:rFonts w:hint="eastAsia" w:ascii="宋体" w:hAnsi="宋体" w:cs="宋体"/>
          <w:color w:val="auto"/>
          <w:sz w:val="28"/>
          <w:szCs w:val="28"/>
          <w:highlight w:val="none"/>
          <w:u w:val="single"/>
        </w:rPr>
        <w:t>国义招标股份有限公司</w:t>
      </w:r>
      <w:r>
        <w:rPr>
          <w:rFonts w:hint="eastAsia" w:ascii="宋体" w:hAnsi="宋体" w:cs="宋体"/>
          <w:color w:val="auto"/>
          <w:sz w:val="28"/>
          <w:szCs w:val="28"/>
          <w:highlight w:val="none"/>
        </w:rPr>
        <w:t>（盖单位章）</w:t>
      </w:r>
    </w:p>
    <w:p w14:paraId="791EABF9">
      <w:pPr>
        <w:jc w:val="center"/>
        <w:rPr>
          <w:rFonts w:hint="eastAsia" w:ascii="宋体" w:hAnsi="宋体" w:cs="宋体"/>
          <w:color w:val="auto"/>
          <w:sz w:val="28"/>
          <w:szCs w:val="28"/>
          <w:highlight w:val="none"/>
          <w:u w:val="single"/>
        </w:rPr>
      </w:pPr>
    </w:p>
    <w:p w14:paraId="03BD017D">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2025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10</w:t>
      </w:r>
      <w:r>
        <w:rPr>
          <w:rFonts w:hint="eastAsia" w:ascii="宋体" w:hAnsi="宋体" w:cs="宋体"/>
          <w:color w:val="auto"/>
          <w:sz w:val="28"/>
          <w:szCs w:val="28"/>
          <w:highlight w:val="none"/>
        </w:rPr>
        <w:t>月</w:t>
      </w:r>
    </w:p>
    <w:p w14:paraId="1D112046">
      <w:pPr>
        <w:pStyle w:val="68"/>
        <w:rPr>
          <w:color w:val="auto"/>
          <w:highlight w:val="none"/>
        </w:rPr>
      </w:pPr>
    </w:p>
    <w:p w14:paraId="7E93AE1C">
      <w:pPr>
        <w:spacing w:line="400" w:lineRule="exact"/>
        <w:ind w:firstLine="420"/>
        <w:rPr>
          <w:rFonts w:hint="eastAsia" w:ascii="宋体" w:hAnsi="宋体" w:cs="宋体"/>
          <w:color w:val="auto"/>
          <w:highlight w:val="none"/>
        </w:rPr>
        <w:sectPr>
          <w:footerReference r:id="rId3" w:type="default"/>
          <w:pgSz w:w="11906" w:h="16838"/>
          <w:pgMar w:top="1440" w:right="1800" w:bottom="1440" w:left="1800" w:header="851" w:footer="992" w:gutter="0"/>
          <w:cols w:space="720" w:num="1"/>
          <w:docGrid w:type="lines" w:linePitch="312" w:charSpace="0"/>
        </w:sectPr>
      </w:pPr>
      <w:bookmarkStart w:id="0" w:name="_Toc152042286"/>
      <w:bookmarkStart w:id="1" w:name="_Toc144974478"/>
    </w:p>
    <w:p w14:paraId="236A624A">
      <w:pPr>
        <w:pStyle w:val="2"/>
        <w:rPr>
          <w:color w:val="auto"/>
          <w:highlight w:val="none"/>
        </w:rPr>
      </w:pPr>
      <w:bookmarkStart w:id="2" w:name="_Toc300834926"/>
      <w:bookmarkStart w:id="3" w:name="_Toc134304509"/>
      <w:bookmarkStart w:id="4" w:name="_Toc11895"/>
      <w:bookmarkStart w:id="5" w:name="_Toc247527532"/>
      <w:r>
        <w:rPr>
          <w:rFonts w:hint="eastAsia"/>
          <w:color w:val="auto"/>
          <w:highlight w:val="none"/>
        </w:rPr>
        <w:t>目  录</w:t>
      </w:r>
      <w:bookmarkEnd w:id="0"/>
      <w:bookmarkEnd w:id="1"/>
      <w:bookmarkEnd w:id="2"/>
      <w:bookmarkEnd w:id="3"/>
      <w:bookmarkEnd w:id="4"/>
      <w:bookmarkEnd w:id="5"/>
    </w:p>
    <w:p w14:paraId="73F3D55C">
      <w:pPr>
        <w:pStyle w:val="25"/>
        <w:tabs>
          <w:tab w:val="right" w:leader="dot" w:pos="9628"/>
        </w:tabs>
        <w:rPr>
          <w:rFonts w:ascii="Calibri" w:hAnsi="Calibri"/>
          <w:b w:val="0"/>
          <w:bCs w:val="0"/>
          <w:caps w:val="0"/>
          <w:color w:val="auto"/>
          <w:sz w:val="21"/>
          <w:szCs w:val="22"/>
          <w:highlight w:val="none"/>
        </w:rPr>
      </w:pPr>
      <w:bookmarkStart w:id="6" w:name="_Toc247527533"/>
      <w:bookmarkStart w:id="7" w:name="_Toc247513932"/>
      <w:bookmarkStart w:id="8" w:name="_Toc152042287"/>
      <w:bookmarkStart w:id="9" w:name="_Toc152045511"/>
      <w:bookmarkStart w:id="10" w:name="_Toc144974479"/>
      <w:r>
        <w:rPr>
          <w:rFonts w:hint="eastAsia" w:ascii="宋体" w:hAnsi="宋体" w:cs="宋体"/>
          <w:caps w:val="0"/>
          <w:color w:val="auto"/>
          <w:highlight w:val="none"/>
        </w:rPr>
        <w:fldChar w:fldCharType="begin"/>
      </w:r>
      <w:r>
        <w:rPr>
          <w:rFonts w:hint="eastAsia" w:ascii="宋体" w:hAnsi="宋体" w:cs="宋体"/>
          <w:caps w:val="0"/>
          <w:color w:val="auto"/>
          <w:highlight w:val="none"/>
        </w:rPr>
        <w:instrText xml:space="preserve"> TOC \o "1-3" \h \z \u </w:instrText>
      </w:r>
      <w:r>
        <w:rPr>
          <w:rFonts w:hint="eastAsia" w:ascii="宋体" w:hAnsi="宋体" w:cs="宋体"/>
          <w:caps w:val="0"/>
          <w:color w:val="auto"/>
          <w:highlight w:val="none"/>
        </w:rPr>
        <w:fldChar w:fldCharType="separate"/>
      </w:r>
      <w:r>
        <w:rPr>
          <w:color w:val="auto"/>
          <w:highlight w:val="none"/>
        </w:rPr>
        <w:fldChar w:fldCharType="begin"/>
      </w:r>
      <w:r>
        <w:rPr>
          <w:color w:val="auto"/>
          <w:highlight w:val="none"/>
        </w:rPr>
        <w:instrText xml:space="preserve"> HYPERLINK \l "_Toc134304509" </w:instrText>
      </w:r>
      <w:r>
        <w:rPr>
          <w:color w:val="auto"/>
          <w:highlight w:val="none"/>
        </w:rPr>
        <w:fldChar w:fldCharType="separate"/>
      </w:r>
      <w:r>
        <w:rPr>
          <w:rStyle w:val="41"/>
          <w:rFonts w:hint="eastAsia"/>
          <w:color w:val="auto"/>
          <w:highlight w:val="none"/>
        </w:rPr>
        <w:t>目录</w:t>
      </w:r>
      <w:r>
        <w:rPr>
          <w:color w:val="auto"/>
          <w:highlight w:val="none"/>
        </w:rPr>
        <w:tab/>
      </w:r>
      <w:r>
        <w:rPr>
          <w:color w:val="auto"/>
          <w:highlight w:val="none"/>
        </w:rPr>
        <w:fldChar w:fldCharType="begin"/>
      </w:r>
      <w:r>
        <w:rPr>
          <w:color w:val="auto"/>
          <w:highlight w:val="none"/>
        </w:rPr>
        <w:instrText xml:space="preserve"> PAGEREF _Toc134304509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60471D6">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"_Toc134304510" </w:instrText>
      </w:r>
      <w:r>
        <w:rPr>
          <w:color w:val="auto"/>
          <w:highlight w:val="none"/>
        </w:rPr>
        <w:fldChar w:fldCharType="separate"/>
      </w:r>
      <w:r>
        <w:rPr>
          <w:rStyle w:val="41"/>
          <w:rFonts w:hint="eastAsia"/>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_Toc134304510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91A8128">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"_Toc134304511" </w:instrText>
      </w:r>
      <w:r>
        <w:rPr>
          <w:color w:val="auto"/>
          <w:highlight w:val="none"/>
        </w:rPr>
        <w:fldChar w:fldCharType="separate"/>
      </w:r>
      <w:r>
        <w:rPr>
          <w:rStyle w:val="41"/>
          <w:rFonts w:hint="eastAsia"/>
          <w:color w:val="auto"/>
          <w:highlight w:val="none"/>
        </w:rPr>
        <w:t>第一章招标公告</w:t>
      </w:r>
      <w:r>
        <w:rPr>
          <w:color w:val="auto"/>
          <w:highlight w:val="none"/>
        </w:rPr>
        <w:tab/>
      </w:r>
      <w:r>
        <w:rPr>
          <w:color w:val="auto"/>
          <w:highlight w:val="none"/>
        </w:rPr>
        <w:fldChar w:fldCharType="begin"/>
      </w:r>
      <w:r>
        <w:rPr>
          <w:color w:val="auto"/>
          <w:highlight w:val="none"/>
        </w:rPr>
        <w:instrText xml:space="preserve"> PAGEREF _Toc134304511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1CDAD1F">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"_Toc134304521" </w:instrText>
      </w:r>
      <w:r>
        <w:rPr>
          <w:color w:val="auto"/>
          <w:highlight w:val="none"/>
        </w:rPr>
        <w:fldChar w:fldCharType="separate"/>
      </w:r>
      <w:r>
        <w:rPr>
          <w:rStyle w:val="41"/>
          <w:rFonts w:hint="eastAsia"/>
          <w:color w:val="auto"/>
          <w:highlight w:val="none"/>
        </w:rPr>
        <w:t>第二章投标人须知</w:t>
      </w:r>
      <w:r>
        <w:rPr>
          <w:color w:val="auto"/>
          <w:highlight w:val="none"/>
        </w:rPr>
        <w:tab/>
      </w:r>
      <w:r>
        <w:rPr>
          <w:color w:val="auto"/>
          <w:highlight w:val="none"/>
        </w:rPr>
        <w:fldChar w:fldCharType="begin"/>
      </w:r>
      <w:r>
        <w:rPr>
          <w:color w:val="auto"/>
          <w:highlight w:val="none"/>
        </w:rPr>
        <w:instrText xml:space="preserve"> PAGEREF _Toc134304521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624BDC5E">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"_Toc134304522" </w:instrText>
      </w:r>
      <w:r>
        <w:rPr>
          <w:color w:val="auto"/>
          <w:highlight w:val="none"/>
        </w:rPr>
        <w:fldChar w:fldCharType="separate"/>
      </w:r>
      <w:r>
        <w:rPr>
          <w:rStyle w:val="41"/>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_Toc134304522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5CAD40F0">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"_Toc134304523" </w:instrText>
      </w:r>
      <w:r>
        <w:rPr>
          <w:color w:val="auto"/>
          <w:highlight w:val="none"/>
        </w:rPr>
        <w:fldChar w:fldCharType="separate"/>
      </w:r>
      <w:r>
        <w:rPr>
          <w:rStyle w:val="41"/>
          <w:color w:val="auto"/>
          <w:highlight w:val="none"/>
        </w:rPr>
        <w:t xml:space="preserve">1. </w:t>
      </w:r>
      <w:r>
        <w:rPr>
          <w:rStyle w:val="41"/>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_Toc134304523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C976B7B">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"_Toc134304524" </w:instrText>
      </w:r>
      <w:r>
        <w:rPr>
          <w:color w:val="auto"/>
          <w:highlight w:val="none"/>
        </w:rPr>
        <w:fldChar w:fldCharType="separate"/>
      </w:r>
      <w:r>
        <w:rPr>
          <w:rStyle w:val="41"/>
          <w:color w:val="auto"/>
          <w:highlight w:val="none"/>
        </w:rPr>
        <w:t xml:space="preserve">1.1 </w:t>
      </w:r>
      <w:r>
        <w:rPr>
          <w:rStyle w:val="41"/>
          <w:rFonts w:hint="eastAsia"/>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_Toc134304524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0C138408">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"_Toc134304525" </w:instrText>
      </w:r>
      <w:r>
        <w:rPr>
          <w:color w:val="auto"/>
          <w:highlight w:val="none"/>
        </w:rPr>
        <w:fldChar w:fldCharType="separate"/>
      </w:r>
      <w:r>
        <w:rPr>
          <w:rStyle w:val="41"/>
          <w:color w:val="auto"/>
          <w:highlight w:val="none"/>
        </w:rPr>
        <w:t xml:space="preserve">1.2 </w:t>
      </w:r>
      <w:r>
        <w:rPr>
          <w:rStyle w:val="41"/>
          <w:rFonts w:hint="eastAsia"/>
          <w:color w:val="auto"/>
          <w:highlight w:val="none"/>
        </w:rPr>
        <w:t>项目的资金来源和落实情况</w:t>
      </w:r>
      <w:r>
        <w:rPr>
          <w:color w:val="auto"/>
          <w:highlight w:val="none"/>
        </w:rPr>
        <w:tab/>
      </w:r>
      <w:r>
        <w:rPr>
          <w:color w:val="auto"/>
          <w:highlight w:val="none"/>
        </w:rPr>
        <w:fldChar w:fldCharType="begin"/>
      </w:r>
      <w:r>
        <w:rPr>
          <w:color w:val="auto"/>
          <w:highlight w:val="none"/>
        </w:rPr>
        <w:instrText xml:space="preserve"> PAGEREF _Toc134304525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7BF21C93">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"_Toc134304526" </w:instrText>
      </w:r>
      <w:r>
        <w:rPr>
          <w:color w:val="auto"/>
          <w:highlight w:val="none"/>
        </w:rPr>
        <w:fldChar w:fldCharType="separate"/>
      </w:r>
      <w:r>
        <w:rPr>
          <w:rStyle w:val="41"/>
          <w:color w:val="auto"/>
          <w:highlight w:val="none"/>
        </w:rPr>
        <w:t xml:space="preserve">1.3 </w:t>
      </w:r>
      <w:r>
        <w:rPr>
          <w:rStyle w:val="41"/>
          <w:rFonts w:hint="eastAsia"/>
          <w:color w:val="auto"/>
          <w:highlight w:val="none"/>
        </w:rPr>
        <w:t>招标范围、计划工期和质量标准</w:t>
      </w:r>
      <w:r>
        <w:rPr>
          <w:color w:val="auto"/>
          <w:highlight w:val="none"/>
        </w:rPr>
        <w:tab/>
      </w:r>
      <w:r>
        <w:rPr>
          <w:color w:val="auto"/>
          <w:highlight w:val="none"/>
        </w:rPr>
        <w:fldChar w:fldCharType="begin"/>
      </w:r>
      <w:r>
        <w:rPr>
          <w:color w:val="auto"/>
          <w:highlight w:val="none"/>
        </w:rPr>
        <w:instrText xml:space="preserve"> PAGEREF _Toc134304526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408A6D8">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"_Toc134304527" </w:instrText>
      </w:r>
      <w:r>
        <w:rPr>
          <w:color w:val="auto"/>
          <w:highlight w:val="none"/>
        </w:rPr>
        <w:fldChar w:fldCharType="separate"/>
      </w:r>
      <w:r>
        <w:rPr>
          <w:rStyle w:val="41"/>
          <w:color w:val="auto"/>
          <w:highlight w:val="none"/>
        </w:rPr>
        <w:t xml:space="preserve">1.4 </w:t>
      </w:r>
      <w:r>
        <w:rPr>
          <w:rStyle w:val="41"/>
          <w:rFonts w:hint="eastAsia"/>
          <w:color w:val="auto"/>
          <w:highlight w:val="none"/>
        </w:rPr>
        <w:t>投标人资格要求（适用于未进行资格预审的）</w:t>
      </w:r>
      <w:r>
        <w:rPr>
          <w:color w:val="auto"/>
          <w:highlight w:val="none"/>
        </w:rPr>
        <w:tab/>
      </w:r>
      <w:r>
        <w:rPr>
          <w:color w:val="auto"/>
          <w:highlight w:val="none"/>
        </w:rPr>
        <w:fldChar w:fldCharType="begin"/>
      </w:r>
      <w:r>
        <w:rPr>
          <w:color w:val="auto"/>
          <w:highlight w:val="none"/>
        </w:rPr>
        <w:instrText xml:space="preserve"> PAGEREF _Toc134304527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A27D390">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"_Toc134304528" </w:instrText>
      </w:r>
      <w:r>
        <w:rPr>
          <w:color w:val="auto"/>
          <w:highlight w:val="none"/>
        </w:rPr>
        <w:fldChar w:fldCharType="separate"/>
      </w:r>
      <w:r>
        <w:rPr>
          <w:rStyle w:val="41"/>
          <w:color w:val="auto"/>
          <w:highlight w:val="none"/>
        </w:rPr>
        <w:t xml:space="preserve">1.5 </w:t>
      </w:r>
      <w:r>
        <w:rPr>
          <w:rStyle w:val="41"/>
          <w:rFonts w:hint="eastAsia"/>
          <w:color w:val="auto"/>
          <w:highlight w:val="none"/>
        </w:rPr>
        <w:t>费用承担和设计成果补偿</w:t>
      </w:r>
      <w:r>
        <w:rPr>
          <w:color w:val="auto"/>
          <w:highlight w:val="none"/>
        </w:rPr>
        <w:tab/>
      </w:r>
      <w:r>
        <w:rPr>
          <w:color w:val="auto"/>
          <w:highlight w:val="none"/>
        </w:rPr>
        <w:fldChar w:fldCharType="begin"/>
      </w:r>
      <w:r>
        <w:rPr>
          <w:color w:val="auto"/>
          <w:highlight w:val="none"/>
        </w:rPr>
        <w:instrText xml:space="preserve"> PAGEREF _Toc134304528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0A67346">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"_Toc134304529" </w:instrText>
      </w:r>
      <w:r>
        <w:rPr>
          <w:color w:val="auto"/>
          <w:highlight w:val="none"/>
        </w:rPr>
        <w:fldChar w:fldCharType="separate"/>
      </w:r>
      <w:r>
        <w:rPr>
          <w:rStyle w:val="41"/>
          <w:color w:val="auto"/>
          <w:highlight w:val="none"/>
        </w:rPr>
        <w:t xml:space="preserve">1.6 </w:t>
      </w:r>
      <w:r>
        <w:rPr>
          <w:rStyle w:val="41"/>
          <w:rFonts w:hint="eastAsia"/>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_Toc134304529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113D7DF">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"_Toc134304530" </w:instrText>
      </w:r>
      <w:r>
        <w:rPr>
          <w:color w:val="auto"/>
          <w:highlight w:val="none"/>
        </w:rPr>
        <w:fldChar w:fldCharType="separate"/>
      </w:r>
      <w:r>
        <w:rPr>
          <w:rStyle w:val="41"/>
          <w:color w:val="auto"/>
          <w:highlight w:val="none"/>
        </w:rPr>
        <w:t xml:space="preserve">1.7 </w:t>
      </w:r>
      <w:r>
        <w:rPr>
          <w:rStyle w:val="41"/>
          <w:rFonts w:hint="eastAsia"/>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_Toc134304530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58BEDBD">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"_Toc134304531" </w:instrText>
      </w:r>
      <w:r>
        <w:rPr>
          <w:color w:val="auto"/>
          <w:highlight w:val="none"/>
        </w:rPr>
        <w:fldChar w:fldCharType="separate"/>
      </w:r>
      <w:r>
        <w:rPr>
          <w:rStyle w:val="41"/>
          <w:color w:val="auto"/>
          <w:highlight w:val="none"/>
        </w:rPr>
        <w:t xml:space="preserve">1.8 </w:t>
      </w:r>
      <w:r>
        <w:rPr>
          <w:rStyle w:val="41"/>
          <w:rFonts w:hint="eastAsia"/>
          <w:color w:val="auto"/>
          <w:highlight w:val="none"/>
        </w:rPr>
        <w:t>计量单位</w:t>
      </w:r>
      <w:r>
        <w:rPr>
          <w:color w:val="auto"/>
          <w:highlight w:val="none"/>
        </w:rPr>
        <w:tab/>
      </w:r>
      <w:r>
        <w:rPr>
          <w:color w:val="auto"/>
          <w:highlight w:val="none"/>
        </w:rPr>
        <w:fldChar w:fldCharType="begin"/>
      </w:r>
      <w:r>
        <w:rPr>
          <w:color w:val="auto"/>
          <w:highlight w:val="none"/>
        </w:rPr>
        <w:instrText xml:space="preserve"> PAGEREF _Toc134304531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E71D618">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"_Toc134304532" </w:instrText>
      </w:r>
      <w:r>
        <w:rPr>
          <w:color w:val="auto"/>
          <w:highlight w:val="none"/>
        </w:rPr>
        <w:fldChar w:fldCharType="separate"/>
      </w:r>
      <w:r>
        <w:rPr>
          <w:rStyle w:val="41"/>
          <w:color w:val="auto"/>
          <w:highlight w:val="none"/>
        </w:rPr>
        <w:t xml:space="preserve">1.9 </w:t>
      </w:r>
      <w:r>
        <w:rPr>
          <w:rStyle w:val="41"/>
          <w:rFonts w:hint="eastAsia"/>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_Toc134304532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FBFC4FF">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"_Toc134304533" </w:instrText>
      </w:r>
      <w:r>
        <w:rPr>
          <w:color w:val="auto"/>
          <w:highlight w:val="none"/>
        </w:rPr>
        <w:fldChar w:fldCharType="separate"/>
      </w:r>
      <w:r>
        <w:rPr>
          <w:rStyle w:val="41"/>
          <w:color w:val="auto"/>
          <w:highlight w:val="none"/>
        </w:rPr>
        <w:t xml:space="preserve">1.10 </w:t>
      </w:r>
      <w:r>
        <w:rPr>
          <w:rStyle w:val="41"/>
          <w:rFonts w:hint="eastAsia"/>
          <w:color w:val="auto"/>
          <w:highlight w:val="none"/>
        </w:rPr>
        <w:t>招标答疑</w:t>
      </w:r>
      <w:r>
        <w:rPr>
          <w:color w:val="auto"/>
          <w:highlight w:val="none"/>
        </w:rPr>
        <w:tab/>
      </w:r>
      <w:r>
        <w:rPr>
          <w:color w:val="auto"/>
          <w:highlight w:val="none"/>
        </w:rPr>
        <w:fldChar w:fldCharType="begin"/>
      </w:r>
      <w:r>
        <w:rPr>
          <w:color w:val="auto"/>
          <w:highlight w:val="none"/>
        </w:rPr>
        <w:instrText xml:space="preserve"> PAGEREF _Toc134304533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610C7849">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"_Toc134304534" </w:instrText>
      </w:r>
      <w:r>
        <w:rPr>
          <w:color w:val="auto"/>
          <w:highlight w:val="none"/>
        </w:rPr>
        <w:fldChar w:fldCharType="separate"/>
      </w:r>
      <w:r>
        <w:rPr>
          <w:rStyle w:val="41"/>
          <w:color w:val="auto"/>
          <w:highlight w:val="none"/>
        </w:rPr>
        <w:t xml:space="preserve">1.11 </w:t>
      </w:r>
      <w:r>
        <w:rPr>
          <w:rStyle w:val="41"/>
          <w:rFonts w:hint="eastAsia"/>
          <w:color w:val="auto"/>
          <w:highlight w:val="none"/>
        </w:rPr>
        <w:t>分包</w:t>
      </w:r>
      <w:r>
        <w:rPr>
          <w:color w:val="auto"/>
          <w:highlight w:val="none"/>
        </w:rPr>
        <w:tab/>
      </w:r>
      <w:r>
        <w:rPr>
          <w:color w:val="auto"/>
          <w:highlight w:val="none"/>
        </w:rPr>
        <w:fldChar w:fldCharType="begin"/>
      </w:r>
      <w:r>
        <w:rPr>
          <w:color w:val="auto"/>
          <w:highlight w:val="none"/>
        </w:rPr>
        <w:instrText xml:space="preserve"> PAGEREF _Toc134304534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11160915">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"_Toc134304535" </w:instrText>
      </w:r>
      <w:r>
        <w:rPr>
          <w:color w:val="auto"/>
          <w:highlight w:val="none"/>
        </w:rPr>
        <w:fldChar w:fldCharType="separate"/>
      </w:r>
      <w:r>
        <w:rPr>
          <w:rStyle w:val="41"/>
          <w:color w:val="auto"/>
          <w:highlight w:val="none"/>
        </w:rPr>
        <w:t xml:space="preserve">1.12 </w:t>
      </w:r>
      <w:r>
        <w:rPr>
          <w:rStyle w:val="41"/>
          <w:rFonts w:hint="eastAsia"/>
          <w:color w:val="auto"/>
          <w:highlight w:val="none"/>
        </w:rPr>
        <w:t>偏离</w:t>
      </w:r>
      <w:r>
        <w:rPr>
          <w:color w:val="auto"/>
          <w:highlight w:val="none"/>
        </w:rPr>
        <w:tab/>
      </w:r>
      <w:r>
        <w:rPr>
          <w:color w:val="auto"/>
          <w:highlight w:val="none"/>
        </w:rPr>
        <w:fldChar w:fldCharType="begin"/>
      </w:r>
      <w:r>
        <w:rPr>
          <w:color w:val="auto"/>
          <w:highlight w:val="none"/>
        </w:rPr>
        <w:instrText xml:space="preserve"> PAGEREF _Toc134304535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191FE8FC">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"_Toc134304536" </w:instrText>
      </w:r>
      <w:r>
        <w:rPr>
          <w:color w:val="auto"/>
          <w:highlight w:val="none"/>
        </w:rPr>
        <w:fldChar w:fldCharType="separate"/>
      </w:r>
      <w:r>
        <w:rPr>
          <w:rStyle w:val="41"/>
          <w:color w:val="auto"/>
          <w:highlight w:val="none"/>
        </w:rPr>
        <w:t xml:space="preserve">2. </w:t>
      </w:r>
      <w:r>
        <w:rPr>
          <w:rStyle w:val="41"/>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_Toc134304536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1A816F4">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"_Toc134304537" </w:instrText>
      </w:r>
      <w:r>
        <w:rPr>
          <w:color w:val="auto"/>
          <w:highlight w:val="none"/>
        </w:rPr>
        <w:fldChar w:fldCharType="separate"/>
      </w:r>
      <w:r>
        <w:rPr>
          <w:rStyle w:val="41"/>
          <w:color w:val="auto"/>
          <w:highlight w:val="none"/>
        </w:rPr>
        <w:t xml:space="preserve">2.1 </w:t>
      </w:r>
      <w:r>
        <w:rPr>
          <w:rStyle w:val="41"/>
          <w:rFonts w:hint="eastAsia"/>
          <w:color w:val="auto"/>
          <w:highlight w:val="none"/>
        </w:rPr>
        <w:t>招标文件的组成</w:t>
      </w:r>
      <w:r>
        <w:rPr>
          <w:color w:val="auto"/>
          <w:highlight w:val="none"/>
        </w:rPr>
        <w:tab/>
      </w:r>
      <w:r>
        <w:rPr>
          <w:color w:val="auto"/>
          <w:highlight w:val="none"/>
        </w:rPr>
        <w:fldChar w:fldCharType="begin"/>
      </w:r>
      <w:r>
        <w:rPr>
          <w:color w:val="auto"/>
          <w:highlight w:val="none"/>
        </w:rPr>
        <w:instrText xml:space="preserve"> PAGEREF _Toc134304537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A0E017A">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"_Toc134304538" </w:instrText>
      </w:r>
      <w:r>
        <w:rPr>
          <w:color w:val="auto"/>
          <w:highlight w:val="none"/>
        </w:rPr>
        <w:fldChar w:fldCharType="separate"/>
      </w:r>
      <w:r>
        <w:rPr>
          <w:rStyle w:val="41"/>
          <w:color w:val="auto"/>
          <w:highlight w:val="none"/>
        </w:rPr>
        <w:t xml:space="preserve">2.2 </w:t>
      </w:r>
      <w:r>
        <w:rPr>
          <w:rStyle w:val="41"/>
          <w:rFonts w:hint="eastAsia"/>
          <w:color w:val="auto"/>
          <w:highlight w:val="none"/>
        </w:rPr>
        <w:t>招标文件的澄清</w:t>
      </w:r>
      <w:r>
        <w:rPr>
          <w:color w:val="auto"/>
          <w:highlight w:val="none"/>
        </w:rPr>
        <w:tab/>
      </w:r>
      <w:r>
        <w:rPr>
          <w:color w:val="auto"/>
          <w:highlight w:val="none"/>
        </w:rPr>
        <w:fldChar w:fldCharType="begin"/>
      </w:r>
      <w:r>
        <w:rPr>
          <w:color w:val="auto"/>
          <w:highlight w:val="none"/>
        </w:rPr>
        <w:instrText xml:space="preserve"> PAGEREF _Toc134304538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F87AAF0">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"_Toc134304539" </w:instrText>
      </w:r>
      <w:r>
        <w:rPr>
          <w:color w:val="auto"/>
          <w:highlight w:val="none"/>
        </w:rPr>
        <w:fldChar w:fldCharType="separate"/>
      </w:r>
      <w:r>
        <w:rPr>
          <w:rStyle w:val="41"/>
          <w:color w:val="auto"/>
          <w:highlight w:val="none"/>
        </w:rPr>
        <w:t xml:space="preserve">2.3 </w:t>
      </w:r>
      <w:r>
        <w:rPr>
          <w:rStyle w:val="41"/>
          <w:rFonts w:hint="eastAsia"/>
          <w:color w:val="auto"/>
          <w:highlight w:val="none"/>
        </w:rPr>
        <w:t>招标文件的修改</w:t>
      </w:r>
      <w:r>
        <w:rPr>
          <w:color w:val="auto"/>
          <w:highlight w:val="none"/>
        </w:rPr>
        <w:tab/>
      </w:r>
      <w:r>
        <w:rPr>
          <w:color w:val="auto"/>
          <w:highlight w:val="none"/>
        </w:rPr>
        <w:fldChar w:fldCharType="begin"/>
      </w:r>
      <w:r>
        <w:rPr>
          <w:color w:val="auto"/>
          <w:highlight w:val="none"/>
        </w:rPr>
        <w:instrText xml:space="preserve"> PAGEREF _Toc134304539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A4C20EB">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"_Toc134304540" </w:instrText>
      </w:r>
      <w:r>
        <w:rPr>
          <w:color w:val="auto"/>
          <w:highlight w:val="none"/>
        </w:rPr>
        <w:fldChar w:fldCharType="separate"/>
      </w:r>
      <w:r>
        <w:rPr>
          <w:rStyle w:val="41"/>
          <w:color w:val="auto"/>
          <w:highlight w:val="none"/>
        </w:rPr>
        <w:t xml:space="preserve">3. </w:t>
      </w:r>
      <w:r>
        <w:rPr>
          <w:rStyle w:val="41"/>
          <w:rFonts w:hint="eastAsia"/>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_Toc134304540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D634E23">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"_Toc134304541" </w:instrText>
      </w:r>
      <w:r>
        <w:rPr>
          <w:color w:val="auto"/>
          <w:highlight w:val="none"/>
        </w:rPr>
        <w:fldChar w:fldCharType="separate"/>
      </w:r>
      <w:r>
        <w:rPr>
          <w:rStyle w:val="41"/>
          <w:color w:val="auto"/>
          <w:highlight w:val="none"/>
        </w:rPr>
        <w:t xml:space="preserve">3.1 </w:t>
      </w:r>
      <w:r>
        <w:rPr>
          <w:rStyle w:val="41"/>
          <w:rFonts w:hint="eastAsia"/>
          <w:color w:val="auto"/>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_Toc134304541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F66BEC2">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"_Toc134304542" </w:instrText>
      </w:r>
      <w:r>
        <w:rPr>
          <w:color w:val="auto"/>
          <w:highlight w:val="none"/>
        </w:rPr>
        <w:fldChar w:fldCharType="separate"/>
      </w:r>
      <w:r>
        <w:rPr>
          <w:rStyle w:val="41"/>
          <w:color w:val="auto"/>
          <w:highlight w:val="none"/>
        </w:rPr>
        <w:t xml:space="preserve">3.2 </w:t>
      </w:r>
      <w:r>
        <w:rPr>
          <w:rStyle w:val="41"/>
          <w:rFonts w:hint="eastAsia"/>
          <w:color w:val="auto"/>
          <w:highlight w:val="none"/>
        </w:rPr>
        <w:t>投标报价</w:t>
      </w:r>
      <w:r>
        <w:rPr>
          <w:color w:val="auto"/>
          <w:highlight w:val="none"/>
        </w:rPr>
        <w:tab/>
      </w:r>
      <w:r>
        <w:rPr>
          <w:color w:val="auto"/>
          <w:highlight w:val="none"/>
        </w:rPr>
        <w:fldChar w:fldCharType="begin"/>
      </w:r>
      <w:r>
        <w:rPr>
          <w:color w:val="auto"/>
          <w:highlight w:val="none"/>
        </w:rPr>
        <w:instrText xml:space="preserve"> PAGEREF _Toc134304542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BC331C7">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"_Toc134304543" </w:instrText>
      </w:r>
      <w:r>
        <w:rPr>
          <w:color w:val="auto"/>
          <w:highlight w:val="none"/>
        </w:rPr>
        <w:fldChar w:fldCharType="separate"/>
      </w:r>
      <w:r>
        <w:rPr>
          <w:rStyle w:val="41"/>
          <w:color w:val="auto"/>
          <w:highlight w:val="none"/>
        </w:rPr>
        <w:t xml:space="preserve">3.3 </w:t>
      </w:r>
      <w:r>
        <w:rPr>
          <w:rStyle w:val="41"/>
          <w:rFonts w:hint="eastAsia"/>
          <w:color w:val="auto"/>
          <w:highlight w:val="none"/>
        </w:rPr>
        <w:t>投标有效期</w:t>
      </w:r>
      <w:r>
        <w:rPr>
          <w:color w:val="auto"/>
          <w:highlight w:val="none"/>
        </w:rPr>
        <w:tab/>
      </w:r>
      <w:r>
        <w:rPr>
          <w:color w:val="auto"/>
          <w:highlight w:val="none"/>
        </w:rPr>
        <w:fldChar w:fldCharType="begin"/>
      </w:r>
      <w:r>
        <w:rPr>
          <w:color w:val="auto"/>
          <w:highlight w:val="none"/>
        </w:rPr>
        <w:instrText xml:space="preserve"> PAGEREF _Toc134304543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57A7135C">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"_Toc134304544" </w:instrText>
      </w:r>
      <w:r>
        <w:rPr>
          <w:color w:val="auto"/>
          <w:highlight w:val="none"/>
        </w:rPr>
        <w:fldChar w:fldCharType="separate"/>
      </w:r>
      <w:r>
        <w:rPr>
          <w:rStyle w:val="41"/>
          <w:color w:val="auto"/>
          <w:highlight w:val="none"/>
        </w:rPr>
        <w:t xml:space="preserve">3.4 </w:t>
      </w:r>
      <w:r>
        <w:rPr>
          <w:rStyle w:val="41"/>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_Toc134304544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5E356055">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"_Toc134304545" </w:instrText>
      </w:r>
      <w:r>
        <w:rPr>
          <w:color w:val="auto"/>
          <w:highlight w:val="none"/>
        </w:rPr>
        <w:fldChar w:fldCharType="separate"/>
      </w:r>
      <w:r>
        <w:rPr>
          <w:rStyle w:val="41"/>
          <w:color w:val="auto"/>
          <w:highlight w:val="none"/>
        </w:rPr>
        <w:t xml:space="preserve">3.5 </w:t>
      </w:r>
      <w:r>
        <w:rPr>
          <w:rStyle w:val="41"/>
          <w:rFonts w:hint="eastAsia"/>
          <w:color w:val="auto"/>
          <w:highlight w:val="none"/>
        </w:rPr>
        <w:t>资格审查资料（适用于未进行资格预审的）</w:t>
      </w:r>
      <w:r>
        <w:rPr>
          <w:color w:val="auto"/>
          <w:highlight w:val="none"/>
        </w:rPr>
        <w:tab/>
      </w:r>
      <w:r>
        <w:rPr>
          <w:color w:val="auto"/>
          <w:highlight w:val="none"/>
        </w:rPr>
        <w:fldChar w:fldCharType="begin"/>
      </w:r>
      <w:r>
        <w:rPr>
          <w:color w:val="auto"/>
          <w:highlight w:val="none"/>
        </w:rPr>
        <w:instrText xml:space="preserve"> PAGEREF _Toc134304545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DF7300D">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"_Toc134304546" </w:instrText>
      </w:r>
      <w:r>
        <w:rPr>
          <w:color w:val="auto"/>
          <w:highlight w:val="none"/>
        </w:rPr>
        <w:fldChar w:fldCharType="separate"/>
      </w:r>
      <w:r>
        <w:rPr>
          <w:rStyle w:val="41"/>
          <w:color w:val="auto"/>
          <w:highlight w:val="none"/>
        </w:rPr>
        <w:t xml:space="preserve">3.6 </w:t>
      </w:r>
      <w:r>
        <w:rPr>
          <w:rStyle w:val="41"/>
          <w:rFonts w:hint="eastAsia"/>
          <w:color w:val="auto"/>
          <w:highlight w:val="none"/>
        </w:rPr>
        <w:t>备选投标方案</w:t>
      </w:r>
      <w:r>
        <w:rPr>
          <w:color w:val="auto"/>
          <w:highlight w:val="none"/>
        </w:rPr>
        <w:tab/>
      </w:r>
      <w:r>
        <w:rPr>
          <w:color w:val="auto"/>
          <w:highlight w:val="none"/>
        </w:rPr>
        <w:fldChar w:fldCharType="begin"/>
      </w:r>
      <w:r>
        <w:rPr>
          <w:color w:val="auto"/>
          <w:highlight w:val="none"/>
        </w:rPr>
        <w:instrText xml:space="preserve"> PAGEREF _Toc134304546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5C825535">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"_Toc134304547" </w:instrText>
      </w:r>
      <w:r>
        <w:rPr>
          <w:color w:val="auto"/>
          <w:highlight w:val="none"/>
        </w:rPr>
        <w:fldChar w:fldCharType="separate"/>
      </w:r>
      <w:r>
        <w:rPr>
          <w:rStyle w:val="41"/>
          <w:color w:val="auto"/>
          <w:highlight w:val="none"/>
        </w:rPr>
        <w:t xml:space="preserve">3.7 </w:t>
      </w:r>
      <w:r>
        <w:rPr>
          <w:rStyle w:val="41"/>
          <w:rFonts w:hint="eastAsia"/>
          <w:color w:val="auto"/>
          <w:highlight w:val="none"/>
        </w:rPr>
        <w:t>投标文件的编制</w:t>
      </w:r>
      <w:r>
        <w:rPr>
          <w:color w:val="auto"/>
          <w:highlight w:val="none"/>
        </w:rPr>
        <w:tab/>
      </w:r>
      <w:r>
        <w:rPr>
          <w:color w:val="auto"/>
          <w:highlight w:val="none"/>
        </w:rPr>
        <w:fldChar w:fldCharType="begin"/>
      </w:r>
      <w:r>
        <w:rPr>
          <w:color w:val="auto"/>
          <w:highlight w:val="none"/>
        </w:rPr>
        <w:instrText xml:space="preserve"> PAGEREF _Toc134304547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6EE24565">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"_Toc134304548" </w:instrText>
      </w:r>
      <w:r>
        <w:rPr>
          <w:color w:val="auto"/>
          <w:highlight w:val="none"/>
        </w:rPr>
        <w:fldChar w:fldCharType="separate"/>
      </w:r>
      <w:r>
        <w:rPr>
          <w:rStyle w:val="41"/>
          <w:color w:val="auto"/>
          <w:highlight w:val="none"/>
        </w:rPr>
        <w:t xml:space="preserve">4. </w:t>
      </w:r>
      <w:r>
        <w:rPr>
          <w:rStyle w:val="41"/>
          <w:rFonts w:hint="eastAsia"/>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_Toc134304548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E76D148">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"_Toc134304549" </w:instrText>
      </w:r>
      <w:r>
        <w:rPr>
          <w:color w:val="auto"/>
          <w:highlight w:val="none"/>
        </w:rPr>
        <w:fldChar w:fldCharType="separate"/>
      </w:r>
      <w:r>
        <w:rPr>
          <w:rStyle w:val="41"/>
          <w:color w:val="auto"/>
          <w:highlight w:val="none"/>
        </w:rPr>
        <w:t xml:space="preserve">4.1 </w:t>
      </w:r>
      <w:r>
        <w:rPr>
          <w:rStyle w:val="41"/>
          <w:rFonts w:hint="eastAsia"/>
          <w:color w:val="auto"/>
          <w:highlight w:val="none"/>
        </w:rPr>
        <w:t>投标文件的密封和标记</w:t>
      </w:r>
      <w:r>
        <w:rPr>
          <w:color w:val="auto"/>
          <w:highlight w:val="none"/>
        </w:rPr>
        <w:tab/>
      </w:r>
      <w:r>
        <w:rPr>
          <w:color w:val="auto"/>
          <w:highlight w:val="none"/>
        </w:rPr>
        <w:fldChar w:fldCharType="begin"/>
      </w:r>
      <w:r>
        <w:rPr>
          <w:color w:val="auto"/>
          <w:highlight w:val="none"/>
        </w:rPr>
        <w:instrText xml:space="preserve"> PAGEREF _Toc134304549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060C02A8">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"_Toc134304550" </w:instrText>
      </w:r>
      <w:r>
        <w:rPr>
          <w:color w:val="auto"/>
          <w:highlight w:val="none"/>
        </w:rPr>
        <w:fldChar w:fldCharType="separate"/>
      </w:r>
      <w:r>
        <w:rPr>
          <w:rStyle w:val="41"/>
          <w:color w:val="auto"/>
          <w:highlight w:val="none"/>
        </w:rPr>
        <w:t xml:space="preserve">4.2 </w:t>
      </w:r>
      <w:r>
        <w:rPr>
          <w:rStyle w:val="41"/>
          <w:rFonts w:hint="eastAsia"/>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_Toc134304550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84891BD">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"_Toc134304551" </w:instrText>
      </w:r>
      <w:r>
        <w:rPr>
          <w:color w:val="auto"/>
          <w:highlight w:val="none"/>
        </w:rPr>
        <w:fldChar w:fldCharType="separate"/>
      </w:r>
      <w:r>
        <w:rPr>
          <w:rStyle w:val="41"/>
          <w:color w:val="auto"/>
          <w:highlight w:val="none"/>
        </w:rPr>
        <w:t xml:space="preserve">4.3 </w:t>
      </w:r>
      <w:r>
        <w:rPr>
          <w:rStyle w:val="41"/>
          <w:rFonts w:hint="eastAsia"/>
          <w:color w:val="auto"/>
          <w:highlight w:val="none"/>
        </w:rPr>
        <w:t>投标文件的修改与撤回</w:t>
      </w:r>
      <w:r>
        <w:rPr>
          <w:color w:val="auto"/>
          <w:highlight w:val="none"/>
        </w:rPr>
        <w:tab/>
      </w:r>
      <w:r>
        <w:rPr>
          <w:color w:val="auto"/>
          <w:highlight w:val="none"/>
        </w:rPr>
        <w:fldChar w:fldCharType="begin"/>
      </w:r>
      <w:r>
        <w:rPr>
          <w:color w:val="auto"/>
          <w:highlight w:val="none"/>
        </w:rPr>
        <w:instrText xml:space="preserve"> PAGEREF _Toc134304551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7ACC515">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"_Toc134304552" </w:instrText>
      </w:r>
      <w:r>
        <w:rPr>
          <w:color w:val="auto"/>
          <w:highlight w:val="none"/>
        </w:rPr>
        <w:fldChar w:fldCharType="separate"/>
      </w:r>
      <w:r>
        <w:rPr>
          <w:rStyle w:val="41"/>
          <w:color w:val="auto"/>
          <w:highlight w:val="none"/>
        </w:rPr>
        <w:t xml:space="preserve">5. </w:t>
      </w:r>
      <w:r>
        <w:rPr>
          <w:rStyle w:val="41"/>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_Toc134304552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0B3EC408">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"_Toc134304553" </w:instrText>
      </w:r>
      <w:r>
        <w:rPr>
          <w:color w:val="auto"/>
          <w:highlight w:val="none"/>
        </w:rPr>
        <w:fldChar w:fldCharType="separate"/>
      </w:r>
      <w:r>
        <w:rPr>
          <w:rStyle w:val="41"/>
          <w:color w:val="auto"/>
          <w:highlight w:val="none"/>
        </w:rPr>
        <w:t xml:space="preserve">5.1 </w:t>
      </w:r>
      <w:r>
        <w:rPr>
          <w:rStyle w:val="41"/>
          <w:rFonts w:hint="eastAsia"/>
          <w:color w:val="auto"/>
          <w:highlight w:val="none"/>
        </w:rPr>
        <w:t>开标时间和地点</w:t>
      </w:r>
      <w:r>
        <w:rPr>
          <w:color w:val="auto"/>
          <w:highlight w:val="none"/>
        </w:rPr>
        <w:tab/>
      </w:r>
      <w:r>
        <w:rPr>
          <w:color w:val="auto"/>
          <w:highlight w:val="none"/>
        </w:rPr>
        <w:fldChar w:fldCharType="begin"/>
      </w:r>
      <w:r>
        <w:rPr>
          <w:color w:val="auto"/>
          <w:highlight w:val="none"/>
        </w:rPr>
        <w:instrText xml:space="preserve"> PAGEREF _Toc134304553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A9B6A7B">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"_Toc134304554" </w:instrText>
      </w:r>
      <w:r>
        <w:rPr>
          <w:color w:val="auto"/>
          <w:highlight w:val="none"/>
        </w:rPr>
        <w:fldChar w:fldCharType="separate"/>
      </w:r>
      <w:r>
        <w:rPr>
          <w:rStyle w:val="41"/>
          <w:color w:val="auto"/>
          <w:highlight w:val="none"/>
        </w:rPr>
        <w:t xml:space="preserve">5.2 </w:t>
      </w:r>
      <w:r>
        <w:rPr>
          <w:rStyle w:val="41"/>
          <w:rFonts w:hint="eastAsia"/>
          <w:color w:val="auto"/>
          <w:highlight w:val="none"/>
        </w:rPr>
        <w:t>开标程序</w:t>
      </w:r>
      <w:r>
        <w:rPr>
          <w:color w:val="auto"/>
          <w:highlight w:val="none"/>
        </w:rPr>
        <w:tab/>
      </w:r>
      <w:r>
        <w:rPr>
          <w:color w:val="auto"/>
          <w:highlight w:val="none"/>
        </w:rPr>
        <w:fldChar w:fldCharType="begin"/>
      </w:r>
      <w:r>
        <w:rPr>
          <w:color w:val="auto"/>
          <w:highlight w:val="none"/>
        </w:rPr>
        <w:instrText xml:space="preserve"> PAGEREF _Toc134304554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0AA25715">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"_Toc134304555" </w:instrText>
      </w:r>
      <w:r>
        <w:rPr>
          <w:color w:val="auto"/>
          <w:highlight w:val="none"/>
        </w:rPr>
        <w:fldChar w:fldCharType="separate"/>
      </w:r>
      <w:r>
        <w:rPr>
          <w:rStyle w:val="41"/>
          <w:color w:val="auto"/>
          <w:highlight w:val="none"/>
        </w:rPr>
        <w:t xml:space="preserve">5.3 </w:t>
      </w:r>
      <w:r>
        <w:rPr>
          <w:rStyle w:val="41"/>
          <w:rFonts w:hint="eastAsia"/>
          <w:color w:val="auto"/>
          <w:highlight w:val="none"/>
        </w:rPr>
        <w:t>开标异议</w:t>
      </w:r>
      <w:r>
        <w:rPr>
          <w:color w:val="auto"/>
          <w:highlight w:val="none"/>
        </w:rPr>
        <w:tab/>
      </w:r>
      <w:r>
        <w:rPr>
          <w:color w:val="auto"/>
          <w:highlight w:val="none"/>
        </w:rPr>
        <w:fldChar w:fldCharType="begin"/>
      </w:r>
      <w:r>
        <w:rPr>
          <w:color w:val="auto"/>
          <w:highlight w:val="none"/>
        </w:rPr>
        <w:instrText xml:space="preserve"> PAGEREF _Toc134304555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9DCBA5C">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"_Toc134304556" </w:instrText>
      </w:r>
      <w:r>
        <w:rPr>
          <w:color w:val="auto"/>
          <w:highlight w:val="none"/>
        </w:rPr>
        <w:fldChar w:fldCharType="separate"/>
      </w:r>
      <w:r>
        <w:rPr>
          <w:rStyle w:val="41"/>
          <w:color w:val="auto"/>
          <w:highlight w:val="none"/>
        </w:rPr>
        <w:t>6.</w:t>
      </w:r>
      <w:r>
        <w:rPr>
          <w:rStyle w:val="41"/>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_Toc134304556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377B259">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"_Toc134304557" </w:instrText>
      </w:r>
      <w:r>
        <w:rPr>
          <w:color w:val="auto"/>
          <w:highlight w:val="none"/>
        </w:rPr>
        <w:fldChar w:fldCharType="separate"/>
      </w:r>
      <w:r>
        <w:rPr>
          <w:rStyle w:val="41"/>
          <w:color w:val="auto"/>
          <w:highlight w:val="none"/>
        </w:rPr>
        <w:t xml:space="preserve">6.1 </w:t>
      </w:r>
      <w:r>
        <w:rPr>
          <w:rStyle w:val="41"/>
          <w:rFonts w:hint="eastAsia"/>
          <w:color w:val="auto"/>
          <w:highlight w:val="none"/>
        </w:rPr>
        <w:t>评标委员会</w:t>
      </w:r>
      <w:r>
        <w:rPr>
          <w:color w:val="auto"/>
          <w:highlight w:val="none"/>
        </w:rPr>
        <w:tab/>
      </w:r>
      <w:r>
        <w:rPr>
          <w:color w:val="auto"/>
          <w:highlight w:val="none"/>
        </w:rPr>
        <w:fldChar w:fldCharType="begin"/>
      </w:r>
      <w:r>
        <w:rPr>
          <w:color w:val="auto"/>
          <w:highlight w:val="none"/>
        </w:rPr>
        <w:instrText xml:space="preserve"> PAGEREF _Toc134304557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4C87651D">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"_Toc134304558" </w:instrText>
      </w:r>
      <w:r>
        <w:rPr>
          <w:color w:val="auto"/>
          <w:highlight w:val="none"/>
        </w:rPr>
        <w:fldChar w:fldCharType="separate"/>
      </w:r>
      <w:r>
        <w:rPr>
          <w:rStyle w:val="41"/>
          <w:color w:val="auto"/>
          <w:highlight w:val="none"/>
        </w:rPr>
        <w:t xml:space="preserve">6.2 </w:t>
      </w:r>
      <w:r>
        <w:rPr>
          <w:rStyle w:val="41"/>
          <w:rFonts w:hint="eastAsia"/>
          <w:color w:val="auto"/>
          <w:highlight w:val="none"/>
        </w:rPr>
        <w:t>评标原则</w:t>
      </w:r>
      <w:r>
        <w:rPr>
          <w:color w:val="auto"/>
          <w:highlight w:val="none"/>
        </w:rPr>
        <w:tab/>
      </w:r>
      <w:r>
        <w:rPr>
          <w:color w:val="auto"/>
          <w:highlight w:val="none"/>
        </w:rPr>
        <w:fldChar w:fldCharType="begin"/>
      </w:r>
      <w:r>
        <w:rPr>
          <w:color w:val="auto"/>
          <w:highlight w:val="none"/>
        </w:rPr>
        <w:instrText xml:space="preserve"> PAGEREF _Toc134304558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FF375E3">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"_Toc134304559" </w:instrText>
      </w:r>
      <w:r>
        <w:rPr>
          <w:color w:val="auto"/>
          <w:highlight w:val="none"/>
        </w:rPr>
        <w:fldChar w:fldCharType="separate"/>
      </w:r>
      <w:r>
        <w:rPr>
          <w:rStyle w:val="41"/>
          <w:color w:val="auto"/>
          <w:highlight w:val="none"/>
        </w:rPr>
        <w:t xml:space="preserve">6.3 </w:t>
      </w:r>
      <w:r>
        <w:rPr>
          <w:rStyle w:val="41"/>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_Toc134304559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715DD617">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"_Toc134304560" </w:instrText>
      </w:r>
      <w:r>
        <w:rPr>
          <w:color w:val="auto"/>
          <w:highlight w:val="none"/>
        </w:rPr>
        <w:fldChar w:fldCharType="separate"/>
      </w:r>
      <w:r>
        <w:rPr>
          <w:rStyle w:val="41"/>
          <w:color w:val="auto"/>
          <w:highlight w:val="none"/>
        </w:rPr>
        <w:t xml:space="preserve">7. </w:t>
      </w:r>
      <w:r>
        <w:rPr>
          <w:rStyle w:val="41"/>
          <w:rFonts w:hint="eastAsia"/>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_Toc134304560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FA1F500">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"_Toc134304561" </w:instrText>
      </w:r>
      <w:r>
        <w:rPr>
          <w:color w:val="auto"/>
          <w:highlight w:val="none"/>
        </w:rPr>
        <w:fldChar w:fldCharType="separate"/>
      </w:r>
      <w:r>
        <w:rPr>
          <w:rStyle w:val="41"/>
          <w:color w:val="auto"/>
          <w:highlight w:val="none"/>
        </w:rPr>
        <w:t xml:space="preserve">7.1 </w:t>
      </w:r>
      <w:r>
        <w:rPr>
          <w:rStyle w:val="41"/>
          <w:rFonts w:hint="eastAsia"/>
          <w:color w:val="auto"/>
          <w:highlight w:val="none"/>
        </w:rPr>
        <w:t>定标方式</w:t>
      </w:r>
      <w:r>
        <w:rPr>
          <w:color w:val="auto"/>
          <w:highlight w:val="none"/>
        </w:rPr>
        <w:tab/>
      </w:r>
      <w:r>
        <w:rPr>
          <w:color w:val="auto"/>
          <w:highlight w:val="none"/>
        </w:rPr>
        <w:fldChar w:fldCharType="begin"/>
      </w:r>
      <w:r>
        <w:rPr>
          <w:color w:val="auto"/>
          <w:highlight w:val="none"/>
        </w:rPr>
        <w:instrText xml:space="preserve"> PAGEREF _Toc134304561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3A3C7A6">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"_Toc134304562" </w:instrText>
      </w:r>
      <w:r>
        <w:rPr>
          <w:color w:val="auto"/>
          <w:highlight w:val="none"/>
        </w:rPr>
        <w:fldChar w:fldCharType="separate"/>
      </w:r>
      <w:r>
        <w:rPr>
          <w:rStyle w:val="41"/>
          <w:color w:val="auto"/>
          <w:highlight w:val="none"/>
        </w:rPr>
        <w:t xml:space="preserve">7.2 </w:t>
      </w:r>
      <w:r>
        <w:rPr>
          <w:rStyle w:val="41"/>
          <w:rFonts w:hint="eastAsia"/>
          <w:color w:val="auto"/>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_Toc134304562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17EEE9B1">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"_Toc134304563" </w:instrText>
      </w:r>
      <w:r>
        <w:rPr>
          <w:color w:val="auto"/>
          <w:highlight w:val="none"/>
        </w:rPr>
        <w:fldChar w:fldCharType="separate"/>
      </w:r>
      <w:r>
        <w:rPr>
          <w:rStyle w:val="41"/>
          <w:color w:val="auto"/>
          <w:highlight w:val="none"/>
        </w:rPr>
        <w:t xml:space="preserve">7.3 </w:t>
      </w:r>
      <w:r>
        <w:rPr>
          <w:rStyle w:val="41"/>
          <w:rFonts w:hint="eastAsia"/>
          <w:color w:val="auto"/>
          <w:highlight w:val="none"/>
        </w:rPr>
        <w:t>中标通知</w:t>
      </w:r>
      <w:r>
        <w:rPr>
          <w:color w:val="auto"/>
          <w:highlight w:val="none"/>
        </w:rPr>
        <w:tab/>
      </w:r>
      <w:r>
        <w:rPr>
          <w:color w:val="auto"/>
          <w:highlight w:val="none"/>
        </w:rPr>
        <w:fldChar w:fldCharType="begin"/>
      </w:r>
      <w:r>
        <w:rPr>
          <w:color w:val="auto"/>
          <w:highlight w:val="none"/>
        </w:rPr>
        <w:instrText xml:space="preserve"> PAGEREF _Toc134304563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831D983">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"_Toc134304564" </w:instrText>
      </w:r>
      <w:r>
        <w:rPr>
          <w:color w:val="auto"/>
          <w:highlight w:val="none"/>
        </w:rPr>
        <w:fldChar w:fldCharType="separate"/>
      </w:r>
      <w:r>
        <w:rPr>
          <w:rStyle w:val="41"/>
          <w:color w:val="auto"/>
          <w:highlight w:val="none"/>
        </w:rPr>
        <w:t xml:space="preserve">7.4 </w:t>
      </w:r>
      <w:r>
        <w:rPr>
          <w:rStyle w:val="41"/>
          <w:rFonts w:hint="eastAsia"/>
          <w:color w:val="auto"/>
          <w:highlight w:val="none"/>
        </w:rPr>
        <w:t>履约担保</w:t>
      </w:r>
      <w:r>
        <w:rPr>
          <w:color w:val="auto"/>
          <w:highlight w:val="none"/>
        </w:rPr>
        <w:tab/>
      </w:r>
      <w:r>
        <w:rPr>
          <w:color w:val="auto"/>
          <w:highlight w:val="none"/>
        </w:rPr>
        <w:fldChar w:fldCharType="begin"/>
      </w:r>
      <w:r>
        <w:rPr>
          <w:color w:val="auto"/>
          <w:highlight w:val="none"/>
        </w:rPr>
        <w:instrText xml:space="preserve"> PAGEREF _Toc134304564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5A75C6C">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"_Toc134304565" </w:instrText>
      </w:r>
      <w:r>
        <w:rPr>
          <w:color w:val="auto"/>
          <w:highlight w:val="none"/>
        </w:rPr>
        <w:fldChar w:fldCharType="separate"/>
      </w:r>
      <w:r>
        <w:rPr>
          <w:rStyle w:val="41"/>
          <w:color w:val="auto"/>
          <w:highlight w:val="none"/>
        </w:rPr>
        <w:t xml:space="preserve">7.5 </w:t>
      </w:r>
      <w:r>
        <w:rPr>
          <w:rStyle w:val="41"/>
          <w:rFonts w:hint="eastAsia"/>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_Toc134304565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9A85C05">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"_Toc134304566" </w:instrText>
      </w:r>
      <w:r>
        <w:rPr>
          <w:color w:val="auto"/>
          <w:highlight w:val="none"/>
        </w:rPr>
        <w:fldChar w:fldCharType="separate"/>
      </w:r>
      <w:r>
        <w:rPr>
          <w:rStyle w:val="41"/>
          <w:color w:val="auto"/>
          <w:highlight w:val="none"/>
        </w:rPr>
        <w:t xml:space="preserve">8. </w:t>
      </w:r>
      <w:r>
        <w:rPr>
          <w:rStyle w:val="41"/>
          <w:rFonts w:hint="eastAsia"/>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_Toc134304566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C66840B">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"_Toc134304567" </w:instrText>
      </w:r>
      <w:r>
        <w:rPr>
          <w:color w:val="auto"/>
          <w:highlight w:val="none"/>
        </w:rPr>
        <w:fldChar w:fldCharType="separate"/>
      </w:r>
      <w:r>
        <w:rPr>
          <w:rStyle w:val="41"/>
          <w:color w:val="auto"/>
          <w:highlight w:val="none"/>
        </w:rPr>
        <w:t xml:space="preserve">8.1 </w:t>
      </w:r>
      <w:r>
        <w:rPr>
          <w:rStyle w:val="41"/>
          <w:rFonts w:hint="eastAsia"/>
          <w:color w:val="auto"/>
          <w:highlight w:val="none"/>
        </w:rPr>
        <w:t>对招标人的纪律要求</w:t>
      </w:r>
      <w:r>
        <w:rPr>
          <w:color w:val="auto"/>
          <w:highlight w:val="none"/>
        </w:rPr>
        <w:tab/>
      </w:r>
      <w:r>
        <w:rPr>
          <w:color w:val="auto"/>
          <w:highlight w:val="none"/>
        </w:rPr>
        <w:fldChar w:fldCharType="begin"/>
      </w:r>
      <w:r>
        <w:rPr>
          <w:color w:val="auto"/>
          <w:highlight w:val="none"/>
        </w:rPr>
        <w:instrText xml:space="preserve"> PAGEREF _Toc134304567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759A13D">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"_Toc134304568" </w:instrText>
      </w:r>
      <w:r>
        <w:rPr>
          <w:color w:val="auto"/>
          <w:highlight w:val="none"/>
        </w:rPr>
        <w:fldChar w:fldCharType="separate"/>
      </w:r>
      <w:r>
        <w:rPr>
          <w:rStyle w:val="41"/>
          <w:color w:val="auto"/>
          <w:highlight w:val="none"/>
        </w:rPr>
        <w:t xml:space="preserve">8.2 </w:t>
      </w:r>
      <w:r>
        <w:rPr>
          <w:rStyle w:val="41"/>
          <w:rFonts w:hint="eastAsia"/>
          <w:color w:val="auto"/>
          <w:highlight w:val="none"/>
        </w:rPr>
        <w:t>对投标人的纪律要求</w:t>
      </w:r>
      <w:r>
        <w:rPr>
          <w:color w:val="auto"/>
          <w:highlight w:val="none"/>
        </w:rPr>
        <w:tab/>
      </w:r>
      <w:r>
        <w:rPr>
          <w:color w:val="auto"/>
          <w:highlight w:val="none"/>
        </w:rPr>
        <w:fldChar w:fldCharType="begin"/>
      </w:r>
      <w:r>
        <w:rPr>
          <w:color w:val="auto"/>
          <w:highlight w:val="none"/>
        </w:rPr>
        <w:instrText xml:space="preserve"> PAGEREF _Toc134304568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9F5ACE5">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"_Toc134304569" </w:instrText>
      </w:r>
      <w:r>
        <w:rPr>
          <w:color w:val="auto"/>
          <w:highlight w:val="none"/>
        </w:rPr>
        <w:fldChar w:fldCharType="separate"/>
      </w:r>
      <w:r>
        <w:rPr>
          <w:rStyle w:val="41"/>
          <w:color w:val="auto"/>
          <w:highlight w:val="none"/>
        </w:rPr>
        <w:t xml:space="preserve">8.3 </w:t>
      </w:r>
      <w:r>
        <w:rPr>
          <w:rStyle w:val="41"/>
          <w:rFonts w:hint="eastAsia"/>
          <w:color w:val="auto"/>
          <w:highlight w:val="none"/>
        </w:rPr>
        <w:t>对评标委员会成员的纪律要求</w:t>
      </w:r>
      <w:r>
        <w:rPr>
          <w:color w:val="auto"/>
          <w:highlight w:val="none"/>
        </w:rPr>
        <w:tab/>
      </w:r>
      <w:r>
        <w:rPr>
          <w:color w:val="auto"/>
          <w:highlight w:val="none"/>
        </w:rPr>
        <w:fldChar w:fldCharType="begin"/>
      </w:r>
      <w:r>
        <w:rPr>
          <w:color w:val="auto"/>
          <w:highlight w:val="none"/>
        </w:rPr>
        <w:instrText xml:space="preserve"> PAGEREF _Toc134304569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345EE62B">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"_Toc134304570" </w:instrText>
      </w:r>
      <w:r>
        <w:rPr>
          <w:color w:val="auto"/>
          <w:highlight w:val="none"/>
        </w:rPr>
        <w:fldChar w:fldCharType="separate"/>
      </w:r>
      <w:r>
        <w:rPr>
          <w:rStyle w:val="41"/>
          <w:color w:val="auto"/>
          <w:highlight w:val="none"/>
        </w:rPr>
        <w:t xml:space="preserve">8.4 </w:t>
      </w:r>
      <w:r>
        <w:rPr>
          <w:rStyle w:val="41"/>
          <w:rFonts w:hint="eastAsia"/>
          <w:color w:val="auto"/>
          <w:highlight w:val="none"/>
        </w:rPr>
        <w:t>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_Toc134304570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D870C66">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"_Toc134304571" </w:instrText>
      </w:r>
      <w:r>
        <w:rPr>
          <w:color w:val="auto"/>
          <w:highlight w:val="none"/>
        </w:rPr>
        <w:fldChar w:fldCharType="separate"/>
      </w:r>
      <w:r>
        <w:rPr>
          <w:rStyle w:val="41"/>
          <w:color w:val="auto"/>
          <w:highlight w:val="none"/>
        </w:rPr>
        <w:t xml:space="preserve">8.5 </w:t>
      </w:r>
      <w:r>
        <w:rPr>
          <w:rStyle w:val="41"/>
          <w:rFonts w:hint="eastAsia"/>
          <w:color w:val="auto"/>
          <w:highlight w:val="none"/>
        </w:rPr>
        <w:t>投诉</w:t>
      </w:r>
      <w:r>
        <w:rPr>
          <w:color w:val="auto"/>
          <w:highlight w:val="none"/>
        </w:rPr>
        <w:tab/>
      </w:r>
      <w:r>
        <w:rPr>
          <w:color w:val="auto"/>
          <w:highlight w:val="none"/>
        </w:rPr>
        <w:fldChar w:fldCharType="begin"/>
      </w:r>
      <w:r>
        <w:rPr>
          <w:color w:val="auto"/>
          <w:highlight w:val="none"/>
        </w:rPr>
        <w:instrText xml:space="preserve"> PAGEREF _Toc134304571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4F1CD37">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"_Toc134304572" </w:instrText>
      </w:r>
      <w:r>
        <w:rPr>
          <w:color w:val="auto"/>
          <w:highlight w:val="none"/>
        </w:rPr>
        <w:fldChar w:fldCharType="separate"/>
      </w:r>
      <w:r>
        <w:rPr>
          <w:rStyle w:val="41"/>
          <w:color w:val="auto"/>
          <w:highlight w:val="none"/>
        </w:rPr>
        <w:t xml:space="preserve">9. </w:t>
      </w:r>
      <w:r>
        <w:rPr>
          <w:rStyle w:val="41"/>
          <w:rFonts w:hint="eastAsia"/>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_Toc134304572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6B7D896">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"_Toc134304573" </w:instrText>
      </w:r>
      <w:r>
        <w:rPr>
          <w:color w:val="auto"/>
          <w:highlight w:val="none"/>
        </w:rPr>
        <w:fldChar w:fldCharType="separate"/>
      </w:r>
      <w:r>
        <w:rPr>
          <w:rStyle w:val="41"/>
          <w:color w:val="auto"/>
          <w:highlight w:val="none"/>
        </w:rPr>
        <w:t xml:space="preserve">10. </w:t>
      </w:r>
      <w:r>
        <w:rPr>
          <w:rStyle w:val="41"/>
          <w:rFonts w:hint="eastAsia"/>
          <w:color w:val="auto"/>
          <w:highlight w:val="none"/>
        </w:rPr>
        <w:t>电子招标投标</w:t>
      </w:r>
      <w:r>
        <w:rPr>
          <w:color w:val="auto"/>
          <w:highlight w:val="none"/>
        </w:rPr>
        <w:tab/>
      </w:r>
      <w:r>
        <w:rPr>
          <w:color w:val="auto"/>
          <w:highlight w:val="none"/>
        </w:rPr>
        <w:fldChar w:fldCharType="begin"/>
      </w:r>
      <w:r>
        <w:rPr>
          <w:color w:val="auto"/>
          <w:highlight w:val="none"/>
        </w:rPr>
        <w:instrText xml:space="preserve"> PAGEREF _Toc134304573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5491BAC0">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"_Toc134304574" </w:instrText>
      </w:r>
      <w:r>
        <w:rPr>
          <w:color w:val="auto"/>
          <w:highlight w:val="none"/>
        </w:rPr>
        <w:fldChar w:fldCharType="separate"/>
      </w:r>
      <w:r>
        <w:rPr>
          <w:rStyle w:val="41"/>
          <w:rFonts w:hint="eastAsia"/>
          <w:color w:val="auto"/>
          <w:highlight w:val="none"/>
        </w:rPr>
        <w:t>附件二：问题澄清通知</w:t>
      </w:r>
      <w:r>
        <w:rPr>
          <w:color w:val="auto"/>
          <w:highlight w:val="none"/>
        </w:rPr>
        <w:tab/>
      </w:r>
      <w:r>
        <w:rPr>
          <w:color w:val="auto"/>
          <w:highlight w:val="none"/>
        </w:rPr>
        <w:fldChar w:fldCharType="begin"/>
      </w:r>
      <w:r>
        <w:rPr>
          <w:color w:val="auto"/>
          <w:highlight w:val="none"/>
        </w:rPr>
        <w:instrText xml:space="preserve"> PAGEREF _Toc134304574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5CADBAB4">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"_Toc134304575" </w:instrText>
      </w:r>
      <w:r>
        <w:rPr>
          <w:color w:val="auto"/>
          <w:highlight w:val="none"/>
        </w:rPr>
        <w:fldChar w:fldCharType="separate"/>
      </w:r>
      <w:r>
        <w:rPr>
          <w:rStyle w:val="41"/>
          <w:rFonts w:hint="eastAsia"/>
          <w:color w:val="auto"/>
          <w:highlight w:val="none"/>
        </w:rPr>
        <w:t>附件三：问题的澄清</w:t>
      </w:r>
      <w:r>
        <w:rPr>
          <w:color w:val="auto"/>
          <w:highlight w:val="none"/>
        </w:rPr>
        <w:tab/>
      </w:r>
      <w:r>
        <w:rPr>
          <w:color w:val="auto"/>
          <w:highlight w:val="none"/>
        </w:rPr>
        <w:fldChar w:fldCharType="begin"/>
      </w:r>
      <w:r>
        <w:rPr>
          <w:color w:val="auto"/>
          <w:highlight w:val="none"/>
        </w:rPr>
        <w:instrText xml:space="preserve"> PAGEREF _Toc134304575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2DEE141">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"_Toc134304576" </w:instrText>
      </w:r>
      <w:r>
        <w:rPr>
          <w:color w:val="auto"/>
          <w:highlight w:val="none"/>
        </w:rPr>
        <w:fldChar w:fldCharType="separate"/>
      </w:r>
      <w:r>
        <w:rPr>
          <w:rStyle w:val="41"/>
          <w:rFonts w:hint="eastAsia" w:ascii="宋体" w:hAnsi="宋体" w:cs="宋体"/>
          <w:color w:val="auto"/>
          <w:highlight w:val="none"/>
        </w:rPr>
        <w:t>第三章评标办法（综合评估法）</w:t>
      </w:r>
      <w:r>
        <w:rPr>
          <w:color w:val="auto"/>
          <w:highlight w:val="none"/>
        </w:rPr>
        <w:tab/>
      </w:r>
      <w:r>
        <w:rPr>
          <w:color w:val="auto"/>
          <w:highlight w:val="none"/>
        </w:rPr>
        <w:fldChar w:fldCharType="begin"/>
      </w:r>
      <w:r>
        <w:rPr>
          <w:color w:val="auto"/>
          <w:highlight w:val="none"/>
        </w:rPr>
        <w:instrText xml:space="preserve"> PAGEREF _Toc134304576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28C97B00">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"_Toc134304577" </w:instrText>
      </w:r>
      <w:r>
        <w:rPr>
          <w:color w:val="auto"/>
          <w:highlight w:val="none"/>
        </w:rPr>
        <w:fldChar w:fldCharType="separate"/>
      </w:r>
      <w:r>
        <w:rPr>
          <w:rStyle w:val="41"/>
          <w:rFonts w:hint="eastAsia" w:ascii="宋体" w:hAnsi="宋体" w:cs="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_Toc134304577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5E03755D">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"_Toc134304578" </w:instrText>
      </w:r>
      <w:r>
        <w:rPr>
          <w:color w:val="auto"/>
          <w:highlight w:val="none"/>
        </w:rPr>
        <w:fldChar w:fldCharType="separate"/>
      </w:r>
      <w:r>
        <w:rPr>
          <w:rStyle w:val="41"/>
          <w:color w:val="auto"/>
          <w:highlight w:val="none"/>
        </w:rPr>
        <w:t xml:space="preserve">1. </w:t>
      </w:r>
      <w:r>
        <w:rPr>
          <w:rStyle w:val="41"/>
          <w:rFonts w:hint="eastAsia"/>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_Toc134304578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7F540E14">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"_Toc134304579" </w:instrText>
      </w:r>
      <w:r>
        <w:rPr>
          <w:color w:val="auto"/>
          <w:highlight w:val="none"/>
        </w:rPr>
        <w:fldChar w:fldCharType="separate"/>
      </w:r>
      <w:r>
        <w:rPr>
          <w:rStyle w:val="41"/>
          <w:color w:val="auto"/>
          <w:highlight w:val="none"/>
        </w:rPr>
        <w:t xml:space="preserve">2. </w:t>
      </w:r>
      <w:r>
        <w:rPr>
          <w:rStyle w:val="41"/>
          <w:rFonts w:hint="eastAsia"/>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_Toc134304579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0DC03045">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"_Toc134304580" </w:instrText>
      </w:r>
      <w:r>
        <w:rPr>
          <w:color w:val="auto"/>
          <w:highlight w:val="none"/>
        </w:rPr>
        <w:fldChar w:fldCharType="separate"/>
      </w:r>
      <w:r>
        <w:rPr>
          <w:rStyle w:val="41"/>
          <w:color w:val="auto"/>
          <w:highlight w:val="none"/>
        </w:rPr>
        <w:t xml:space="preserve">2.1 </w:t>
      </w:r>
      <w:r>
        <w:rPr>
          <w:rStyle w:val="41"/>
          <w:rFonts w:hint="eastAsia"/>
          <w:color w:val="auto"/>
          <w:highlight w:val="none"/>
        </w:rPr>
        <w:t>初步评审标准</w:t>
      </w:r>
      <w:r>
        <w:rPr>
          <w:color w:val="auto"/>
          <w:highlight w:val="none"/>
        </w:rPr>
        <w:tab/>
      </w:r>
      <w:r>
        <w:rPr>
          <w:color w:val="auto"/>
          <w:highlight w:val="none"/>
        </w:rPr>
        <w:fldChar w:fldCharType="begin"/>
      </w:r>
      <w:r>
        <w:rPr>
          <w:color w:val="auto"/>
          <w:highlight w:val="none"/>
        </w:rPr>
        <w:instrText xml:space="preserve"> PAGEREF _Toc134304580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6724D210">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"_Toc134304581" </w:instrText>
      </w:r>
      <w:r>
        <w:rPr>
          <w:color w:val="auto"/>
          <w:highlight w:val="none"/>
        </w:rPr>
        <w:fldChar w:fldCharType="separate"/>
      </w:r>
      <w:r>
        <w:rPr>
          <w:rStyle w:val="41"/>
          <w:color w:val="auto"/>
          <w:highlight w:val="none"/>
        </w:rPr>
        <w:t xml:space="preserve">2.2 </w:t>
      </w:r>
      <w:r>
        <w:rPr>
          <w:rStyle w:val="41"/>
          <w:rFonts w:hint="eastAsia"/>
          <w:color w:val="auto"/>
          <w:highlight w:val="none"/>
        </w:rPr>
        <w:t>分值构成与评分标准</w:t>
      </w:r>
      <w:r>
        <w:rPr>
          <w:color w:val="auto"/>
          <w:highlight w:val="none"/>
        </w:rPr>
        <w:tab/>
      </w:r>
      <w:r>
        <w:rPr>
          <w:color w:val="auto"/>
          <w:highlight w:val="none"/>
        </w:rPr>
        <w:fldChar w:fldCharType="begin"/>
      </w:r>
      <w:r>
        <w:rPr>
          <w:color w:val="auto"/>
          <w:highlight w:val="none"/>
        </w:rPr>
        <w:instrText xml:space="preserve"> PAGEREF _Toc134304581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0DE0648">
      <w:pPr>
        <w:pStyle w:val="29"/>
        <w:tabs>
          <w:tab w:val="right" w:leader="dot" w:pos="9628"/>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"_Toc134304582" </w:instrText>
      </w:r>
      <w:r>
        <w:rPr>
          <w:color w:val="auto"/>
          <w:highlight w:val="none"/>
        </w:rPr>
        <w:fldChar w:fldCharType="separate"/>
      </w:r>
      <w:r>
        <w:rPr>
          <w:rStyle w:val="41"/>
          <w:color w:val="auto"/>
          <w:highlight w:val="none"/>
        </w:rPr>
        <w:t xml:space="preserve">3. </w:t>
      </w:r>
      <w:r>
        <w:rPr>
          <w:rStyle w:val="41"/>
          <w:rFonts w:hint="eastAsia"/>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_Toc134304582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64451733">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"_Toc134304583" </w:instrText>
      </w:r>
      <w:r>
        <w:rPr>
          <w:color w:val="auto"/>
          <w:highlight w:val="none"/>
        </w:rPr>
        <w:fldChar w:fldCharType="separate"/>
      </w:r>
      <w:r>
        <w:rPr>
          <w:rStyle w:val="41"/>
          <w:color w:val="auto"/>
          <w:highlight w:val="none"/>
        </w:rPr>
        <w:t xml:space="preserve">3.1 </w:t>
      </w:r>
      <w:r>
        <w:rPr>
          <w:rStyle w:val="41"/>
          <w:rFonts w:hint="eastAsia"/>
          <w:color w:val="auto"/>
          <w:highlight w:val="none"/>
        </w:rPr>
        <w:t>形式审查及资格审查（由施工评审组负责）</w:t>
      </w:r>
      <w:r>
        <w:rPr>
          <w:color w:val="auto"/>
          <w:highlight w:val="none"/>
        </w:rPr>
        <w:tab/>
      </w:r>
      <w:r>
        <w:rPr>
          <w:color w:val="auto"/>
          <w:highlight w:val="none"/>
        </w:rPr>
        <w:fldChar w:fldCharType="begin"/>
      </w:r>
      <w:r>
        <w:rPr>
          <w:color w:val="auto"/>
          <w:highlight w:val="none"/>
        </w:rPr>
        <w:instrText xml:space="preserve"> PAGEREF _Toc134304583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683ECA68">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"_Toc134304584" </w:instrText>
      </w:r>
      <w:r>
        <w:rPr>
          <w:color w:val="auto"/>
          <w:highlight w:val="none"/>
        </w:rPr>
        <w:fldChar w:fldCharType="separate"/>
      </w:r>
      <w:r>
        <w:rPr>
          <w:rStyle w:val="41"/>
          <w:color w:val="auto"/>
          <w:highlight w:val="none"/>
        </w:rPr>
        <w:t xml:space="preserve">3.2 </w:t>
      </w:r>
      <w:r>
        <w:rPr>
          <w:rStyle w:val="41"/>
          <w:rFonts w:hint="eastAsia"/>
          <w:color w:val="auto"/>
          <w:highlight w:val="none"/>
        </w:rPr>
        <w:t>设计方案评审（由设计评审组负责）</w:t>
      </w:r>
      <w:r>
        <w:rPr>
          <w:color w:val="auto"/>
          <w:highlight w:val="none"/>
        </w:rPr>
        <w:tab/>
      </w:r>
      <w:r>
        <w:rPr>
          <w:color w:val="auto"/>
          <w:highlight w:val="none"/>
        </w:rPr>
        <w:fldChar w:fldCharType="begin"/>
      </w:r>
      <w:r>
        <w:rPr>
          <w:color w:val="auto"/>
          <w:highlight w:val="none"/>
        </w:rPr>
        <w:instrText xml:space="preserve"> PAGEREF _Toc134304584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2B018BC0">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"_Toc134304585" </w:instrText>
      </w:r>
      <w:r>
        <w:rPr>
          <w:color w:val="auto"/>
          <w:highlight w:val="none"/>
        </w:rPr>
        <w:fldChar w:fldCharType="separate"/>
      </w:r>
      <w:r>
        <w:rPr>
          <w:rStyle w:val="41"/>
          <w:color w:val="auto"/>
          <w:highlight w:val="none"/>
        </w:rPr>
        <w:t xml:space="preserve">3.3 </w:t>
      </w:r>
      <w:r>
        <w:rPr>
          <w:rStyle w:val="41"/>
          <w:rFonts w:hint="eastAsia"/>
          <w:color w:val="auto"/>
          <w:highlight w:val="none"/>
        </w:rPr>
        <w:t>工程总承包实施方案评审（由施工评审组负责）</w:t>
      </w:r>
      <w:r>
        <w:rPr>
          <w:color w:val="auto"/>
          <w:highlight w:val="none"/>
        </w:rPr>
        <w:tab/>
      </w:r>
      <w:r>
        <w:rPr>
          <w:color w:val="auto"/>
          <w:highlight w:val="none"/>
        </w:rPr>
        <w:fldChar w:fldCharType="begin"/>
      </w:r>
      <w:r>
        <w:rPr>
          <w:color w:val="auto"/>
          <w:highlight w:val="none"/>
        </w:rPr>
        <w:instrText xml:space="preserve"> PAGEREF _Toc134304585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12A1ED7D">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"_Toc134304586" </w:instrText>
      </w:r>
      <w:r>
        <w:rPr>
          <w:color w:val="auto"/>
          <w:highlight w:val="none"/>
        </w:rPr>
        <w:fldChar w:fldCharType="separate"/>
      </w:r>
      <w:r>
        <w:rPr>
          <w:rStyle w:val="41"/>
          <w:color w:val="auto"/>
          <w:highlight w:val="none"/>
        </w:rPr>
        <w:t xml:space="preserve">34 </w:t>
      </w:r>
      <w:r>
        <w:rPr>
          <w:rStyle w:val="41"/>
          <w:rFonts w:hint="eastAsia"/>
          <w:color w:val="auto"/>
          <w:highlight w:val="none"/>
        </w:rPr>
        <w:t>投标报价得分（由施工评审组评委负责）</w:t>
      </w:r>
      <w:r>
        <w:rPr>
          <w:color w:val="auto"/>
          <w:highlight w:val="none"/>
        </w:rPr>
        <w:tab/>
      </w:r>
      <w:r>
        <w:rPr>
          <w:color w:val="auto"/>
          <w:highlight w:val="none"/>
        </w:rPr>
        <w:fldChar w:fldCharType="begin"/>
      </w:r>
      <w:r>
        <w:rPr>
          <w:color w:val="auto"/>
          <w:highlight w:val="none"/>
        </w:rPr>
        <w:instrText xml:space="preserve"> PAGEREF _Toc134304586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11853953">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"_Toc134304587" </w:instrText>
      </w:r>
      <w:r>
        <w:rPr>
          <w:color w:val="auto"/>
          <w:highlight w:val="none"/>
        </w:rPr>
        <w:fldChar w:fldCharType="separate"/>
      </w:r>
      <w:r>
        <w:rPr>
          <w:rStyle w:val="41"/>
          <w:color w:val="auto"/>
          <w:highlight w:val="none"/>
        </w:rPr>
        <w:t xml:space="preserve">3.4 </w:t>
      </w:r>
      <w:r>
        <w:rPr>
          <w:rStyle w:val="41"/>
          <w:rFonts w:hint="eastAsia"/>
          <w:color w:val="auto"/>
          <w:highlight w:val="none"/>
        </w:rPr>
        <w:t>评审汇总（由施工评审组评委负责）</w:t>
      </w:r>
      <w:r>
        <w:rPr>
          <w:color w:val="auto"/>
          <w:highlight w:val="none"/>
        </w:rPr>
        <w:tab/>
      </w:r>
      <w:r>
        <w:rPr>
          <w:color w:val="auto"/>
          <w:highlight w:val="none"/>
        </w:rPr>
        <w:fldChar w:fldCharType="begin"/>
      </w:r>
      <w:r>
        <w:rPr>
          <w:color w:val="auto"/>
          <w:highlight w:val="none"/>
        </w:rPr>
        <w:instrText xml:space="preserve"> PAGEREF _Toc134304587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712AE5FB">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"_Toc134304588" </w:instrText>
      </w:r>
      <w:r>
        <w:rPr>
          <w:color w:val="auto"/>
          <w:highlight w:val="none"/>
        </w:rPr>
        <w:fldChar w:fldCharType="separate"/>
      </w:r>
      <w:r>
        <w:rPr>
          <w:rStyle w:val="41"/>
          <w:color w:val="auto"/>
          <w:highlight w:val="none"/>
        </w:rPr>
        <w:t xml:space="preserve">3.5 </w:t>
      </w:r>
      <w:r>
        <w:rPr>
          <w:rStyle w:val="41"/>
          <w:rFonts w:hint="eastAsia"/>
          <w:color w:val="auto"/>
          <w:highlight w:val="none"/>
        </w:rPr>
        <w:t>投标文件的澄清和补正</w:t>
      </w:r>
      <w:r>
        <w:rPr>
          <w:color w:val="auto"/>
          <w:highlight w:val="none"/>
        </w:rPr>
        <w:tab/>
      </w:r>
      <w:r>
        <w:rPr>
          <w:color w:val="auto"/>
          <w:highlight w:val="none"/>
        </w:rPr>
        <w:fldChar w:fldCharType="begin"/>
      </w:r>
      <w:r>
        <w:rPr>
          <w:color w:val="auto"/>
          <w:highlight w:val="none"/>
        </w:rPr>
        <w:instrText xml:space="preserve"> PAGEREF _Toc134304588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64474C36">
      <w:pPr>
        <w:pStyle w:val="18"/>
        <w:tabs>
          <w:tab w:val="right" w:leader="dot" w:pos="9628"/>
        </w:tabs>
        <w:rPr>
          <w:rFonts w:ascii="Calibri" w:hAnsi="Calibri"/>
          <w:iCs w:val="0"/>
          <w:color w:val="auto"/>
          <w:sz w:val="21"/>
          <w:szCs w:val="22"/>
          <w:highlight w:val="none"/>
        </w:rPr>
      </w:pPr>
      <w:r>
        <w:rPr>
          <w:color w:val="auto"/>
          <w:highlight w:val="none"/>
        </w:rPr>
        <w:fldChar w:fldCharType="begin"/>
      </w:r>
      <w:r>
        <w:rPr>
          <w:color w:val="auto"/>
          <w:highlight w:val="none"/>
        </w:rPr>
        <w:instrText xml:space="preserve"> HYPERLINK \l "_Toc134304589" </w:instrText>
      </w:r>
      <w:r>
        <w:rPr>
          <w:color w:val="auto"/>
          <w:highlight w:val="none"/>
        </w:rPr>
        <w:fldChar w:fldCharType="separate"/>
      </w:r>
      <w:r>
        <w:rPr>
          <w:rStyle w:val="41"/>
          <w:color w:val="auto"/>
          <w:highlight w:val="none"/>
        </w:rPr>
        <w:t xml:space="preserve">3.6 </w:t>
      </w:r>
      <w:r>
        <w:rPr>
          <w:rStyle w:val="41"/>
          <w:rFonts w:hint="eastAsia"/>
          <w:color w:val="auto"/>
          <w:highlight w:val="none"/>
        </w:rPr>
        <w:t>评标结果</w:t>
      </w:r>
      <w:r>
        <w:rPr>
          <w:color w:val="auto"/>
          <w:highlight w:val="none"/>
        </w:rPr>
        <w:tab/>
      </w:r>
      <w:r>
        <w:rPr>
          <w:color w:val="auto"/>
          <w:highlight w:val="none"/>
        </w:rPr>
        <w:fldChar w:fldCharType="begin"/>
      </w:r>
      <w:r>
        <w:rPr>
          <w:color w:val="auto"/>
          <w:highlight w:val="none"/>
        </w:rPr>
        <w:instrText xml:space="preserve"> PAGEREF _Toc134304589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5A909A8F">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"_Toc134304590" </w:instrText>
      </w:r>
      <w:r>
        <w:rPr>
          <w:color w:val="auto"/>
          <w:highlight w:val="none"/>
        </w:rPr>
        <w:fldChar w:fldCharType="separate"/>
      </w:r>
      <w:r>
        <w:rPr>
          <w:rStyle w:val="41"/>
          <w:rFonts w:hint="eastAsia"/>
          <w:color w:val="auto"/>
          <w:highlight w:val="none"/>
        </w:rPr>
        <w:t>第四章合同条款及格式</w:t>
      </w:r>
      <w:r>
        <w:rPr>
          <w:color w:val="auto"/>
          <w:highlight w:val="none"/>
        </w:rPr>
        <w:tab/>
      </w:r>
      <w:r>
        <w:rPr>
          <w:color w:val="auto"/>
          <w:highlight w:val="none"/>
        </w:rPr>
        <w:fldChar w:fldCharType="begin"/>
      </w:r>
      <w:r>
        <w:rPr>
          <w:color w:val="auto"/>
          <w:highlight w:val="none"/>
        </w:rPr>
        <w:instrText xml:space="preserve"> PAGEREF _Toc134304590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136B8DE2">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"_Toc134304591" </w:instrText>
      </w:r>
      <w:r>
        <w:rPr>
          <w:color w:val="auto"/>
          <w:highlight w:val="none"/>
        </w:rPr>
        <w:fldChar w:fldCharType="separate"/>
      </w:r>
      <w:r>
        <w:rPr>
          <w:rStyle w:val="41"/>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_Toc134304591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7E60C35D">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"_Toc134304592" </w:instrText>
      </w:r>
      <w:r>
        <w:rPr>
          <w:color w:val="auto"/>
          <w:highlight w:val="none"/>
        </w:rPr>
        <w:fldChar w:fldCharType="separate"/>
      </w:r>
      <w:r>
        <w:rPr>
          <w:rStyle w:val="41"/>
          <w:rFonts w:hint="eastAsia"/>
          <w:color w:val="auto"/>
          <w:highlight w:val="none"/>
        </w:rPr>
        <w:t>第五章招标人要求</w:t>
      </w:r>
      <w:r>
        <w:rPr>
          <w:color w:val="auto"/>
          <w:highlight w:val="none"/>
        </w:rPr>
        <w:tab/>
      </w:r>
      <w:r>
        <w:rPr>
          <w:color w:val="auto"/>
          <w:highlight w:val="none"/>
        </w:rPr>
        <w:fldChar w:fldCharType="begin"/>
      </w:r>
      <w:r>
        <w:rPr>
          <w:color w:val="auto"/>
          <w:highlight w:val="none"/>
        </w:rPr>
        <w:instrText xml:space="preserve"> PAGEREF _Toc134304592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3EC10B8">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"_Toc134304593" </w:instrText>
      </w:r>
      <w:r>
        <w:rPr>
          <w:color w:val="auto"/>
          <w:highlight w:val="none"/>
        </w:rPr>
        <w:fldChar w:fldCharType="separate"/>
      </w:r>
      <w:r>
        <w:rPr>
          <w:rStyle w:val="41"/>
          <w:rFonts w:hint="eastAsia"/>
          <w:color w:val="auto"/>
          <w:highlight w:val="none"/>
        </w:rPr>
        <w:t>第六章招标人提供的资料</w:t>
      </w:r>
      <w:r>
        <w:rPr>
          <w:color w:val="auto"/>
          <w:highlight w:val="none"/>
        </w:rPr>
        <w:tab/>
      </w:r>
      <w:r>
        <w:rPr>
          <w:color w:val="auto"/>
          <w:highlight w:val="none"/>
        </w:rPr>
        <w:fldChar w:fldCharType="begin"/>
      </w:r>
      <w:r>
        <w:rPr>
          <w:color w:val="auto"/>
          <w:highlight w:val="none"/>
        </w:rPr>
        <w:instrText xml:space="preserve"> PAGEREF _Toc134304593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729C003D">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"_Toc134304594" </w:instrText>
      </w:r>
      <w:r>
        <w:rPr>
          <w:color w:val="auto"/>
          <w:highlight w:val="none"/>
        </w:rPr>
        <w:fldChar w:fldCharType="separate"/>
      </w:r>
      <w:r>
        <w:rPr>
          <w:rStyle w:val="41"/>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_Toc134304594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6BE60D0A">
      <w:pPr>
        <w:pStyle w:val="25"/>
        <w:tabs>
          <w:tab w:val="right" w:leader="dot" w:pos="9628"/>
        </w:tabs>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"_Toc134304595" </w:instrText>
      </w:r>
      <w:r>
        <w:rPr>
          <w:color w:val="auto"/>
          <w:highlight w:val="none"/>
        </w:rPr>
        <w:fldChar w:fldCharType="separate"/>
      </w:r>
      <w:r>
        <w:rPr>
          <w:rStyle w:val="41"/>
          <w:rFonts w:hint="eastAsia"/>
          <w:color w:val="auto"/>
          <w:highlight w:val="none"/>
        </w:rPr>
        <w:t>第七章投标文件格式</w:t>
      </w:r>
      <w:r>
        <w:rPr>
          <w:color w:val="auto"/>
          <w:highlight w:val="none"/>
        </w:rPr>
        <w:tab/>
      </w:r>
      <w:r>
        <w:rPr>
          <w:color w:val="auto"/>
          <w:highlight w:val="none"/>
        </w:rPr>
        <w:fldChar w:fldCharType="begin"/>
      </w:r>
      <w:r>
        <w:rPr>
          <w:color w:val="auto"/>
          <w:highlight w:val="none"/>
        </w:rPr>
        <w:instrText xml:space="preserve"> PAGEREF _Toc134304595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70ACD2F3">
      <w:pPr>
        <w:ind w:firstLine="420"/>
        <w:rPr>
          <w:color w:val="auto"/>
          <w:highlight w:val="none"/>
        </w:rPr>
      </w:pPr>
      <w:r>
        <w:rPr>
          <w:rFonts w:hint="eastAsia" w:ascii="宋体" w:hAnsi="宋体"/>
          <w:color w:val="auto"/>
          <w:highlight w:val="none"/>
        </w:rPr>
        <w:fldChar w:fldCharType="end"/>
      </w:r>
    </w:p>
    <w:p w14:paraId="7876FA66">
      <w:pPr>
        <w:pStyle w:val="68"/>
        <w:rPr>
          <w:color w:val="auto"/>
          <w:highlight w:val="none"/>
        </w:rPr>
        <w:sectPr>
          <w:footerReference r:id="rId4" w:type="default"/>
          <w:pgSz w:w="11906" w:h="16838"/>
          <w:pgMar w:top="1418" w:right="1134" w:bottom="1418" w:left="1134" w:header="851" w:footer="992" w:gutter="0"/>
          <w:pgNumType w:start="1"/>
          <w:cols w:space="720" w:num="1"/>
          <w:docGrid w:type="lines" w:linePitch="312" w:charSpace="0"/>
        </w:sectPr>
      </w:pPr>
    </w:p>
    <w:p w14:paraId="35A9F0F7">
      <w:pPr>
        <w:pStyle w:val="68"/>
        <w:rPr>
          <w:color w:val="auto"/>
          <w:highlight w:val="none"/>
        </w:rPr>
      </w:pPr>
    </w:p>
    <w:p w14:paraId="6D01977B">
      <w:pPr>
        <w:pStyle w:val="68"/>
        <w:rPr>
          <w:color w:val="auto"/>
          <w:highlight w:val="none"/>
        </w:rPr>
      </w:pPr>
    </w:p>
    <w:p w14:paraId="386E0AE4">
      <w:pPr>
        <w:pStyle w:val="68"/>
        <w:rPr>
          <w:color w:val="auto"/>
          <w:highlight w:val="none"/>
        </w:rPr>
      </w:pPr>
    </w:p>
    <w:p w14:paraId="44E9E444">
      <w:pPr>
        <w:pStyle w:val="68"/>
        <w:rPr>
          <w:color w:val="auto"/>
          <w:highlight w:val="none"/>
        </w:rPr>
      </w:pPr>
    </w:p>
    <w:p w14:paraId="5894541D">
      <w:pPr>
        <w:pStyle w:val="2"/>
        <w:rPr>
          <w:color w:val="auto"/>
          <w:highlight w:val="none"/>
        </w:rPr>
      </w:pPr>
      <w:bookmarkStart w:id="11" w:name="_Toc31879"/>
      <w:bookmarkStart w:id="12" w:name="_Toc134304510"/>
      <w:r>
        <w:rPr>
          <w:rFonts w:hint="eastAsia"/>
          <w:color w:val="auto"/>
          <w:highlight w:val="none"/>
        </w:rPr>
        <w:t>第一卷</w:t>
      </w:r>
      <w:bookmarkEnd w:id="6"/>
      <w:bookmarkEnd w:id="7"/>
      <w:bookmarkEnd w:id="11"/>
      <w:bookmarkEnd w:id="12"/>
    </w:p>
    <w:p w14:paraId="281E32F7">
      <w:pPr>
        <w:ind w:firstLine="420"/>
        <w:rPr>
          <w:color w:val="auto"/>
          <w:highlight w:val="none"/>
        </w:rPr>
      </w:pPr>
    </w:p>
    <w:p w14:paraId="2470A208">
      <w:pPr>
        <w:ind w:firstLine="420"/>
        <w:rPr>
          <w:color w:val="auto"/>
          <w:highlight w:val="none"/>
        </w:rPr>
      </w:pPr>
    </w:p>
    <w:p w14:paraId="223C3BE3">
      <w:pPr>
        <w:ind w:firstLine="420"/>
        <w:rPr>
          <w:color w:val="auto"/>
          <w:highlight w:val="none"/>
        </w:rPr>
      </w:pPr>
    </w:p>
    <w:p w14:paraId="1F7BFB34">
      <w:pPr>
        <w:ind w:firstLine="420"/>
        <w:rPr>
          <w:color w:val="auto"/>
          <w:highlight w:val="none"/>
        </w:rPr>
      </w:pPr>
    </w:p>
    <w:p w14:paraId="09A9D916">
      <w:pPr>
        <w:ind w:firstLine="420"/>
        <w:rPr>
          <w:color w:val="auto"/>
          <w:highlight w:val="none"/>
        </w:rPr>
      </w:pPr>
    </w:p>
    <w:p w14:paraId="0D89C65F">
      <w:pPr>
        <w:ind w:firstLine="420"/>
        <w:rPr>
          <w:color w:val="auto"/>
          <w:highlight w:val="none"/>
        </w:rPr>
      </w:pPr>
    </w:p>
    <w:p w14:paraId="199CDA0D">
      <w:pPr>
        <w:pStyle w:val="2"/>
        <w:rPr>
          <w:color w:val="auto"/>
          <w:highlight w:val="none"/>
        </w:rPr>
      </w:pPr>
      <w:r>
        <w:rPr>
          <w:rFonts w:hint="eastAsia"/>
          <w:color w:val="auto"/>
          <w:highlight w:val="none"/>
        </w:rPr>
        <w:br w:type="page"/>
      </w:r>
      <w:bookmarkStart w:id="13" w:name="_Toc134304511"/>
      <w:bookmarkStart w:id="14" w:name="_Toc247527534"/>
      <w:bookmarkStart w:id="15" w:name="_Toc29409"/>
      <w:bookmarkStart w:id="16" w:name="_Toc247513933"/>
      <w:r>
        <w:rPr>
          <w:rFonts w:hint="eastAsia"/>
          <w:color w:val="auto"/>
          <w:highlight w:val="none"/>
        </w:rPr>
        <w:t>第一章 招标公告</w:t>
      </w:r>
      <w:bookmarkEnd w:id="13"/>
      <w:bookmarkEnd w:id="14"/>
      <w:bookmarkEnd w:id="15"/>
      <w:bookmarkEnd w:id="16"/>
    </w:p>
    <w:bookmarkEnd w:id="8"/>
    <w:bookmarkEnd w:id="9"/>
    <w:bookmarkEnd w:id="10"/>
    <w:p w14:paraId="12CEE378">
      <w:pPr>
        <w:pStyle w:val="2"/>
        <w:rPr>
          <w:color w:val="auto"/>
          <w:highlight w:val="none"/>
        </w:rPr>
      </w:pPr>
      <w:r>
        <w:rPr>
          <w:rFonts w:hint="eastAsia" w:ascii="宋体" w:hAnsi="宋体" w:cs="宋体"/>
          <w:color w:val="auto"/>
          <w:highlight w:val="none"/>
        </w:rPr>
        <w:t>另册</w:t>
      </w:r>
      <w:r>
        <w:rPr>
          <w:rFonts w:ascii="宋体" w:hAnsi="宋体" w:cs="宋体"/>
          <w:color w:val="auto"/>
          <w:highlight w:val="none"/>
        </w:rPr>
        <w:br w:type="page"/>
      </w:r>
      <w:bookmarkStart w:id="17" w:name="_Toc16711"/>
      <w:bookmarkStart w:id="18" w:name="_Toc134304521"/>
      <w:bookmarkStart w:id="19" w:name="_Toc152042303"/>
      <w:bookmarkStart w:id="20" w:name="_Toc152045527"/>
      <w:bookmarkStart w:id="21" w:name="_Toc144974495"/>
      <w:bookmarkStart w:id="22" w:name="_Toc247527551"/>
      <w:bookmarkStart w:id="23" w:name="_Toc247513950"/>
      <w:r>
        <w:rPr>
          <w:rFonts w:hint="eastAsia"/>
          <w:color w:val="auto"/>
          <w:highlight w:val="none"/>
        </w:rPr>
        <w:t>第二章 投标人须知</w:t>
      </w:r>
      <w:bookmarkEnd w:id="17"/>
      <w:bookmarkEnd w:id="18"/>
      <w:bookmarkEnd w:id="19"/>
      <w:bookmarkEnd w:id="20"/>
      <w:bookmarkEnd w:id="21"/>
      <w:bookmarkEnd w:id="22"/>
      <w:bookmarkEnd w:id="23"/>
    </w:p>
    <w:p w14:paraId="1AA1F26D">
      <w:pPr>
        <w:pStyle w:val="3"/>
        <w:jc w:val="center"/>
        <w:rPr>
          <w:color w:val="auto"/>
          <w:highlight w:val="none"/>
        </w:rPr>
      </w:pPr>
      <w:bookmarkStart w:id="24" w:name="_Toc152045528"/>
      <w:bookmarkStart w:id="25" w:name="_Toc152042304"/>
      <w:bookmarkStart w:id="26" w:name="_Toc144974496"/>
      <w:bookmarkStart w:id="27" w:name="_Toc9681"/>
      <w:bookmarkStart w:id="28" w:name="_Toc134304522"/>
      <w:bookmarkStart w:id="29" w:name="_Toc247527552"/>
      <w:bookmarkStart w:id="30" w:name="_Toc247513951"/>
      <w:r>
        <w:rPr>
          <w:rFonts w:hint="eastAsia"/>
          <w:color w:val="auto"/>
          <w:highlight w:val="none"/>
        </w:rPr>
        <w:t>投标人须知前附表</w:t>
      </w:r>
      <w:bookmarkEnd w:id="24"/>
      <w:bookmarkEnd w:id="25"/>
      <w:bookmarkEnd w:id="26"/>
      <w:bookmarkEnd w:id="27"/>
      <w:bookmarkEnd w:id="28"/>
      <w:bookmarkEnd w:id="29"/>
      <w:bookmarkEnd w:id="30"/>
    </w:p>
    <w:tbl>
      <w:tblPr>
        <w:tblStyle w:val="37"/>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345"/>
        <w:gridCol w:w="8"/>
        <w:gridCol w:w="5659"/>
      </w:tblGrid>
      <w:tr w14:paraId="73AD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trPr>
        <w:tc>
          <w:tcPr>
            <w:tcW w:w="1165" w:type="dxa"/>
            <w:vAlign w:val="center"/>
          </w:tcPr>
          <w:p w14:paraId="72160338">
            <w:pPr>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353" w:type="dxa"/>
            <w:gridSpan w:val="2"/>
            <w:vAlign w:val="center"/>
          </w:tcPr>
          <w:p w14:paraId="5F77DD0C">
            <w:pPr>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5659" w:type="dxa"/>
            <w:vAlign w:val="center"/>
          </w:tcPr>
          <w:p w14:paraId="19C775F1">
            <w:pPr>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6845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165" w:type="dxa"/>
            <w:vAlign w:val="center"/>
          </w:tcPr>
          <w:p w14:paraId="7E92A8B1">
            <w:pPr>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345" w:type="dxa"/>
            <w:vAlign w:val="center"/>
          </w:tcPr>
          <w:p w14:paraId="2962A0D0">
            <w:pPr>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5667" w:type="dxa"/>
            <w:gridSpan w:val="2"/>
            <w:vAlign w:val="center"/>
          </w:tcPr>
          <w:p w14:paraId="4CFABC9B">
            <w:pPr>
              <w:snapToGrid w:val="0"/>
              <w:rPr>
                <w:rFonts w:hint="eastAsia" w:ascii="宋体" w:hAnsi="宋体" w:cs="宋体"/>
                <w:color w:val="auto"/>
                <w:szCs w:val="21"/>
                <w:highlight w:val="none"/>
                <w:u w:val="singl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中山大学中山眼科中心</w:t>
            </w:r>
          </w:p>
          <w:p w14:paraId="2CF4676E">
            <w:pPr>
              <w:snapToGrid w:val="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广州市天河区金穗路7号</w:t>
            </w:r>
          </w:p>
          <w:p w14:paraId="07CA7A32">
            <w:pPr>
              <w:snapToGrid w:val="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甄老师</w:t>
            </w:r>
          </w:p>
          <w:p w14:paraId="39A55F0C">
            <w:pPr>
              <w:snapToGrid w:val="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020-66648765</w:t>
            </w:r>
          </w:p>
        </w:tc>
      </w:tr>
      <w:tr w14:paraId="46B7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165" w:type="dxa"/>
            <w:vAlign w:val="center"/>
          </w:tcPr>
          <w:p w14:paraId="40BD80CA">
            <w:pPr>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2353" w:type="dxa"/>
            <w:gridSpan w:val="2"/>
            <w:vAlign w:val="center"/>
          </w:tcPr>
          <w:p w14:paraId="4EAD6374">
            <w:pPr>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5659" w:type="dxa"/>
            <w:vAlign w:val="center"/>
          </w:tcPr>
          <w:p w14:paraId="4EA60393">
            <w:pPr>
              <w:snapToGrid w:val="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国义招标股份有限公司</w:t>
            </w:r>
          </w:p>
          <w:p w14:paraId="302741C7">
            <w:pPr>
              <w:snapToGrid w:val="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广州市越秀区东风东路726号</w:t>
            </w:r>
          </w:p>
          <w:p w14:paraId="5D485FF9">
            <w:pPr>
              <w:snapToGrid w:val="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赵工、梁工</w:t>
            </w:r>
          </w:p>
          <w:p w14:paraId="0CDCD45F">
            <w:pPr>
              <w:snapToGrid w:val="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020-37861031、37860741</w:t>
            </w:r>
          </w:p>
        </w:tc>
      </w:tr>
      <w:tr w14:paraId="08C4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14D491F">
            <w:pPr>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2353" w:type="dxa"/>
            <w:gridSpan w:val="2"/>
            <w:vAlign w:val="center"/>
          </w:tcPr>
          <w:p w14:paraId="0F4E50FE">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5659" w:type="dxa"/>
            <w:vAlign w:val="center"/>
          </w:tcPr>
          <w:p w14:paraId="1F5DCE24">
            <w:pPr>
              <w:rPr>
                <w:rFonts w:hint="eastAsia" w:ascii="宋体" w:hAnsi="宋体" w:cs="宋体"/>
                <w:color w:val="auto"/>
                <w:szCs w:val="21"/>
                <w:highlight w:val="none"/>
              </w:rPr>
            </w:pPr>
            <w:r>
              <w:rPr>
                <w:rFonts w:hint="eastAsia" w:ascii="宋体" w:hAnsi="宋体" w:cs="宋体"/>
                <w:color w:val="auto"/>
                <w:szCs w:val="21"/>
                <w:highlight w:val="none"/>
                <w:u w:val="single"/>
              </w:rPr>
              <w:t>中山大学中山眼科中心药学部制剂室搬迁重建设计施工一体化项目</w:t>
            </w:r>
          </w:p>
        </w:tc>
      </w:tr>
      <w:tr w14:paraId="27FA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vAlign w:val="center"/>
          </w:tcPr>
          <w:p w14:paraId="430722A0">
            <w:pPr>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2353" w:type="dxa"/>
            <w:gridSpan w:val="2"/>
            <w:vAlign w:val="center"/>
          </w:tcPr>
          <w:p w14:paraId="38B540CD">
            <w:pPr>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5659" w:type="dxa"/>
            <w:vAlign w:val="center"/>
          </w:tcPr>
          <w:p w14:paraId="49F76E26">
            <w:pPr>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60F2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E380C97">
            <w:pPr>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2353" w:type="dxa"/>
            <w:gridSpan w:val="2"/>
            <w:vAlign w:val="center"/>
          </w:tcPr>
          <w:p w14:paraId="50E6913D">
            <w:pPr>
              <w:jc w:val="center"/>
              <w:rPr>
                <w:rFonts w:hint="eastAsia" w:ascii="宋体" w:hAnsi="宋体" w:cs="宋体"/>
                <w:color w:val="auto"/>
                <w:szCs w:val="21"/>
                <w:highlight w:val="none"/>
              </w:rPr>
            </w:pPr>
            <w:r>
              <w:rPr>
                <w:rFonts w:hint="eastAsia" w:ascii="宋体" w:hAnsi="宋体" w:cs="宋体"/>
                <w:color w:val="auto"/>
                <w:szCs w:val="21"/>
                <w:highlight w:val="none"/>
              </w:rPr>
              <w:t>资金来源及比例</w:t>
            </w:r>
          </w:p>
        </w:tc>
        <w:tc>
          <w:tcPr>
            <w:tcW w:w="5659" w:type="dxa"/>
            <w:vAlign w:val="center"/>
          </w:tcPr>
          <w:p w14:paraId="4DDCCBD4">
            <w:pPr>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4BA9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A739F75">
            <w:pPr>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353" w:type="dxa"/>
            <w:gridSpan w:val="2"/>
            <w:vAlign w:val="center"/>
          </w:tcPr>
          <w:p w14:paraId="4C424197">
            <w:pPr>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5659" w:type="dxa"/>
            <w:vAlign w:val="center"/>
          </w:tcPr>
          <w:p w14:paraId="02F4BF9E">
            <w:pPr>
              <w:rPr>
                <w:rFonts w:hint="eastAsia" w:ascii="宋体" w:hAnsi="宋体" w:cs="宋体"/>
                <w:color w:val="auto"/>
                <w:szCs w:val="21"/>
                <w:highlight w:val="none"/>
              </w:rPr>
            </w:pPr>
            <w:r>
              <w:rPr>
                <w:rFonts w:hint="eastAsia" w:ascii="宋体" w:hAnsi="宋体" w:cs="宋体"/>
                <w:color w:val="auto"/>
                <w:szCs w:val="21"/>
                <w:highlight w:val="none"/>
              </w:rPr>
              <w:t>资金已落实</w:t>
            </w:r>
          </w:p>
        </w:tc>
      </w:tr>
      <w:tr w14:paraId="4E54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3F0733A9">
            <w:pPr>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2353" w:type="dxa"/>
            <w:gridSpan w:val="2"/>
            <w:vAlign w:val="center"/>
          </w:tcPr>
          <w:p w14:paraId="742C677F">
            <w:pPr>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5659" w:type="dxa"/>
            <w:vAlign w:val="center"/>
          </w:tcPr>
          <w:p w14:paraId="05B92C71">
            <w:pPr>
              <w:rPr>
                <w:rFonts w:hint="eastAsia" w:ascii="宋体" w:hAnsi="宋体" w:cs="宋体"/>
                <w:color w:val="auto"/>
                <w:szCs w:val="21"/>
                <w:highlight w:val="none"/>
              </w:rPr>
            </w:pPr>
            <w:r>
              <w:rPr>
                <w:rFonts w:hint="eastAsia" w:ascii="宋体" w:hAnsi="宋体" w:cs="宋体"/>
                <w:color w:val="auto"/>
                <w:szCs w:val="21"/>
                <w:highlight w:val="none"/>
              </w:rPr>
              <w:t>详见本项目招标公告及合同约定条款</w:t>
            </w:r>
          </w:p>
        </w:tc>
      </w:tr>
      <w:tr w14:paraId="459F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F1284BA">
            <w:pPr>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2353" w:type="dxa"/>
            <w:gridSpan w:val="2"/>
            <w:vAlign w:val="center"/>
          </w:tcPr>
          <w:p w14:paraId="062AF46B">
            <w:pPr>
              <w:jc w:val="center"/>
              <w:rPr>
                <w:rFonts w:hint="eastAsia" w:ascii="宋体" w:hAnsi="宋体" w:cs="宋体"/>
                <w:color w:val="auto"/>
                <w:szCs w:val="21"/>
                <w:highlight w:val="none"/>
              </w:rPr>
            </w:pPr>
            <w:r>
              <w:rPr>
                <w:rFonts w:hint="eastAsia" w:ascii="宋体" w:hAnsi="宋体" w:cs="宋体"/>
                <w:color w:val="auto"/>
                <w:szCs w:val="21"/>
                <w:highlight w:val="none"/>
              </w:rPr>
              <w:t>计划工期</w:t>
            </w:r>
          </w:p>
        </w:tc>
        <w:tc>
          <w:tcPr>
            <w:tcW w:w="5659" w:type="dxa"/>
            <w:vAlign w:val="center"/>
          </w:tcPr>
          <w:p w14:paraId="31EA57F7">
            <w:pPr>
              <w:rPr>
                <w:rFonts w:hint="eastAsia" w:ascii="宋体" w:hAnsi="宋体" w:cs="宋体"/>
                <w:color w:val="auto"/>
                <w:szCs w:val="21"/>
                <w:highlight w:val="none"/>
              </w:rPr>
            </w:pPr>
            <w:r>
              <w:rPr>
                <w:rFonts w:hint="eastAsia" w:ascii="宋体" w:hAnsi="宋体" w:cs="宋体"/>
                <w:color w:val="auto"/>
                <w:szCs w:val="21"/>
                <w:highlight w:val="none"/>
              </w:rPr>
              <w:t>设计工期：30天，施工工期：210日历天。具体以招标人实际要求通知为准。</w:t>
            </w:r>
          </w:p>
        </w:tc>
      </w:tr>
      <w:tr w14:paraId="4873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6E7E342">
            <w:pPr>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2353" w:type="dxa"/>
            <w:gridSpan w:val="2"/>
            <w:vAlign w:val="center"/>
          </w:tcPr>
          <w:p w14:paraId="1D581006">
            <w:pPr>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659" w:type="dxa"/>
            <w:vAlign w:val="center"/>
          </w:tcPr>
          <w:p w14:paraId="4FF70F40">
            <w:pPr>
              <w:adjustRightInd w:val="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w:t>
            </w:r>
            <w:r>
              <w:rPr>
                <w:rFonts w:hint="eastAsia" w:ascii="宋体" w:hAnsi="宋体" w:cs="宋体"/>
                <w:color w:val="auto"/>
                <w:szCs w:val="21"/>
                <w:highlight w:val="none"/>
              </w:rPr>
              <w:t>．</w:t>
            </w:r>
            <w:r>
              <w:rPr>
                <w:rFonts w:hint="eastAsia" w:ascii="宋体" w:hAnsi="宋体" w:cs="宋体"/>
                <w:bCs/>
                <w:snapToGrid w:val="0"/>
                <w:color w:val="auto"/>
                <w:kern w:val="0"/>
                <w:szCs w:val="21"/>
                <w:highlight w:val="none"/>
              </w:rPr>
              <w:t>设计要求：符合《建设工程质量管理条例》、《建设工程勘察设计管理条例》等国家及地方有关工程设计管理法规和规章，达到国家及行业相关规范技术标准等要求。</w:t>
            </w:r>
          </w:p>
          <w:p w14:paraId="0CCAFC5A">
            <w:pPr>
              <w:adjustRightInd w:val="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w:t>
            </w:r>
            <w:r>
              <w:rPr>
                <w:rFonts w:hint="eastAsia" w:ascii="宋体" w:hAnsi="宋体" w:cs="宋体"/>
                <w:color w:val="auto"/>
                <w:szCs w:val="21"/>
                <w:highlight w:val="none"/>
              </w:rPr>
              <w:t>．</w:t>
            </w:r>
            <w:r>
              <w:rPr>
                <w:rFonts w:hint="eastAsia" w:ascii="宋体" w:hAnsi="宋体" w:cs="宋体"/>
                <w:bCs/>
                <w:snapToGrid w:val="0"/>
                <w:color w:val="auto"/>
                <w:kern w:val="0"/>
                <w:szCs w:val="21"/>
                <w:highlight w:val="none"/>
              </w:rPr>
              <w:t>施工要求：符合设计图纸要求和国家、省、市相关法律法规规定要求及行业颁发的工程质量合格标准。</w:t>
            </w:r>
          </w:p>
          <w:p w14:paraId="7672CB41">
            <w:pPr>
              <w:adjustRightInd w:val="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3.验收标准：中国《药品生产质量管理规范》（GMP，2010年版）、《医疗机构制剂配制质量管理规范》、广东省2010年换发《医疗机构制剂许可证》验收标准等药品生产相关法规</w:t>
            </w:r>
          </w:p>
        </w:tc>
      </w:tr>
      <w:tr w14:paraId="47BF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65" w:type="dxa"/>
            <w:vAlign w:val="center"/>
          </w:tcPr>
          <w:p w14:paraId="5207D8D6">
            <w:pPr>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2353" w:type="dxa"/>
            <w:gridSpan w:val="2"/>
            <w:vAlign w:val="center"/>
          </w:tcPr>
          <w:p w14:paraId="75DBB43D">
            <w:pPr>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5659" w:type="dxa"/>
            <w:vAlign w:val="center"/>
          </w:tcPr>
          <w:p w14:paraId="66C64322">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资质条件：</w:t>
            </w:r>
            <w:r>
              <w:rPr>
                <w:rFonts w:hint="eastAsia" w:ascii="新宋体" w:hAnsi="新宋体" w:eastAsia="新宋体" w:cs="新宋体"/>
                <w:color w:val="auto"/>
                <w:szCs w:val="21"/>
                <w:highlight w:val="none"/>
                <w:u w:val="single"/>
              </w:rPr>
              <w:t>见招标公告投标人资格要求</w:t>
            </w:r>
          </w:p>
          <w:p w14:paraId="62A3006C">
            <w:pPr>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财务要求：</w:t>
            </w:r>
            <w:r>
              <w:rPr>
                <w:rFonts w:hint="eastAsia" w:ascii="新宋体" w:hAnsi="新宋体" w:eastAsia="新宋体" w:cs="新宋体"/>
                <w:color w:val="auto"/>
                <w:highlight w:val="none"/>
                <w:u w:val="single"/>
              </w:rPr>
              <w:t xml:space="preserve">/  </w:t>
            </w:r>
          </w:p>
          <w:p w14:paraId="3393994D">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设计业绩要求：</w:t>
            </w:r>
            <w:r>
              <w:rPr>
                <w:rFonts w:hint="eastAsia" w:ascii="新宋体" w:hAnsi="新宋体" w:eastAsia="新宋体" w:cs="新宋体"/>
                <w:color w:val="auto"/>
                <w:highlight w:val="none"/>
                <w:u w:val="single"/>
              </w:rPr>
              <w:t xml:space="preserve">/  </w:t>
            </w:r>
          </w:p>
          <w:p w14:paraId="442FB1DE">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施工业绩要求：</w:t>
            </w:r>
            <w:r>
              <w:rPr>
                <w:rFonts w:hint="eastAsia" w:ascii="新宋体" w:hAnsi="新宋体" w:eastAsia="新宋体" w:cs="新宋体"/>
                <w:color w:val="auto"/>
                <w:highlight w:val="none"/>
                <w:u w:val="single"/>
              </w:rPr>
              <w:t xml:space="preserve">/  </w:t>
            </w:r>
          </w:p>
          <w:p w14:paraId="18B5FAA6">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信誉要求：</w:t>
            </w:r>
            <w:r>
              <w:rPr>
                <w:rFonts w:hint="eastAsia" w:ascii="新宋体" w:hAnsi="新宋体" w:eastAsia="新宋体" w:cs="新宋体"/>
                <w:color w:val="auto"/>
                <w:highlight w:val="none"/>
                <w:u w:val="single"/>
              </w:rPr>
              <w:t xml:space="preserve">/  </w:t>
            </w:r>
          </w:p>
          <w:p w14:paraId="31E78002">
            <w:pPr>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项目负责人（兼施工负责人）的资格要求：</w:t>
            </w:r>
            <w:r>
              <w:rPr>
                <w:rFonts w:hint="eastAsia" w:ascii="新宋体" w:hAnsi="新宋体" w:eastAsia="新宋体" w:cs="新宋体"/>
                <w:color w:val="auto"/>
                <w:szCs w:val="21"/>
                <w:highlight w:val="none"/>
                <w:u w:val="single"/>
              </w:rPr>
              <w:t>见招标公告投标人资格要求</w:t>
            </w:r>
          </w:p>
          <w:p w14:paraId="211EA8CA">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设计负责人的资格要求：</w:t>
            </w:r>
            <w:r>
              <w:rPr>
                <w:rFonts w:hint="eastAsia" w:ascii="新宋体" w:hAnsi="新宋体" w:eastAsia="新宋体" w:cs="新宋体"/>
                <w:color w:val="auto"/>
                <w:szCs w:val="21"/>
                <w:highlight w:val="none"/>
                <w:u w:val="single"/>
              </w:rPr>
              <w:t>见招标公告投标人资格要求</w:t>
            </w:r>
          </w:p>
          <w:p w14:paraId="4C218DA0">
            <w:pPr>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施工负责人的资格要求：</w:t>
            </w:r>
            <w:r>
              <w:rPr>
                <w:rFonts w:hint="eastAsia" w:ascii="新宋体" w:hAnsi="新宋体" w:eastAsia="新宋体" w:cs="新宋体"/>
                <w:strike/>
                <w:color w:val="auto"/>
                <w:szCs w:val="21"/>
                <w:highlight w:val="none"/>
                <w:u w:val="single"/>
              </w:rPr>
              <w:t>见招标公告投标人资格要求</w:t>
            </w:r>
          </w:p>
          <w:p w14:paraId="3E091459">
            <w:pPr>
              <w:rPr>
                <w:rFonts w:hint="eastAsia" w:ascii="新宋体" w:hAnsi="新宋体" w:eastAsia="新宋体" w:cs="新宋体"/>
                <w:color w:val="auto"/>
                <w:highlight w:val="none"/>
              </w:rPr>
            </w:pPr>
            <w:r>
              <w:rPr>
                <w:rFonts w:hint="eastAsia" w:ascii="新宋体" w:hAnsi="新宋体" w:eastAsia="新宋体" w:cs="新宋体"/>
                <w:color w:val="auto"/>
                <w:highlight w:val="none"/>
              </w:rPr>
              <w:t>技术负责人资格要求：</w:t>
            </w:r>
            <w:r>
              <w:rPr>
                <w:rFonts w:hint="eastAsia" w:ascii="新宋体" w:hAnsi="新宋体" w:eastAsia="新宋体" w:cs="新宋体"/>
                <w:color w:val="auto"/>
                <w:szCs w:val="21"/>
                <w:highlight w:val="none"/>
                <w:u w:val="single"/>
              </w:rPr>
              <w:t>见招标公告投标人资格要求</w:t>
            </w:r>
          </w:p>
          <w:p w14:paraId="14B97ADD">
            <w:pPr>
              <w:rPr>
                <w:rFonts w:hint="eastAsia" w:ascii="新宋体" w:hAnsi="新宋体" w:eastAsia="新宋体" w:cs="新宋体"/>
                <w:color w:val="auto"/>
                <w:highlight w:val="none"/>
              </w:rPr>
            </w:pPr>
            <w:r>
              <w:rPr>
                <w:rFonts w:hint="eastAsia" w:ascii="新宋体" w:hAnsi="新宋体" w:eastAsia="新宋体" w:cs="新宋体"/>
                <w:color w:val="auto"/>
                <w:highlight w:val="none"/>
              </w:rPr>
              <w:t>专职安全员资格要求：</w:t>
            </w:r>
            <w:r>
              <w:rPr>
                <w:rFonts w:hint="eastAsia" w:ascii="新宋体" w:hAnsi="新宋体" w:eastAsia="新宋体" w:cs="新宋体"/>
                <w:color w:val="auto"/>
                <w:szCs w:val="21"/>
                <w:highlight w:val="none"/>
                <w:u w:val="single"/>
              </w:rPr>
              <w:t>见招标公告投标人资格要求</w:t>
            </w:r>
          </w:p>
          <w:p w14:paraId="088C12FD">
            <w:pPr>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施工机械设备：</w:t>
            </w:r>
            <w:r>
              <w:rPr>
                <w:rFonts w:hint="eastAsia" w:ascii="新宋体" w:hAnsi="新宋体" w:eastAsia="新宋体" w:cs="新宋体"/>
                <w:strike/>
                <w:color w:val="auto"/>
                <w:highlight w:val="none"/>
                <w:u w:val="single"/>
              </w:rPr>
              <w:t xml:space="preserve">/  </w:t>
            </w:r>
          </w:p>
          <w:p w14:paraId="1813A928">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项目管理机构及人员：</w:t>
            </w:r>
            <w:r>
              <w:rPr>
                <w:rFonts w:hint="eastAsia" w:ascii="新宋体" w:hAnsi="新宋体" w:eastAsia="新宋体" w:cs="新宋体"/>
                <w:color w:val="auto"/>
                <w:highlight w:val="none"/>
                <w:u w:val="single"/>
              </w:rPr>
              <w:t xml:space="preserve">/  </w:t>
            </w:r>
          </w:p>
          <w:p w14:paraId="52AAA84D">
            <w:pPr>
              <w:rPr>
                <w:rFonts w:hint="eastAsia" w:ascii="宋体" w:hAnsi="宋体" w:cs="宋体"/>
                <w:color w:val="auto"/>
                <w:szCs w:val="21"/>
                <w:highlight w:val="none"/>
              </w:rPr>
            </w:pPr>
            <w:r>
              <w:rPr>
                <w:rFonts w:hint="eastAsia" w:ascii="新宋体" w:hAnsi="新宋体" w:eastAsia="新宋体" w:cs="新宋体"/>
                <w:color w:val="auto"/>
                <w:szCs w:val="21"/>
                <w:highlight w:val="none"/>
              </w:rPr>
              <w:t>其他要求：</w:t>
            </w:r>
            <w:r>
              <w:rPr>
                <w:rFonts w:hint="eastAsia" w:ascii="新宋体" w:hAnsi="新宋体" w:eastAsia="新宋体" w:cs="新宋体"/>
                <w:color w:val="auto"/>
                <w:szCs w:val="21"/>
                <w:highlight w:val="none"/>
                <w:u w:val="single"/>
              </w:rPr>
              <w:t>见招标公告投标人资格要求</w:t>
            </w:r>
          </w:p>
        </w:tc>
      </w:tr>
      <w:tr w14:paraId="6F02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69515E8">
            <w:pPr>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2353" w:type="dxa"/>
            <w:gridSpan w:val="2"/>
            <w:vAlign w:val="center"/>
          </w:tcPr>
          <w:p w14:paraId="468F7BBE">
            <w:pPr>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5659" w:type="dxa"/>
            <w:vAlign w:val="center"/>
          </w:tcPr>
          <w:p w14:paraId="325D3F4B">
            <w:pPr>
              <w:pStyle w:val="14"/>
              <w:topLinePunct/>
              <w:rPr>
                <w:rFonts w:hint="eastAsia" w:hAnsi="宋体" w:cs="宋体"/>
                <w:color w:val="auto"/>
                <w:sz w:val="21"/>
                <w:szCs w:val="21"/>
                <w:highlight w:val="none"/>
              </w:rPr>
            </w:pPr>
            <w:r>
              <w:rPr>
                <w:rFonts w:hint="eastAsia" w:hAnsi="宋体" w:cs="宋体"/>
                <w:color w:val="auto"/>
                <w:sz w:val="21"/>
                <w:szCs w:val="21"/>
                <w:highlight w:val="none"/>
              </w:rPr>
              <w:t>□不接受</w:t>
            </w:r>
          </w:p>
          <w:p w14:paraId="5B0A5C43">
            <w:pPr>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接受，应满足下列要求：</w:t>
            </w:r>
            <w:r>
              <w:rPr>
                <w:rFonts w:hint="eastAsia" w:ascii="宋体" w:hAnsi="宋体" w:cs="宋体"/>
                <w:color w:val="auto"/>
                <w:kern w:val="0"/>
                <w:szCs w:val="21"/>
                <w:highlight w:val="none"/>
                <w:u w:val="single"/>
              </w:rPr>
              <w:t>见本项目招标公告要求</w:t>
            </w:r>
          </w:p>
        </w:tc>
      </w:tr>
      <w:tr w14:paraId="20B2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62EFB65C">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2353" w:type="dxa"/>
            <w:gridSpan w:val="2"/>
            <w:vAlign w:val="center"/>
          </w:tcPr>
          <w:p w14:paraId="211E1150">
            <w:pPr>
              <w:jc w:val="center"/>
              <w:rPr>
                <w:rFonts w:hint="eastAsia" w:ascii="宋体" w:hAnsi="宋体" w:cs="宋体"/>
                <w:color w:val="auto"/>
                <w:szCs w:val="21"/>
                <w:highlight w:val="none"/>
              </w:rPr>
            </w:pPr>
            <w:r>
              <w:rPr>
                <w:rFonts w:hint="eastAsia" w:ascii="宋体" w:hAnsi="宋体" w:cs="宋体"/>
                <w:color w:val="auto"/>
                <w:szCs w:val="21"/>
                <w:highlight w:val="none"/>
              </w:rPr>
              <w:t>费用承担和设计成果补偿</w:t>
            </w:r>
          </w:p>
        </w:tc>
        <w:tc>
          <w:tcPr>
            <w:tcW w:w="5659" w:type="dxa"/>
            <w:vAlign w:val="center"/>
          </w:tcPr>
          <w:p w14:paraId="07459A47">
            <w:pPr>
              <w:rPr>
                <w:rFonts w:hint="eastAsia" w:ascii="宋体" w:hAnsi="宋体" w:cs="宋体"/>
                <w:color w:val="auto"/>
                <w:szCs w:val="21"/>
                <w:highlight w:val="none"/>
              </w:rPr>
            </w:pPr>
            <w:r>
              <w:rPr>
                <w:rFonts w:hint="eastAsia" w:ascii="宋体" w:hAnsi="宋体" w:cs="宋体"/>
                <w:color w:val="auto"/>
                <w:szCs w:val="21"/>
                <w:highlight w:val="none"/>
              </w:rPr>
              <w:t>■不补偿</w:t>
            </w:r>
          </w:p>
          <w:p w14:paraId="00289F1A">
            <w:pPr>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补偿，补偿标准：见</w:t>
            </w:r>
            <w:r>
              <w:rPr>
                <w:rFonts w:hint="eastAsia" w:ascii="宋体" w:hAnsi="宋体" w:cs="宋体"/>
                <w:color w:val="auto"/>
                <w:kern w:val="0"/>
                <w:szCs w:val="21"/>
                <w:highlight w:val="none"/>
              </w:rPr>
              <w:t>本项目</w:t>
            </w:r>
            <w:r>
              <w:rPr>
                <w:rFonts w:hint="eastAsia" w:ascii="宋体" w:hAnsi="宋体" w:cs="宋体"/>
                <w:color w:val="auto"/>
                <w:szCs w:val="21"/>
                <w:highlight w:val="none"/>
              </w:rPr>
              <w:t>招标公告</w:t>
            </w:r>
          </w:p>
        </w:tc>
      </w:tr>
      <w:tr w14:paraId="074D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CCB1B5E">
            <w:pPr>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2353" w:type="dxa"/>
            <w:gridSpan w:val="2"/>
            <w:vAlign w:val="center"/>
          </w:tcPr>
          <w:p w14:paraId="72D7B04D">
            <w:pPr>
              <w:jc w:val="center"/>
              <w:rPr>
                <w:rFonts w:hint="eastAsia" w:ascii="宋体" w:hAnsi="宋体" w:cs="宋体"/>
                <w:color w:val="auto"/>
                <w:szCs w:val="21"/>
                <w:highlight w:val="none"/>
              </w:rPr>
            </w:pPr>
            <w:r>
              <w:rPr>
                <w:rFonts w:hint="eastAsia" w:ascii="宋体" w:hAnsi="宋体" w:cs="宋体"/>
                <w:color w:val="auto"/>
                <w:szCs w:val="21"/>
                <w:highlight w:val="none"/>
              </w:rPr>
              <w:t>踏勘</w:t>
            </w:r>
          </w:p>
        </w:tc>
        <w:tc>
          <w:tcPr>
            <w:tcW w:w="5659" w:type="dxa"/>
            <w:vAlign w:val="center"/>
          </w:tcPr>
          <w:p w14:paraId="5E1F57CE">
            <w:pPr>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不组织：自行踏勘。</w:t>
            </w:r>
          </w:p>
          <w:p w14:paraId="5686CCC6">
            <w:pPr>
              <w:rPr>
                <w:rFonts w:hint="eastAsia" w:ascii="宋体" w:hAnsi="宋体" w:cs="宋体"/>
                <w:color w:val="auto"/>
                <w:szCs w:val="21"/>
                <w:highlight w:val="none"/>
                <w:u w:val="single"/>
              </w:rPr>
            </w:pPr>
            <w:r>
              <w:rPr>
                <w:rFonts w:hint="eastAsia" w:ascii="宋体" w:hAnsi="宋体" w:cs="宋体"/>
                <w:color w:val="auto"/>
                <w:szCs w:val="21"/>
                <w:highlight w:val="none"/>
              </w:rPr>
              <w:t>□组织，踏勘时间：</w:t>
            </w:r>
          </w:p>
          <w:p w14:paraId="53FF2C3A">
            <w:pPr>
              <w:rPr>
                <w:rFonts w:hint="eastAsia" w:ascii="宋体" w:hAnsi="宋体" w:cs="宋体"/>
                <w:color w:val="auto"/>
                <w:szCs w:val="21"/>
                <w:highlight w:val="none"/>
              </w:rPr>
            </w:pPr>
            <w:r>
              <w:rPr>
                <w:rFonts w:hint="eastAsia" w:ascii="宋体" w:hAnsi="宋体" w:cs="宋体"/>
                <w:color w:val="auto"/>
                <w:szCs w:val="21"/>
                <w:highlight w:val="none"/>
              </w:rPr>
              <w:t>踏勘集中地点：</w:t>
            </w:r>
          </w:p>
        </w:tc>
      </w:tr>
      <w:tr w14:paraId="0939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65" w:type="dxa"/>
            <w:vAlign w:val="center"/>
          </w:tcPr>
          <w:p w14:paraId="39D286C2">
            <w:pPr>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2353" w:type="dxa"/>
            <w:gridSpan w:val="2"/>
            <w:vAlign w:val="center"/>
          </w:tcPr>
          <w:p w14:paraId="66D10B18">
            <w:pPr>
              <w:jc w:val="center"/>
              <w:rPr>
                <w:rFonts w:hint="eastAsia" w:ascii="宋体" w:hAnsi="宋体" w:cs="宋体"/>
                <w:color w:val="auto"/>
                <w:szCs w:val="21"/>
                <w:highlight w:val="none"/>
              </w:rPr>
            </w:pPr>
            <w:r>
              <w:rPr>
                <w:rFonts w:hint="eastAsia" w:ascii="宋体" w:hAnsi="宋体" w:cs="宋体"/>
                <w:color w:val="auto"/>
                <w:szCs w:val="21"/>
                <w:highlight w:val="none"/>
              </w:rPr>
              <w:t>投标预备会</w:t>
            </w:r>
          </w:p>
        </w:tc>
        <w:tc>
          <w:tcPr>
            <w:tcW w:w="5659" w:type="dxa"/>
            <w:vAlign w:val="center"/>
          </w:tcPr>
          <w:p w14:paraId="2BAF56CC">
            <w:pPr>
              <w:pStyle w:val="14"/>
              <w:topLinePunct/>
              <w:rPr>
                <w:rFonts w:hint="eastAsia" w:hAnsi="宋体" w:cs="宋体"/>
                <w:color w:val="auto"/>
                <w:sz w:val="21"/>
                <w:szCs w:val="21"/>
                <w:highlight w:val="none"/>
              </w:rPr>
            </w:pPr>
            <w:r>
              <w:rPr>
                <w:rFonts w:hint="eastAsia" w:hAnsi="宋体" w:cs="宋体"/>
                <w:color w:val="auto"/>
                <w:sz w:val="21"/>
                <w:szCs w:val="21"/>
                <w:highlight w:val="none"/>
              </w:rPr>
              <w:t>■不召开</w:t>
            </w:r>
          </w:p>
          <w:p w14:paraId="2E971A6F">
            <w:pPr>
              <w:widowControl/>
              <w:rPr>
                <w:rFonts w:hint="eastAsia"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召开，召开时间：另行通知</w:t>
            </w:r>
          </w:p>
          <w:p w14:paraId="73607873">
            <w:pPr>
              <w:rPr>
                <w:rFonts w:hint="eastAsia" w:ascii="宋体" w:hAnsi="宋体" w:cs="宋体"/>
                <w:color w:val="auto"/>
                <w:szCs w:val="21"/>
                <w:highlight w:val="none"/>
              </w:rPr>
            </w:pPr>
            <w:r>
              <w:rPr>
                <w:rFonts w:hint="eastAsia" w:ascii="宋体" w:hAnsi="宋体" w:cs="宋体"/>
                <w:color w:val="auto"/>
                <w:kern w:val="0"/>
                <w:szCs w:val="21"/>
                <w:highlight w:val="none"/>
              </w:rPr>
              <w:t>召开地点</w:t>
            </w:r>
            <w:r>
              <w:rPr>
                <w:rFonts w:hint="eastAsia" w:ascii="宋体" w:hAnsi="宋体" w:cs="宋体"/>
                <w:color w:val="auto"/>
                <w:szCs w:val="21"/>
                <w:highlight w:val="none"/>
              </w:rPr>
              <w:t>：</w:t>
            </w:r>
          </w:p>
        </w:tc>
      </w:tr>
      <w:tr w14:paraId="0A91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vAlign w:val="center"/>
          </w:tcPr>
          <w:p w14:paraId="1446397B">
            <w:pPr>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2353" w:type="dxa"/>
            <w:gridSpan w:val="2"/>
            <w:vAlign w:val="center"/>
          </w:tcPr>
          <w:p w14:paraId="5B9D5E00">
            <w:pPr>
              <w:jc w:val="center"/>
              <w:rPr>
                <w:rFonts w:hint="eastAsia" w:ascii="宋体" w:hAnsi="宋体" w:cs="宋体"/>
                <w:color w:val="auto"/>
                <w:szCs w:val="21"/>
                <w:highlight w:val="none"/>
              </w:rPr>
            </w:pPr>
            <w:r>
              <w:rPr>
                <w:rFonts w:hint="eastAsia" w:ascii="宋体" w:hAnsi="宋体" w:cs="宋体"/>
                <w:color w:val="auto"/>
                <w:szCs w:val="21"/>
                <w:highlight w:val="none"/>
              </w:rPr>
              <w:t>投标人提出问题的截止时间</w:t>
            </w:r>
          </w:p>
        </w:tc>
        <w:tc>
          <w:tcPr>
            <w:tcW w:w="5659" w:type="dxa"/>
            <w:vAlign w:val="center"/>
          </w:tcPr>
          <w:p w14:paraId="019ED696">
            <w:pPr>
              <w:rPr>
                <w:rFonts w:hint="eastAsia" w:ascii="宋体" w:hAnsi="宋体" w:cs="宋体"/>
                <w:color w:val="auto"/>
                <w:kern w:val="0"/>
                <w:szCs w:val="21"/>
                <w:highlight w:val="none"/>
              </w:rPr>
            </w:pPr>
            <w:r>
              <w:rPr>
                <w:rFonts w:hint="eastAsia" w:ascii="宋体" w:hAnsi="宋体" w:cs="宋体"/>
                <w:color w:val="auto"/>
                <w:kern w:val="0"/>
                <w:szCs w:val="21"/>
                <w:highlight w:val="none"/>
              </w:rPr>
              <w:t>时间：在提交投标文件截止时间18天前提出。</w:t>
            </w:r>
          </w:p>
          <w:p w14:paraId="3A85CB9B">
            <w:pPr>
              <w:rPr>
                <w:rFonts w:hint="eastAsia" w:ascii="宋体" w:hAnsi="宋体" w:cs="宋体"/>
                <w:color w:val="auto"/>
                <w:kern w:val="0"/>
                <w:szCs w:val="21"/>
                <w:highlight w:val="none"/>
              </w:rPr>
            </w:pPr>
            <w:r>
              <w:rPr>
                <w:rFonts w:hint="eastAsia" w:ascii="宋体" w:hAnsi="宋体" w:cs="宋体"/>
                <w:color w:val="auto"/>
                <w:kern w:val="0"/>
                <w:szCs w:val="21"/>
                <w:highlight w:val="none"/>
              </w:rPr>
              <w:t>形式：投标人疑问通过网上提交。</w:t>
            </w:r>
          </w:p>
          <w:p w14:paraId="73D73BAC">
            <w:pPr>
              <w:rPr>
                <w:rFonts w:hint="eastAsia" w:ascii="宋体" w:hAnsi="宋体" w:cs="宋体"/>
                <w:color w:val="auto"/>
                <w:szCs w:val="21"/>
                <w:highlight w:val="none"/>
              </w:rPr>
            </w:pPr>
            <w:r>
              <w:rPr>
                <w:rFonts w:hint="eastAsia" w:ascii="宋体" w:hAnsi="宋体" w:cs="宋体"/>
                <w:color w:val="auto"/>
                <w:kern w:val="0"/>
                <w:szCs w:val="21"/>
                <w:highlight w:val="none"/>
              </w:rPr>
              <w:t>具体操作方法详见《建设工程全流程电子化项目操作指南》。</w:t>
            </w:r>
          </w:p>
        </w:tc>
      </w:tr>
      <w:tr w14:paraId="2845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B7BBFAD">
            <w:pPr>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2353" w:type="dxa"/>
            <w:gridSpan w:val="2"/>
            <w:vAlign w:val="center"/>
          </w:tcPr>
          <w:p w14:paraId="4E5F74B5">
            <w:pPr>
              <w:jc w:val="center"/>
              <w:rPr>
                <w:rFonts w:hint="eastAsia" w:ascii="宋体" w:hAnsi="宋体" w:cs="宋体"/>
                <w:color w:val="auto"/>
                <w:szCs w:val="21"/>
                <w:highlight w:val="none"/>
              </w:rPr>
            </w:pPr>
            <w:r>
              <w:rPr>
                <w:rFonts w:hint="eastAsia" w:ascii="宋体" w:hAnsi="宋体" w:cs="宋体"/>
                <w:color w:val="auto"/>
                <w:szCs w:val="21"/>
                <w:highlight w:val="none"/>
              </w:rPr>
              <w:t>招标人书面澄清的时间</w:t>
            </w:r>
          </w:p>
        </w:tc>
        <w:tc>
          <w:tcPr>
            <w:tcW w:w="5659" w:type="dxa"/>
            <w:vAlign w:val="center"/>
          </w:tcPr>
          <w:p w14:paraId="7AB6B73A">
            <w:pPr>
              <w:rPr>
                <w:rFonts w:hint="eastAsia" w:ascii="宋体" w:hAnsi="宋体" w:cs="宋体"/>
                <w:color w:val="auto"/>
                <w:szCs w:val="21"/>
                <w:highlight w:val="none"/>
              </w:rPr>
            </w:pPr>
            <w:r>
              <w:rPr>
                <w:rFonts w:hint="eastAsia" w:ascii="宋体" w:hAnsi="宋体" w:cs="宋体"/>
                <w:color w:val="auto"/>
                <w:szCs w:val="21"/>
                <w:highlight w:val="none"/>
              </w:rPr>
              <w:t>投标截止时间15天前</w:t>
            </w:r>
          </w:p>
        </w:tc>
      </w:tr>
      <w:tr w14:paraId="386E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5" w:type="dxa"/>
            <w:vAlign w:val="center"/>
          </w:tcPr>
          <w:p w14:paraId="07F7C598">
            <w:pPr>
              <w:jc w:val="center"/>
              <w:rPr>
                <w:rFonts w:hint="eastAsia" w:ascii="宋体" w:hAnsi="宋体" w:cs="宋体"/>
                <w:color w:val="auto"/>
                <w:szCs w:val="21"/>
                <w:highlight w:val="none"/>
              </w:rPr>
            </w:pPr>
            <w:r>
              <w:rPr>
                <w:rFonts w:hint="eastAsia" w:ascii="宋体" w:hAnsi="宋体" w:cs="宋体"/>
                <w:color w:val="auto"/>
                <w:szCs w:val="21"/>
                <w:highlight w:val="none"/>
              </w:rPr>
              <w:t>1.11.1</w:t>
            </w:r>
          </w:p>
        </w:tc>
        <w:tc>
          <w:tcPr>
            <w:tcW w:w="2353" w:type="dxa"/>
            <w:gridSpan w:val="2"/>
            <w:vAlign w:val="center"/>
          </w:tcPr>
          <w:p w14:paraId="2A308EED">
            <w:pPr>
              <w:jc w:val="center"/>
              <w:rPr>
                <w:rFonts w:hint="eastAsia" w:ascii="宋体" w:hAnsi="宋体" w:cs="宋体"/>
                <w:color w:val="auto"/>
                <w:szCs w:val="21"/>
                <w:highlight w:val="none"/>
              </w:rPr>
            </w:pPr>
            <w:r>
              <w:rPr>
                <w:rFonts w:hint="eastAsia" w:ascii="宋体" w:hAnsi="宋体" w:cs="宋体"/>
                <w:color w:val="auto"/>
                <w:szCs w:val="21"/>
                <w:highlight w:val="none"/>
              </w:rPr>
              <w:t>招标人规定由分包人承担的工作</w:t>
            </w:r>
          </w:p>
        </w:tc>
        <w:tc>
          <w:tcPr>
            <w:tcW w:w="5659" w:type="dxa"/>
            <w:vAlign w:val="center"/>
          </w:tcPr>
          <w:p w14:paraId="120C5B86">
            <w:pPr>
              <w:rPr>
                <w:rFonts w:hint="eastAsia" w:ascii="宋体" w:hAnsi="宋体" w:cs="宋体"/>
                <w:color w:val="auto"/>
                <w:szCs w:val="21"/>
                <w:highlight w:val="none"/>
              </w:rPr>
            </w:pPr>
            <w:r>
              <w:rPr>
                <w:rFonts w:hint="eastAsia" w:ascii="宋体" w:hAnsi="宋体" w:cs="宋体"/>
                <w:color w:val="auto"/>
                <w:szCs w:val="21"/>
                <w:highlight w:val="none"/>
              </w:rPr>
              <w:t>无</w:t>
            </w:r>
          </w:p>
        </w:tc>
      </w:tr>
      <w:tr w14:paraId="5BF0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92084C5">
            <w:pPr>
              <w:jc w:val="center"/>
              <w:rPr>
                <w:rFonts w:hint="eastAsia" w:ascii="宋体" w:hAnsi="宋体" w:cs="宋体"/>
                <w:color w:val="auto"/>
                <w:szCs w:val="21"/>
                <w:highlight w:val="none"/>
              </w:rPr>
            </w:pPr>
            <w:r>
              <w:rPr>
                <w:rFonts w:hint="eastAsia" w:ascii="宋体" w:hAnsi="宋体" w:cs="宋体"/>
                <w:color w:val="auto"/>
                <w:szCs w:val="21"/>
                <w:highlight w:val="none"/>
              </w:rPr>
              <w:t>1.11.2</w:t>
            </w:r>
          </w:p>
        </w:tc>
        <w:tc>
          <w:tcPr>
            <w:tcW w:w="2353" w:type="dxa"/>
            <w:gridSpan w:val="2"/>
            <w:vAlign w:val="center"/>
          </w:tcPr>
          <w:p w14:paraId="2FE14125">
            <w:pPr>
              <w:jc w:val="center"/>
              <w:rPr>
                <w:rFonts w:hint="eastAsia" w:ascii="宋体" w:hAnsi="宋体" w:cs="宋体"/>
                <w:color w:val="auto"/>
                <w:szCs w:val="21"/>
                <w:highlight w:val="none"/>
              </w:rPr>
            </w:pPr>
            <w:r>
              <w:rPr>
                <w:rFonts w:hint="eastAsia" w:ascii="宋体" w:hAnsi="宋体" w:cs="宋体"/>
                <w:color w:val="auto"/>
                <w:szCs w:val="21"/>
                <w:highlight w:val="none"/>
              </w:rPr>
              <w:t>投标人拟分包的工作</w:t>
            </w:r>
          </w:p>
        </w:tc>
        <w:tc>
          <w:tcPr>
            <w:tcW w:w="5659" w:type="dxa"/>
            <w:vAlign w:val="center"/>
          </w:tcPr>
          <w:p w14:paraId="09B5AD9A">
            <w:pPr>
              <w:pStyle w:val="14"/>
              <w:topLinePunct/>
              <w:rPr>
                <w:rFonts w:hint="eastAsia" w:hAnsi="宋体" w:cs="宋体"/>
                <w:color w:val="auto"/>
                <w:sz w:val="21"/>
                <w:szCs w:val="21"/>
                <w:highlight w:val="none"/>
              </w:rPr>
            </w:pPr>
            <w:r>
              <w:rPr>
                <w:rFonts w:hint="eastAsia" w:hAnsi="宋体" w:cs="宋体"/>
                <w:color w:val="auto"/>
                <w:sz w:val="21"/>
                <w:szCs w:val="21"/>
                <w:highlight w:val="none"/>
              </w:rPr>
              <w:t>□不允许</w:t>
            </w:r>
          </w:p>
          <w:p w14:paraId="5CE8A44F">
            <w:pPr>
              <w:rPr>
                <w:rFonts w:hint="eastAsia" w:ascii="宋体" w:hAnsi="宋体" w:cs="宋体"/>
                <w:color w:val="auto"/>
                <w:szCs w:val="21"/>
                <w:highlight w:val="none"/>
              </w:rPr>
            </w:pPr>
            <w:r>
              <w:rPr>
                <w:rFonts w:hint="eastAsia" w:hAnsi="宋体" w:cs="宋体"/>
                <w:color w:val="auto"/>
                <w:szCs w:val="21"/>
                <w:highlight w:val="none"/>
              </w:rPr>
              <w:t>■允许，</w:t>
            </w:r>
            <w:r>
              <w:rPr>
                <w:rFonts w:hint="eastAsia" w:ascii="宋体" w:hAnsi="宋体" w:cs="宋体"/>
                <w:color w:val="auto"/>
                <w:szCs w:val="21"/>
                <w:highlight w:val="none"/>
              </w:rPr>
              <w:t>对于非主体、非关键性工程，承包人不具备相应资质的，需经招标人审核批准后分包给具有相应资质和能力的专业单位实施，但不得再次分包。原生产设备（包括但不限于制药用制水系统、滴眼剂配制系统、滴眼剂灌装系统、眼膏剂灌装系统）的拆卸和重装调试，仅限分包给原设备生产厂家，且不得再次分包。</w:t>
            </w:r>
          </w:p>
        </w:tc>
      </w:tr>
      <w:tr w14:paraId="365B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7DB2AD9">
            <w:pPr>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353" w:type="dxa"/>
            <w:gridSpan w:val="2"/>
            <w:vAlign w:val="center"/>
          </w:tcPr>
          <w:p w14:paraId="591D43D0">
            <w:pPr>
              <w:jc w:val="center"/>
              <w:rPr>
                <w:rFonts w:hint="eastAsia" w:ascii="宋体" w:hAnsi="宋体" w:cs="宋体"/>
                <w:color w:val="auto"/>
                <w:szCs w:val="21"/>
                <w:highlight w:val="none"/>
              </w:rPr>
            </w:pPr>
            <w:r>
              <w:rPr>
                <w:rFonts w:hint="eastAsia" w:ascii="宋体" w:hAnsi="宋体" w:cs="宋体"/>
                <w:color w:val="auto"/>
                <w:szCs w:val="21"/>
                <w:highlight w:val="none"/>
              </w:rPr>
              <w:t>偏离</w:t>
            </w:r>
          </w:p>
        </w:tc>
        <w:tc>
          <w:tcPr>
            <w:tcW w:w="5659" w:type="dxa"/>
            <w:vAlign w:val="center"/>
          </w:tcPr>
          <w:p w14:paraId="3A4BE525">
            <w:pPr>
              <w:pStyle w:val="14"/>
              <w:topLinePunct/>
              <w:rPr>
                <w:rFonts w:hint="eastAsia" w:hAnsi="宋体" w:cs="宋体"/>
                <w:color w:val="auto"/>
                <w:sz w:val="21"/>
                <w:szCs w:val="21"/>
                <w:highlight w:val="none"/>
              </w:rPr>
            </w:pPr>
            <w:r>
              <w:rPr>
                <w:rFonts w:hint="eastAsia" w:hAnsi="宋体" w:cs="宋体"/>
                <w:color w:val="auto"/>
                <w:sz w:val="21"/>
                <w:szCs w:val="21"/>
                <w:highlight w:val="none"/>
              </w:rPr>
              <w:t>■不允许</w:t>
            </w:r>
          </w:p>
          <w:p w14:paraId="582D1E00">
            <w:pPr>
              <w:pStyle w:val="14"/>
              <w:topLinePunct/>
              <w:rPr>
                <w:rFonts w:hint="eastAsia" w:hAnsi="宋体" w:cs="宋体"/>
                <w:color w:val="auto"/>
                <w:sz w:val="21"/>
                <w:szCs w:val="21"/>
                <w:highlight w:val="none"/>
              </w:rPr>
            </w:pPr>
            <w:r>
              <w:rPr>
                <w:rFonts w:hint="eastAsia" w:hAnsi="宋体" w:cs="宋体"/>
                <w:color w:val="auto"/>
                <w:sz w:val="21"/>
                <w:szCs w:val="21"/>
                <w:highlight w:val="none"/>
              </w:rPr>
              <w:t>□允许，允许偏离的内容、偏离范围和幅度：</w:t>
            </w:r>
          </w:p>
        </w:tc>
      </w:tr>
      <w:tr w14:paraId="5083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C63BA94">
            <w:pPr>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353" w:type="dxa"/>
            <w:gridSpan w:val="2"/>
            <w:vAlign w:val="center"/>
          </w:tcPr>
          <w:p w14:paraId="0384E286">
            <w:pPr>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5659" w:type="dxa"/>
            <w:vAlign w:val="center"/>
          </w:tcPr>
          <w:p w14:paraId="23ABEC72">
            <w:pPr>
              <w:rPr>
                <w:rFonts w:hint="eastAsia" w:ascii="宋体" w:hAnsi="宋体" w:cs="宋体"/>
                <w:color w:val="auto"/>
                <w:szCs w:val="21"/>
                <w:highlight w:val="none"/>
              </w:rPr>
            </w:pPr>
            <w:r>
              <w:rPr>
                <w:rFonts w:hint="eastAsia" w:ascii="宋体" w:hAnsi="宋体" w:cs="宋体"/>
                <w:color w:val="auto"/>
                <w:szCs w:val="21"/>
                <w:highlight w:val="none"/>
              </w:rPr>
              <w:t>设计任务书、</w:t>
            </w:r>
            <w:r>
              <w:rPr>
                <w:rFonts w:hint="eastAsia" w:ascii="宋体" w:hAnsi="宋体" w:cs="宋体"/>
                <w:color w:val="auto"/>
                <w:kern w:val="0"/>
                <w:szCs w:val="21"/>
                <w:highlight w:val="none"/>
              </w:rPr>
              <w:t>答疑纪要、澄清文件等（如有）</w:t>
            </w:r>
          </w:p>
        </w:tc>
      </w:tr>
      <w:tr w14:paraId="2F01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FE7A020">
            <w:pPr>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353" w:type="dxa"/>
            <w:gridSpan w:val="2"/>
            <w:vAlign w:val="center"/>
          </w:tcPr>
          <w:p w14:paraId="1C4D7C2E">
            <w:pPr>
              <w:jc w:val="center"/>
              <w:rPr>
                <w:rFonts w:hint="eastAsia" w:ascii="宋体" w:hAnsi="宋体" w:cs="宋体"/>
                <w:color w:val="auto"/>
                <w:szCs w:val="21"/>
                <w:highlight w:val="none"/>
              </w:rPr>
            </w:pPr>
            <w:r>
              <w:rPr>
                <w:rFonts w:hint="eastAsia" w:ascii="宋体" w:hAnsi="宋体" w:cs="宋体"/>
                <w:color w:val="auto"/>
                <w:szCs w:val="21"/>
                <w:highlight w:val="none"/>
              </w:rPr>
              <w:t>投标人要求澄清招标文件的截止时间</w:t>
            </w:r>
          </w:p>
        </w:tc>
        <w:tc>
          <w:tcPr>
            <w:tcW w:w="5659" w:type="dxa"/>
            <w:vAlign w:val="center"/>
          </w:tcPr>
          <w:p w14:paraId="7D723C26">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时间：在提交投标文件截止时间18天前提出。</w:t>
            </w:r>
          </w:p>
          <w:p w14:paraId="69AAEB93">
            <w:pPr>
              <w:rPr>
                <w:rFonts w:hint="eastAsia" w:ascii="宋体" w:hAnsi="宋体" w:cs="宋体"/>
                <w:color w:val="auto"/>
                <w:szCs w:val="21"/>
                <w:highlight w:val="none"/>
              </w:rPr>
            </w:pPr>
            <w:r>
              <w:rPr>
                <w:rFonts w:hint="eastAsia" w:ascii="宋体" w:hAnsi="宋体" w:cs="宋体"/>
                <w:color w:val="auto"/>
                <w:szCs w:val="21"/>
                <w:highlight w:val="none"/>
                <w:u w:val="single"/>
              </w:rPr>
              <w:t>形式：投标人的疑问通过广州交易集团有限公司（广州公共资源交易中心）数字交易平台提交。按照广州交易集团有限公司（广州公共资源交易中心）数字交易平台关于全流程电子化项目的相关指南进行操作，详见：《</w:t>
            </w:r>
            <w:r>
              <w:rPr>
                <w:rFonts w:hint="eastAsia" w:ascii="宋体" w:hAnsi="宋体" w:cs="宋体"/>
                <w:color w:val="auto"/>
                <w:kern w:val="0"/>
                <w:szCs w:val="21"/>
                <w:highlight w:val="none"/>
              </w:rPr>
              <w:t>建设工程全流程电子化项目操作指南</w:t>
            </w:r>
            <w:r>
              <w:rPr>
                <w:rFonts w:hint="eastAsia" w:ascii="宋体" w:hAnsi="宋体" w:cs="宋体"/>
                <w:color w:val="auto"/>
                <w:szCs w:val="21"/>
                <w:highlight w:val="none"/>
                <w:u w:val="single"/>
              </w:rPr>
              <w:t>》。提问一律不得署名。</w:t>
            </w:r>
          </w:p>
        </w:tc>
      </w:tr>
      <w:tr w14:paraId="685E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vAlign w:val="center"/>
          </w:tcPr>
          <w:p w14:paraId="4952F46C">
            <w:pPr>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2353" w:type="dxa"/>
            <w:gridSpan w:val="2"/>
            <w:vAlign w:val="center"/>
          </w:tcPr>
          <w:p w14:paraId="399D3826">
            <w:pPr>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5659" w:type="dxa"/>
            <w:vAlign w:val="center"/>
          </w:tcPr>
          <w:p w14:paraId="580E84FE">
            <w:pPr>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7653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4A1987C">
            <w:pPr>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353" w:type="dxa"/>
            <w:gridSpan w:val="2"/>
            <w:vAlign w:val="center"/>
          </w:tcPr>
          <w:p w14:paraId="0863AAE3">
            <w:pPr>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投标人确认收到招标文件澄清的时间</w:t>
            </w:r>
          </w:p>
        </w:tc>
        <w:tc>
          <w:tcPr>
            <w:tcW w:w="5659" w:type="dxa"/>
            <w:vAlign w:val="center"/>
          </w:tcPr>
          <w:p w14:paraId="29889CB8">
            <w:pPr>
              <w:snapToGrid w:val="0"/>
              <w:rPr>
                <w:rFonts w:hint="eastAsia" w:ascii="宋体" w:hAnsi="宋体" w:cs="宋体"/>
                <w:color w:val="auto"/>
                <w:szCs w:val="21"/>
                <w:highlight w:val="none"/>
              </w:rPr>
            </w:pPr>
            <w:r>
              <w:rPr>
                <w:rFonts w:hint="eastAsia" w:ascii="宋体" w:hAnsi="宋体" w:cs="宋体"/>
                <w:color w:val="auto"/>
                <w:szCs w:val="21"/>
                <w:highlight w:val="none"/>
              </w:rPr>
              <w:t>招标文件的澄清或修改在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网站答疑专区网上公开发布，发出即视作收到，以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数字交易平台网站发布时间作为送达时间。无需投标人确认。投标人应自行关注，招标人不再一一通知。招标文件的修改内容作为招标文件的组成部分，具有约束作用。</w:t>
            </w:r>
          </w:p>
        </w:tc>
      </w:tr>
      <w:tr w14:paraId="6036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588E8FF">
            <w:pPr>
              <w:jc w:val="center"/>
              <w:rPr>
                <w:rFonts w:hint="eastAsia" w:ascii="宋体" w:hAnsi="宋体" w:cs="宋体"/>
                <w:color w:val="auto"/>
                <w:szCs w:val="21"/>
                <w:highlight w:val="none"/>
              </w:rPr>
            </w:pPr>
            <w:r>
              <w:rPr>
                <w:rFonts w:hint="eastAsia" w:ascii="宋体" w:hAnsi="宋体" w:cs="宋体"/>
                <w:color w:val="auto"/>
                <w:szCs w:val="21"/>
                <w:highlight w:val="none"/>
              </w:rPr>
              <w:t>2.3.2</w:t>
            </w:r>
          </w:p>
        </w:tc>
        <w:tc>
          <w:tcPr>
            <w:tcW w:w="2353" w:type="dxa"/>
            <w:gridSpan w:val="2"/>
            <w:vAlign w:val="center"/>
          </w:tcPr>
          <w:p w14:paraId="24858179">
            <w:pPr>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投标人确认收到招标文件修改的时间</w:t>
            </w:r>
          </w:p>
        </w:tc>
        <w:tc>
          <w:tcPr>
            <w:tcW w:w="5659" w:type="dxa"/>
            <w:vAlign w:val="center"/>
          </w:tcPr>
          <w:p w14:paraId="220B7567">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招标文件的澄清或修改或补充公告一经在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lang w:bidi="ar"/>
              </w:rPr>
              <w:t>网站发布，视作已发放给所有投标人，以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lang w:bidi="ar"/>
              </w:rPr>
              <w:t>交易平台网站发布时间作为送达时间。无需投标人确认。投标人应自行关注，招标人不再一一通知。招标文件的修改内容作为招标文件的组成部分，具有约束作用。</w:t>
            </w:r>
          </w:p>
        </w:tc>
      </w:tr>
      <w:tr w14:paraId="51B5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CB57772">
            <w:pPr>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2353" w:type="dxa"/>
            <w:gridSpan w:val="2"/>
            <w:vAlign w:val="center"/>
          </w:tcPr>
          <w:p w14:paraId="4BC05F85">
            <w:pPr>
              <w:jc w:val="center"/>
              <w:rPr>
                <w:rFonts w:hint="eastAsia"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5659" w:type="dxa"/>
            <w:vAlign w:val="center"/>
          </w:tcPr>
          <w:p w14:paraId="01B7DE44">
            <w:pPr>
              <w:rPr>
                <w:rFonts w:hint="eastAsia" w:ascii="宋体" w:hAnsi="宋体" w:cs="宋体"/>
                <w:color w:val="auto"/>
                <w:szCs w:val="21"/>
                <w:highlight w:val="none"/>
              </w:rPr>
            </w:pPr>
            <w:r>
              <w:rPr>
                <w:rFonts w:hint="eastAsia" w:ascii="宋体" w:hAnsi="宋体" w:cs="宋体"/>
                <w:color w:val="auto"/>
                <w:szCs w:val="21"/>
                <w:highlight w:val="none"/>
              </w:rPr>
              <w:t>见第七章《投标文件格式》要求</w:t>
            </w:r>
          </w:p>
        </w:tc>
      </w:tr>
      <w:tr w14:paraId="30A2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65" w:type="dxa"/>
            <w:vAlign w:val="center"/>
          </w:tcPr>
          <w:p w14:paraId="12E2E0D7">
            <w:pPr>
              <w:jc w:val="center"/>
              <w:rPr>
                <w:rFonts w:hint="eastAsia" w:ascii="宋体" w:hAnsi="宋体" w:cs="宋体"/>
                <w:color w:val="auto"/>
                <w:szCs w:val="21"/>
                <w:highlight w:val="none"/>
              </w:rPr>
            </w:pPr>
            <w:r>
              <w:rPr>
                <w:rFonts w:hint="eastAsia" w:ascii="宋体" w:hAnsi="宋体" w:cs="宋体"/>
                <w:color w:val="auto"/>
                <w:highlight w:val="none"/>
              </w:rPr>
              <w:t>3.2.4</w:t>
            </w:r>
          </w:p>
        </w:tc>
        <w:tc>
          <w:tcPr>
            <w:tcW w:w="2353" w:type="dxa"/>
            <w:gridSpan w:val="2"/>
            <w:vAlign w:val="center"/>
          </w:tcPr>
          <w:p w14:paraId="0F7533C2">
            <w:pPr>
              <w:jc w:val="center"/>
              <w:rPr>
                <w:rFonts w:hint="eastAsia" w:ascii="宋体" w:hAnsi="宋体" w:cs="宋体"/>
                <w:color w:val="auto"/>
                <w:szCs w:val="21"/>
                <w:highlight w:val="none"/>
              </w:rPr>
            </w:pPr>
            <w:r>
              <w:rPr>
                <w:rFonts w:hint="eastAsia" w:ascii="宋体" w:hAnsi="宋体" w:cs="宋体"/>
                <w:color w:val="auto"/>
                <w:szCs w:val="21"/>
                <w:highlight w:val="none"/>
              </w:rPr>
              <w:t>最高投标限价或其计算方法</w:t>
            </w:r>
          </w:p>
        </w:tc>
        <w:tc>
          <w:tcPr>
            <w:tcW w:w="5659" w:type="dxa"/>
            <w:vAlign w:val="center"/>
          </w:tcPr>
          <w:p w14:paraId="06C7F990">
            <w:pPr>
              <w:rPr>
                <w:color w:val="auto"/>
                <w:highlight w:val="none"/>
              </w:rPr>
            </w:pPr>
            <w:r>
              <w:rPr>
                <w:rFonts w:hint="eastAsia"/>
                <w:color w:val="auto"/>
                <w:highlight w:val="none"/>
              </w:rPr>
              <w:t>本次招标最高投标限价为人民币</w:t>
            </w:r>
            <w:r>
              <w:rPr>
                <w:color w:val="auto"/>
                <w:highlight w:val="none"/>
              </w:rPr>
              <w:t>11000000.00</w:t>
            </w:r>
            <w:r>
              <w:rPr>
                <w:rFonts w:hint="eastAsia"/>
                <w:color w:val="auto"/>
                <w:highlight w:val="none"/>
              </w:rPr>
              <w:t>元，其中：建安工程费最高投标限价为</w:t>
            </w:r>
            <w:r>
              <w:rPr>
                <w:color w:val="auto"/>
                <w:highlight w:val="none"/>
              </w:rPr>
              <w:t>10658800</w:t>
            </w:r>
            <w:r>
              <w:rPr>
                <w:rFonts w:hint="eastAsia"/>
                <w:color w:val="auto"/>
                <w:highlight w:val="none"/>
              </w:rPr>
              <w:t>.00元，设计费最高投标限价为341200.00元。</w:t>
            </w:r>
          </w:p>
          <w:p w14:paraId="21B692BE">
            <w:pPr>
              <w:pStyle w:val="19"/>
              <w:rPr>
                <w:color w:val="auto"/>
                <w:highlight w:val="none"/>
              </w:rPr>
            </w:pPr>
            <w:r>
              <w:rPr>
                <w:rFonts w:hint="eastAsia" w:ascii="宋体" w:hAnsi="宋体" w:eastAsia="宋体" w:cs="宋体"/>
                <w:color w:val="auto"/>
                <w:szCs w:val="21"/>
                <w:highlight w:val="none"/>
              </w:rPr>
              <w:t>备注：投标人的投标总价或设计费或建安工程费超过上述最高投标限价的为无效标。投标报价超过上述任一对应的最高投标限价的投标文件为无效标。</w:t>
            </w:r>
          </w:p>
        </w:tc>
      </w:tr>
      <w:tr w14:paraId="2AC3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5297707">
            <w:pPr>
              <w:jc w:val="center"/>
              <w:rPr>
                <w:rFonts w:hint="eastAsia" w:ascii="宋体" w:hAnsi="宋体" w:cs="宋体"/>
                <w:color w:val="auto"/>
                <w:highlight w:val="none"/>
              </w:rPr>
            </w:pPr>
            <w:r>
              <w:rPr>
                <w:rFonts w:hint="eastAsia" w:ascii="宋体" w:hAnsi="宋体" w:cs="宋体"/>
                <w:color w:val="auto"/>
                <w:highlight w:val="none"/>
              </w:rPr>
              <w:t>3.2.5</w:t>
            </w:r>
          </w:p>
        </w:tc>
        <w:tc>
          <w:tcPr>
            <w:tcW w:w="2353" w:type="dxa"/>
            <w:gridSpan w:val="2"/>
            <w:vAlign w:val="center"/>
          </w:tcPr>
          <w:p w14:paraId="4216B350">
            <w:pPr>
              <w:jc w:val="center"/>
              <w:rPr>
                <w:rFonts w:hint="eastAsia" w:ascii="宋体" w:hAnsi="宋体" w:cs="宋体"/>
                <w:color w:val="auto"/>
                <w:szCs w:val="21"/>
                <w:highlight w:val="none"/>
              </w:rPr>
            </w:pPr>
            <w:r>
              <w:rPr>
                <w:rFonts w:hint="eastAsia" w:ascii="宋体" w:hAnsi="宋体" w:cs="宋体"/>
                <w:color w:val="auto"/>
                <w:szCs w:val="21"/>
                <w:highlight w:val="none"/>
              </w:rPr>
              <w:t>投标报价的其他要求</w:t>
            </w:r>
          </w:p>
        </w:tc>
        <w:tc>
          <w:tcPr>
            <w:tcW w:w="5659" w:type="dxa"/>
            <w:vAlign w:val="center"/>
          </w:tcPr>
          <w:p w14:paraId="3E32372C">
            <w:pPr>
              <w:jc w:val="left"/>
              <w:rPr>
                <w:rFonts w:hint="eastAsia" w:ascii="宋体" w:hAnsi="宋体" w:cs="宋体"/>
                <w:color w:val="auto"/>
                <w:szCs w:val="21"/>
                <w:highlight w:val="none"/>
              </w:rPr>
            </w:pPr>
            <w:r>
              <w:rPr>
                <w:rFonts w:hint="eastAsia" w:ascii="宋体" w:hAnsi="宋体" w:cs="宋体"/>
                <w:color w:val="auto"/>
                <w:szCs w:val="21"/>
                <w:highlight w:val="none"/>
              </w:rPr>
              <w:t>投标人必须详细审阅全部招标文件，充分考虑职责和义务，全面地理解招标文件对投标报价的要求，并按招标人提出的条件及内容进行报价。</w:t>
            </w:r>
          </w:p>
          <w:p w14:paraId="7D2E3DED">
            <w:pPr>
              <w:jc w:val="left"/>
              <w:rPr>
                <w:rFonts w:hint="eastAsia" w:ascii="宋体" w:hAnsi="宋体" w:cs="宋体"/>
                <w:color w:val="auto"/>
                <w:szCs w:val="21"/>
                <w:highlight w:val="none"/>
              </w:rPr>
            </w:pPr>
            <w:r>
              <w:rPr>
                <w:rFonts w:hint="eastAsia" w:ascii="宋体" w:hAnsi="宋体" w:cs="宋体"/>
                <w:color w:val="auto"/>
                <w:szCs w:val="21"/>
                <w:highlight w:val="none"/>
              </w:rPr>
              <w:t>投标报价由设计费、建安工程费报价组成。本项目设计、建安工程费投标报价同时采用投标下浮率报价和数值报价方式，最终按实结算。投标人对设计费投标报价、建安工程费投标报价只能报一个投标报价和投标下浮率报价，小数点后保留二位小数，第三位小数四舍五入。如投标下浮率和各分项投标报价不一致时，以投标下浮率报价为准，评标委员会有权对各分项投标报价进行修正。</w:t>
            </w:r>
          </w:p>
          <w:p w14:paraId="12105AD7">
            <w:pPr>
              <w:jc w:val="left"/>
              <w:rPr>
                <w:rFonts w:hint="eastAsia" w:ascii="宋体" w:hAnsi="宋体" w:cs="宋体"/>
                <w:color w:val="auto"/>
                <w:szCs w:val="21"/>
                <w:highlight w:val="none"/>
              </w:rPr>
            </w:pPr>
            <w:r>
              <w:rPr>
                <w:rFonts w:hint="eastAsia" w:ascii="宋体" w:hAnsi="宋体" w:cs="宋体"/>
                <w:color w:val="auto"/>
                <w:szCs w:val="21"/>
                <w:highlight w:val="none"/>
              </w:rPr>
              <w:t>其中：</w:t>
            </w:r>
          </w:p>
          <w:p w14:paraId="67B5827A">
            <w:pPr>
              <w:jc w:val="left"/>
              <w:rPr>
                <w:rFonts w:hint="eastAsia" w:ascii="宋体" w:hAnsi="宋体" w:cs="宋体"/>
                <w:color w:val="auto"/>
                <w:szCs w:val="21"/>
                <w:highlight w:val="none"/>
              </w:rPr>
            </w:pPr>
            <w:r>
              <w:rPr>
                <w:rFonts w:hint="eastAsia" w:ascii="宋体" w:hAnsi="宋体" w:cs="宋体"/>
                <w:color w:val="auto"/>
                <w:szCs w:val="21"/>
                <w:highlight w:val="none"/>
              </w:rPr>
              <w:t>1、设计费：投标报价不得高于设计费最高投标限价，由投标人根据招标文件要求以及企业自身情况，填报投标报价和投标下浮率，采用固定总价包干方式计价。结算按照投标下浮率计算，具体以合同相关约定为准；</w:t>
            </w:r>
          </w:p>
          <w:p w14:paraId="0147302B">
            <w:pPr>
              <w:jc w:val="left"/>
              <w:rPr>
                <w:rFonts w:hint="eastAsia" w:ascii="宋体" w:hAnsi="宋体" w:cs="宋体"/>
                <w:color w:val="auto"/>
                <w:szCs w:val="21"/>
                <w:highlight w:val="none"/>
              </w:rPr>
            </w:pPr>
            <w:r>
              <w:rPr>
                <w:rFonts w:hint="eastAsia" w:ascii="宋体" w:hAnsi="宋体" w:cs="宋体"/>
                <w:color w:val="auto"/>
                <w:szCs w:val="21"/>
                <w:highlight w:val="none"/>
              </w:rPr>
              <w:t>2、建安工程费：投标报价不得高于建安工程费最高投标限价，由投标人根据招标文件要求以及企业自身情况，填报投标报价和投标下浮率；结算按照投标下浮率计算，具体以合同相关约定为准；</w:t>
            </w:r>
          </w:p>
          <w:p w14:paraId="57B18447">
            <w:pPr>
              <w:jc w:val="left"/>
              <w:rPr>
                <w:rFonts w:hint="eastAsia" w:ascii="宋体" w:hAnsi="宋体" w:cs="宋体"/>
                <w:color w:val="auto"/>
                <w:szCs w:val="21"/>
                <w:highlight w:val="none"/>
              </w:rPr>
            </w:pPr>
            <w:r>
              <w:rPr>
                <w:rFonts w:hint="eastAsia" w:ascii="宋体" w:hAnsi="宋体" w:cs="宋体"/>
                <w:color w:val="auto"/>
                <w:szCs w:val="21"/>
                <w:highlight w:val="none"/>
              </w:rPr>
              <w:t>3、建安工程费成本警戒价为</w:t>
            </w:r>
            <w:r>
              <w:rPr>
                <w:rFonts w:ascii="宋体" w:hAnsi="宋体" w:cs="宋体"/>
                <w:color w:val="auto"/>
                <w:szCs w:val="21"/>
                <w:highlight w:val="none"/>
              </w:rPr>
              <w:t>959292</w:t>
            </w:r>
            <w:r>
              <w:rPr>
                <w:rFonts w:hint="eastAsia" w:ascii="宋体" w:hAnsi="宋体" w:cs="宋体"/>
                <w:color w:val="auto"/>
                <w:szCs w:val="21"/>
                <w:highlight w:val="none"/>
              </w:rPr>
              <w:t>0.00元（按建安工程费最高投标限价的90%设置），其中，对低于该警戒价的投标报价，投标人必须提供详细的单价、措施性费用、单价分析表、主要材料价格表、投标人成本分析等材料供评标委员会评审，由评标委员会判定其是否低于企业自身成本。在评标过程中，评标委员会发现投标人的建安工程费报价明显低于其他投标人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4434B232">
            <w:pPr>
              <w:jc w:val="left"/>
              <w:rPr>
                <w:rFonts w:hint="eastAsia" w:ascii="宋体" w:hAnsi="宋体" w:cs="宋体"/>
                <w:color w:val="auto"/>
                <w:szCs w:val="21"/>
                <w:highlight w:val="none"/>
              </w:rPr>
            </w:pPr>
            <w:r>
              <w:rPr>
                <w:rFonts w:hint="eastAsia" w:ascii="宋体" w:hAnsi="宋体" w:cs="宋体"/>
                <w:color w:val="auto"/>
                <w:szCs w:val="21"/>
                <w:highlight w:val="none"/>
              </w:rPr>
              <w:t>中标的总价仅为暂定合同价，中标总价不作为竣工结算的依据，可作为拨付工程进度款的依据。本项目施工图审查通过后，根据最终确认的施工图纸，由中标人编制概算、预算。其中，经第三方咨询机构审定概算、预算，并经有权审核的部门审批通过后，按投标下浮率及合同约定的方法，得出合同价格清单，以此合同价格清单作为进度款支付和结算的依据。建安工程费结算原则以合同约定为准。</w:t>
            </w:r>
          </w:p>
        </w:tc>
      </w:tr>
      <w:tr w14:paraId="160A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AA8CFC3">
            <w:pPr>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2353" w:type="dxa"/>
            <w:gridSpan w:val="2"/>
            <w:vAlign w:val="center"/>
          </w:tcPr>
          <w:p w14:paraId="12D73434">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659" w:type="dxa"/>
            <w:vAlign w:val="center"/>
          </w:tcPr>
          <w:p w14:paraId="62359309">
            <w:pPr>
              <w:rPr>
                <w:rFonts w:hint="eastAsia" w:ascii="宋体" w:hAnsi="宋体" w:cs="宋体"/>
                <w:color w:val="auto"/>
                <w:kern w:val="0"/>
                <w:szCs w:val="21"/>
                <w:highlight w:val="none"/>
              </w:rPr>
            </w:pPr>
            <w:r>
              <w:rPr>
                <w:rFonts w:hint="eastAsia" w:ascii="宋体" w:hAnsi="宋体" w:cs="宋体"/>
                <w:color w:val="auto"/>
                <w:kern w:val="0"/>
                <w:szCs w:val="21"/>
                <w:highlight w:val="none"/>
              </w:rPr>
              <w:t>120日历天</w:t>
            </w:r>
          </w:p>
        </w:tc>
      </w:tr>
      <w:tr w14:paraId="5DD4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0B91BF6">
            <w:pPr>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353" w:type="dxa"/>
            <w:gridSpan w:val="2"/>
            <w:vAlign w:val="center"/>
          </w:tcPr>
          <w:p w14:paraId="7899DB4D">
            <w:pPr>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659" w:type="dxa"/>
            <w:vAlign w:val="center"/>
          </w:tcPr>
          <w:p w14:paraId="7BBF4CA7">
            <w:pPr>
              <w:rPr>
                <w:rFonts w:hint="eastAsia" w:ascii="宋体" w:hAnsi="宋体" w:cs="宋体"/>
                <w:color w:val="auto"/>
                <w:kern w:val="0"/>
                <w:szCs w:val="21"/>
                <w:highlight w:val="none"/>
              </w:rPr>
            </w:pPr>
            <w:r>
              <w:rPr>
                <w:rFonts w:hint="eastAsia" w:ascii="宋体" w:hAnsi="宋体" w:cs="宋体"/>
                <w:color w:val="auto"/>
                <w:kern w:val="0"/>
                <w:szCs w:val="21"/>
                <w:highlight w:val="none"/>
              </w:rPr>
              <w:t>是否要求投标人递交投标保证金：</w:t>
            </w:r>
          </w:p>
          <w:p w14:paraId="711311A4">
            <w:pPr>
              <w:rPr>
                <w:rFonts w:hint="eastAsia" w:ascii="宋体" w:hAnsi="宋体" w:cs="宋体"/>
                <w:color w:val="auto"/>
                <w:kern w:val="0"/>
                <w:szCs w:val="21"/>
                <w:highlight w:val="none"/>
              </w:rPr>
            </w:pPr>
            <w:r>
              <w:rPr>
                <w:rFonts w:hint="eastAsia" w:ascii="宋体" w:hAnsi="宋体" w:cs="宋体"/>
                <w:color w:val="auto"/>
                <w:kern w:val="0"/>
                <w:szCs w:val="21"/>
                <w:highlight w:val="none"/>
              </w:rPr>
              <w:t>□要求，投标保证金的金额：</w:t>
            </w:r>
          </w:p>
          <w:p w14:paraId="34CC74B0">
            <w:pPr>
              <w:rPr>
                <w:rFonts w:hint="eastAsia" w:ascii="宋体" w:hAnsi="宋体" w:cs="宋体"/>
                <w:color w:val="auto"/>
                <w:kern w:val="0"/>
                <w:szCs w:val="21"/>
                <w:highlight w:val="none"/>
              </w:rPr>
            </w:pPr>
            <w:r>
              <w:rPr>
                <w:rFonts w:hint="eastAsia" w:ascii="宋体" w:hAnsi="宋体" w:cs="宋体"/>
                <w:color w:val="auto"/>
                <w:kern w:val="0"/>
                <w:szCs w:val="21"/>
                <w:highlight w:val="none"/>
              </w:rPr>
              <w:t>■不要求。</w:t>
            </w:r>
          </w:p>
        </w:tc>
      </w:tr>
      <w:tr w14:paraId="6AC9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vAlign w:val="center"/>
          </w:tcPr>
          <w:p w14:paraId="11C7A024">
            <w:pPr>
              <w:jc w:val="center"/>
              <w:rPr>
                <w:rFonts w:hint="eastAsia" w:ascii="宋体" w:hAnsi="宋体" w:cs="宋体"/>
                <w:color w:val="auto"/>
                <w:szCs w:val="21"/>
                <w:highlight w:val="none"/>
              </w:rPr>
            </w:pPr>
            <w:r>
              <w:rPr>
                <w:rFonts w:hint="eastAsia" w:ascii="宋体" w:hAnsi="宋体" w:cs="宋体"/>
                <w:color w:val="auto"/>
                <w:szCs w:val="21"/>
                <w:highlight w:val="none"/>
              </w:rPr>
              <w:t>3.5.2</w:t>
            </w:r>
          </w:p>
        </w:tc>
        <w:tc>
          <w:tcPr>
            <w:tcW w:w="2353" w:type="dxa"/>
            <w:gridSpan w:val="2"/>
            <w:vAlign w:val="center"/>
          </w:tcPr>
          <w:p w14:paraId="6319AD5F">
            <w:pPr>
              <w:jc w:val="center"/>
              <w:rPr>
                <w:rFonts w:hint="eastAsia" w:ascii="宋体" w:hAnsi="宋体" w:cs="宋体"/>
                <w:color w:val="auto"/>
                <w:szCs w:val="21"/>
                <w:highlight w:val="none"/>
              </w:rPr>
            </w:pPr>
            <w:r>
              <w:rPr>
                <w:rFonts w:hint="eastAsia" w:ascii="宋体" w:hAnsi="宋体" w:cs="宋体"/>
                <w:color w:val="auto"/>
                <w:szCs w:val="21"/>
                <w:highlight w:val="none"/>
              </w:rPr>
              <w:t>近年财务状况</w:t>
            </w:r>
          </w:p>
        </w:tc>
        <w:tc>
          <w:tcPr>
            <w:tcW w:w="5659" w:type="dxa"/>
            <w:vAlign w:val="center"/>
          </w:tcPr>
          <w:p w14:paraId="2668E422">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630B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3D953CB">
            <w:pPr>
              <w:jc w:val="center"/>
              <w:rPr>
                <w:rFonts w:hint="eastAsia" w:ascii="宋体" w:hAnsi="宋体" w:cs="宋体"/>
                <w:color w:val="auto"/>
                <w:szCs w:val="21"/>
                <w:highlight w:val="none"/>
              </w:rPr>
            </w:pPr>
            <w:r>
              <w:rPr>
                <w:rFonts w:hint="eastAsia" w:ascii="宋体" w:hAnsi="宋体" w:cs="宋体"/>
                <w:color w:val="auto"/>
                <w:szCs w:val="21"/>
                <w:highlight w:val="none"/>
              </w:rPr>
              <w:t>3.5.3</w:t>
            </w:r>
          </w:p>
        </w:tc>
        <w:tc>
          <w:tcPr>
            <w:tcW w:w="2353" w:type="dxa"/>
            <w:gridSpan w:val="2"/>
            <w:vAlign w:val="center"/>
          </w:tcPr>
          <w:p w14:paraId="198109A9">
            <w:pPr>
              <w:jc w:val="center"/>
              <w:rPr>
                <w:rFonts w:hint="eastAsia" w:ascii="宋体" w:hAnsi="宋体" w:cs="宋体"/>
                <w:color w:val="auto"/>
                <w:szCs w:val="21"/>
                <w:highlight w:val="none"/>
              </w:rPr>
            </w:pPr>
            <w:r>
              <w:rPr>
                <w:rFonts w:hint="eastAsia" w:ascii="宋体" w:hAnsi="宋体" w:cs="宋体"/>
                <w:color w:val="auto"/>
                <w:szCs w:val="21"/>
                <w:highlight w:val="none"/>
              </w:rPr>
              <w:t>近年完成的类似项目</w:t>
            </w:r>
          </w:p>
        </w:tc>
        <w:tc>
          <w:tcPr>
            <w:tcW w:w="5659" w:type="dxa"/>
            <w:vAlign w:val="center"/>
          </w:tcPr>
          <w:p w14:paraId="5C90B66F">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7440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vAlign w:val="center"/>
          </w:tcPr>
          <w:p w14:paraId="3B950A08">
            <w:pPr>
              <w:jc w:val="center"/>
              <w:rPr>
                <w:rFonts w:hint="eastAsia" w:ascii="宋体" w:hAnsi="宋体" w:cs="宋体"/>
                <w:color w:val="auto"/>
                <w:szCs w:val="21"/>
                <w:highlight w:val="none"/>
              </w:rPr>
            </w:pPr>
            <w:r>
              <w:rPr>
                <w:rFonts w:hint="eastAsia" w:ascii="宋体" w:hAnsi="宋体" w:cs="宋体"/>
                <w:color w:val="auto"/>
                <w:szCs w:val="21"/>
                <w:highlight w:val="none"/>
              </w:rPr>
              <w:t>3.5.5</w:t>
            </w:r>
          </w:p>
        </w:tc>
        <w:tc>
          <w:tcPr>
            <w:tcW w:w="2353" w:type="dxa"/>
            <w:gridSpan w:val="2"/>
            <w:vAlign w:val="center"/>
          </w:tcPr>
          <w:p w14:paraId="3990B28F">
            <w:pPr>
              <w:jc w:val="center"/>
              <w:rPr>
                <w:rFonts w:hint="eastAsia" w:ascii="宋体" w:hAnsi="宋体" w:cs="宋体"/>
                <w:color w:val="auto"/>
                <w:szCs w:val="21"/>
                <w:highlight w:val="none"/>
              </w:rPr>
            </w:pPr>
            <w:r>
              <w:rPr>
                <w:rFonts w:hint="eastAsia" w:ascii="宋体" w:hAnsi="宋体" w:cs="宋体"/>
                <w:color w:val="auto"/>
                <w:szCs w:val="21"/>
                <w:highlight w:val="none"/>
              </w:rPr>
              <w:t>近年发生的重大诉讼及仲裁情况</w:t>
            </w:r>
          </w:p>
        </w:tc>
        <w:tc>
          <w:tcPr>
            <w:tcW w:w="5659" w:type="dxa"/>
            <w:vAlign w:val="center"/>
          </w:tcPr>
          <w:p w14:paraId="08F02018">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5B61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C5A62D7">
            <w:pPr>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2353" w:type="dxa"/>
            <w:gridSpan w:val="2"/>
            <w:vAlign w:val="center"/>
          </w:tcPr>
          <w:p w14:paraId="0399B0B5">
            <w:pPr>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5659" w:type="dxa"/>
            <w:vAlign w:val="center"/>
          </w:tcPr>
          <w:p w14:paraId="2254F700">
            <w:pPr>
              <w:pStyle w:val="14"/>
              <w:topLinePunct/>
              <w:rPr>
                <w:rFonts w:hint="eastAsia" w:hAnsi="宋体" w:cs="宋体"/>
                <w:color w:val="auto"/>
                <w:sz w:val="21"/>
                <w:szCs w:val="21"/>
                <w:highlight w:val="none"/>
              </w:rPr>
            </w:pPr>
            <w:r>
              <w:rPr>
                <w:rFonts w:hint="eastAsia" w:hAnsi="宋体" w:cs="宋体"/>
                <w:color w:val="auto"/>
                <w:sz w:val="21"/>
                <w:szCs w:val="21"/>
                <w:highlight w:val="none"/>
              </w:rPr>
              <w:t>■不允许</w:t>
            </w:r>
          </w:p>
          <w:p w14:paraId="643FF216">
            <w:pPr>
              <w:rPr>
                <w:rFonts w:hint="eastAsia" w:ascii="宋体" w:hAnsi="宋体" w:cs="宋体"/>
                <w:color w:val="auto"/>
                <w:szCs w:val="21"/>
                <w:highlight w:val="none"/>
              </w:rPr>
            </w:pPr>
            <w:r>
              <w:rPr>
                <w:rFonts w:hint="eastAsia" w:hAnsi="宋体" w:cs="宋体"/>
                <w:color w:val="auto"/>
                <w:szCs w:val="21"/>
                <w:highlight w:val="none"/>
              </w:rPr>
              <w:t>□</w:t>
            </w:r>
            <w:r>
              <w:rPr>
                <w:rFonts w:hint="eastAsia" w:ascii="宋体" w:hAnsi="宋体" w:cs="宋体"/>
                <w:color w:val="auto"/>
                <w:szCs w:val="21"/>
                <w:highlight w:val="none"/>
              </w:rPr>
              <w:t>允许</w:t>
            </w:r>
          </w:p>
        </w:tc>
      </w:tr>
      <w:tr w14:paraId="4C30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DDA435E">
            <w:pPr>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2353" w:type="dxa"/>
            <w:gridSpan w:val="2"/>
            <w:vAlign w:val="center"/>
          </w:tcPr>
          <w:p w14:paraId="6E251FCF">
            <w:pPr>
              <w:jc w:val="center"/>
              <w:rPr>
                <w:rFonts w:hint="eastAsia" w:ascii="宋体" w:hAnsi="宋体" w:cs="宋体"/>
                <w:color w:val="auto"/>
                <w:szCs w:val="21"/>
                <w:highlight w:val="none"/>
              </w:rPr>
            </w:pPr>
            <w:r>
              <w:rPr>
                <w:rFonts w:hint="eastAsia" w:ascii="宋体" w:hAnsi="宋体" w:cs="宋体"/>
                <w:color w:val="auto"/>
                <w:szCs w:val="21"/>
                <w:highlight w:val="none"/>
              </w:rPr>
              <w:t>签字或盖章要求</w:t>
            </w:r>
          </w:p>
        </w:tc>
        <w:tc>
          <w:tcPr>
            <w:tcW w:w="5659" w:type="dxa"/>
            <w:vAlign w:val="center"/>
          </w:tcPr>
          <w:p w14:paraId="1835BE11">
            <w:pPr>
              <w:rPr>
                <w:rFonts w:hint="eastAsia" w:ascii="宋体" w:hAnsi="宋体" w:cs="宋体"/>
                <w:color w:val="auto"/>
                <w:szCs w:val="21"/>
                <w:highlight w:val="none"/>
              </w:rPr>
            </w:pPr>
            <w:r>
              <w:rPr>
                <w:rFonts w:hint="eastAsia" w:ascii="宋体" w:hAnsi="宋体" w:cs="宋体"/>
                <w:color w:val="auto"/>
                <w:szCs w:val="21"/>
                <w:highlight w:val="none"/>
                <w:u w:val="single"/>
              </w:rPr>
              <w:t>投标人（若为联合体投标，指联合体主办方）采用单位数字证书，对投标文件加盖电子印章。投标文件中需个人签字或盖章的，应手签后扫描上传。按照交易平台关于全流程电子化项目的相关指南进行操作，联合体投标的，投标文件其他内容中的“投标人”、“投标单位”、“声明企业”应填写联合体各方的单位全称【格式表示为：（主）XXXX公司，（成）XXXX公司】，由主办方盖章、签字即可。法定代表人证明书及授权委托证明书可由联合体主办方出具。</w:t>
            </w:r>
          </w:p>
        </w:tc>
      </w:tr>
      <w:tr w14:paraId="4427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vAlign w:val="center"/>
          </w:tcPr>
          <w:p w14:paraId="53BFB720">
            <w:pPr>
              <w:jc w:val="center"/>
              <w:rPr>
                <w:rFonts w:hint="eastAsia" w:ascii="宋体" w:hAnsi="宋体" w:cs="宋体"/>
                <w:color w:val="auto"/>
                <w:szCs w:val="21"/>
                <w:highlight w:val="none"/>
              </w:rPr>
            </w:pPr>
            <w:r>
              <w:rPr>
                <w:rFonts w:hint="eastAsia" w:ascii="宋体" w:hAnsi="宋体" w:cs="宋体"/>
                <w:color w:val="auto"/>
                <w:szCs w:val="21"/>
                <w:highlight w:val="none"/>
              </w:rPr>
              <w:t>3.7.4</w:t>
            </w:r>
          </w:p>
        </w:tc>
        <w:tc>
          <w:tcPr>
            <w:tcW w:w="2353" w:type="dxa"/>
            <w:gridSpan w:val="2"/>
            <w:vAlign w:val="center"/>
          </w:tcPr>
          <w:p w14:paraId="09E42DDB">
            <w:pPr>
              <w:jc w:val="center"/>
              <w:rPr>
                <w:rFonts w:hint="eastAsia" w:ascii="宋体" w:hAnsi="宋体" w:cs="宋体"/>
                <w:color w:val="auto"/>
                <w:szCs w:val="21"/>
                <w:highlight w:val="none"/>
              </w:rPr>
            </w:pPr>
            <w:r>
              <w:rPr>
                <w:rFonts w:hint="eastAsia" w:ascii="宋体" w:hAnsi="宋体" w:cs="宋体"/>
                <w:color w:val="auto"/>
                <w:szCs w:val="21"/>
                <w:highlight w:val="none"/>
              </w:rPr>
              <w:t>投标文件副本份数</w:t>
            </w:r>
          </w:p>
        </w:tc>
        <w:tc>
          <w:tcPr>
            <w:tcW w:w="5659" w:type="dxa"/>
            <w:vAlign w:val="center"/>
          </w:tcPr>
          <w:p w14:paraId="4A19F2E6">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58C2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06C0101">
            <w:pPr>
              <w:jc w:val="center"/>
              <w:rPr>
                <w:rFonts w:hint="eastAsia" w:ascii="宋体" w:hAnsi="宋体" w:cs="宋体"/>
                <w:color w:val="auto"/>
                <w:szCs w:val="21"/>
                <w:highlight w:val="none"/>
              </w:rPr>
            </w:pPr>
            <w:r>
              <w:rPr>
                <w:rFonts w:hint="eastAsia" w:ascii="宋体" w:hAnsi="宋体" w:cs="宋体"/>
                <w:color w:val="auto"/>
                <w:szCs w:val="21"/>
                <w:highlight w:val="none"/>
              </w:rPr>
              <w:t>3.7.5</w:t>
            </w:r>
          </w:p>
        </w:tc>
        <w:tc>
          <w:tcPr>
            <w:tcW w:w="2353" w:type="dxa"/>
            <w:gridSpan w:val="2"/>
            <w:vAlign w:val="center"/>
          </w:tcPr>
          <w:p w14:paraId="5D5B46DC">
            <w:pPr>
              <w:jc w:val="center"/>
              <w:rPr>
                <w:rFonts w:hint="eastAsia" w:ascii="宋体" w:hAnsi="宋体" w:cs="宋体"/>
                <w:color w:val="auto"/>
                <w:szCs w:val="21"/>
                <w:highlight w:val="none"/>
              </w:rPr>
            </w:pPr>
            <w:r>
              <w:rPr>
                <w:rFonts w:hint="eastAsia" w:ascii="宋体" w:hAnsi="宋体" w:cs="宋体"/>
                <w:color w:val="auto"/>
                <w:szCs w:val="21"/>
                <w:highlight w:val="none"/>
              </w:rPr>
              <w:t>装订要求</w:t>
            </w:r>
          </w:p>
        </w:tc>
        <w:tc>
          <w:tcPr>
            <w:tcW w:w="5659" w:type="dxa"/>
            <w:vAlign w:val="center"/>
          </w:tcPr>
          <w:p w14:paraId="48345D28">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0501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07CAE2E">
            <w:pPr>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2353" w:type="dxa"/>
            <w:gridSpan w:val="2"/>
            <w:vAlign w:val="center"/>
          </w:tcPr>
          <w:p w14:paraId="0917A97E">
            <w:pPr>
              <w:jc w:val="center"/>
              <w:rPr>
                <w:rFonts w:hint="eastAsia" w:ascii="宋体" w:hAnsi="宋体" w:cs="宋体"/>
                <w:color w:val="auto"/>
                <w:szCs w:val="21"/>
                <w:highlight w:val="none"/>
              </w:rPr>
            </w:pPr>
            <w:r>
              <w:rPr>
                <w:rFonts w:hint="eastAsia" w:ascii="宋体" w:hAnsi="宋体" w:cs="宋体"/>
                <w:color w:val="auto"/>
                <w:szCs w:val="21"/>
                <w:highlight w:val="none"/>
              </w:rPr>
              <w:t>封套上应载明的信息</w:t>
            </w:r>
          </w:p>
        </w:tc>
        <w:tc>
          <w:tcPr>
            <w:tcW w:w="5659" w:type="dxa"/>
            <w:vAlign w:val="center"/>
          </w:tcPr>
          <w:p w14:paraId="70AC7C52">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37B9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1DB2D55">
            <w:pPr>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2353" w:type="dxa"/>
            <w:gridSpan w:val="2"/>
            <w:vAlign w:val="center"/>
          </w:tcPr>
          <w:p w14:paraId="2A8F4C8C">
            <w:pPr>
              <w:jc w:val="center"/>
              <w:rPr>
                <w:rFonts w:hint="eastAsia" w:ascii="宋体" w:hAnsi="宋体" w:cs="宋体"/>
                <w:color w:val="auto"/>
                <w:szCs w:val="21"/>
                <w:highlight w:val="none"/>
              </w:rPr>
            </w:pPr>
            <w:r>
              <w:rPr>
                <w:rFonts w:hint="eastAsia" w:ascii="宋体" w:hAnsi="宋体" w:cs="宋体"/>
                <w:color w:val="auto"/>
                <w:szCs w:val="21"/>
                <w:highlight w:val="none"/>
              </w:rPr>
              <w:t>递交投标文件地点</w:t>
            </w:r>
          </w:p>
        </w:tc>
        <w:tc>
          <w:tcPr>
            <w:tcW w:w="5659" w:type="dxa"/>
            <w:vAlign w:val="center"/>
          </w:tcPr>
          <w:p w14:paraId="02C65152">
            <w:pPr>
              <w:rPr>
                <w:rFonts w:hint="eastAsia" w:ascii="宋体" w:hAnsi="宋体" w:cs="宋体"/>
                <w:color w:val="auto"/>
                <w:szCs w:val="21"/>
                <w:highlight w:val="none"/>
              </w:rPr>
            </w:pPr>
            <w:r>
              <w:rPr>
                <w:rFonts w:hint="eastAsia" w:ascii="宋体" w:hAnsi="宋体" w:cs="宋体"/>
                <w:color w:val="auto"/>
                <w:szCs w:val="21"/>
                <w:highlight w:val="none"/>
              </w:rPr>
              <w:t>投标人应在截止时间前通过电子招标投标交易平台递交电子投标文件。</w:t>
            </w:r>
          </w:p>
        </w:tc>
      </w:tr>
      <w:tr w14:paraId="0DB2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8E0879F">
            <w:pPr>
              <w:jc w:val="center"/>
              <w:rPr>
                <w:rFonts w:hint="eastAsia" w:ascii="宋体" w:hAnsi="宋体" w:cs="宋体"/>
                <w:color w:val="auto"/>
                <w:szCs w:val="21"/>
                <w:highlight w:val="none"/>
              </w:rPr>
            </w:pPr>
            <w:r>
              <w:rPr>
                <w:rFonts w:hint="eastAsia" w:ascii="宋体" w:hAnsi="宋体" w:cs="宋体"/>
                <w:color w:val="auto"/>
                <w:szCs w:val="21"/>
                <w:highlight w:val="none"/>
              </w:rPr>
              <w:t>4.2.3</w:t>
            </w:r>
          </w:p>
        </w:tc>
        <w:tc>
          <w:tcPr>
            <w:tcW w:w="2353" w:type="dxa"/>
            <w:gridSpan w:val="2"/>
            <w:vAlign w:val="center"/>
          </w:tcPr>
          <w:p w14:paraId="4A920140">
            <w:pPr>
              <w:jc w:val="center"/>
              <w:rPr>
                <w:rFonts w:hint="eastAsia" w:ascii="宋体" w:hAnsi="宋体" w:cs="宋体"/>
                <w:color w:val="auto"/>
                <w:szCs w:val="21"/>
                <w:highlight w:val="none"/>
              </w:rPr>
            </w:pPr>
            <w:r>
              <w:rPr>
                <w:rFonts w:hint="eastAsia" w:ascii="宋体" w:hAnsi="宋体" w:cs="宋体"/>
                <w:color w:val="auto"/>
                <w:szCs w:val="21"/>
                <w:highlight w:val="none"/>
              </w:rPr>
              <w:t>是否退还投标文件</w:t>
            </w:r>
          </w:p>
        </w:tc>
        <w:tc>
          <w:tcPr>
            <w:tcW w:w="5659" w:type="dxa"/>
            <w:vAlign w:val="center"/>
          </w:tcPr>
          <w:p w14:paraId="7F63727D">
            <w:pPr>
              <w:pStyle w:val="14"/>
              <w:topLinePunct/>
              <w:rPr>
                <w:rFonts w:hint="eastAsia" w:hAnsi="宋体" w:cs="宋体"/>
                <w:color w:val="auto"/>
                <w:sz w:val="21"/>
                <w:szCs w:val="21"/>
                <w:highlight w:val="none"/>
              </w:rPr>
            </w:pPr>
            <w:r>
              <w:rPr>
                <w:rFonts w:hint="eastAsia" w:hAnsi="宋体" w:cs="宋体"/>
                <w:color w:val="auto"/>
                <w:sz w:val="21"/>
                <w:szCs w:val="21"/>
                <w:highlight w:val="none"/>
              </w:rPr>
              <w:t>■否</w:t>
            </w:r>
          </w:p>
          <w:p w14:paraId="7DCE59F2">
            <w:pPr>
              <w:rPr>
                <w:rFonts w:hint="eastAsia" w:ascii="宋体" w:hAnsi="宋体" w:cs="宋体"/>
                <w:color w:val="auto"/>
                <w:szCs w:val="21"/>
                <w:highlight w:val="none"/>
              </w:rPr>
            </w:pPr>
            <w:r>
              <w:rPr>
                <w:rFonts w:hint="eastAsia" w:ascii="宋体" w:hAnsi="宋体" w:cs="宋体"/>
                <w:color w:val="auto"/>
                <w:szCs w:val="21"/>
                <w:highlight w:val="none"/>
              </w:rPr>
              <w:t>□是</w:t>
            </w:r>
          </w:p>
        </w:tc>
      </w:tr>
      <w:tr w14:paraId="7D73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65" w:type="dxa"/>
            <w:vAlign w:val="center"/>
          </w:tcPr>
          <w:p w14:paraId="627752CD">
            <w:pPr>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353" w:type="dxa"/>
            <w:gridSpan w:val="2"/>
            <w:vAlign w:val="center"/>
          </w:tcPr>
          <w:p w14:paraId="568A35EB">
            <w:pPr>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5659" w:type="dxa"/>
            <w:vAlign w:val="center"/>
          </w:tcPr>
          <w:p w14:paraId="51CC275F">
            <w:pPr>
              <w:snapToGrid w:val="0"/>
              <w:rPr>
                <w:rFonts w:hint="eastAsia" w:ascii="宋体" w:hAnsi="宋体" w:cs="宋体"/>
                <w:color w:val="auto"/>
                <w:szCs w:val="21"/>
                <w:highlight w:val="none"/>
              </w:rPr>
            </w:pPr>
            <w:r>
              <w:rPr>
                <w:rFonts w:hint="eastAsia" w:ascii="宋体" w:hAnsi="宋体" w:cs="宋体"/>
                <w:color w:val="auto"/>
                <w:szCs w:val="21"/>
                <w:highlight w:val="none"/>
              </w:rPr>
              <w:t>开标时间同投标截止时间。</w:t>
            </w:r>
          </w:p>
          <w:p w14:paraId="6F514277">
            <w:pPr>
              <w:snapToGrid w:val="0"/>
              <w:rPr>
                <w:rFonts w:hint="eastAsia" w:ascii="宋体" w:hAnsi="宋体" w:cs="宋体"/>
                <w:color w:val="auto"/>
                <w:szCs w:val="21"/>
                <w:highlight w:val="none"/>
              </w:rPr>
            </w:pPr>
            <w:r>
              <w:rPr>
                <w:rFonts w:hint="eastAsia" w:ascii="宋体" w:hAnsi="宋体" w:cs="宋体"/>
                <w:color w:val="auto"/>
                <w:szCs w:val="21"/>
                <w:highlight w:val="none"/>
              </w:rPr>
              <w:t>开标地点：</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u w:val="single"/>
                <w:lang w:bidi="ar"/>
              </w:rPr>
              <w:t>广州市天河区天润路333号）</w:t>
            </w:r>
            <w:r>
              <w:rPr>
                <w:rFonts w:hint="eastAsia" w:ascii="宋体" w:hAnsi="宋体" w:cs="宋体"/>
                <w:color w:val="auto"/>
                <w:szCs w:val="21"/>
                <w:highlight w:val="none"/>
                <w:u w:val="single"/>
              </w:rPr>
              <w:t>第  开标室</w:t>
            </w:r>
            <w:r>
              <w:rPr>
                <w:rFonts w:hint="eastAsia" w:ascii="宋体" w:hAnsi="宋体" w:cs="宋体"/>
                <w:color w:val="auto"/>
                <w:szCs w:val="21"/>
                <w:highlight w:val="none"/>
              </w:rPr>
              <w:t>；</w:t>
            </w:r>
          </w:p>
          <w:p w14:paraId="132486D5">
            <w:pPr>
              <w:snapToGrid w:val="0"/>
              <w:rPr>
                <w:rFonts w:hint="eastAsia" w:ascii="宋体" w:hAnsi="宋体" w:cs="宋体"/>
                <w:color w:val="auto"/>
                <w:szCs w:val="21"/>
                <w:highlight w:val="none"/>
              </w:rPr>
            </w:pPr>
            <w:r>
              <w:rPr>
                <w:rFonts w:hint="eastAsia" w:ascii="宋体" w:hAnsi="宋体" w:cs="宋体"/>
                <w:color w:val="auto"/>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网站。</w:t>
            </w:r>
          </w:p>
          <w:p w14:paraId="6D309869">
            <w:pPr>
              <w:rPr>
                <w:rFonts w:hint="eastAsia" w:ascii="宋体" w:hAnsi="宋体" w:cs="宋体"/>
                <w:color w:val="auto"/>
                <w:szCs w:val="21"/>
                <w:highlight w:val="none"/>
              </w:rPr>
            </w:pPr>
            <w:r>
              <w:rPr>
                <w:rFonts w:hint="eastAsia" w:ascii="宋体" w:hAnsi="宋体" w:cs="宋体"/>
                <w:color w:val="auto"/>
                <w:szCs w:val="21"/>
                <w:highlight w:val="none"/>
              </w:rPr>
              <w:t>本项目日程安排及地点信息可在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网站进行查询。上述时间及地点是否有改变，请密切留意补充公告和招标答疑纪要的相关信息。</w:t>
            </w:r>
          </w:p>
        </w:tc>
      </w:tr>
      <w:tr w14:paraId="1311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65" w:type="dxa"/>
            <w:vAlign w:val="center"/>
          </w:tcPr>
          <w:p w14:paraId="3C562F4F">
            <w:pPr>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2353" w:type="dxa"/>
            <w:gridSpan w:val="2"/>
            <w:vAlign w:val="center"/>
          </w:tcPr>
          <w:p w14:paraId="0E799C76">
            <w:pPr>
              <w:jc w:val="center"/>
              <w:rPr>
                <w:rFonts w:hint="eastAsia" w:ascii="宋体" w:hAnsi="宋体" w:cs="宋体"/>
                <w:color w:val="auto"/>
                <w:szCs w:val="21"/>
                <w:highlight w:val="none"/>
              </w:rPr>
            </w:pPr>
            <w:r>
              <w:rPr>
                <w:rFonts w:hint="eastAsia" w:ascii="宋体" w:hAnsi="宋体" w:cs="宋体"/>
                <w:color w:val="auto"/>
                <w:szCs w:val="21"/>
                <w:highlight w:val="none"/>
              </w:rPr>
              <w:t>开标程序</w:t>
            </w:r>
          </w:p>
        </w:tc>
        <w:tc>
          <w:tcPr>
            <w:tcW w:w="5659" w:type="dxa"/>
            <w:vAlign w:val="center"/>
          </w:tcPr>
          <w:p w14:paraId="2F8DCFDC">
            <w:pPr>
              <w:rPr>
                <w:rFonts w:hint="eastAsia" w:ascii="宋体" w:hAnsi="宋体" w:cs="宋体"/>
                <w:color w:val="auto"/>
                <w:szCs w:val="21"/>
                <w:highlight w:val="none"/>
                <w:u w:val="single"/>
              </w:rPr>
            </w:pPr>
            <w:r>
              <w:rPr>
                <w:rFonts w:hint="eastAsia" w:ascii="宋体" w:hAnsi="宋体" w:cs="宋体"/>
                <w:color w:val="auto"/>
                <w:szCs w:val="21"/>
                <w:highlight w:val="none"/>
                <w:u w:val="single"/>
              </w:rPr>
              <w:t>主持人按下列程序进行开标：</w:t>
            </w:r>
          </w:p>
          <w:p w14:paraId="0879D4A3">
            <w:pPr>
              <w:rPr>
                <w:rFonts w:hint="eastAsia" w:ascii="宋体" w:hAnsi="宋体" w:cs="宋体"/>
                <w:color w:val="auto"/>
                <w:szCs w:val="21"/>
                <w:highlight w:val="none"/>
                <w:u w:val="single"/>
              </w:rPr>
            </w:pPr>
            <w:r>
              <w:rPr>
                <w:rFonts w:hint="eastAsia" w:ascii="宋体" w:hAnsi="宋体" w:cs="宋体"/>
                <w:color w:val="auto"/>
                <w:szCs w:val="21"/>
                <w:highlight w:val="none"/>
                <w:u w:val="single"/>
              </w:rPr>
              <w:t>（1）宣布开标纪律；</w:t>
            </w:r>
          </w:p>
          <w:p w14:paraId="6C7FCC63">
            <w:pPr>
              <w:rPr>
                <w:rFonts w:hint="eastAsia" w:ascii="宋体" w:hAnsi="宋体" w:cs="宋体"/>
                <w:color w:val="auto"/>
                <w:szCs w:val="21"/>
                <w:highlight w:val="none"/>
                <w:u w:val="single"/>
              </w:rPr>
            </w:pPr>
            <w:r>
              <w:rPr>
                <w:rFonts w:hint="eastAsia" w:ascii="宋体" w:hAnsi="宋体" w:cs="宋体"/>
                <w:color w:val="auto"/>
                <w:szCs w:val="21"/>
                <w:highlight w:val="none"/>
                <w:u w:val="single"/>
              </w:rPr>
              <w:t>（2）公布在投标截止时间前递交投标文件的投标人名称；</w:t>
            </w:r>
          </w:p>
          <w:p w14:paraId="396D5F33">
            <w:pPr>
              <w:rPr>
                <w:rFonts w:hint="eastAsia" w:ascii="宋体" w:hAnsi="宋体" w:cs="宋体"/>
                <w:color w:val="auto"/>
                <w:szCs w:val="21"/>
                <w:highlight w:val="none"/>
                <w:u w:val="single"/>
              </w:rPr>
            </w:pPr>
            <w:r>
              <w:rPr>
                <w:rFonts w:hint="eastAsia" w:ascii="宋体" w:hAnsi="宋体" w:cs="宋体"/>
                <w:color w:val="auto"/>
                <w:szCs w:val="21"/>
                <w:highlight w:val="none"/>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14:paraId="39C0D0A9">
            <w:pPr>
              <w:rPr>
                <w:rFonts w:hint="eastAsia" w:ascii="宋体" w:hAnsi="宋体" w:cs="宋体"/>
                <w:color w:val="auto"/>
                <w:szCs w:val="21"/>
                <w:highlight w:val="none"/>
                <w:u w:val="single"/>
              </w:rPr>
            </w:pPr>
            <w:r>
              <w:rPr>
                <w:rFonts w:hint="eastAsia" w:ascii="宋体" w:hAnsi="宋体" w:cs="宋体"/>
                <w:color w:val="auto"/>
                <w:szCs w:val="21"/>
                <w:highlight w:val="none"/>
                <w:u w:val="single"/>
              </w:rPr>
              <w:t>（4）解密完成后，公布：a投标人名称；b投标文件递交情况；c投标文件解密情况；</w:t>
            </w:r>
            <w:r>
              <w:rPr>
                <w:rFonts w:hint="eastAsia" w:ascii="宋体" w:hAnsi="宋体" w:cs="宋体"/>
                <w:strike/>
                <w:color w:val="auto"/>
                <w:szCs w:val="21"/>
                <w:highlight w:val="none"/>
                <w:u w:val="single"/>
              </w:rPr>
              <w:t>d投标担保递交情况；</w:t>
            </w:r>
            <w:r>
              <w:rPr>
                <w:rFonts w:hint="eastAsia" w:ascii="宋体" w:hAnsi="宋体" w:cs="宋体"/>
                <w:color w:val="auto"/>
                <w:szCs w:val="21"/>
                <w:highlight w:val="none"/>
                <w:u w:val="single"/>
              </w:rPr>
              <w:t>d项目负责人（兼施工负责人）、设计负责人、专职安全员；e投标报价（含设计报价和施工报价）；f工期；g质量标准；h投标人的加密打包投标文件电脑机器特征码等主要内容，并记录在案。未在规定时间内解密的投标文件不参与开标、评标。</w:t>
            </w:r>
          </w:p>
          <w:p w14:paraId="1ED4A1FE">
            <w:pPr>
              <w:rPr>
                <w:rFonts w:hint="eastAsia" w:ascii="宋体" w:hAnsi="宋体" w:cs="宋体"/>
                <w:color w:val="auto"/>
                <w:szCs w:val="21"/>
                <w:highlight w:val="none"/>
                <w:u w:val="single"/>
              </w:rPr>
            </w:pPr>
            <w:r>
              <w:rPr>
                <w:rFonts w:hint="eastAsia" w:ascii="宋体" w:hAnsi="宋体" w:cs="宋体"/>
                <w:color w:val="auto"/>
                <w:szCs w:val="21"/>
                <w:highlight w:val="none"/>
                <w:u w:val="single"/>
              </w:rPr>
              <w:t>（5）截标后，开标开始时间因故推迟的，相关评标信息仍以原定的开标开始时间的信息为准。</w:t>
            </w:r>
          </w:p>
          <w:p w14:paraId="453BD67A">
            <w:pPr>
              <w:rPr>
                <w:rFonts w:hint="eastAsia" w:ascii="宋体" w:hAnsi="宋体" w:cs="宋体"/>
                <w:color w:val="auto"/>
                <w:szCs w:val="21"/>
                <w:highlight w:val="none"/>
                <w:u w:val="single"/>
              </w:rPr>
            </w:pPr>
            <w:r>
              <w:rPr>
                <w:rFonts w:hint="eastAsia" w:ascii="宋体" w:hAnsi="宋体" w:cs="宋体"/>
                <w:color w:val="auto"/>
                <w:szCs w:val="21"/>
                <w:highlight w:val="none"/>
                <w:u w:val="single"/>
              </w:rPr>
              <w:t>（6）备用光盘的读取按“10 电子招标投标”第6点的规定执行。</w:t>
            </w:r>
          </w:p>
          <w:p w14:paraId="286CB2D9">
            <w:pPr>
              <w:rPr>
                <w:rFonts w:hint="eastAsia" w:ascii="宋体" w:hAnsi="宋体" w:cs="宋体"/>
                <w:color w:val="auto"/>
                <w:szCs w:val="21"/>
                <w:highlight w:val="none"/>
                <w:u w:val="single"/>
              </w:rPr>
            </w:pPr>
            <w:r>
              <w:rPr>
                <w:rFonts w:hint="eastAsia" w:ascii="宋体" w:hAnsi="宋体" w:cs="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63A9F768">
            <w:pPr>
              <w:rPr>
                <w:rFonts w:hint="eastAsia" w:ascii="宋体" w:hAnsi="宋体" w:cs="宋体"/>
                <w:color w:val="auto"/>
                <w:szCs w:val="21"/>
                <w:highlight w:val="none"/>
                <w:u w:val="single"/>
              </w:rPr>
            </w:pPr>
            <w:r>
              <w:rPr>
                <w:rFonts w:hint="eastAsia" w:ascii="宋体" w:hAnsi="宋体" w:cs="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53C1018">
            <w:pPr>
              <w:rPr>
                <w:rFonts w:hint="eastAsia" w:ascii="宋体" w:hAnsi="宋体" w:cs="宋体"/>
                <w:color w:val="auto"/>
                <w:szCs w:val="21"/>
                <w:highlight w:val="none"/>
                <w:u w:val="single"/>
              </w:rPr>
            </w:pPr>
            <w:r>
              <w:rPr>
                <w:rFonts w:hint="eastAsia" w:ascii="宋体" w:hAnsi="宋体" w:cs="宋体"/>
                <w:color w:val="auto"/>
                <w:szCs w:val="21"/>
                <w:highlight w:val="none"/>
                <w:u w:val="single"/>
              </w:rPr>
              <w:t>（9）投标人未参加开标或在规定的时间内未提出异议的，视为对开标无异议。</w:t>
            </w:r>
          </w:p>
          <w:p w14:paraId="0AE49573">
            <w:pPr>
              <w:rPr>
                <w:rFonts w:hint="eastAsia" w:ascii="宋体" w:hAnsi="宋体" w:cs="宋体"/>
                <w:color w:val="auto"/>
                <w:szCs w:val="21"/>
                <w:highlight w:val="none"/>
                <w:u w:val="single"/>
              </w:rPr>
            </w:pPr>
            <w:r>
              <w:rPr>
                <w:rFonts w:hint="eastAsia" w:ascii="宋体" w:hAnsi="宋体" w:cs="宋体"/>
                <w:color w:val="auto"/>
                <w:szCs w:val="21"/>
                <w:highlight w:val="none"/>
                <w:u w:val="single"/>
              </w:rPr>
              <w:t>（10）开标时，两个（含两个）以上的投标人加密打包投标文件电脑机器特征码一致的，不参与下一程序，并由评标委员会否决其投标。</w:t>
            </w:r>
          </w:p>
          <w:p w14:paraId="6D625302">
            <w:pPr>
              <w:rPr>
                <w:rFonts w:hint="eastAsia" w:ascii="宋体" w:hAnsi="宋体" w:cs="宋体"/>
                <w:color w:val="auto"/>
                <w:szCs w:val="21"/>
                <w:highlight w:val="none"/>
                <w:u w:val="single"/>
              </w:rPr>
            </w:pPr>
            <w:r>
              <w:rPr>
                <w:rFonts w:hint="eastAsia" w:ascii="宋体" w:hAnsi="宋体" w:cs="宋体"/>
                <w:color w:val="auto"/>
                <w:szCs w:val="21"/>
                <w:highlight w:val="none"/>
                <w:u w:val="single"/>
              </w:rPr>
              <w:t>（11）</w:t>
            </w:r>
            <w:r>
              <w:rPr>
                <w:rFonts w:hint="eastAsia" w:ascii="宋体" w:hAnsi="宋体" w:cs="宋体"/>
                <w:b/>
                <w:bCs/>
                <w:color w:val="auto"/>
                <w:sz w:val="22"/>
                <w:szCs w:val="22"/>
                <w:highlight w:val="none"/>
                <w:u w:val="single"/>
              </w:rPr>
              <w:t>投标文件（设计方案）开标时不得开启，在评标时由交易平台随机编号后开启，交由评标委员会进行评审。编号所对应的投标人在设计方案评审结束前不得告知评标委员会、交易平台工作人员、招标人或招标代理机构。</w:t>
            </w:r>
          </w:p>
          <w:p w14:paraId="0FF2EC78">
            <w:pPr>
              <w:rPr>
                <w:rFonts w:hint="eastAsia" w:ascii="宋体" w:hAnsi="宋体" w:cs="宋体"/>
                <w:color w:val="auto"/>
                <w:szCs w:val="21"/>
                <w:highlight w:val="none"/>
                <w:u w:val="single"/>
              </w:rPr>
            </w:pPr>
            <w:r>
              <w:rPr>
                <w:rFonts w:hint="eastAsia" w:ascii="宋体" w:hAnsi="宋体" w:cs="宋体"/>
                <w:color w:val="auto"/>
                <w:szCs w:val="21"/>
                <w:highlight w:val="none"/>
                <w:u w:val="single"/>
              </w:rPr>
              <w:t>（12）投标人代表、招标人代表、监标人（如有）、记录人等有关人员在开标记录上签字确认；若有关人员不签字的，不影响开标程序；</w:t>
            </w:r>
          </w:p>
          <w:p w14:paraId="1283886B">
            <w:pPr>
              <w:rPr>
                <w:rFonts w:hint="eastAsia" w:ascii="宋体" w:hAnsi="宋体" w:cs="宋体"/>
                <w:color w:val="auto"/>
                <w:szCs w:val="21"/>
                <w:highlight w:val="none"/>
              </w:rPr>
            </w:pPr>
            <w:r>
              <w:rPr>
                <w:rFonts w:hint="eastAsia" w:ascii="宋体" w:hAnsi="宋体" w:cs="宋体"/>
                <w:color w:val="auto"/>
                <w:szCs w:val="21"/>
                <w:highlight w:val="none"/>
                <w:u w:val="single"/>
              </w:rPr>
              <w:t>（13）开标结束。</w:t>
            </w:r>
          </w:p>
        </w:tc>
      </w:tr>
      <w:tr w14:paraId="2313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165" w:type="dxa"/>
            <w:vAlign w:val="center"/>
          </w:tcPr>
          <w:p w14:paraId="07A5A3CA">
            <w:pPr>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2353" w:type="dxa"/>
            <w:gridSpan w:val="2"/>
            <w:vAlign w:val="center"/>
          </w:tcPr>
          <w:p w14:paraId="0712FFB7">
            <w:pPr>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5659" w:type="dxa"/>
            <w:vAlign w:val="center"/>
          </w:tcPr>
          <w:p w14:paraId="00CDC378">
            <w:pPr>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tc>
      </w:tr>
      <w:tr w14:paraId="1359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1165" w:type="dxa"/>
            <w:vAlign w:val="center"/>
          </w:tcPr>
          <w:p w14:paraId="51651593">
            <w:pPr>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2353" w:type="dxa"/>
            <w:gridSpan w:val="2"/>
            <w:vAlign w:val="center"/>
          </w:tcPr>
          <w:p w14:paraId="46FBDC95">
            <w:pPr>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5659" w:type="dxa"/>
            <w:vAlign w:val="center"/>
          </w:tcPr>
          <w:p w14:paraId="5D806C0D">
            <w:pPr>
              <w:rPr>
                <w:rFonts w:hint="eastAsia" w:ascii="宋体" w:hAnsi="宋体" w:cs="宋体"/>
                <w:color w:val="auto"/>
                <w:szCs w:val="21"/>
                <w:highlight w:val="none"/>
              </w:rPr>
            </w:pPr>
            <w:r>
              <w:rPr>
                <w:rFonts w:hint="eastAsia" w:ascii="宋体" w:hAnsi="宋体" w:cs="宋体"/>
                <w:color w:val="auto"/>
                <w:szCs w:val="21"/>
                <w:highlight w:val="none"/>
              </w:rPr>
              <w:t>□是</w:t>
            </w:r>
          </w:p>
          <w:p w14:paraId="0F3830CA">
            <w:pPr>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否，推荐的中标候选人数：3人。</w:t>
            </w:r>
          </w:p>
        </w:tc>
      </w:tr>
      <w:tr w14:paraId="5F02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65" w:type="dxa"/>
            <w:vAlign w:val="center"/>
          </w:tcPr>
          <w:p w14:paraId="39097923">
            <w:pPr>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2353" w:type="dxa"/>
            <w:gridSpan w:val="2"/>
            <w:vAlign w:val="center"/>
          </w:tcPr>
          <w:p w14:paraId="66AFCEE6">
            <w:pPr>
              <w:jc w:val="center"/>
              <w:rPr>
                <w:rFonts w:hint="eastAsia" w:ascii="宋体" w:hAnsi="宋体" w:cs="宋体"/>
                <w:color w:val="auto"/>
                <w:szCs w:val="21"/>
                <w:highlight w:val="none"/>
              </w:rPr>
            </w:pPr>
            <w:r>
              <w:rPr>
                <w:rFonts w:hint="eastAsia" w:ascii="宋体" w:hAnsi="宋体" w:cs="宋体"/>
                <w:color w:val="auto"/>
                <w:szCs w:val="21"/>
                <w:highlight w:val="none"/>
              </w:rPr>
              <w:t>中标候选人公示媒介</w:t>
            </w:r>
          </w:p>
        </w:tc>
        <w:tc>
          <w:tcPr>
            <w:tcW w:w="5659" w:type="dxa"/>
            <w:vAlign w:val="center"/>
          </w:tcPr>
          <w:p w14:paraId="75DD94FE">
            <w:pPr>
              <w:rPr>
                <w:rFonts w:hint="eastAsia" w:ascii="宋体" w:hAnsi="宋体" w:cs="宋体"/>
                <w:color w:val="auto"/>
                <w:szCs w:val="21"/>
                <w:highlight w:val="none"/>
              </w:rPr>
            </w:pPr>
            <w:r>
              <w:rPr>
                <w:rFonts w:hint="eastAsia" w:ascii="宋体" w:hAnsi="宋体" w:cs="宋体"/>
                <w:color w:val="auto"/>
                <w:szCs w:val="21"/>
                <w:highlight w:val="none"/>
              </w:rPr>
              <w:t>中国招标投标公共服务平台、广东省招标投标监管网、广州交易集团有限公司（广州公共资源交易中心）网站</w:t>
            </w:r>
          </w:p>
        </w:tc>
      </w:tr>
      <w:tr w14:paraId="1191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0105FE3">
            <w:pPr>
              <w:jc w:val="center"/>
              <w:rPr>
                <w:rFonts w:hint="eastAsia" w:ascii="宋体" w:hAnsi="宋体" w:cs="宋体"/>
                <w:color w:val="auto"/>
                <w:szCs w:val="21"/>
                <w:highlight w:val="none"/>
              </w:rPr>
            </w:pPr>
            <w:r>
              <w:rPr>
                <w:rFonts w:hint="eastAsia" w:ascii="宋体" w:hAnsi="宋体" w:cs="宋体"/>
                <w:color w:val="auto"/>
                <w:szCs w:val="21"/>
                <w:highlight w:val="none"/>
              </w:rPr>
              <w:t>7.4.1</w:t>
            </w:r>
          </w:p>
        </w:tc>
        <w:tc>
          <w:tcPr>
            <w:tcW w:w="2353" w:type="dxa"/>
            <w:gridSpan w:val="2"/>
            <w:vAlign w:val="center"/>
          </w:tcPr>
          <w:p w14:paraId="3A2CFF19">
            <w:pPr>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5659" w:type="dxa"/>
            <w:vAlign w:val="center"/>
          </w:tcPr>
          <w:p w14:paraId="1F26BABE">
            <w:pPr>
              <w:rPr>
                <w:rFonts w:hint="eastAsia" w:ascii="宋体" w:hAnsi="宋体" w:cs="宋体"/>
                <w:color w:val="auto"/>
                <w:szCs w:val="21"/>
                <w:highlight w:val="none"/>
              </w:rPr>
            </w:pPr>
            <w:r>
              <w:rPr>
                <w:rFonts w:hint="eastAsia" w:ascii="宋体" w:hAnsi="宋体" w:cs="宋体"/>
                <w:color w:val="auto"/>
                <w:szCs w:val="21"/>
                <w:highlight w:val="none"/>
              </w:rPr>
              <w:t>履约担保的形式：中标人根据自身情况，自主选择提供履约保证金的形式。</w:t>
            </w:r>
          </w:p>
          <w:p w14:paraId="68D4CC80">
            <w:pPr>
              <w:rPr>
                <w:rFonts w:hint="eastAsia" w:ascii="宋体" w:hAnsi="宋体" w:cs="宋体"/>
                <w:color w:val="auto"/>
                <w:highlight w:val="none"/>
                <w:u w:val="single"/>
              </w:rPr>
            </w:pPr>
            <w:r>
              <w:rPr>
                <w:rFonts w:hint="eastAsia" w:ascii="宋体" w:hAnsi="宋体" w:cs="宋体"/>
                <w:color w:val="auto"/>
                <w:szCs w:val="21"/>
                <w:highlight w:val="none"/>
              </w:rPr>
              <w:t>履约担保的金额：建安工程费</w:t>
            </w:r>
            <w:r>
              <w:rPr>
                <w:rFonts w:hint="eastAsia" w:ascii="宋体" w:hAnsi="宋体" w:cs="宋体"/>
                <w:color w:val="auto"/>
                <w:highlight w:val="none"/>
                <w:u w:val="single"/>
              </w:rPr>
              <w:t>中标价款的10%（联合体投标的由联合体主办方提供）。</w:t>
            </w:r>
          </w:p>
          <w:p w14:paraId="5927E072">
            <w:pPr>
              <w:rPr>
                <w:rFonts w:hint="eastAsia" w:ascii="宋体" w:hAnsi="宋体" w:cs="宋体"/>
                <w:color w:val="auto"/>
                <w:szCs w:val="21"/>
                <w:highlight w:val="none"/>
              </w:rPr>
            </w:pPr>
            <w:r>
              <w:rPr>
                <w:rFonts w:hint="eastAsia" w:ascii="宋体" w:hAnsi="宋体" w:cs="宋体"/>
                <w:color w:val="auto"/>
                <w:szCs w:val="21"/>
                <w:highlight w:val="none"/>
              </w:rPr>
              <w:t>担保期限从提供履约担保之日起至合同工程结算审定完成并移交工程档案后止。（履约担保到期但本项目未工程结算的，无论何种原因，投标人承诺无条件续保，如履约保函到期不提供续保则承担一般违约责任）</w:t>
            </w:r>
          </w:p>
        </w:tc>
      </w:tr>
      <w:tr w14:paraId="77A7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C4C887A">
            <w:pPr>
              <w:jc w:val="center"/>
              <w:rPr>
                <w:rFonts w:hint="eastAsia" w:ascii="宋体" w:hAnsi="宋体" w:cs="宋体"/>
                <w:b/>
                <w:color w:val="auto"/>
                <w:szCs w:val="21"/>
                <w:highlight w:val="none"/>
              </w:rPr>
            </w:pPr>
            <w:r>
              <w:rPr>
                <w:rFonts w:hint="eastAsia" w:ascii="宋体" w:hAnsi="宋体" w:cs="宋体"/>
                <w:b/>
                <w:color w:val="auto"/>
                <w:szCs w:val="21"/>
                <w:highlight w:val="none"/>
              </w:rPr>
              <w:t>9</w:t>
            </w:r>
          </w:p>
        </w:tc>
        <w:tc>
          <w:tcPr>
            <w:tcW w:w="8012" w:type="dxa"/>
            <w:gridSpan w:val="3"/>
            <w:vAlign w:val="center"/>
          </w:tcPr>
          <w:p w14:paraId="16C90DF5">
            <w:pPr>
              <w:jc w:val="center"/>
              <w:rPr>
                <w:rFonts w:hint="eastAsia" w:ascii="宋体" w:hAnsi="宋体" w:cs="宋体"/>
                <w:b/>
                <w:color w:val="auto"/>
                <w:szCs w:val="21"/>
                <w:highlight w:val="none"/>
              </w:rPr>
            </w:pPr>
            <w:r>
              <w:rPr>
                <w:rFonts w:hint="eastAsia" w:ascii="宋体" w:hAnsi="宋体" w:cs="宋体"/>
                <w:b/>
                <w:color w:val="auto"/>
                <w:szCs w:val="21"/>
                <w:highlight w:val="none"/>
              </w:rPr>
              <w:t>需要补充的其他内容</w:t>
            </w:r>
          </w:p>
        </w:tc>
      </w:tr>
      <w:tr w14:paraId="38A2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6F6BC24B">
            <w:pPr>
              <w:jc w:val="center"/>
              <w:rPr>
                <w:rFonts w:hint="eastAsia" w:ascii="宋体" w:hAnsi="宋体" w:cs="宋体"/>
                <w:color w:val="auto"/>
                <w:szCs w:val="21"/>
                <w:highlight w:val="none"/>
              </w:rPr>
            </w:pPr>
            <w:r>
              <w:rPr>
                <w:rFonts w:hint="eastAsia" w:ascii="宋体" w:hAnsi="宋体" w:cs="宋体"/>
                <w:color w:val="auto"/>
                <w:szCs w:val="21"/>
                <w:highlight w:val="none"/>
              </w:rPr>
              <w:t>9.1</w:t>
            </w:r>
          </w:p>
        </w:tc>
        <w:tc>
          <w:tcPr>
            <w:tcW w:w="8012" w:type="dxa"/>
            <w:gridSpan w:val="3"/>
            <w:vAlign w:val="center"/>
          </w:tcPr>
          <w:p w14:paraId="2D01E503">
            <w:pPr>
              <w:rPr>
                <w:rFonts w:hint="eastAsia" w:ascii="宋体" w:hAnsi="宋体" w:cs="宋体"/>
                <w:color w:val="auto"/>
                <w:highlight w:val="none"/>
              </w:rPr>
            </w:pPr>
            <w:r>
              <w:rPr>
                <w:rFonts w:hint="eastAsia" w:ascii="宋体" w:hAnsi="宋体"/>
                <w:color w:val="auto"/>
                <w:kern w:val="0"/>
                <w:szCs w:val="21"/>
                <w:highlight w:val="none"/>
                <w:lang w:val="zh-CN"/>
              </w:rPr>
              <w:t>建设工程质量检测单位</w:t>
            </w:r>
            <w:r>
              <w:rPr>
                <w:rFonts w:hint="eastAsia" w:ascii="宋体" w:hAnsi="宋体" w:cs="宋体"/>
                <w:color w:val="auto"/>
                <w:highlight w:val="none"/>
              </w:rPr>
              <w:t>：</w:t>
            </w:r>
          </w:p>
          <w:p w14:paraId="70FD35DF">
            <w:pPr>
              <w:jc w:val="left"/>
              <w:rPr>
                <w:rFonts w:hint="eastAsia" w:ascii="宋体" w:hAnsi="宋体" w:cs="宋体"/>
                <w:b/>
                <w:color w:val="auto"/>
                <w:szCs w:val="21"/>
                <w:highlight w:val="none"/>
              </w:rPr>
            </w:pPr>
            <w:r>
              <w:rPr>
                <w:rFonts w:hint="eastAsia" w:ascii="宋体" w:hAnsi="宋体"/>
                <w:color w:val="auto"/>
                <w:kern w:val="0"/>
                <w:szCs w:val="21"/>
                <w:highlight w:val="none"/>
                <w:lang w:val="zh-CN"/>
              </w:rPr>
              <w:t>建设单位和中标人均不得委托近</w:t>
            </w:r>
            <w:r>
              <w:rPr>
                <w:rFonts w:hint="eastAsia" w:ascii="宋体" w:hAnsi="宋体"/>
                <w:color w:val="auto"/>
                <w:kern w:val="0"/>
                <w:szCs w:val="21"/>
                <w:highlight w:val="none"/>
              </w:rPr>
              <w:t>三</w:t>
            </w:r>
            <w:r>
              <w:rPr>
                <w:rFonts w:hint="eastAsia" w:ascii="宋体" w:hAnsi="宋体"/>
                <w:color w:val="auto"/>
                <w:kern w:val="0"/>
                <w:szCs w:val="21"/>
                <w:highlight w:val="none"/>
                <w:lang w:val="zh-CN"/>
              </w:rPr>
              <w:t>年（从招标公告发布年度起逆推</w:t>
            </w:r>
            <w:r>
              <w:rPr>
                <w:rFonts w:hint="eastAsia" w:ascii="宋体" w:hAnsi="宋体"/>
                <w:color w:val="auto"/>
                <w:kern w:val="0"/>
                <w:szCs w:val="21"/>
                <w:highlight w:val="none"/>
              </w:rPr>
              <w:t>3</w:t>
            </w:r>
            <w:r>
              <w:rPr>
                <w:rFonts w:hint="eastAsia" w:ascii="宋体" w:hAnsi="宋体"/>
                <w:color w:val="auto"/>
                <w:kern w:val="0"/>
                <w:szCs w:val="21"/>
                <w:highlight w:val="none"/>
                <w:lang w:val="zh-CN"/>
              </w:rPr>
              <w:t>年的1月1日起至投标截止时间止）因伪造检测数据、出具虚假检测报告被各级建设行政主管部门或市场监督管理部门行政处罚或通报的检测单位负责本项目的检测工作。</w:t>
            </w:r>
          </w:p>
        </w:tc>
      </w:tr>
      <w:tr w14:paraId="7CCA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A180845">
            <w:pPr>
              <w:jc w:val="center"/>
              <w:rPr>
                <w:rFonts w:hint="eastAsia" w:ascii="宋体" w:hAnsi="宋体" w:cs="宋体"/>
                <w:color w:val="auto"/>
                <w:szCs w:val="21"/>
                <w:highlight w:val="none"/>
              </w:rPr>
            </w:pPr>
            <w:r>
              <w:rPr>
                <w:rFonts w:hint="eastAsia" w:ascii="宋体" w:hAnsi="宋体" w:cs="宋体"/>
                <w:color w:val="auto"/>
                <w:szCs w:val="21"/>
                <w:highlight w:val="none"/>
              </w:rPr>
              <w:t>9.2</w:t>
            </w:r>
          </w:p>
        </w:tc>
        <w:tc>
          <w:tcPr>
            <w:tcW w:w="8012" w:type="dxa"/>
            <w:gridSpan w:val="3"/>
            <w:vAlign w:val="center"/>
          </w:tcPr>
          <w:p w14:paraId="5A48ADBB">
            <w:pPr>
              <w:rPr>
                <w:rFonts w:hint="eastAsia" w:ascii="宋体" w:hAnsi="宋体" w:cs="宋体"/>
                <w:color w:val="auto"/>
                <w:highlight w:val="none"/>
              </w:rPr>
            </w:pPr>
            <w:r>
              <w:rPr>
                <w:rFonts w:hint="eastAsia" w:ascii="宋体" w:hAnsi="宋体" w:cs="宋体"/>
                <w:color w:val="auto"/>
                <w:highlight w:val="none"/>
              </w:rPr>
              <w:t>在招标和合同实施期间，招标人要求投标人和承包人遵守最高的道德标准。</w:t>
            </w:r>
          </w:p>
          <w:p w14:paraId="0170C523">
            <w:pPr>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w:t>
            </w:r>
            <w:r>
              <w:rPr>
                <w:rFonts w:hint="eastAsia" w:ascii="宋体" w:hAnsi="宋体" w:cs="宋体"/>
                <w:color w:val="auto"/>
                <w:highlight w:val="none"/>
              </w:rPr>
              <w:t>对本条款的规定，特定义如下词汇：</w:t>
            </w:r>
          </w:p>
          <w:p w14:paraId="77BAFC1E">
            <w:pPr>
              <w:rPr>
                <w:rFonts w:hint="eastAsia" w:ascii="宋体" w:hAnsi="宋体" w:cs="宋体"/>
                <w:color w:val="auto"/>
                <w:highlight w:val="none"/>
              </w:rPr>
            </w:pPr>
            <w:r>
              <w:rPr>
                <w:rFonts w:hint="eastAsia" w:ascii="宋体" w:hAnsi="宋体" w:cs="宋体"/>
                <w:color w:val="auto"/>
                <w:highlight w:val="none"/>
              </w:rPr>
              <w:t>（1）“腐败行为”是指在招标或合同执行期间，通过提供、给予、接受或索要任何有价值的东西，从而影响招标人有关人员工作的行为；</w:t>
            </w:r>
          </w:p>
          <w:p w14:paraId="36A12D2F">
            <w:pPr>
              <w:rPr>
                <w:rFonts w:hint="eastAsia" w:ascii="宋体" w:hAnsi="宋体" w:cs="宋体"/>
                <w:color w:val="auto"/>
                <w:highlight w:val="none"/>
              </w:rPr>
            </w:pPr>
            <w:r>
              <w:rPr>
                <w:rFonts w:hint="eastAsia" w:ascii="宋体" w:hAnsi="宋体" w:cs="宋体"/>
                <w:color w:val="auto"/>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072E0773">
            <w:pPr>
              <w:jc w:val="lef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1"/>
                <w:highlight w:val="none"/>
              </w:rPr>
              <w:t>．</w:t>
            </w:r>
            <w:r>
              <w:rPr>
                <w:rFonts w:hint="eastAsia" w:ascii="宋体" w:hAnsi="宋体" w:cs="宋体"/>
                <w:color w:val="auto"/>
                <w:highlight w:val="none"/>
              </w:rPr>
              <w:t>如果投标人被认定在本招标的竞争中有腐败或欺诈行为，则会被取消投标资格。</w:t>
            </w:r>
          </w:p>
        </w:tc>
      </w:tr>
      <w:tr w14:paraId="2B46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8A15267">
            <w:pPr>
              <w:jc w:val="center"/>
              <w:rPr>
                <w:rFonts w:hint="eastAsia" w:ascii="宋体" w:hAnsi="宋体" w:cs="宋体"/>
                <w:b/>
                <w:color w:val="auto"/>
                <w:szCs w:val="21"/>
                <w:highlight w:val="none"/>
              </w:rPr>
            </w:pPr>
            <w:r>
              <w:rPr>
                <w:rFonts w:hint="eastAsia" w:ascii="宋体" w:hAnsi="宋体" w:cs="宋体"/>
                <w:color w:val="auto"/>
                <w:szCs w:val="21"/>
                <w:highlight w:val="none"/>
              </w:rPr>
              <w:t>9.3</w:t>
            </w:r>
          </w:p>
        </w:tc>
        <w:tc>
          <w:tcPr>
            <w:tcW w:w="8012" w:type="dxa"/>
            <w:gridSpan w:val="3"/>
            <w:vAlign w:val="center"/>
          </w:tcPr>
          <w:p w14:paraId="791A3FE6">
            <w:pPr>
              <w:rPr>
                <w:rFonts w:hint="eastAsia" w:ascii="宋体" w:hAnsi="宋体" w:cs="宋体"/>
                <w:color w:val="auto"/>
                <w:szCs w:val="21"/>
                <w:highlight w:val="none"/>
              </w:rPr>
            </w:pPr>
            <w:r>
              <w:rPr>
                <w:rFonts w:hint="eastAsia" w:ascii="宋体" w:hAnsi="宋体" w:cs="宋体"/>
                <w:color w:val="auto"/>
                <w:highlight w:val="none"/>
              </w:rPr>
              <w:t>1</w:t>
            </w:r>
            <w:r>
              <w:rPr>
                <w:rFonts w:hint="eastAsia" w:ascii="宋体" w:hAnsi="宋体" w:cs="宋体"/>
                <w:color w:val="auto"/>
                <w:szCs w:val="21"/>
                <w:highlight w:val="none"/>
              </w:rPr>
              <w:t>．</w:t>
            </w:r>
            <w:r>
              <w:rPr>
                <w:rFonts w:hint="eastAsia" w:ascii="宋体" w:hAnsi="宋体" w:cs="宋体"/>
                <w:color w:val="auto"/>
                <w:highlight w:val="none"/>
              </w:rPr>
              <w:t>职业</w:t>
            </w:r>
            <w:r>
              <w:rPr>
                <w:rFonts w:hint="eastAsia" w:ascii="宋体" w:hAnsi="宋体" w:cs="宋体"/>
                <w:color w:val="auto"/>
                <w:szCs w:val="21"/>
                <w:highlight w:val="none"/>
              </w:rPr>
              <w:t>健康</w:t>
            </w:r>
            <w:r>
              <w:rPr>
                <w:rFonts w:hint="eastAsia" w:ascii="宋体" w:hAnsi="宋体" w:cs="宋体"/>
                <w:color w:val="auto"/>
                <w:highlight w:val="none"/>
              </w:rPr>
              <w:t>安全管理目标：</w:t>
            </w:r>
            <w:r>
              <w:rPr>
                <w:rFonts w:hint="eastAsia" w:ascii="宋体" w:hAnsi="宋体" w:cs="宋体"/>
                <w:color w:val="auto"/>
                <w:szCs w:val="21"/>
                <w:highlight w:val="none"/>
              </w:rPr>
              <w:t>杜绝发生一般事故等级及以上的伤亡事故且工伤责任事故死亡人数为零。</w:t>
            </w:r>
          </w:p>
          <w:p w14:paraId="4F5F5F54">
            <w:pPr>
              <w:rPr>
                <w:rFonts w:hint="eastAsia" w:ascii="宋体" w:hAnsi="宋体" w:cs="宋体"/>
                <w:color w:val="auto"/>
                <w:szCs w:val="21"/>
                <w:highlight w:val="none"/>
              </w:rPr>
            </w:pPr>
            <w:r>
              <w:rPr>
                <w:rFonts w:hint="eastAsia" w:ascii="宋体" w:hAnsi="宋体" w:cs="宋体"/>
                <w:color w:val="auto"/>
                <w:szCs w:val="21"/>
                <w:highlight w:val="none"/>
              </w:rPr>
              <w:t>2．环境管理目标：</w:t>
            </w:r>
            <w:r>
              <w:rPr>
                <w:rFonts w:hint="eastAsia" w:ascii="宋体" w:hAnsi="宋体" w:cs="宋体"/>
                <w:bCs/>
                <w:color w:val="auto"/>
                <w:szCs w:val="21"/>
                <w:highlight w:val="none"/>
                <w:u w:val="single"/>
              </w:rPr>
              <w:t>严格执行《广州市建设工程文明施工管理规定》（2012年1月5日广州市人民政府令第62号公布，根据2018年2月13日广州市人民政府令第158号《广州市人民政府关于修改〈广州市城市道路临时占用管理办法〉等16件政府规章的决定》修改）</w:t>
            </w:r>
            <w:r>
              <w:rPr>
                <w:rFonts w:hint="eastAsia" w:ascii="宋体" w:hAnsi="宋体" w:cs="宋体"/>
                <w:color w:val="auto"/>
                <w:szCs w:val="21"/>
                <w:highlight w:val="none"/>
              </w:rPr>
              <w:t>、《广州市城乡建设委员会关于印发广州市加强建筑工地环保管理工作方案的通知》（穗建质〔2014〕754号）、《广州市住房和城乡建设委员会关于印发建设工程扬尘防治“6个100%”管理标准细化措施的通知》（穗建质〔2018〕1394号）、《广州市住房和城乡建设局等6部委关于印发广州市建设工程绿色施工围蔽指导图集（V2.0）的通知》（穗建质〔2020〕1号）。执行《危险性较大的分部分项工程安全管理规定》（中华人民共和国住房和城乡建设部令第37号）和《关于加强建设工程安全生产管理落实建设各方主体责任的暂行规定》穗建规字〔2017〕21号等最新的规定。</w:t>
            </w:r>
          </w:p>
          <w:p w14:paraId="2722D0B7">
            <w:pPr>
              <w:rPr>
                <w:rFonts w:hint="eastAsia" w:ascii="宋体" w:hAnsi="宋体" w:cs="宋体"/>
                <w:color w:val="auto"/>
                <w:szCs w:val="21"/>
                <w:highlight w:val="none"/>
              </w:rPr>
            </w:pPr>
            <w:r>
              <w:rPr>
                <w:rFonts w:hint="eastAsia" w:ascii="宋体" w:hAnsi="宋体" w:cs="宋体"/>
                <w:color w:val="auto"/>
                <w:szCs w:val="21"/>
                <w:highlight w:val="none"/>
              </w:rPr>
              <w:t>3.质量目标：按招标文件质量标准要求，具体按合同约定；</w:t>
            </w:r>
          </w:p>
          <w:p w14:paraId="7C897DCE">
            <w:pPr>
              <w:rPr>
                <w:rFonts w:hint="eastAsia" w:ascii="宋体" w:hAnsi="宋体" w:cs="宋体"/>
                <w:color w:val="auto"/>
                <w:szCs w:val="21"/>
                <w:highlight w:val="none"/>
              </w:rPr>
            </w:pPr>
            <w:r>
              <w:rPr>
                <w:rFonts w:hint="eastAsia" w:ascii="宋体" w:hAnsi="宋体" w:cs="宋体"/>
                <w:color w:val="auto"/>
                <w:szCs w:val="21"/>
                <w:highlight w:val="none"/>
              </w:rPr>
              <w:t>4.费用目标：确保项目总投资不超过工程概算金额，具体按合同约定；</w:t>
            </w:r>
          </w:p>
          <w:p w14:paraId="01D20DF5">
            <w:pPr>
              <w:rPr>
                <w:rFonts w:hint="eastAsia" w:ascii="宋体" w:hAnsi="宋体" w:cs="宋体"/>
                <w:color w:val="auto"/>
                <w:highlight w:val="none"/>
              </w:rPr>
            </w:pPr>
            <w:r>
              <w:rPr>
                <w:rFonts w:hint="eastAsia" w:ascii="宋体" w:hAnsi="宋体" w:cs="宋体"/>
                <w:color w:val="auto"/>
                <w:szCs w:val="21"/>
                <w:highlight w:val="none"/>
              </w:rPr>
              <w:t>5.进度目标：确保项目建设进度满足招标文件工期要求，具体按合同约定。</w:t>
            </w:r>
          </w:p>
        </w:tc>
      </w:tr>
      <w:tr w14:paraId="3FEA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EFA8489">
            <w:pPr>
              <w:jc w:val="center"/>
              <w:rPr>
                <w:rFonts w:hint="eastAsia" w:ascii="宋体" w:hAnsi="宋体" w:cs="宋体"/>
                <w:color w:val="auto"/>
                <w:szCs w:val="21"/>
                <w:highlight w:val="none"/>
              </w:rPr>
            </w:pPr>
            <w:r>
              <w:rPr>
                <w:rFonts w:hint="eastAsia" w:ascii="宋体" w:hAnsi="宋体" w:cs="宋体"/>
                <w:color w:val="auto"/>
                <w:szCs w:val="21"/>
                <w:highlight w:val="none"/>
              </w:rPr>
              <w:t>9.4</w:t>
            </w:r>
          </w:p>
        </w:tc>
        <w:tc>
          <w:tcPr>
            <w:tcW w:w="8012" w:type="dxa"/>
            <w:gridSpan w:val="3"/>
            <w:vAlign w:val="center"/>
          </w:tcPr>
          <w:p w14:paraId="18123AF1">
            <w:pPr>
              <w:rPr>
                <w:rFonts w:hint="eastAsia" w:ascii="宋体" w:hAnsi="宋体" w:cs="宋体"/>
                <w:color w:val="auto"/>
                <w:szCs w:val="21"/>
                <w:highlight w:val="none"/>
              </w:rPr>
            </w:pPr>
            <w:r>
              <w:rPr>
                <w:rFonts w:hint="eastAsia" w:ascii="宋体" w:hAnsi="宋体" w:cs="宋体"/>
                <w:color w:val="auto"/>
                <w:szCs w:val="21"/>
                <w:highlight w:val="none"/>
              </w:rPr>
              <w:t>施工保修期限：按照《建设工程质量管理条例》规定。</w:t>
            </w:r>
          </w:p>
        </w:tc>
      </w:tr>
      <w:tr w14:paraId="1153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65A0B9A">
            <w:pPr>
              <w:jc w:val="center"/>
              <w:rPr>
                <w:rFonts w:hint="eastAsia" w:ascii="宋体" w:hAnsi="宋体" w:cs="宋体"/>
                <w:color w:val="auto"/>
                <w:szCs w:val="21"/>
                <w:highlight w:val="none"/>
              </w:rPr>
            </w:pPr>
            <w:r>
              <w:rPr>
                <w:rFonts w:hint="eastAsia" w:ascii="宋体" w:hAnsi="宋体" w:cs="宋体"/>
                <w:color w:val="auto"/>
                <w:szCs w:val="21"/>
                <w:highlight w:val="none"/>
              </w:rPr>
              <w:t>9.5</w:t>
            </w:r>
          </w:p>
        </w:tc>
        <w:tc>
          <w:tcPr>
            <w:tcW w:w="8012" w:type="dxa"/>
            <w:gridSpan w:val="3"/>
            <w:vAlign w:val="center"/>
          </w:tcPr>
          <w:p w14:paraId="3E80D2C0">
            <w:pPr>
              <w:rPr>
                <w:rFonts w:hint="eastAsia" w:ascii="宋体" w:hAnsi="宋体" w:cs="宋体"/>
                <w:bCs/>
                <w:snapToGrid w:val="0"/>
                <w:color w:val="auto"/>
                <w:kern w:val="0"/>
                <w:szCs w:val="21"/>
                <w:highlight w:val="none"/>
              </w:rPr>
            </w:pPr>
            <w:r>
              <w:rPr>
                <w:rFonts w:hint="eastAsia" w:ascii="宋体" w:hAnsi="宋体" w:cs="宋体"/>
                <w:color w:val="auto"/>
                <w:highlight w:val="none"/>
              </w:rPr>
              <w:t>承包方式：固定综合单价包干、项目措施费包干，根据招标人所提供的招标文件、招标人答疑纪要等范围内的工程内容，由承包人包工、包料、包设计、包设计、包工期、包质量、包安全、包文明施工，包建筑垃圾清运、包环境卫生、包税费、包现场组织和协调、包验收合格、包验收不能通过需要发生的整改费用、包工程结算、包竣工图纸资料编制等本工程一切事宜。</w:t>
            </w:r>
          </w:p>
        </w:tc>
      </w:tr>
      <w:tr w14:paraId="1435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8F1791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9.6</w:t>
            </w:r>
          </w:p>
        </w:tc>
        <w:tc>
          <w:tcPr>
            <w:tcW w:w="8012" w:type="dxa"/>
            <w:gridSpan w:val="3"/>
            <w:vAlign w:val="center"/>
          </w:tcPr>
          <w:p w14:paraId="5911514C">
            <w:pPr>
              <w:widowControl/>
              <w:rPr>
                <w:rFonts w:hint="eastAsia" w:ascii="宋体" w:hAnsi="宋体" w:cs="宋体"/>
                <w:color w:val="auto"/>
                <w:highlight w:val="none"/>
              </w:rPr>
            </w:pPr>
            <w:r>
              <w:rPr>
                <w:rFonts w:hint="eastAsia" w:ascii="宋体" w:hAnsi="宋体" w:cs="宋体"/>
                <w:color w:val="auto"/>
                <w:highlight w:val="none"/>
              </w:rPr>
              <w:t>根据相关规定本项目如需办理规划许可证的，投标人需根据相关文件协助招标人办理。</w:t>
            </w:r>
          </w:p>
        </w:tc>
      </w:tr>
      <w:tr w14:paraId="3060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A979BC1">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353" w:type="dxa"/>
            <w:gridSpan w:val="2"/>
            <w:vAlign w:val="center"/>
          </w:tcPr>
          <w:p w14:paraId="44048A4C">
            <w:pPr>
              <w:jc w:val="center"/>
              <w:rPr>
                <w:rFonts w:hint="eastAsia" w:ascii="宋体" w:hAnsi="宋体" w:cs="宋体"/>
                <w:color w:val="auto"/>
                <w:szCs w:val="21"/>
                <w:highlight w:val="none"/>
              </w:rPr>
            </w:pPr>
            <w:r>
              <w:rPr>
                <w:rFonts w:hint="eastAsia" w:ascii="宋体" w:hAnsi="宋体" w:cs="宋体"/>
                <w:color w:val="auto"/>
                <w:szCs w:val="21"/>
                <w:highlight w:val="none"/>
              </w:rPr>
              <w:t>电子招标投标</w:t>
            </w:r>
          </w:p>
        </w:tc>
        <w:tc>
          <w:tcPr>
            <w:tcW w:w="5659" w:type="dxa"/>
            <w:vAlign w:val="center"/>
          </w:tcPr>
          <w:p w14:paraId="0B0EA1F9">
            <w:pPr>
              <w:rPr>
                <w:rFonts w:hint="eastAsia"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highlight w:val="none"/>
              </w:rPr>
              <w:t>否</w:t>
            </w:r>
          </w:p>
          <w:p w14:paraId="6F5F10DB">
            <w:pPr>
              <w:rPr>
                <w:rFonts w:hint="eastAsia" w:ascii="宋体" w:hAnsi="宋体" w:cs="宋体"/>
                <w:color w:val="auto"/>
                <w:highlight w:val="none"/>
              </w:rPr>
            </w:pPr>
            <w:r>
              <w:rPr>
                <w:rFonts w:hint="eastAsia" w:ascii="宋体" w:hAnsi="宋体" w:cs="宋体"/>
                <w:color w:val="auto"/>
                <w:highlight w:val="none"/>
              </w:rPr>
              <w:t>■是，具体要求：</w:t>
            </w:r>
          </w:p>
          <w:p w14:paraId="2AE6989A">
            <w:pPr>
              <w:pStyle w:val="19"/>
              <w:rPr>
                <w:rFonts w:hint="eastAsia" w:ascii="宋体" w:hAnsi="宋体" w:eastAsia="宋体" w:cs="宋体"/>
                <w:color w:val="auto"/>
                <w:highlight w:val="none"/>
              </w:rPr>
            </w:pPr>
            <w:r>
              <w:rPr>
                <w:rFonts w:hint="eastAsia" w:ascii="宋体" w:hAnsi="宋体" w:eastAsia="宋体" w:cs="宋体"/>
                <w:color w:val="auto"/>
                <w:highlight w:val="non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对投标文件加盖电子印章。投标文件中需个人签字或盖章的，应加盖个人电子印章或在线下完成后扫描上传。具体操作详见交易平台相关操作指南。</w:t>
            </w:r>
          </w:p>
          <w:p w14:paraId="66CA5977">
            <w:pPr>
              <w:pStyle w:val="19"/>
              <w:rPr>
                <w:rFonts w:hint="eastAsia" w:ascii="宋体" w:hAnsi="宋体" w:eastAsia="宋体" w:cs="宋体"/>
                <w:color w:val="auto"/>
                <w:highlight w:val="none"/>
              </w:rPr>
            </w:pPr>
            <w:r>
              <w:rPr>
                <w:rFonts w:hint="eastAsia" w:ascii="宋体" w:hAnsi="宋体" w:eastAsia="宋体" w:cs="宋体"/>
                <w:color w:val="auto"/>
                <w:highlight w:val="none"/>
              </w:rPr>
              <w:t>2．投标文件的修改与撤回：投标人修改或撤回已递交的投标文件，需在交易平台发出撤回通知，并按要求加盖电子印章。电子招标投标交易平台收到通知后，即时向投标人发出确认回执通知。</w:t>
            </w:r>
          </w:p>
          <w:p w14:paraId="47E643E1">
            <w:pPr>
              <w:pStyle w:val="19"/>
              <w:rPr>
                <w:rFonts w:hint="eastAsia" w:ascii="宋体" w:hAnsi="宋体" w:eastAsia="宋体" w:cs="宋体"/>
                <w:color w:val="auto"/>
                <w:highlight w:val="none"/>
              </w:rPr>
            </w:pPr>
            <w:r>
              <w:rPr>
                <w:rFonts w:hint="eastAsia" w:ascii="宋体" w:hAnsi="宋体" w:eastAsia="宋体" w:cs="宋体"/>
                <w:color w:val="auto"/>
                <w:highlight w:val="none"/>
              </w:rPr>
              <w:t>3．（重要风险提示）备用光盘或U盘。投标人将按《建设工程全流程电子化项目操作指南》的操作方法制作的非加密的电子投标文件刻入光盘或U盘（设计方案投标文件、工程总承包实施方案（含资格审查）投标文件、揭晓文件（揭晓文件指：附与设计方案投标文件一致的效果图一页，效果图需为加盖投标人（主办方）公章的扫描件，用于分辨投标文件对应的投标人身份）应分别刻录在不同的光盘或U盘，在规定的时间、地点提交备用。刻录好的投标文件光盘或U盘密封在密封袋中，并在封口处加盖投标人单位公章（设计方案投标文件备用光盘或U盘及揭晓文件除外）。密封袋上应写明（项目名称）投标文件（设计方案投标文件/工程总承包实施方案（含资格审查）投标文件/揭晓文件）。递交的投标文件光盘或U盘不得加密。投标文件光盘或U盘无法读取或导入的，则视为未提交备用投标文件光盘或U盘。如果投标人没有按规定通过交易平台网上递交电子投标文件的，不再接受提交的光盘或U盘。投标人也可不提交投标文件光盘或U盘（备用）。</w:t>
            </w:r>
          </w:p>
          <w:p w14:paraId="3BFDA4CC">
            <w:pPr>
              <w:pStyle w:val="19"/>
              <w:rPr>
                <w:rFonts w:hint="eastAsia" w:ascii="宋体" w:hAnsi="宋体" w:eastAsia="宋体" w:cs="宋体"/>
                <w:color w:val="auto"/>
                <w:highlight w:val="none"/>
              </w:rPr>
            </w:pPr>
            <w:r>
              <w:rPr>
                <w:rFonts w:hint="eastAsia" w:ascii="宋体" w:hAnsi="宋体" w:eastAsia="宋体" w:cs="宋体"/>
                <w:color w:val="auto"/>
                <w:highlight w:val="none"/>
              </w:rPr>
              <w:t>4．投标文件的递交：</w:t>
            </w:r>
          </w:p>
          <w:p w14:paraId="46A81328">
            <w:pPr>
              <w:pStyle w:val="19"/>
              <w:rPr>
                <w:rFonts w:hint="eastAsia" w:ascii="宋体" w:hAnsi="宋体" w:eastAsia="宋体" w:cs="宋体"/>
                <w:color w:val="auto"/>
                <w:highlight w:val="none"/>
              </w:rPr>
            </w:pPr>
            <w:r>
              <w:rPr>
                <w:rFonts w:hint="eastAsia" w:ascii="宋体" w:hAnsi="宋体" w:eastAsia="宋体" w:cs="宋体"/>
                <w:color w:val="auto"/>
                <w:highlight w:val="none"/>
              </w:rPr>
              <w:t>（1）投标文件递交的截止时间（投标截止时间，下同）为2025年  月  日  时  分，投标人应在截止时间前通过电子招标投标交易平台递交电子投标文件。（具体时间以广州交易集团有限公司（广州公共资源交易中心）网站发布为准。）</w:t>
            </w:r>
          </w:p>
          <w:p w14:paraId="30C70555">
            <w:pPr>
              <w:pStyle w:val="19"/>
              <w:rPr>
                <w:rFonts w:hint="eastAsia" w:ascii="宋体" w:hAnsi="宋体" w:eastAsia="宋体" w:cs="宋体"/>
                <w:color w:val="auto"/>
                <w:highlight w:val="none"/>
              </w:rPr>
            </w:pPr>
            <w:r>
              <w:rPr>
                <w:rFonts w:hint="eastAsia" w:ascii="宋体" w:hAnsi="宋体" w:eastAsia="宋体" w:cs="宋体"/>
                <w:color w:val="auto"/>
                <w:highlight w:val="none"/>
              </w:rPr>
              <w:t>（2）提交投标文件备用光盘或U盘：</w:t>
            </w:r>
          </w:p>
          <w:p w14:paraId="16A8F570">
            <w:pPr>
              <w:pStyle w:val="19"/>
              <w:rPr>
                <w:rFonts w:hint="eastAsia" w:ascii="宋体" w:hAnsi="宋体" w:eastAsia="宋体" w:cs="宋体"/>
                <w:color w:val="auto"/>
                <w:highlight w:val="none"/>
              </w:rPr>
            </w:pPr>
            <w:r>
              <w:rPr>
                <w:rFonts w:hint="eastAsia" w:ascii="宋体" w:hAnsi="宋体" w:eastAsia="宋体" w:cs="宋体"/>
                <w:color w:val="auto"/>
                <w:highlight w:val="none"/>
              </w:rPr>
              <w:t>投标文件光盘或U盘（备用）递交时间：2025年  月 日  时  分至2025年  月  日  时  分，地点：广州公共资源交易中心第室开标室。（具体时间以广州交易集团有限公司（广州公共资源交易中心）网站发布为准。）</w:t>
            </w:r>
          </w:p>
          <w:p w14:paraId="507F603E">
            <w:pPr>
              <w:pStyle w:val="19"/>
              <w:rPr>
                <w:rFonts w:hint="eastAsia" w:ascii="宋体" w:hAnsi="宋体" w:eastAsia="宋体" w:cs="宋体"/>
                <w:color w:val="auto"/>
                <w:highlight w:val="none"/>
              </w:rPr>
            </w:pPr>
            <w:r>
              <w:rPr>
                <w:rFonts w:hint="eastAsia" w:ascii="宋体" w:hAnsi="宋体" w:eastAsia="宋体" w:cs="宋体"/>
                <w:color w:val="auto"/>
                <w:highlight w:val="none"/>
              </w:rPr>
              <w:t>（3）投标人完成电子投标上传后，电子招标投标交易平台即时向投标人发出递交回执通知。递交时间以递交回执通知载明的传输时间为准。</w:t>
            </w:r>
          </w:p>
          <w:p w14:paraId="25B88CB4">
            <w:pPr>
              <w:pStyle w:val="19"/>
              <w:rPr>
                <w:rFonts w:hint="eastAsia" w:ascii="宋体" w:hAnsi="宋体" w:eastAsia="宋体" w:cs="宋体"/>
                <w:color w:val="auto"/>
                <w:highlight w:val="none"/>
              </w:rPr>
            </w:pPr>
            <w:r>
              <w:rPr>
                <w:rFonts w:hint="eastAsia" w:ascii="宋体" w:hAnsi="宋体" w:eastAsia="宋体" w:cs="宋体"/>
                <w:color w:val="auto"/>
                <w:highlight w:val="none"/>
              </w:rPr>
              <w:t>（4）逾期送达的投标文件，电子招标投标交易平台将予以拒收。</w:t>
            </w:r>
          </w:p>
          <w:p w14:paraId="3762B047">
            <w:pPr>
              <w:pStyle w:val="19"/>
              <w:rPr>
                <w:rFonts w:hint="eastAsia" w:ascii="宋体" w:hAnsi="宋体" w:eastAsia="宋体" w:cs="宋体"/>
                <w:color w:val="auto"/>
                <w:highlight w:val="none"/>
              </w:rPr>
            </w:pPr>
            <w:r>
              <w:rPr>
                <w:rFonts w:hint="eastAsia" w:ascii="宋体" w:hAnsi="宋体" w:eastAsia="宋体" w:cs="宋体"/>
                <w:color w:val="auto"/>
                <w:highlight w:val="none"/>
              </w:rPr>
              <w:t>5．投标文件加密要求：</w:t>
            </w:r>
          </w:p>
          <w:p w14:paraId="55E276CB">
            <w:pPr>
              <w:pStyle w:val="19"/>
              <w:rPr>
                <w:rFonts w:hint="eastAsia" w:ascii="宋体" w:hAnsi="宋体" w:eastAsia="宋体" w:cs="宋体"/>
                <w:color w:val="auto"/>
                <w:highlight w:val="none"/>
              </w:rPr>
            </w:pPr>
            <w:r>
              <w:rPr>
                <w:rFonts w:hint="eastAsia" w:ascii="宋体" w:hAnsi="宋体" w:eastAsia="宋体" w:cs="宋体"/>
                <w:color w:val="auto"/>
                <w:highlight w:val="none"/>
              </w:rPr>
              <w:t>（1）网上递交的电子投标文件须进行加密。具体操作详见交易平台相关操作指南。</w:t>
            </w:r>
          </w:p>
          <w:p w14:paraId="5FB14287">
            <w:pPr>
              <w:pStyle w:val="19"/>
              <w:rPr>
                <w:rFonts w:hint="eastAsia" w:ascii="宋体" w:hAnsi="宋体" w:eastAsia="宋体" w:cs="宋体"/>
                <w:color w:val="auto"/>
                <w:highlight w:val="none"/>
              </w:rPr>
            </w:pPr>
            <w:r>
              <w:rPr>
                <w:rFonts w:hint="eastAsia" w:ascii="宋体" w:hAnsi="宋体" w:eastAsia="宋体" w:cs="宋体"/>
                <w:color w:val="auto"/>
                <w:highlight w:val="none"/>
              </w:rPr>
              <w:t>（2）未按要求加密的投标文件，招标人将予以拒收。</w:t>
            </w:r>
          </w:p>
          <w:p w14:paraId="19D7E013">
            <w:pPr>
              <w:pStyle w:val="19"/>
              <w:rPr>
                <w:rFonts w:hint="eastAsia" w:ascii="宋体" w:hAnsi="宋体" w:eastAsia="宋体" w:cs="宋体"/>
                <w:color w:val="auto"/>
                <w:highlight w:val="none"/>
              </w:rPr>
            </w:pPr>
            <w:r>
              <w:rPr>
                <w:rFonts w:hint="eastAsia" w:ascii="宋体" w:hAnsi="宋体" w:eastAsia="宋体" w:cs="宋体"/>
                <w:color w:val="auto"/>
                <w:highlight w:val="none"/>
              </w:rPr>
              <w:t>6．投标文件解密失败的补救方案：</w:t>
            </w:r>
          </w:p>
          <w:p w14:paraId="37C8B810">
            <w:pPr>
              <w:pStyle w:val="19"/>
              <w:rPr>
                <w:rFonts w:hint="eastAsia" w:ascii="宋体" w:hAnsi="宋体" w:eastAsia="宋体" w:cs="宋体"/>
                <w:color w:val="auto"/>
                <w:highlight w:val="none"/>
              </w:rPr>
            </w:pPr>
            <w:r>
              <w:rPr>
                <w:rFonts w:hint="eastAsia" w:ascii="宋体" w:hAnsi="宋体" w:eastAsia="宋体" w:cs="宋体"/>
                <w:color w:val="auto"/>
                <w:highlight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4293E188">
            <w:pPr>
              <w:pStyle w:val="19"/>
              <w:rPr>
                <w:rFonts w:hint="eastAsia" w:ascii="宋体" w:hAnsi="宋体" w:eastAsia="宋体" w:cs="宋体"/>
                <w:color w:val="auto"/>
                <w:highlight w:val="none"/>
              </w:rPr>
            </w:pPr>
            <w:r>
              <w:rPr>
                <w:rFonts w:hint="eastAsia" w:ascii="宋体" w:hAnsi="宋体" w:eastAsia="宋体" w:cs="宋体"/>
                <w:color w:val="auto"/>
                <w:highlight w:val="none"/>
              </w:rPr>
              <w:t>除发生上述情况外，开标评标均以投标人通过交易平台网上递交的电子投标文件为准。</w:t>
            </w:r>
          </w:p>
        </w:tc>
      </w:tr>
      <w:tr w14:paraId="05B5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DB558F7">
            <w:pPr>
              <w:jc w:val="center"/>
              <w:rPr>
                <w:rFonts w:hint="eastAsia" w:ascii="宋体" w:hAnsi="宋体" w:cs="宋体"/>
                <w:color w:val="auto"/>
                <w:szCs w:val="21"/>
                <w:highlight w:val="none"/>
              </w:rPr>
            </w:pPr>
            <w:r>
              <w:rPr>
                <w:rFonts w:hint="eastAsia" w:ascii="宋体" w:hAnsi="宋体" w:cs="宋体"/>
                <w:color w:val="auto"/>
                <w:szCs w:val="21"/>
                <w:highlight w:val="none"/>
              </w:rPr>
              <w:t>10.1</w:t>
            </w:r>
          </w:p>
        </w:tc>
        <w:tc>
          <w:tcPr>
            <w:tcW w:w="2353" w:type="dxa"/>
            <w:gridSpan w:val="2"/>
            <w:vAlign w:val="center"/>
          </w:tcPr>
          <w:p w14:paraId="5D008455">
            <w:pPr>
              <w:jc w:val="center"/>
              <w:rPr>
                <w:rFonts w:hint="eastAsia" w:ascii="宋体" w:hAnsi="宋体" w:cs="宋体"/>
                <w:color w:val="auto"/>
                <w:szCs w:val="21"/>
                <w:highlight w:val="none"/>
              </w:rPr>
            </w:pPr>
            <w:r>
              <w:rPr>
                <w:rFonts w:hint="eastAsia" w:ascii="宋体" w:hAnsi="宋体" w:cs="宋体"/>
                <w:color w:val="auto"/>
                <w:szCs w:val="21"/>
                <w:highlight w:val="none"/>
              </w:rPr>
              <w:t>投标人不得存在的情形</w:t>
            </w:r>
          </w:p>
        </w:tc>
        <w:tc>
          <w:tcPr>
            <w:tcW w:w="5659" w:type="dxa"/>
            <w:vAlign w:val="center"/>
          </w:tcPr>
          <w:p w14:paraId="17DBC653">
            <w:pPr>
              <w:rPr>
                <w:rFonts w:hint="eastAsia" w:ascii="宋体" w:hAnsi="宋体" w:eastAsia="宋体" w:cs="宋体"/>
                <w:color w:val="auto"/>
                <w:highlight w:val="none"/>
                <w:lang w:val="en-US" w:eastAsia="zh-CN"/>
              </w:rPr>
            </w:pPr>
            <w:r>
              <w:rPr>
                <w:rFonts w:hint="eastAsia" w:ascii="宋体" w:hAnsi="宋体" w:cs="宋体"/>
                <w:color w:val="auto"/>
                <w:szCs w:val="21"/>
                <w:highlight w:val="none"/>
                <w:lang w:val="en-US" w:eastAsia="zh-CN"/>
              </w:rPr>
              <w:t>/</w:t>
            </w:r>
          </w:p>
        </w:tc>
      </w:tr>
      <w:tr w14:paraId="3F40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vAlign w:val="center"/>
          </w:tcPr>
          <w:p w14:paraId="44D3F60D">
            <w:pPr>
              <w:jc w:val="center"/>
              <w:rPr>
                <w:rFonts w:hint="eastAsia" w:ascii="宋体" w:hAnsi="宋体" w:cs="宋体"/>
                <w:color w:val="auto"/>
                <w:szCs w:val="21"/>
                <w:highlight w:val="none"/>
              </w:rPr>
            </w:pPr>
            <w:r>
              <w:rPr>
                <w:rFonts w:hint="eastAsia" w:ascii="宋体" w:hAnsi="宋体" w:cs="宋体"/>
                <w:color w:val="auto"/>
                <w:szCs w:val="21"/>
                <w:highlight w:val="none"/>
              </w:rPr>
              <w:t>10.2</w:t>
            </w:r>
          </w:p>
        </w:tc>
        <w:tc>
          <w:tcPr>
            <w:tcW w:w="2353" w:type="dxa"/>
            <w:gridSpan w:val="2"/>
            <w:vAlign w:val="center"/>
          </w:tcPr>
          <w:p w14:paraId="3F34C995">
            <w:pPr>
              <w:jc w:val="center"/>
              <w:rPr>
                <w:rFonts w:hint="eastAsia" w:ascii="宋体" w:hAnsi="宋体" w:cs="宋体"/>
                <w:color w:val="auto"/>
                <w:szCs w:val="21"/>
                <w:highlight w:val="none"/>
              </w:rPr>
            </w:pPr>
            <w:r>
              <w:rPr>
                <w:rFonts w:hint="eastAsia" w:ascii="宋体" w:hAnsi="宋体" w:cs="宋体"/>
                <w:color w:val="auto"/>
                <w:szCs w:val="21"/>
                <w:highlight w:val="none"/>
              </w:rPr>
              <w:t>特别提示</w:t>
            </w:r>
          </w:p>
        </w:tc>
        <w:tc>
          <w:tcPr>
            <w:tcW w:w="5659" w:type="dxa"/>
            <w:vAlign w:val="center"/>
          </w:tcPr>
          <w:p w14:paraId="7548900C">
            <w:pPr>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特别提示：投标人在本项目招标人的工程项目中存在下列行为的，</w:t>
            </w:r>
            <w:r>
              <w:rPr>
                <w:rFonts w:hint="eastAsia" w:ascii="宋体" w:hAnsi="宋体"/>
                <w:color w:val="auto"/>
                <w:szCs w:val="21"/>
                <w:highlight w:val="none"/>
                <w:u w:val="single"/>
              </w:rPr>
              <w:t>将被拒绝三个月内参与招标人后续工程投标（注：拒绝投标时限由招标人视严重程度确定，最低三个月起，自招标人发出通知之日起计）</w:t>
            </w:r>
            <w:r>
              <w:rPr>
                <w:rFonts w:hint="eastAsia" w:ascii="宋体" w:hAnsi="宋体" w:cs="宋体"/>
                <w:color w:val="auto"/>
                <w:szCs w:val="21"/>
                <w:highlight w:val="none"/>
                <w:u w:val="single"/>
              </w:rPr>
              <w:t>：</w:t>
            </w:r>
          </w:p>
          <w:p w14:paraId="1AF4374D">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（1）将中标工程转包或者违法分包的；</w:t>
            </w:r>
          </w:p>
          <w:p w14:paraId="0FDB4C36">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（2）在中标工程中不执行质量、安全生产相关规定的，造成质量或安全事故的；</w:t>
            </w:r>
          </w:p>
          <w:p w14:paraId="364B3404">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（3）出让投标资格的；</w:t>
            </w:r>
          </w:p>
          <w:p w14:paraId="3648D541">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（4）存在围标或串标情形的；</w:t>
            </w:r>
          </w:p>
          <w:p w14:paraId="3607CDE0">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（5）在投标文件中提供虚假材料的；</w:t>
            </w:r>
          </w:p>
          <w:p w14:paraId="46526051">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（6）存在少放、不放业绩、奖项等客观评审资料，减少自身竞争力情形的；</w:t>
            </w:r>
          </w:p>
          <w:p w14:paraId="6F42783A">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（7）存在行贿情形的；</w:t>
            </w:r>
          </w:p>
          <w:p w14:paraId="60E2301B">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（8）拖欠农民工工资的；</w:t>
            </w:r>
          </w:p>
          <w:p w14:paraId="68B4F991">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（9）未按照国家、省、市有关建筑施工实名制管理和工人工资支付分账管理的规定执行，被行政监管部门处罚的；</w:t>
            </w:r>
          </w:p>
          <w:p w14:paraId="39597B52">
            <w:pPr>
              <w:snapToGrid w:val="0"/>
              <w:rPr>
                <w:rFonts w:hint="eastAsia" w:ascii="宋体" w:hAnsi="宋体" w:cs="宋体"/>
                <w:color w:val="auto"/>
                <w:szCs w:val="21"/>
                <w:highlight w:val="none"/>
              </w:rPr>
            </w:pPr>
            <w:r>
              <w:rPr>
                <w:rFonts w:hint="eastAsia" w:ascii="宋体" w:hAnsi="宋体" w:cs="宋体"/>
                <w:color w:val="auto"/>
                <w:szCs w:val="21"/>
                <w:highlight w:val="none"/>
                <w:lang w:bidi="ar"/>
              </w:rPr>
              <w:t>（10）中标人在项目实施过程中选取的专业分包单位或劳务企业或劳务班组长与投标时不一致的（如有）；</w:t>
            </w:r>
          </w:p>
          <w:p w14:paraId="3BD39B81">
            <w:pPr>
              <w:rPr>
                <w:rFonts w:hint="eastAsia" w:ascii="宋体" w:hAnsi="宋体" w:cs="宋体"/>
                <w:color w:val="auto"/>
                <w:szCs w:val="21"/>
                <w:highlight w:val="none"/>
                <w:lang w:bidi="ar"/>
              </w:rPr>
            </w:pPr>
            <w:r>
              <w:rPr>
                <w:rFonts w:hint="eastAsia" w:ascii="宋体" w:hAnsi="宋体" w:cs="宋体"/>
                <w:color w:val="auto"/>
                <w:szCs w:val="21"/>
                <w:highlight w:val="none"/>
                <w:lang w:bidi="ar"/>
              </w:rPr>
              <w:t>（11）本项目投标时拟派的专职安全员在其他项目中有任职且在本项目开工前未完成更换确保专职安全员只在本项目上任职的；</w:t>
            </w:r>
          </w:p>
          <w:p w14:paraId="3BD603D0">
            <w:pPr>
              <w:rPr>
                <w:rFonts w:hint="eastAsia" w:ascii="宋体" w:hAnsi="宋体" w:cs="宋体"/>
                <w:color w:val="auto"/>
                <w:szCs w:val="21"/>
                <w:highlight w:val="none"/>
              </w:rPr>
            </w:pPr>
            <w:r>
              <w:rPr>
                <w:rFonts w:hint="eastAsia" w:ascii="宋体" w:hAnsi="宋体" w:cs="宋体"/>
                <w:color w:val="auto"/>
                <w:szCs w:val="21"/>
                <w:highlight w:val="none"/>
                <w:lang w:bidi="ar"/>
              </w:rPr>
              <w:t>（12）存在因过错行为被生效法律文书认定承担违约或侵权责任的。</w:t>
            </w:r>
          </w:p>
        </w:tc>
      </w:tr>
      <w:tr w14:paraId="37FE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E6DB204">
            <w:pPr>
              <w:jc w:val="center"/>
              <w:rPr>
                <w:rFonts w:hint="eastAsia" w:ascii="宋体" w:hAnsi="宋体" w:cs="宋体"/>
                <w:color w:val="auto"/>
                <w:szCs w:val="21"/>
                <w:highlight w:val="none"/>
              </w:rPr>
            </w:pPr>
            <w:r>
              <w:rPr>
                <w:rFonts w:hint="eastAsia" w:ascii="宋体" w:hAnsi="宋体" w:cs="宋体"/>
                <w:color w:val="auto"/>
                <w:szCs w:val="21"/>
                <w:highlight w:val="none"/>
              </w:rPr>
              <w:t>10.3</w:t>
            </w:r>
          </w:p>
        </w:tc>
        <w:tc>
          <w:tcPr>
            <w:tcW w:w="2353" w:type="dxa"/>
            <w:gridSpan w:val="2"/>
            <w:vAlign w:val="center"/>
          </w:tcPr>
          <w:p w14:paraId="46B8ED2F">
            <w:pPr>
              <w:rPr>
                <w:rFonts w:hint="eastAsia" w:ascii="宋体" w:hAnsi="宋体" w:cs="宋体"/>
                <w:color w:val="auto"/>
                <w:szCs w:val="21"/>
                <w:highlight w:val="none"/>
              </w:rPr>
            </w:pPr>
            <w:r>
              <w:rPr>
                <w:rFonts w:hint="eastAsia" w:ascii="宋体" w:hAnsi="宋体" w:cs="宋体"/>
                <w:color w:val="auto"/>
                <w:szCs w:val="21"/>
                <w:highlight w:val="none"/>
              </w:rPr>
              <w:t>招标失败的情形</w:t>
            </w:r>
          </w:p>
        </w:tc>
        <w:tc>
          <w:tcPr>
            <w:tcW w:w="5659" w:type="dxa"/>
            <w:vAlign w:val="center"/>
          </w:tcPr>
          <w:p w14:paraId="536CDD71">
            <w:pPr>
              <w:rPr>
                <w:rFonts w:hint="eastAsia" w:ascii="宋体" w:hAnsi="宋体" w:cs="宋体"/>
                <w:color w:val="auto"/>
                <w:szCs w:val="21"/>
                <w:highlight w:val="none"/>
                <w:u w:val="single"/>
              </w:rPr>
            </w:pPr>
            <w:r>
              <w:rPr>
                <w:rFonts w:hint="eastAsia" w:ascii="宋体" w:hAnsi="宋体" w:cs="宋体"/>
                <w:color w:val="auto"/>
                <w:highlight w:val="none"/>
              </w:rPr>
              <w:t>本项目满足资格形式评审、资格审查合格条件或通过初步评审的投标申请人不足3名时为招标失败。招标人分析招标失败原因，修正招标方案，重新组织招标。</w:t>
            </w:r>
          </w:p>
        </w:tc>
      </w:tr>
      <w:tr w14:paraId="3C44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vAlign w:val="center"/>
          </w:tcPr>
          <w:p w14:paraId="405591E9">
            <w:pPr>
              <w:jc w:val="center"/>
              <w:rPr>
                <w:rFonts w:hint="eastAsia" w:ascii="宋体" w:hAnsi="宋体" w:cs="宋体"/>
                <w:color w:val="auto"/>
                <w:szCs w:val="21"/>
                <w:highlight w:val="none"/>
              </w:rPr>
            </w:pPr>
            <w:r>
              <w:rPr>
                <w:rFonts w:hint="eastAsia" w:ascii="宋体" w:hAnsi="宋体" w:cs="宋体"/>
                <w:color w:val="auto"/>
                <w:szCs w:val="21"/>
                <w:highlight w:val="none"/>
              </w:rPr>
              <w:t>10.4</w:t>
            </w:r>
          </w:p>
        </w:tc>
        <w:tc>
          <w:tcPr>
            <w:tcW w:w="8012" w:type="dxa"/>
            <w:gridSpan w:val="3"/>
            <w:vAlign w:val="center"/>
          </w:tcPr>
          <w:p w14:paraId="2EA7E84D">
            <w:pPr>
              <w:rPr>
                <w:rFonts w:hint="eastAsia" w:ascii="宋体" w:hAnsi="宋体" w:cs="宋体"/>
                <w:bCs/>
                <w:color w:val="auto"/>
                <w:highlight w:val="none"/>
              </w:rPr>
            </w:pPr>
            <w:r>
              <w:rPr>
                <w:rFonts w:hint="eastAsia" w:ascii="宋体" w:hAnsi="宋体" w:cs="宋体"/>
                <w:color w:val="auto"/>
                <w:szCs w:val="21"/>
                <w:highlight w:val="none"/>
              </w:rPr>
              <w:t>中标候选人公示后3天内投标人需将在广州公共资源交易中心网站下载的投标文件打印，投标文件需与中标人在广州公共资源交易中心网站提交的投标文件一致，投标人加盖公章，1正2副（加盖公章），合共3套投标文件提供给招标人，相关费用由投标人支付。</w:t>
            </w:r>
          </w:p>
        </w:tc>
      </w:tr>
      <w:tr w14:paraId="3210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CA50E7B">
            <w:pPr>
              <w:jc w:val="center"/>
              <w:rPr>
                <w:rFonts w:hint="eastAsia" w:ascii="宋体" w:hAnsi="宋体" w:cs="宋体"/>
                <w:color w:val="auto"/>
                <w:szCs w:val="21"/>
                <w:highlight w:val="none"/>
              </w:rPr>
            </w:pPr>
            <w:r>
              <w:rPr>
                <w:rFonts w:hint="eastAsia" w:ascii="宋体" w:hAnsi="宋体" w:cs="宋体"/>
                <w:color w:val="auto"/>
                <w:szCs w:val="21"/>
                <w:highlight w:val="none"/>
              </w:rPr>
              <w:t>10.5</w:t>
            </w:r>
          </w:p>
        </w:tc>
        <w:tc>
          <w:tcPr>
            <w:tcW w:w="8012" w:type="dxa"/>
            <w:gridSpan w:val="3"/>
            <w:vAlign w:val="center"/>
          </w:tcPr>
          <w:p w14:paraId="6D236792">
            <w:pPr>
              <w:rPr>
                <w:rFonts w:hint="eastAsia" w:ascii="宋体" w:hAnsi="宋体" w:cs="宋体"/>
                <w:b/>
                <w:color w:val="auto"/>
                <w:szCs w:val="21"/>
                <w:highlight w:val="none"/>
              </w:rPr>
            </w:pPr>
            <w:r>
              <w:rPr>
                <w:rFonts w:hint="eastAsia" w:ascii="宋体" w:hAnsi="宋体" w:cs="宋体"/>
                <w:b/>
                <w:color w:val="auto"/>
                <w:szCs w:val="21"/>
                <w:highlight w:val="none"/>
              </w:rPr>
              <w:t>联合体投标的，</w:t>
            </w:r>
            <w:r>
              <w:rPr>
                <w:rFonts w:hint="eastAsia" w:ascii="宋体" w:hAnsi="宋体" w:cs="宋体"/>
                <w:b/>
                <w:color w:val="auto"/>
                <w:highlight w:val="none"/>
              </w:rPr>
              <w:t>投标文件中的联合体协议书需联合体各方均盖章，投标文件其他内容中的“投标人”、“投标单位”、“声明企业”应填写联合体各方的单位全称【格式表示为：（主）XXXX公司，（成）XXXX公司】，由主办方盖章、签字即可。</w:t>
            </w:r>
            <w:r>
              <w:rPr>
                <w:rFonts w:hint="eastAsia" w:ascii="宋体" w:hAnsi="宋体" w:cs="宋体"/>
                <w:color w:val="auto"/>
                <w:szCs w:val="21"/>
                <w:highlight w:val="none"/>
                <w:u w:val="single"/>
              </w:rPr>
              <w:t>法定代表人证明书及授权委托证明书可由联合体主办方出具。</w:t>
            </w:r>
          </w:p>
        </w:tc>
      </w:tr>
      <w:tr w14:paraId="634C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AD973BF">
            <w:pPr>
              <w:jc w:val="center"/>
              <w:rPr>
                <w:rFonts w:hint="eastAsia" w:ascii="宋体" w:hAnsi="宋体" w:cs="宋体"/>
                <w:color w:val="auto"/>
                <w:szCs w:val="21"/>
                <w:highlight w:val="none"/>
              </w:rPr>
            </w:pPr>
            <w:bookmarkStart w:id="31" w:name="_Toc144974497"/>
            <w:bookmarkStart w:id="32" w:name="_Toc247513952"/>
            <w:bookmarkStart w:id="33" w:name="_Toc152042305"/>
            <w:bookmarkStart w:id="34" w:name="_Toc24193"/>
            <w:bookmarkStart w:id="35" w:name="_Toc152045529"/>
            <w:bookmarkStart w:id="36" w:name="_Toc247527553"/>
            <w:r>
              <w:rPr>
                <w:rFonts w:hint="eastAsia" w:ascii="宋体" w:hAnsi="宋体" w:cs="宋体"/>
                <w:color w:val="auto"/>
                <w:szCs w:val="21"/>
                <w:highlight w:val="none"/>
              </w:rPr>
              <w:t>10.6</w:t>
            </w:r>
          </w:p>
        </w:tc>
        <w:tc>
          <w:tcPr>
            <w:tcW w:w="8012" w:type="dxa"/>
            <w:gridSpan w:val="3"/>
            <w:vAlign w:val="center"/>
          </w:tcPr>
          <w:p w14:paraId="630EA4F2">
            <w:pPr>
              <w:rPr>
                <w:rFonts w:hint="eastAsia" w:ascii="宋体" w:hAnsi="宋体" w:cs="宋体"/>
                <w:b/>
                <w:color w:val="auto"/>
                <w:szCs w:val="21"/>
                <w:highlight w:val="none"/>
              </w:rPr>
            </w:pPr>
            <w:r>
              <w:rPr>
                <w:rFonts w:hint="eastAsia" w:ascii="宋体" w:hAnsi="宋体" w:cs="宋体"/>
                <w:b/>
                <w:color w:val="auto"/>
                <w:szCs w:val="21"/>
                <w:highlight w:val="none"/>
              </w:rPr>
              <w:t>本招标项目的招标代理服务费由中标人向招标代理单位一次性支付。（招标代理服务费依照《国家计委关于印发〈招标代理服务收费管理暂行办法〉的通知》（计价格[2002]1980号）的计费标准下浮20%收取）</w:t>
            </w:r>
          </w:p>
          <w:p w14:paraId="44BBBE23">
            <w:pPr>
              <w:rPr>
                <w:rFonts w:hint="eastAsia" w:ascii="宋体" w:hAnsi="宋体" w:cs="宋体"/>
                <w:b/>
                <w:color w:val="auto"/>
                <w:szCs w:val="21"/>
                <w:highlight w:val="none"/>
              </w:rPr>
            </w:pPr>
            <w:r>
              <w:rPr>
                <w:rFonts w:hint="eastAsia" w:ascii="宋体" w:hAnsi="宋体" w:cs="宋体"/>
                <w:b/>
                <w:color w:val="auto"/>
                <w:szCs w:val="21"/>
                <w:highlight w:val="none"/>
              </w:rPr>
              <w:t>交易服务费：由中标人支付。</w:t>
            </w:r>
          </w:p>
        </w:tc>
      </w:tr>
      <w:tr w14:paraId="6B2D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E699322">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10.7</w:t>
            </w:r>
          </w:p>
        </w:tc>
        <w:tc>
          <w:tcPr>
            <w:tcW w:w="8012" w:type="dxa"/>
            <w:gridSpan w:val="3"/>
            <w:vAlign w:val="center"/>
          </w:tcPr>
          <w:p w14:paraId="37C008A8">
            <w:pPr>
              <w:pStyle w:val="35"/>
              <w:tabs>
                <w:tab w:val="left" w:pos="7380"/>
              </w:tabs>
              <w:spacing w:after="0" w:line="360" w:lineRule="exact"/>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内容：招标人对中标人参与“百千万工程”的具体要求</w:t>
            </w:r>
          </w:p>
          <w:p w14:paraId="70699876">
            <w:pPr>
              <w:pStyle w:val="35"/>
              <w:tabs>
                <w:tab w:val="left" w:pos="7380"/>
              </w:tabs>
              <w:spacing w:after="0" w:line="360" w:lineRule="exact"/>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p w14:paraId="31D86C2C">
            <w:pPr>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□具体要求在中标后按照投标承诺和招标人的要求执行。</w:t>
            </w:r>
          </w:p>
          <w:p w14:paraId="0B84BA6C">
            <w:pPr>
              <w:spacing w:line="276" w:lineRule="auto"/>
              <w:rPr>
                <w:rFonts w:hint="eastAsia" w:ascii="宋体" w:hAnsi="宋体" w:cs="宋体"/>
                <w:b/>
                <w:color w:val="auto"/>
                <w:szCs w:val="21"/>
                <w:highlight w:val="none"/>
              </w:rPr>
            </w:pPr>
            <w:r>
              <w:rPr>
                <w:rFonts w:hint="eastAsia" w:ascii="宋体" w:hAnsi="宋体" w:cs="宋体"/>
                <w:color w:val="auto"/>
                <w:szCs w:val="21"/>
                <w:highlight w:val="none"/>
                <w:lang w:val="zh-CN"/>
              </w:rPr>
              <w:sym w:font="Wingdings 2" w:char="0052"/>
            </w:r>
            <w:r>
              <w:rPr>
                <w:rFonts w:hint="eastAsia" w:ascii="宋体" w:hAnsi="宋体" w:cs="宋体"/>
                <w:color w:val="auto"/>
                <w:szCs w:val="21"/>
                <w:highlight w:val="none"/>
                <w:lang w:val="zh-CN"/>
              </w:rPr>
              <w:t>具体要求：</w:t>
            </w:r>
            <w:r>
              <w:rPr>
                <w:rFonts w:hint="eastAsia" w:ascii="宋体" w:hAnsi="宋体" w:cs="宋体"/>
                <w:color w:val="auto"/>
                <w:szCs w:val="21"/>
                <w:highlight w:val="none"/>
              </w:rPr>
              <w:t>不作要求</w:t>
            </w:r>
          </w:p>
        </w:tc>
      </w:tr>
    </w:tbl>
    <w:p w14:paraId="2F38CD6B">
      <w:pPr>
        <w:pStyle w:val="3"/>
        <w:rPr>
          <w:color w:val="auto"/>
          <w:highlight w:val="none"/>
        </w:rPr>
      </w:pPr>
      <w:r>
        <w:rPr>
          <w:color w:val="auto"/>
          <w:highlight w:val="none"/>
        </w:rPr>
        <w:br w:type="page"/>
      </w:r>
      <w:bookmarkStart w:id="37" w:name="_Toc134304523"/>
      <w:r>
        <w:rPr>
          <w:rFonts w:hint="eastAsia"/>
          <w:color w:val="auto"/>
          <w:highlight w:val="none"/>
        </w:rPr>
        <w:t>1. 总则</w:t>
      </w:r>
      <w:bookmarkEnd w:id="31"/>
      <w:bookmarkEnd w:id="32"/>
      <w:bookmarkEnd w:id="33"/>
      <w:bookmarkEnd w:id="34"/>
      <w:bookmarkEnd w:id="35"/>
      <w:bookmarkEnd w:id="36"/>
      <w:bookmarkEnd w:id="37"/>
    </w:p>
    <w:p w14:paraId="78FC1EC5">
      <w:pPr>
        <w:pStyle w:val="4"/>
        <w:rPr>
          <w:rFonts w:hint="eastAsia"/>
          <w:color w:val="auto"/>
          <w:highlight w:val="none"/>
        </w:rPr>
      </w:pPr>
      <w:bookmarkStart w:id="38" w:name="_Toc87238892"/>
      <w:bookmarkStart w:id="39" w:name="_Toc152042306"/>
      <w:bookmarkStart w:id="40" w:name="_Toc247513953"/>
      <w:bookmarkStart w:id="41" w:name="_Toc144974498"/>
      <w:bookmarkStart w:id="42" w:name="_Toc152045530"/>
      <w:bookmarkStart w:id="43" w:name="_Toc13369"/>
      <w:bookmarkStart w:id="44" w:name="_Toc247527554"/>
      <w:bookmarkStart w:id="45" w:name="_Toc134304524"/>
      <w:r>
        <w:rPr>
          <w:rFonts w:hint="eastAsia"/>
          <w:color w:val="auto"/>
          <w:highlight w:val="none"/>
        </w:rPr>
        <w:t>1.1 项目概况</w:t>
      </w:r>
      <w:bookmarkEnd w:id="38"/>
      <w:bookmarkEnd w:id="39"/>
      <w:bookmarkEnd w:id="40"/>
      <w:bookmarkEnd w:id="41"/>
      <w:bookmarkEnd w:id="42"/>
      <w:bookmarkEnd w:id="43"/>
      <w:bookmarkEnd w:id="44"/>
      <w:bookmarkEnd w:id="45"/>
    </w:p>
    <w:p w14:paraId="7B1ADE2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1.1.1根据《中华人民共和国招标投标法》等有关法律、法规和规章的规定，本招标项目已具备招标条件，现对该项目设计施工进行一体化招标。</w:t>
      </w:r>
    </w:p>
    <w:p w14:paraId="77DD78E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1.1.2 招标人：见投标人须知前附表。</w:t>
      </w:r>
    </w:p>
    <w:p w14:paraId="6D26D2B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1.1.3 招标代理机构：见投标人须知前附表。</w:t>
      </w:r>
    </w:p>
    <w:p w14:paraId="7E05F67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1.1.4 招标项目名称：见投标人须知前附表。</w:t>
      </w:r>
    </w:p>
    <w:p w14:paraId="0FF67F3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1.1.5 项目建设地点：见投标人须知前附表。</w:t>
      </w:r>
    </w:p>
    <w:p w14:paraId="24E91C65">
      <w:pPr>
        <w:pStyle w:val="4"/>
        <w:rPr>
          <w:rFonts w:hint="eastAsia"/>
          <w:color w:val="auto"/>
          <w:highlight w:val="none"/>
        </w:rPr>
      </w:pPr>
      <w:bookmarkStart w:id="46" w:name="_Toc152045531"/>
      <w:bookmarkStart w:id="47" w:name="_Toc247527555"/>
      <w:bookmarkStart w:id="48" w:name="_Toc247513954"/>
      <w:bookmarkStart w:id="49" w:name="_Toc134304525"/>
      <w:bookmarkStart w:id="50" w:name="_Toc23462"/>
      <w:bookmarkStart w:id="51" w:name="_Toc87238893"/>
      <w:bookmarkStart w:id="52" w:name="_Toc144974499"/>
      <w:bookmarkStart w:id="53" w:name="_Toc152042307"/>
      <w:r>
        <w:rPr>
          <w:rFonts w:hint="eastAsia"/>
          <w:color w:val="auto"/>
          <w:highlight w:val="none"/>
        </w:rPr>
        <w:t>1.2 项目的资金来源和落实情况</w:t>
      </w:r>
      <w:bookmarkEnd w:id="46"/>
      <w:bookmarkEnd w:id="47"/>
      <w:bookmarkEnd w:id="48"/>
      <w:bookmarkEnd w:id="49"/>
      <w:bookmarkEnd w:id="50"/>
      <w:bookmarkEnd w:id="51"/>
      <w:bookmarkEnd w:id="52"/>
      <w:bookmarkEnd w:id="53"/>
    </w:p>
    <w:p w14:paraId="38B76E4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1.2.1 资金来源及比例：见投标人须知前附表。</w:t>
      </w:r>
    </w:p>
    <w:p w14:paraId="1ABE1BC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1.2.2 资金落实情况：见投标人须知前附表。</w:t>
      </w:r>
    </w:p>
    <w:p w14:paraId="551E0730">
      <w:pPr>
        <w:pStyle w:val="4"/>
        <w:rPr>
          <w:rFonts w:hint="eastAsia"/>
          <w:color w:val="auto"/>
          <w:highlight w:val="none"/>
        </w:rPr>
      </w:pPr>
      <w:bookmarkStart w:id="54" w:name="_Toc247513955"/>
      <w:bookmarkStart w:id="55" w:name="_Toc144974500"/>
      <w:bookmarkStart w:id="56" w:name="_Toc152042308"/>
      <w:bookmarkStart w:id="57" w:name="_Toc247527556"/>
      <w:bookmarkStart w:id="58" w:name="_Toc152045532"/>
      <w:bookmarkStart w:id="59" w:name="_Toc87238894"/>
      <w:bookmarkStart w:id="60" w:name="_Toc134304526"/>
      <w:bookmarkStart w:id="61" w:name="_Toc13265"/>
      <w:r>
        <w:rPr>
          <w:rFonts w:hint="eastAsia"/>
          <w:color w:val="auto"/>
          <w:highlight w:val="none"/>
        </w:rPr>
        <w:t>1.3 招标范围、计划工期和</w:t>
      </w:r>
      <w:bookmarkEnd w:id="54"/>
      <w:bookmarkEnd w:id="55"/>
      <w:bookmarkEnd w:id="56"/>
      <w:bookmarkEnd w:id="57"/>
      <w:bookmarkEnd w:id="58"/>
      <w:r>
        <w:rPr>
          <w:rFonts w:hint="eastAsia"/>
          <w:color w:val="auto"/>
          <w:highlight w:val="none"/>
        </w:rPr>
        <w:t>质量标准</w:t>
      </w:r>
      <w:bookmarkEnd w:id="59"/>
      <w:bookmarkEnd w:id="60"/>
      <w:bookmarkEnd w:id="61"/>
    </w:p>
    <w:p w14:paraId="4A9C0FE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1.3.1 招标范围：见投标人须知前附表。</w:t>
      </w:r>
    </w:p>
    <w:p w14:paraId="5641E3B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1.3.2 计划工期：见投标人须知前附表。</w:t>
      </w:r>
    </w:p>
    <w:p w14:paraId="4687EB7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1.3.3 质量标准：见投标人须知前附表。</w:t>
      </w:r>
    </w:p>
    <w:p w14:paraId="3569658D">
      <w:pPr>
        <w:pStyle w:val="4"/>
        <w:rPr>
          <w:rFonts w:hint="eastAsia"/>
          <w:color w:val="auto"/>
          <w:highlight w:val="none"/>
        </w:rPr>
      </w:pPr>
      <w:bookmarkStart w:id="62" w:name="_Toc144974502"/>
      <w:bookmarkStart w:id="63" w:name="_Toc152045534"/>
      <w:bookmarkStart w:id="64" w:name="_Toc152042310"/>
      <w:bookmarkStart w:id="65" w:name="_Toc247527558"/>
      <w:bookmarkStart w:id="66" w:name="_Toc247513957"/>
      <w:bookmarkStart w:id="67" w:name="_Toc25105"/>
      <w:bookmarkStart w:id="68" w:name="_Toc134304527"/>
      <w:bookmarkStart w:id="69" w:name="_Toc87238895"/>
      <w:r>
        <w:rPr>
          <w:rFonts w:hint="eastAsia"/>
          <w:color w:val="auto"/>
          <w:highlight w:val="none"/>
        </w:rPr>
        <w:t>1.4 投标人资格要求</w:t>
      </w:r>
      <w:bookmarkEnd w:id="62"/>
      <w:bookmarkEnd w:id="63"/>
      <w:bookmarkEnd w:id="64"/>
      <w:bookmarkEnd w:id="65"/>
      <w:bookmarkEnd w:id="66"/>
      <w:bookmarkEnd w:id="67"/>
      <w:r>
        <w:rPr>
          <w:rFonts w:hint="eastAsia"/>
          <w:color w:val="auto"/>
          <w:highlight w:val="none"/>
        </w:rPr>
        <w:t>（适用于未进行资格预审的）</w:t>
      </w:r>
      <w:bookmarkEnd w:id="68"/>
      <w:bookmarkEnd w:id="69"/>
    </w:p>
    <w:p w14:paraId="308776D2">
      <w:pPr>
        <w:spacing w:line="400" w:lineRule="exact"/>
        <w:ind w:firstLine="420" w:firstLineChars="200"/>
        <w:rPr>
          <w:rFonts w:hint="eastAsia" w:ascii="宋体" w:hAnsi="宋体" w:cs="宋体"/>
          <w:color w:val="auto"/>
          <w:highlight w:val="none"/>
        </w:rPr>
      </w:pPr>
      <w:bookmarkStart w:id="70" w:name="_Toc144974503"/>
      <w:bookmarkStart w:id="71" w:name="_Toc247527559"/>
      <w:bookmarkStart w:id="72" w:name="_Toc152045535"/>
      <w:bookmarkStart w:id="73" w:name="_Toc247513958"/>
      <w:bookmarkStart w:id="74" w:name="_Toc152042311"/>
      <w:bookmarkStart w:id="75" w:name="_Toc5312"/>
      <w:r>
        <w:rPr>
          <w:rFonts w:hint="eastAsia" w:ascii="宋体" w:hAnsi="宋体" w:cs="宋体"/>
          <w:color w:val="auto"/>
          <w:highlight w:val="none"/>
        </w:rPr>
        <w:t>1.4.1 投标人应具备承担本招标项目资质条件、能力和信誉。</w:t>
      </w:r>
    </w:p>
    <w:p w14:paraId="5E8DE341">
      <w:pPr>
        <w:spacing w:line="440" w:lineRule="exact"/>
        <w:ind w:firstLine="420"/>
        <w:rPr>
          <w:rFonts w:hint="eastAsia" w:ascii="新宋体" w:hAnsi="新宋体" w:eastAsia="新宋体" w:cs="新宋体"/>
          <w:color w:val="auto"/>
          <w:szCs w:val="21"/>
          <w:highlight w:val="none"/>
          <w:u w:val="single"/>
        </w:rPr>
      </w:pPr>
      <w:r>
        <w:rPr>
          <w:rFonts w:hint="eastAsia" w:ascii="宋体" w:hAnsi="宋体" w:cs="宋体"/>
          <w:color w:val="auto"/>
          <w:highlight w:val="none"/>
        </w:rPr>
        <w:t>（1）</w:t>
      </w:r>
      <w:r>
        <w:rPr>
          <w:rFonts w:hint="eastAsia" w:ascii="新宋体" w:hAnsi="新宋体" w:eastAsia="新宋体" w:cs="新宋体"/>
          <w:color w:val="auto"/>
          <w:szCs w:val="21"/>
          <w:highlight w:val="none"/>
        </w:rPr>
        <w:t>资质条件：</w:t>
      </w:r>
      <w:r>
        <w:rPr>
          <w:rFonts w:hint="eastAsia" w:ascii="宋体" w:hAnsi="宋体" w:cs="宋体"/>
          <w:color w:val="auto"/>
          <w:highlight w:val="none"/>
        </w:rPr>
        <w:t>见投标人须知前附表。</w:t>
      </w:r>
    </w:p>
    <w:p w14:paraId="4E8C975D">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（2）财务要求：见投标人须知前附表。</w:t>
      </w:r>
    </w:p>
    <w:p w14:paraId="4B1F3A7D">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（3）设计业绩要求：见投标人须知前附表。</w:t>
      </w:r>
    </w:p>
    <w:p w14:paraId="2C71DA37">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（4）施工业绩要求：见投标人须知前附表。</w:t>
      </w:r>
    </w:p>
    <w:p w14:paraId="0AD098BB">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（5）信誉要求：见投标人须知前附表。</w:t>
      </w:r>
    </w:p>
    <w:p w14:paraId="7D11EFE1">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（6）项目负责人（兼施工负责人）的资格要求：见投标人须知前附表。</w:t>
      </w:r>
    </w:p>
    <w:p w14:paraId="35B9C578">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（7）设计负责人的资格要求：见投标人须知前附表。</w:t>
      </w:r>
    </w:p>
    <w:p w14:paraId="4C9B8710">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（8）施工负责人的资格要求：见投标人须知前附表。</w:t>
      </w:r>
    </w:p>
    <w:p w14:paraId="5CAAEC78">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（9）施工技术负责人资格要求 ：见投标人须知前附表。</w:t>
      </w:r>
    </w:p>
    <w:p w14:paraId="625CEACF">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（10）专职安全员资格要求：见投标人须知前附表。</w:t>
      </w:r>
    </w:p>
    <w:p w14:paraId="7BD42BD6">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（11）施工机械设备：见投标人须知前附表。</w:t>
      </w:r>
    </w:p>
    <w:p w14:paraId="6B2FE3FE">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（12）项目管理机构及人员：见投标人须知前附表。</w:t>
      </w:r>
    </w:p>
    <w:p w14:paraId="78B2B9A1">
      <w:pPr>
        <w:spacing w:line="44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（13）其他要求：见投标人须知前附表。</w:t>
      </w:r>
    </w:p>
    <w:p w14:paraId="7504679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1.4.2 投标人须知前附表规定接受联合体投标的，除应符合本章第1.4.1项和投标人须知前附表的要求外，还应遵守以下规定：</w:t>
      </w:r>
    </w:p>
    <w:p w14:paraId="6552785A">
      <w:pPr>
        <w:spacing w:line="400" w:lineRule="exact"/>
        <w:ind w:firstLine="420" w:firstLineChars="200"/>
        <w:rPr>
          <w:rFonts w:hint="eastAsia" w:ascii="宋体" w:hAnsi="宋体" w:cs="宋体"/>
          <w:color w:val="auto"/>
          <w:spacing w:val="-4"/>
          <w:highlight w:val="none"/>
        </w:rPr>
      </w:pPr>
      <w:r>
        <w:rPr>
          <w:rFonts w:hint="eastAsia" w:ascii="宋体" w:hAnsi="宋体" w:cs="宋体"/>
          <w:color w:val="auto"/>
          <w:highlight w:val="none"/>
        </w:rPr>
        <w:t>（1）</w:t>
      </w:r>
      <w:r>
        <w:rPr>
          <w:rFonts w:hint="eastAsia" w:ascii="宋体" w:hAnsi="宋体" w:cs="宋体"/>
          <w:color w:val="auto"/>
          <w:spacing w:val="-4"/>
          <w:highlight w:val="none"/>
        </w:rPr>
        <w:t>联合体各方应按招标文件提供的格式签订联合体协议书，明确联合体主办人和各方权利义务；</w:t>
      </w:r>
    </w:p>
    <w:p w14:paraId="46C4EFC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14:paraId="37D6CE0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（3）联合体各方不得再以自己名义单独或参加其他联合体在本招标项目中投标。</w:t>
      </w:r>
    </w:p>
    <w:p w14:paraId="07905756">
      <w:pPr>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1.4.3 投标人不得存在下列情形之一：</w:t>
      </w:r>
    </w:p>
    <w:p w14:paraId="5A9B51AD">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（一）为招标人不具有独立法人资格的附属机构（单位）；</w:t>
      </w:r>
    </w:p>
    <w:p w14:paraId="41B673C2">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（二）为本标段前期准备提供设计或咨询服务或者与本项目设计人或提供咨询服务的机构存在附属关系的；</w:t>
      </w:r>
    </w:p>
    <w:p w14:paraId="4344A06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（三）为本标段监理人或者与本标段监理人存在隶属关系或者其他利害关系；</w:t>
      </w:r>
    </w:p>
    <w:p w14:paraId="6C166E43">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（四）为本标段的代建人；</w:t>
      </w:r>
    </w:p>
    <w:p w14:paraId="3CDBC0A9">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（五）为本标段提供招标代理服务的；</w:t>
      </w:r>
    </w:p>
    <w:p w14:paraId="41574DEC">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（六）与本标段的监理人或代建人或招标代理机构同为一个法定代表人的；</w:t>
      </w:r>
    </w:p>
    <w:p w14:paraId="57807C85">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（七）与本标段的监理人或代建人或招标代理机构互相控股或参股的；</w:t>
      </w:r>
    </w:p>
    <w:p w14:paraId="6AE1A619">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（八）与本标段的监理人或代建人或招标代理机构相互任职或工作的；</w:t>
      </w:r>
    </w:p>
    <w:p w14:paraId="441836E0">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（九）与本标段的检测机构有隶属关系或者其他利害关系；</w:t>
      </w:r>
    </w:p>
    <w:p w14:paraId="6C7930A6">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（十）与招标人存在利害关系且可能影响招标公正性； </w:t>
      </w:r>
    </w:p>
    <w:p w14:paraId="08B87425">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495099E6">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（十二）被责令停产停业、暂扣或者吊销许可证、暂扣或者吊销执照的（本项事实应当以根据《中华人民共和国行政处罚法》依法作出并已经生效的行政处罚决定为认定依据。）；</w:t>
      </w:r>
    </w:p>
    <w:p w14:paraId="1E883853">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（十三）进入清算程序，或被宣布破产，或其他丧失履约能力的情形；</w:t>
      </w:r>
    </w:p>
    <w:p w14:paraId="159A2F5A">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A1B1A10">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（十五）法律法规规定的其他情形。</w:t>
      </w:r>
    </w:p>
    <w:p w14:paraId="5055861B">
      <w:pPr>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1.4.4 单位负责人为同一人或者存在控股、管理关系的不同单位，不得同时参加本招标项目投标。</w:t>
      </w:r>
    </w:p>
    <w:p w14:paraId="35D2AF85">
      <w:pPr>
        <w:pStyle w:val="4"/>
        <w:rPr>
          <w:rFonts w:hint="eastAsia"/>
          <w:color w:val="auto"/>
          <w:highlight w:val="none"/>
        </w:rPr>
      </w:pPr>
      <w:bookmarkStart w:id="76" w:name="_Toc87238896"/>
      <w:bookmarkStart w:id="77" w:name="_Toc134304528"/>
      <w:r>
        <w:rPr>
          <w:rFonts w:hint="eastAsia"/>
          <w:color w:val="auto"/>
          <w:highlight w:val="none"/>
        </w:rPr>
        <w:t>1.5 费用承担</w:t>
      </w:r>
      <w:bookmarkEnd w:id="70"/>
      <w:bookmarkEnd w:id="71"/>
      <w:bookmarkEnd w:id="72"/>
      <w:bookmarkEnd w:id="73"/>
      <w:bookmarkEnd w:id="74"/>
      <w:r>
        <w:rPr>
          <w:rFonts w:hint="eastAsia"/>
          <w:color w:val="auto"/>
          <w:highlight w:val="none"/>
        </w:rPr>
        <w:t>和设计成果补偿</w:t>
      </w:r>
      <w:bookmarkEnd w:id="75"/>
      <w:bookmarkEnd w:id="76"/>
      <w:bookmarkEnd w:id="77"/>
    </w:p>
    <w:p w14:paraId="2730926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1.5.1 投标人准备和参加投标活动发生的费用自理。</w:t>
      </w:r>
    </w:p>
    <w:p w14:paraId="1C07CCFD">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1.5.2 招标人对符合招标文件规定的未中标人的设计成果进行补偿的，按投标人须知前附表规定给予补偿，并有权免费使用未中标人设计成果。</w:t>
      </w:r>
    </w:p>
    <w:p w14:paraId="69EA5518">
      <w:pPr>
        <w:pStyle w:val="4"/>
        <w:rPr>
          <w:rFonts w:hint="eastAsia"/>
          <w:color w:val="auto"/>
          <w:highlight w:val="none"/>
        </w:rPr>
      </w:pPr>
      <w:bookmarkStart w:id="78" w:name="_Toc11231"/>
      <w:bookmarkStart w:id="79" w:name="_Toc152042312"/>
      <w:bookmarkStart w:id="80" w:name="_Toc87238897"/>
      <w:bookmarkStart w:id="81" w:name="_Toc247513959"/>
      <w:bookmarkStart w:id="82" w:name="_Toc247527560"/>
      <w:bookmarkStart w:id="83" w:name="_Toc152045536"/>
      <w:bookmarkStart w:id="84" w:name="_Toc144974504"/>
      <w:bookmarkStart w:id="85" w:name="_Toc134304529"/>
      <w:r>
        <w:rPr>
          <w:rFonts w:hint="eastAsia"/>
          <w:color w:val="auto"/>
          <w:highlight w:val="none"/>
        </w:rPr>
        <w:t>1.6 保密</w:t>
      </w:r>
      <w:bookmarkEnd w:id="78"/>
      <w:bookmarkEnd w:id="79"/>
      <w:bookmarkEnd w:id="80"/>
      <w:bookmarkEnd w:id="81"/>
      <w:bookmarkEnd w:id="82"/>
      <w:bookmarkEnd w:id="83"/>
      <w:bookmarkEnd w:id="84"/>
      <w:bookmarkEnd w:id="85"/>
    </w:p>
    <w:p w14:paraId="5E84D87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参与招标投标活动的各方应对招标文件和投标文件中的商业和技术等秘密保密，否则应承担相应的法律责任。</w:t>
      </w:r>
    </w:p>
    <w:p w14:paraId="7D0A5BAD">
      <w:pPr>
        <w:pStyle w:val="4"/>
        <w:rPr>
          <w:rFonts w:hint="eastAsia"/>
          <w:color w:val="auto"/>
          <w:highlight w:val="none"/>
        </w:rPr>
      </w:pPr>
      <w:bookmarkStart w:id="86" w:name="_Toc144974505"/>
      <w:bookmarkStart w:id="87" w:name="_Toc247527561"/>
      <w:bookmarkStart w:id="88" w:name="_Toc247513960"/>
      <w:bookmarkStart w:id="89" w:name="_Toc4973"/>
      <w:bookmarkStart w:id="90" w:name="_Toc152045537"/>
      <w:bookmarkStart w:id="91" w:name="_Toc87238898"/>
      <w:bookmarkStart w:id="92" w:name="_Toc134304530"/>
      <w:bookmarkStart w:id="93" w:name="_Toc152042313"/>
      <w:r>
        <w:rPr>
          <w:rFonts w:hint="eastAsia"/>
          <w:color w:val="auto"/>
          <w:highlight w:val="none"/>
        </w:rPr>
        <w:t>1.7 语言</w:t>
      </w:r>
      <w:bookmarkEnd w:id="86"/>
      <w:r>
        <w:rPr>
          <w:rFonts w:hint="eastAsia"/>
          <w:color w:val="auto"/>
          <w:highlight w:val="none"/>
        </w:rPr>
        <w:t>文字</w:t>
      </w:r>
      <w:bookmarkEnd w:id="87"/>
      <w:bookmarkEnd w:id="88"/>
      <w:bookmarkEnd w:id="89"/>
      <w:bookmarkEnd w:id="90"/>
      <w:bookmarkEnd w:id="91"/>
      <w:bookmarkEnd w:id="92"/>
      <w:bookmarkEnd w:id="93"/>
    </w:p>
    <w:p w14:paraId="2F73E61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招标投标文件使用的语言文字为中文。专用术语使用外文的，应附有中文注释。</w:t>
      </w:r>
    </w:p>
    <w:p w14:paraId="0CD1998F">
      <w:pPr>
        <w:pStyle w:val="4"/>
        <w:rPr>
          <w:rFonts w:hint="eastAsia"/>
          <w:color w:val="auto"/>
          <w:highlight w:val="none"/>
        </w:rPr>
      </w:pPr>
      <w:bookmarkStart w:id="94" w:name="_Toc247527562"/>
      <w:bookmarkStart w:id="95" w:name="_Toc152042314"/>
      <w:bookmarkStart w:id="96" w:name="_Toc247513961"/>
      <w:bookmarkStart w:id="97" w:name="_Toc134304531"/>
      <w:bookmarkStart w:id="98" w:name="_Toc87238899"/>
      <w:bookmarkStart w:id="99" w:name="_Toc26287"/>
      <w:bookmarkStart w:id="100" w:name="_Toc144974506"/>
      <w:bookmarkStart w:id="101" w:name="_Toc152045538"/>
      <w:r>
        <w:rPr>
          <w:rFonts w:hint="eastAsia"/>
          <w:color w:val="auto"/>
          <w:highlight w:val="none"/>
        </w:rPr>
        <w:t>1.8 计量单位</w:t>
      </w:r>
      <w:bookmarkEnd w:id="94"/>
      <w:bookmarkEnd w:id="95"/>
      <w:bookmarkEnd w:id="96"/>
      <w:bookmarkEnd w:id="97"/>
      <w:bookmarkEnd w:id="98"/>
      <w:bookmarkEnd w:id="99"/>
      <w:bookmarkEnd w:id="100"/>
      <w:bookmarkEnd w:id="101"/>
    </w:p>
    <w:p w14:paraId="3C67891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所有计量均采用中华人民共和国法定计量单位。</w:t>
      </w:r>
    </w:p>
    <w:p w14:paraId="39E7DDB2">
      <w:pPr>
        <w:pStyle w:val="4"/>
        <w:rPr>
          <w:rFonts w:hint="eastAsia"/>
          <w:color w:val="auto"/>
          <w:highlight w:val="none"/>
        </w:rPr>
      </w:pPr>
      <w:bookmarkStart w:id="102" w:name="_Toc134304532"/>
      <w:bookmarkStart w:id="103" w:name="_Toc247527563"/>
      <w:bookmarkStart w:id="104" w:name="_Toc247513962"/>
      <w:bookmarkStart w:id="105" w:name="_Toc87238900"/>
      <w:bookmarkStart w:id="106" w:name="_Toc23833"/>
      <w:bookmarkStart w:id="107" w:name="_Toc144974507"/>
      <w:bookmarkStart w:id="108" w:name="_Toc152045539"/>
      <w:bookmarkStart w:id="109" w:name="_Toc152042315"/>
      <w:r>
        <w:rPr>
          <w:rFonts w:hint="eastAsia"/>
          <w:color w:val="auto"/>
          <w:highlight w:val="none"/>
        </w:rPr>
        <w:t>1.9 踏勘现场</w:t>
      </w:r>
      <w:bookmarkEnd w:id="102"/>
      <w:bookmarkEnd w:id="103"/>
      <w:bookmarkEnd w:id="104"/>
      <w:bookmarkEnd w:id="105"/>
      <w:bookmarkEnd w:id="106"/>
      <w:bookmarkEnd w:id="107"/>
      <w:bookmarkEnd w:id="108"/>
      <w:bookmarkEnd w:id="109"/>
    </w:p>
    <w:p w14:paraId="3052FD0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1.9.1 见投标须知前附表。招标人不组织集中踏勘现场，投标人可自行前往现场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439D4B09">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1.9.2 招标人向投标人提供的有关现场的数据和资料，是招标人现有的能被投标人利用的资料，招标人对投标人做出的任何推论、理解和结论均不负责任。</w:t>
      </w:r>
    </w:p>
    <w:p w14:paraId="3D510003">
      <w:pPr>
        <w:spacing w:line="400" w:lineRule="exact"/>
        <w:ind w:firstLine="420" w:firstLineChars="200"/>
        <w:rPr>
          <w:color w:val="auto"/>
          <w:highlight w:val="none"/>
        </w:rPr>
      </w:pPr>
      <w:r>
        <w:rPr>
          <w:rFonts w:hint="eastAsia" w:ascii="宋体" w:hAnsi="宋体" w:cs="宋体"/>
          <w:color w:val="auto"/>
          <w:highlight w:val="none"/>
          <w:u w:val="single"/>
        </w:rPr>
        <w:t>1.9.3 投标人可为踏勘目的进入招标人的项目现场。投标人同意：其及其代表进入项目现场，即表示招标人已经尽了提醒义务，投标人及其代表已经充分了解项目现场可能造成人身、财产损害的所有因素，但仍然愿意进入项目现场踏勘，并认为已做了足够的保障措施；在考察过程中，由于自身或第三人原因造成投标人及其代表的人身、财产损失，招标人不承担任何责任；由于其考察行为导致的现场或第三方人身、财产损失，由其承担相应责任。</w:t>
      </w:r>
      <w:bookmarkStart w:id="110" w:name="_Toc152042316"/>
      <w:bookmarkStart w:id="111" w:name="_Toc144974508"/>
      <w:bookmarkStart w:id="112" w:name="_Toc16251"/>
      <w:bookmarkStart w:id="113" w:name="_Toc247513963"/>
      <w:bookmarkStart w:id="114" w:name="_Toc247527564"/>
      <w:bookmarkStart w:id="115" w:name="_Toc152045540"/>
    </w:p>
    <w:p w14:paraId="25F4C24A">
      <w:pPr>
        <w:pStyle w:val="4"/>
        <w:rPr>
          <w:rFonts w:hint="eastAsia"/>
          <w:color w:val="auto"/>
          <w:highlight w:val="none"/>
        </w:rPr>
      </w:pPr>
      <w:bookmarkStart w:id="116" w:name="_Toc134304533"/>
      <w:bookmarkStart w:id="117" w:name="_Toc87238901"/>
      <w:r>
        <w:rPr>
          <w:rFonts w:hint="eastAsia"/>
          <w:color w:val="auto"/>
          <w:highlight w:val="none"/>
        </w:rPr>
        <w:t xml:space="preserve">1.10 </w:t>
      </w:r>
      <w:bookmarkEnd w:id="110"/>
      <w:bookmarkEnd w:id="111"/>
      <w:bookmarkEnd w:id="112"/>
      <w:bookmarkEnd w:id="113"/>
      <w:bookmarkEnd w:id="114"/>
      <w:bookmarkEnd w:id="115"/>
      <w:r>
        <w:rPr>
          <w:rFonts w:hint="eastAsia"/>
          <w:color w:val="auto"/>
          <w:highlight w:val="none"/>
        </w:rPr>
        <w:t>招标答疑</w:t>
      </w:r>
      <w:bookmarkEnd w:id="116"/>
      <w:bookmarkEnd w:id="117"/>
      <w:bookmarkStart w:id="118" w:name="_Toc3889"/>
      <w:bookmarkStart w:id="119" w:name="_Toc16283"/>
      <w:bookmarkStart w:id="120" w:name="_Toc152045541"/>
      <w:bookmarkStart w:id="121" w:name="_Toc144974509"/>
      <w:bookmarkStart w:id="122" w:name="_Toc17636"/>
      <w:bookmarkStart w:id="123" w:name="_Toc247527565"/>
      <w:bookmarkStart w:id="124" w:name="_Toc247513964"/>
      <w:bookmarkStart w:id="125" w:name="_Toc152042317"/>
    </w:p>
    <w:p w14:paraId="025A2438">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1.10.1 招标答疑采用网上答疑方式进行。投标人若对招标文件（包括招标图纸、清单、投标最高限价、合同）有疑问的，可在规定的时间内通过广州公共资源交易中心网站进入提问区域将问题提交给招标人或招标代理人，提交问题时一律不得署名。</w:t>
      </w:r>
      <w:bookmarkEnd w:id="118"/>
      <w:bookmarkEnd w:id="119"/>
      <w:bookmarkStart w:id="126" w:name="_Toc21882"/>
      <w:bookmarkStart w:id="127" w:name="_Toc14422"/>
      <w:bookmarkStart w:id="128" w:name="_Toc16844"/>
      <w:r>
        <w:rPr>
          <w:rFonts w:hint="eastAsia" w:ascii="宋体" w:cs="宋体"/>
          <w:bCs/>
          <w:color w:val="auto"/>
          <w:highlight w:val="none"/>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bookmarkEnd w:id="126"/>
      <w:bookmarkEnd w:id="127"/>
      <w:bookmarkEnd w:id="128"/>
      <w:r>
        <w:rPr>
          <w:rFonts w:hint="eastAsia" w:ascii="宋体" w:hAnsi="宋体" w:cs="宋体"/>
          <w:color w:val="auto"/>
          <w:highlight w:val="none"/>
          <w:u w:val="single"/>
        </w:rPr>
        <w:t>。</w:t>
      </w:r>
      <w:bookmarkStart w:id="129" w:name="_Toc22325"/>
      <w:bookmarkStart w:id="130" w:name="_Toc31603"/>
      <w:bookmarkStart w:id="131" w:name="_Toc17089"/>
    </w:p>
    <w:p w14:paraId="6A00CF68">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1.10.2 投标人应在投标人须知前附表规定的时间前，按前附表载明的方式提出问题。招标人应在递交投标文件截止时间15日前解答投标人对招标文件提出的疑问，形成答疑纪要，在广州公共资源交易中心网站“招标答疑”专区发布。</w:t>
      </w:r>
      <w:bookmarkEnd w:id="129"/>
      <w:bookmarkEnd w:id="130"/>
      <w:bookmarkEnd w:id="131"/>
      <w:bookmarkStart w:id="132" w:name="_Toc12054"/>
      <w:bookmarkStart w:id="133" w:name="_Toc23655"/>
      <w:bookmarkStart w:id="134" w:name="_Toc17542"/>
    </w:p>
    <w:p w14:paraId="5001B4CD">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1.10.3 招标答疑纪要一经在广州公共资源交易中心网站发布，视作已发放给所有投标人。</w:t>
      </w:r>
      <w:bookmarkEnd w:id="132"/>
      <w:bookmarkEnd w:id="133"/>
      <w:bookmarkEnd w:id="134"/>
      <w:bookmarkStart w:id="135" w:name="_Toc22640"/>
      <w:bookmarkStart w:id="136" w:name="_Toc23270"/>
      <w:bookmarkStart w:id="137" w:name="_Toc2020"/>
    </w:p>
    <w:p w14:paraId="3C8206D1">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1.10.4 招标答疑纪要为招标文件的一部分。投标人可在广州公共资源交易中心网站浏览、下载招标答疑纪要。</w:t>
      </w:r>
      <w:bookmarkEnd w:id="135"/>
      <w:bookmarkEnd w:id="136"/>
      <w:bookmarkEnd w:id="137"/>
      <w:bookmarkStart w:id="138" w:name="_Toc2639"/>
      <w:bookmarkStart w:id="139" w:name="_Toc279"/>
      <w:bookmarkStart w:id="140" w:name="_Toc8182"/>
    </w:p>
    <w:p w14:paraId="78001CDB">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1.10.5 若招标答疑纪要与招标文件有矛盾时，以广州公共资源交易中心网站最后发布的答疑纪要为准。</w:t>
      </w:r>
      <w:bookmarkEnd w:id="138"/>
      <w:bookmarkEnd w:id="139"/>
      <w:bookmarkEnd w:id="140"/>
    </w:p>
    <w:p w14:paraId="631A4559">
      <w:pPr>
        <w:pStyle w:val="4"/>
        <w:rPr>
          <w:rFonts w:hint="eastAsia"/>
          <w:color w:val="auto"/>
          <w:highlight w:val="none"/>
        </w:rPr>
      </w:pPr>
      <w:bookmarkStart w:id="141" w:name="_Toc134304534"/>
      <w:bookmarkStart w:id="142" w:name="_Toc87238902"/>
      <w:r>
        <w:rPr>
          <w:rFonts w:hint="eastAsia"/>
          <w:color w:val="auto"/>
          <w:highlight w:val="none"/>
        </w:rPr>
        <w:t>1.11 分包</w:t>
      </w:r>
      <w:bookmarkEnd w:id="120"/>
      <w:bookmarkEnd w:id="121"/>
      <w:bookmarkEnd w:id="122"/>
      <w:bookmarkEnd w:id="123"/>
      <w:bookmarkEnd w:id="124"/>
      <w:bookmarkEnd w:id="125"/>
      <w:bookmarkEnd w:id="141"/>
      <w:bookmarkEnd w:id="142"/>
    </w:p>
    <w:p w14:paraId="0DE72868">
      <w:pPr>
        <w:spacing w:line="400" w:lineRule="exact"/>
        <w:ind w:firstLine="567" w:firstLineChars="270"/>
        <w:rPr>
          <w:rFonts w:hint="eastAsia" w:ascii="宋体" w:hAnsi="宋体" w:cs="宋体"/>
          <w:color w:val="auto"/>
          <w:highlight w:val="none"/>
        </w:rPr>
      </w:pPr>
      <w:r>
        <w:rPr>
          <w:rFonts w:hint="eastAsia" w:ascii="宋体" w:hAnsi="宋体" w:cs="宋体"/>
          <w:color w:val="auto"/>
          <w:highlight w:val="none"/>
        </w:rPr>
        <w:t>见投标须知前附表。</w:t>
      </w:r>
    </w:p>
    <w:p w14:paraId="703EE555">
      <w:pPr>
        <w:spacing w:line="400" w:lineRule="exact"/>
        <w:ind w:firstLine="567" w:firstLineChars="270"/>
        <w:rPr>
          <w:rFonts w:hint="eastAsia" w:ascii="宋体" w:hAnsi="宋体" w:cs="宋体"/>
          <w:strike/>
          <w:color w:val="auto"/>
          <w:highlight w:val="none"/>
        </w:rPr>
      </w:pPr>
      <w:r>
        <w:rPr>
          <w:rFonts w:hint="eastAsia" w:ascii="宋体" w:hAnsi="宋体" w:cs="宋体"/>
          <w:strike/>
          <w:color w:val="auto"/>
          <w:highlight w:val="none"/>
        </w:rPr>
        <w:t>1.11.1 投标人须知前附表规定应当由分包人实施的非主体、非关键性工作，投标人应当按照第五章“发包人要求”的规定提供分包人侯选名单及其相应资料。</w:t>
      </w:r>
    </w:p>
    <w:p w14:paraId="083662CF">
      <w:pPr>
        <w:spacing w:line="400" w:lineRule="exact"/>
        <w:ind w:firstLine="567" w:firstLineChars="270"/>
        <w:rPr>
          <w:rFonts w:hint="eastAsia" w:ascii="宋体" w:hAnsi="宋体" w:cs="宋体"/>
          <w:color w:val="auto"/>
          <w:highlight w:val="none"/>
        </w:rPr>
      </w:pPr>
      <w:r>
        <w:rPr>
          <w:rFonts w:hint="eastAsia" w:ascii="宋体" w:hAnsi="宋体" w:cs="宋体"/>
          <w:strike/>
          <w:color w:val="auto"/>
          <w:highlight w:val="none"/>
        </w:rPr>
        <w:t>1.11.2 投标人拟在中标后将中标项目的部分非主体、非关键性工作进行分包的，应符合投标人须知前附表规定的分包内容、分包金额和资质要求等限制性条件。</w:t>
      </w:r>
    </w:p>
    <w:p w14:paraId="7F859CBC">
      <w:pPr>
        <w:pStyle w:val="4"/>
        <w:rPr>
          <w:rFonts w:hint="eastAsia"/>
          <w:color w:val="auto"/>
          <w:highlight w:val="none"/>
        </w:rPr>
      </w:pPr>
      <w:bookmarkStart w:id="143" w:name="_Toc87238903"/>
      <w:bookmarkStart w:id="144" w:name="_Toc247527566"/>
      <w:bookmarkStart w:id="145" w:name="_Toc134304535"/>
      <w:bookmarkStart w:id="146" w:name="_Toc247513965"/>
      <w:bookmarkStart w:id="147" w:name="_Toc30381"/>
      <w:r>
        <w:rPr>
          <w:rFonts w:hint="eastAsia"/>
          <w:color w:val="auto"/>
          <w:highlight w:val="none"/>
        </w:rPr>
        <w:t>1.12 偏离</w:t>
      </w:r>
      <w:bookmarkEnd w:id="143"/>
      <w:bookmarkEnd w:id="144"/>
      <w:bookmarkEnd w:id="145"/>
      <w:bookmarkEnd w:id="146"/>
      <w:bookmarkEnd w:id="147"/>
    </w:p>
    <w:p w14:paraId="0661393C">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投标人须知前附表允许投标文件偏离招标文件某些要求的，偏离应当符合招标文件规定的偏离范围和幅度。</w:t>
      </w:r>
    </w:p>
    <w:p w14:paraId="6C4ADD7E">
      <w:pPr>
        <w:pStyle w:val="3"/>
        <w:rPr>
          <w:color w:val="auto"/>
          <w:highlight w:val="none"/>
        </w:rPr>
      </w:pPr>
      <w:bookmarkStart w:id="148" w:name="_Toc247527567"/>
      <w:bookmarkStart w:id="149" w:name="_Toc144974510"/>
      <w:bookmarkStart w:id="150" w:name="_Toc134304536"/>
      <w:bookmarkStart w:id="151" w:name="_Toc152042318"/>
      <w:bookmarkStart w:id="152" w:name="_Toc247513966"/>
      <w:bookmarkStart w:id="153" w:name="_Toc152045542"/>
      <w:bookmarkStart w:id="154" w:name="_Toc1073"/>
      <w:r>
        <w:rPr>
          <w:rFonts w:hint="eastAsia"/>
          <w:color w:val="auto"/>
          <w:highlight w:val="none"/>
        </w:rPr>
        <w:t>2. 招标文件</w:t>
      </w:r>
      <w:bookmarkEnd w:id="148"/>
      <w:bookmarkEnd w:id="149"/>
      <w:bookmarkEnd w:id="150"/>
      <w:bookmarkEnd w:id="151"/>
      <w:bookmarkEnd w:id="152"/>
      <w:bookmarkEnd w:id="153"/>
      <w:bookmarkEnd w:id="154"/>
    </w:p>
    <w:p w14:paraId="70AE245C">
      <w:pPr>
        <w:pStyle w:val="4"/>
        <w:rPr>
          <w:rFonts w:hint="eastAsia"/>
          <w:color w:val="auto"/>
          <w:highlight w:val="none"/>
        </w:rPr>
      </w:pPr>
      <w:bookmarkStart w:id="155" w:name="_Toc152042319"/>
      <w:bookmarkStart w:id="156" w:name="_Toc87238905"/>
      <w:bookmarkStart w:id="157" w:name="_Toc152045543"/>
      <w:bookmarkStart w:id="158" w:name="_Toc30775"/>
      <w:bookmarkStart w:id="159" w:name="_Toc247527568"/>
      <w:bookmarkStart w:id="160" w:name="_Toc134304537"/>
      <w:bookmarkStart w:id="161" w:name="_Toc144974511"/>
      <w:bookmarkStart w:id="162" w:name="_Toc247513967"/>
      <w:r>
        <w:rPr>
          <w:rFonts w:hint="eastAsia"/>
          <w:color w:val="auto"/>
          <w:highlight w:val="none"/>
        </w:rPr>
        <w:t>2.1 招标文件的组成</w:t>
      </w:r>
      <w:bookmarkEnd w:id="155"/>
      <w:bookmarkEnd w:id="156"/>
      <w:bookmarkEnd w:id="157"/>
      <w:bookmarkEnd w:id="158"/>
      <w:bookmarkEnd w:id="159"/>
      <w:bookmarkEnd w:id="160"/>
      <w:bookmarkEnd w:id="161"/>
      <w:bookmarkEnd w:id="162"/>
    </w:p>
    <w:p w14:paraId="2FF84571">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本招标文件包括：</w:t>
      </w:r>
    </w:p>
    <w:p w14:paraId="6DEDDC30">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（1）招标公告</w:t>
      </w:r>
      <w:r>
        <w:rPr>
          <w:rFonts w:hint="eastAsia" w:ascii="新宋体" w:hAnsi="新宋体" w:eastAsia="新宋体" w:cs="新宋体"/>
          <w:strike/>
          <w:color w:val="auto"/>
          <w:highlight w:val="none"/>
        </w:rPr>
        <w:t>（或投标邀请书）</w:t>
      </w:r>
      <w:r>
        <w:rPr>
          <w:rFonts w:hint="eastAsia" w:ascii="宋体" w:hAnsi="宋体" w:cs="宋体"/>
          <w:color w:val="auto"/>
          <w:highlight w:val="none"/>
        </w:rPr>
        <w:t>；</w:t>
      </w:r>
    </w:p>
    <w:p w14:paraId="23D9D461">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（2）投标人须知；</w:t>
      </w:r>
    </w:p>
    <w:p w14:paraId="6F1E3E96">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（3）评标办法；</w:t>
      </w:r>
    </w:p>
    <w:p w14:paraId="22C1F089">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（4）合同条款及格式（</w:t>
      </w:r>
      <w:r>
        <w:rPr>
          <w:rFonts w:hint="eastAsia" w:ascii="宋体" w:hAnsi="宋体" w:cs="宋体"/>
          <w:color w:val="auto"/>
          <w:highlight w:val="none"/>
          <w:u w:val="single"/>
        </w:rPr>
        <w:t>另册）；</w:t>
      </w:r>
    </w:p>
    <w:p w14:paraId="4B7204DA">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u w:val="single"/>
        </w:rPr>
        <w:t>招标人</w:t>
      </w:r>
      <w:r>
        <w:rPr>
          <w:rFonts w:hint="eastAsia" w:ascii="宋体" w:hAnsi="宋体" w:cs="宋体"/>
          <w:color w:val="auto"/>
          <w:highlight w:val="none"/>
        </w:rPr>
        <w:t>要求（用户需求书）；</w:t>
      </w:r>
    </w:p>
    <w:p w14:paraId="62B32D93">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u w:val="single"/>
        </w:rPr>
        <w:t>招标人</w:t>
      </w:r>
      <w:r>
        <w:rPr>
          <w:rFonts w:hint="eastAsia" w:ascii="宋体" w:hAnsi="宋体" w:cs="宋体"/>
          <w:color w:val="auto"/>
          <w:highlight w:val="none"/>
        </w:rPr>
        <w:t>提供的资料和条件（另册）；</w:t>
      </w:r>
    </w:p>
    <w:p w14:paraId="36373C6C">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（7）投标文件格式；</w:t>
      </w:r>
    </w:p>
    <w:p w14:paraId="71194EF4">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3B7D5F8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根据本章第1.10款、第2.2款和第2.3款对招标文件所作的澄清、修改，构成招标文件的组成部分。当招标文件的澄清、修改等在同一内容的表述不一致时，以最后发出的书面文件为准。</w:t>
      </w:r>
    </w:p>
    <w:p w14:paraId="212975C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14:paraId="59A12F7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2.1.4投标人一旦中标，招标文件的内容对招标人和中标人双方均有约束力。</w:t>
      </w:r>
    </w:p>
    <w:p w14:paraId="253583A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2.1.5发布招标公告的同时，通过广州公共资源交易中心网站发布招标文件。</w:t>
      </w:r>
    </w:p>
    <w:p w14:paraId="47BB393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2.1.6招标文件一经在广州公共资源交易中心网站发布，视作已发放给所有投标人。</w:t>
      </w:r>
    </w:p>
    <w:p w14:paraId="589597F0">
      <w:pPr>
        <w:pStyle w:val="4"/>
        <w:rPr>
          <w:rFonts w:hint="eastAsia"/>
          <w:color w:val="auto"/>
          <w:highlight w:val="none"/>
        </w:rPr>
      </w:pPr>
      <w:bookmarkStart w:id="163" w:name="_Toc134304538"/>
      <w:bookmarkStart w:id="164" w:name="_Toc30434"/>
      <w:bookmarkStart w:id="165" w:name="_Toc247527569"/>
      <w:bookmarkStart w:id="166" w:name="_Toc152042320"/>
      <w:bookmarkStart w:id="167" w:name="_Toc247513968"/>
      <w:bookmarkStart w:id="168" w:name="_Toc152045544"/>
      <w:bookmarkStart w:id="169" w:name="_Toc144974512"/>
      <w:bookmarkStart w:id="170" w:name="_Toc87238906"/>
      <w:r>
        <w:rPr>
          <w:rFonts w:hint="eastAsia"/>
          <w:color w:val="auto"/>
          <w:highlight w:val="none"/>
        </w:rPr>
        <w:t>2.2 招标文件的澄清</w:t>
      </w:r>
      <w:bookmarkEnd w:id="163"/>
      <w:bookmarkEnd w:id="164"/>
      <w:bookmarkEnd w:id="165"/>
      <w:bookmarkEnd w:id="166"/>
      <w:bookmarkEnd w:id="167"/>
      <w:bookmarkEnd w:id="168"/>
      <w:bookmarkEnd w:id="169"/>
      <w:bookmarkEnd w:id="170"/>
    </w:p>
    <w:p w14:paraId="35FA899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2.2.1 投标人应仔细阅读和检查招标文件的全部内容。</w:t>
      </w:r>
      <w:r>
        <w:rPr>
          <w:rFonts w:hint="eastAsia" w:ascii="宋体" w:hAnsi="宋体" w:cs="宋体"/>
          <w:color w:val="auto"/>
          <w:szCs w:val="21"/>
          <w:highlight w:val="none"/>
        </w:rPr>
        <w:t>如发现缺页或附件不全，应及时向招标人提出，以便补齐。</w:t>
      </w:r>
      <w:r>
        <w:rPr>
          <w:rFonts w:hint="eastAsia" w:ascii="宋体" w:hAnsi="宋体" w:cs="宋体"/>
          <w:color w:val="auto"/>
          <w:highlight w:val="none"/>
        </w:rPr>
        <w:t>如有疑问，应在投标人须知前附表规定的时间前</w:t>
      </w:r>
      <w:r>
        <w:rPr>
          <w:rFonts w:hint="eastAsia" w:ascii="宋体" w:hAnsi="宋体" w:cs="宋体"/>
          <w:color w:val="auto"/>
          <w:highlight w:val="none"/>
          <w:u w:val="single"/>
        </w:rPr>
        <w:t>通过广州交易集团有限公司（广州公共资源交易中心）网站进入提问区域将问题提交给招标人或招标代理人</w:t>
      </w:r>
      <w:r>
        <w:rPr>
          <w:rFonts w:hint="eastAsia" w:ascii="宋体" w:hAnsi="宋体" w:cs="宋体"/>
          <w:color w:val="auto"/>
          <w:highlight w:val="none"/>
        </w:rPr>
        <w:t>，要求招标人对招标文件予以澄清。</w:t>
      </w:r>
    </w:p>
    <w:p w14:paraId="7FBA4A5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2.2.2 招标文件的澄清在广州交易集团有限公司（广州公共资源交易中心）网站</w:t>
      </w:r>
      <w:r>
        <w:rPr>
          <w:rFonts w:hint="eastAsia" w:ascii="宋体" w:hAnsi="宋体" w:cs="宋体"/>
          <w:color w:val="auto"/>
          <w:highlight w:val="none"/>
          <w:u w:val="single"/>
        </w:rPr>
        <w:t>发布</w:t>
      </w:r>
      <w:r>
        <w:rPr>
          <w:rFonts w:hint="eastAsia" w:ascii="宋体" w:hAnsi="宋体" w:cs="宋体"/>
          <w:color w:val="auto"/>
          <w:highlight w:val="none"/>
        </w:rPr>
        <w:t>发给所有投标人，但不指明澄清问题的来源。澄清发出的时间距投标人须知前附表规定的投标截止时间不足15天的，并且澄清内容影响投标文件编制的，将相应延长投标截止时间。</w:t>
      </w:r>
    </w:p>
    <w:p w14:paraId="1B01DE7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2.2.3 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修改内容作为招标文件的组成部分，具有约束作用。</w:t>
      </w:r>
    </w:p>
    <w:p w14:paraId="7B0973B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2.2.4招标答疑纪要为招标文件的一部分。投标人可在广州交易集团有限公司（广州公共资源交易中心）网站浏览、下载招标答疑纪要。</w:t>
      </w:r>
    </w:p>
    <w:p w14:paraId="28A85D3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2.2.5若招标答疑纪要与招标文件有矛盾时，以广州交易集团有限公司（广州公共资源交易中心）网站最后发布的答疑纪要为准。</w:t>
      </w:r>
    </w:p>
    <w:p w14:paraId="679FDF1F">
      <w:pPr>
        <w:pStyle w:val="4"/>
        <w:rPr>
          <w:rFonts w:hint="eastAsia"/>
          <w:color w:val="auto"/>
          <w:highlight w:val="none"/>
        </w:rPr>
      </w:pPr>
      <w:bookmarkStart w:id="171" w:name="_Toc144974513"/>
      <w:bookmarkStart w:id="172" w:name="_Toc134304539"/>
      <w:bookmarkStart w:id="173" w:name="_Toc152045545"/>
      <w:bookmarkStart w:id="174" w:name="_Toc152042321"/>
      <w:bookmarkStart w:id="175" w:name="_Toc6494"/>
      <w:bookmarkStart w:id="176" w:name="_Toc247513969"/>
      <w:bookmarkStart w:id="177" w:name="_Toc87238907"/>
      <w:bookmarkStart w:id="178" w:name="_Toc247527570"/>
      <w:r>
        <w:rPr>
          <w:rFonts w:hint="eastAsia"/>
          <w:color w:val="auto"/>
          <w:highlight w:val="none"/>
        </w:rPr>
        <w:t>2.3 招标文件的修改</w:t>
      </w:r>
      <w:bookmarkEnd w:id="171"/>
      <w:bookmarkEnd w:id="172"/>
      <w:bookmarkEnd w:id="173"/>
      <w:bookmarkEnd w:id="174"/>
      <w:bookmarkEnd w:id="175"/>
      <w:bookmarkEnd w:id="176"/>
      <w:bookmarkEnd w:id="177"/>
      <w:bookmarkEnd w:id="178"/>
    </w:p>
    <w:p w14:paraId="1EC40A0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2.3.1 招标人</w:t>
      </w:r>
      <w:r>
        <w:rPr>
          <w:rFonts w:hint="eastAsia" w:ascii="宋体" w:hAnsi="宋体" w:cs="宋体"/>
          <w:color w:val="auto"/>
          <w:highlight w:val="none"/>
          <w:u w:val="single"/>
        </w:rPr>
        <w:t>在交易平台网站发布</w:t>
      </w:r>
      <w:r>
        <w:rPr>
          <w:rFonts w:hint="eastAsia" w:ascii="宋体" w:hAnsi="宋体" w:cs="宋体"/>
          <w:color w:val="auto"/>
          <w:highlight w:val="none"/>
        </w:rPr>
        <w:t xml:space="preserve">形式修改招标文件。修改招标文件的时间距投标人须知前附表规定的投标截止时间不足15天的，并且澄清内容影响投标文件编制的，将相应延长投标截止时间。 </w:t>
      </w:r>
    </w:p>
    <w:p w14:paraId="33E59DE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2.3.2 招标文件的澄清或修改或补充公告一经在广州交易集团有限公司（广州公共资源交易中心）交易平台网站发布，视作已发放给所有投标人，以广州交易集团有限公司（广州公共资源交易中心）交易平台网站发布时间作为送达时间。无需投标人确认。投标人应自行关注，招标人不再一一通知。招标文件的修改内容作为招标文件的组成部分，具有约束作用。</w:t>
      </w:r>
    </w:p>
    <w:p w14:paraId="591121BA">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39EEC077">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u w:val="single"/>
        </w:rPr>
        <w:t>2.3.4为使投标人在编制投标文件时有充分的时间对招标文件的修改、补充等内容考虑进去，招标人将酌情延长提交投标文件的截止时间，具体时间将在招标文件的修改、补充通知中予以明确。若通知中没有明确延长时间，即表示投标时间不延长。</w:t>
      </w:r>
    </w:p>
    <w:p w14:paraId="32AD8B3F">
      <w:pPr>
        <w:pStyle w:val="3"/>
        <w:rPr>
          <w:color w:val="auto"/>
          <w:highlight w:val="none"/>
        </w:rPr>
      </w:pPr>
      <w:bookmarkStart w:id="179" w:name="_Toc247513970"/>
      <w:bookmarkStart w:id="180" w:name="_Toc247527571"/>
      <w:bookmarkStart w:id="181" w:name="_Toc144974514"/>
      <w:bookmarkStart w:id="182" w:name="_Toc152045546"/>
      <w:bookmarkStart w:id="183" w:name="_Toc152042322"/>
      <w:bookmarkStart w:id="184" w:name="_Toc134304540"/>
      <w:bookmarkStart w:id="185" w:name="_Toc2660"/>
      <w:r>
        <w:rPr>
          <w:rFonts w:hint="eastAsia"/>
          <w:color w:val="auto"/>
          <w:highlight w:val="none"/>
        </w:rPr>
        <w:t>3. 投标文件</w:t>
      </w:r>
      <w:bookmarkEnd w:id="179"/>
      <w:bookmarkEnd w:id="180"/>
      <w:bookmarkEnd w:id="181"/>
      <w:bookmarkEnd w:id="182"/>
      <w:bookmarkEnd w:id="183"/>
      <w:bookmarkEnd w:id="184"/>
      <w:bookmarkEnd w:id="185"/>
    </w:p>
    <w:p w14:paraId="56691CDB">
      <w:pPr>
        <w:pStyle w:val="4"/>
        <w:rPr>
          <w:rFonts w:hint="eastAsia"/>
          <w:color w:val="auto"/>
          <w:highlight w:val="none"/>
        </w:rPr>
      </w:pPr>
      <w:bookmarkStart w:id="186" w:name="_Toc152042323"/>
      <w:bookmarkStart w:id="187" w:name="_Toc87238909"/>
      <w:bookmarkStart w:id="188" w:name="_Toc152045547"/>
      <w:bookmarkStart w:id="189" w:name="_Toc144974515"/>
      <w:bookmarkStart w:id="190" w:name="_Toc134304541"/>
      <w:bookmarkStart w:id="191" w:name="_Toc247527572"/>
      <w:bookmarkStart w:id="192" w:name="_Toc21008"/>
      <w:bookmarkStart w:id="193" w:name="_Toc247513971"/>
      <w:r>
        <w:rPr>
          <w:rFonts w:hint="eastAsia"/>
          <w:color w:val="auto"/>
          <w:highlight w:val="none"/>
        </w:rPr>
        <w:t>3.1 投标文件的组成</w:t>
      </w:r>
      <w:bookmarkEnd w:id="186"/>
      <w:bookmarkEnd w:id="187"/>
      <w:bookmarkEnd w:id="188"/>
      <w:bookmarkEnd w:id="189"/>
      <w:bookmarkEnd w:id="190"/>
      <w:bookmarkEnd w:id="191"/>
      <w:bookmarkEnd w:id="192"/>
      <w:bookmarkEnd w:id="193"/>
    </w:p>
    <w:p w14:paraId="3B23BC1B">
      <w:pPr>
        <w:spacing w:line="400" w:lineRule="exact"/>
        <w:ind w:firstLine="422" w:firstLineChars="200"/>
        <w:rPr>
          <w:rFonts w:hint="eastAsia" w:ascii="宋体" w:hAnsi="宋体"/>
          <w:b/>
          <w:color w:val="auto"/>
          <w:szCs w:val="21"/>
          <w:highlight w:val="none"/>
          <w:u w:val="single"/>
        </w:rPr>
      </w:pPr>
      <w:r>
        <w:rPr>
          <w:rFonts w:hint="eastAsia" w:ascii="宋体" w:hAnsi="宋体"/>
          <w:b/>
          <w:color w:val="auto"/>
          <w:szCs w:val="21"/>
          <w:highlight w:val="none"/>
          <w:u w:val="single"/>
        </w:rPr>
        <w:t>投标文件由设计方案投标文件、资格审查文件、工程总承包实施方案投标文件三部分组成。</w:t>
      </w:r>
    </w:p>
    <w:p w14:paraId="78349170">
      <w:pPr>
        <w:spacing w:line="400" w:lineRule="exact"/>
        <w:ind w:firstLine="422" w:firstLineChars="200"/>
        <w:rPr>
          <w:rFonts w:hint="eastAsia" w:ascii="宋体" w:hAnsi="宋体"/>
          <w:b/>
          <w:color w:val="auto"/>
          <w:highlight w:val="none"/>
          <w:u w:val="single"/>
        </w:rPr>
      </w:pPr>
      <w:r>
        <w:rPr>
          <w:rFonts w:hint="eastAsia" w:ascii="宋体" w:hAnsi="宋体"/>
          <w:b/>
          <w:color w:val="auto"/>
          <w:highlight w:val="none"/>
          <w:u w:val="single"/>
        </w:rPr>
        <w:t>3.1.1 设计方案投标文件（采用“暗标”形式，设计方案投标文件中不得出现可以辨认投标人及专业技术人员身份的名称、印章、商标、图形等）：</w:t>
      </w:r>
    </w:p>
    <w:p w14:paraId="736E5544">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包括但不限于下列内容：</w:t>
      </w:r>
    </w:p>
    <w:p w14:paraId="64472CA2">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（1）封面（注明项目名称、“设计方案投标文件”字样、编制年月）</w:t>
      </w:r>
    </w:p>
    <w:p w14:paraId="5DE9299A">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（2）目录</w:t>
      </w:r>
    </w:p>
    <w:p w14:paraId="210B8368">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（3）项目设计方案（含效果图及方案设计）：</w:t>
      </w:r>
    </w:p>
    <w:p w14:paraId="07FEC70B">
      <w:pPr>
        <w:spacing w:line="400" w:lineRule="exact"/>
        <w:ind w:firstLine="630" w:firstLineChars="300"/>
        <w:rPr>
          <w:rFonts w:hint="eastAsia" w:ascii="宋体" w:hAnsi="宋体" w:cs="宋体"/>
          <w:color w:val="auto"/>
          <w:highlight w:val="none"/>
          <w:u w:val="single"/>
        </w:rPr>
      </w:pPr>
      <w:r>
        <w:rPr>
          <w:rFonts w:hint="eastAsia" w:ascii="宋体" w:hAnsi="宋体" w:cs="宋体"/>
          <w:color w:val="auto"/>
          <w:highlight w:val="none"/>
          <w:u w:val="single"/>
        </w:rPr>
        <w:t>A、设计说明</w:t>
      </w:r>
    </w:p>
    <w:p w14:paraId="617C48A4">
      <w:pPr>
        <w:spacing w:line="400" w:lineRule="exact"/>
        <w:ind w:firstLine="630" w:firstLineChars="300"/>
        <w:rPr>
          <w:rFonts w:hint="eastAsia" w:ascii="宋体" w:hAnsi="宋体" w:cs="宋体"/>
          <w:color w:val="auto"/>
          <w:highlight w:val="none"/>
          <w:u w:val="single"/>
        </w:rPr>
      </w:pPr>
      <w:r>
        <w:rPr>
          <w:rFonts w:hint="eastAsia" w:ascii="宋体" w:hAnsi="宋体" w:cs="宋体"/>
          <w:color w:val="auto"/>
          <w:highlight w:val="none"/>
          <w:u w:val="single"/>
        </w:rPr>
        <w:t>B、效果图</w:t>
      </w:r>
    </w:p>
    <w:p w14:paraId="3B2D8AE2">
      <w:pPr>
        <w:spacing w:line="400" w:lineRule="exact"/>
        <w:ind w:firstLine="630" w:firstLineChars="300"/>
        <w:rPr>
          <w:rFonts w:hint="eastAsia" w:ascii="宋体" w:hAnsi="宋体" w:cs="宋体"/>
          <w:color w:val="auto"/>
          <w:highlight w:val="none"/>
          <w:u w:val="single"/>
        </w:rPr>
      </w:pPr>
      <w:r>
        <w:rPr>
          <w:rFonts w:hint="eastAsia" w:ascii="宋体" w:hAnsi="宋体" w:cs="宋体"/>
          <w:color w:val="auto"/>
          <w:highlight w:val="none"/>
          <w:u w:val="single"/>
        </w:rPr>
        <w:t>C、设计图纸</w:t>
      </w:r>
    </w:p>
    <w:p w14:paraId="4331D31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（4）其他与设计有关的材料</w:t>
      </w:r>
    </w:p>
    <w:p w14:paraId="150F59BB">
      <w:pPr>
        <w:spacing w:line="400" w:lineRule="exact"/>
        <w:ind w:firstLine="422" w:firstLineChars="200"/>
        <w:rPr>
          <w:rFonts w:hint="eastAsia" w:ascii="宋体" w:hAnsi="宋体"/>
          <w:b/>
          <w:color w:val="auto"/>
          <w:highlight w:val="none"/>
          <w:u w:val="single"/>
        </w:rPr>
      </w:pPr>
      <w:r>
        <w:rPr>
          <w:rFonts w:hint="eastAsia" w:ascii="宋体" w:hAnsi="宋体"/>
          <w:b/>
          <w:color w:val="auto"/>
          <w:highlight w:val="none"/>
          <w:u w:val="single"/>
        </w:rPr>
        <w:t>3.1.2 资格审查文件：</w:t>
      </w:r>
    </w:p>
    <w:p w14:paraId="443AE38E">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包括但不限于下列内容：</w:t>
      </w:r>
    </w:p>
    <w:p w14:paraId="642B3C14">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（1）封面</w:t>
      </w:r>
    </w:p>
    <w:p w14:paraId="176806A1">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（2）目录</w:t>
      </w:r>
    </w:p>
    <w:p w14:paraId="6DCC4BD1">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（3）法定代表人证明书，如投标文件为委托代理人签署应同时附上法定代表人证明书和法定代表人授权书（联合体投标的，由联合体主办方出具）。</w:t>
      </w:r>
    </w:p>
    <w:p w14:paraId="7715A9E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（4）企业营业执照扫描件或电子证照（联合体投标的，联合体各方均出具）</w:t>
      </w:r>
    </w:p>
    <w:p w14:paraId="67F81842">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（5）企业资质证书扫描件或电子证照（联合体投标的，联合体各方均出具）</w:t>
      </w:r>
    </w:p>
    <w:p w14:paraId="07C8FD09">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（6）安全生产许可证扫描件或电子证照（联合体投标的，由联合体</w:t>
      </w:r>
      <w:r>
        <w:rPr>
          <w:rFonts w:hint="eastAsia" w:ascii="宋体" w:hAnsi="宋体"/>
          <w:color w:val="auto"/>
          <w:szCs w:val="21"/>
          <w:highlight w:val="none"/>
          <w:u w:val="single"/>
        </w:rPr>
        <w:t>承接施工任务</w:t>
      </w:r>
      <w:r>
        <w:rPr>
          <w:rFonts w:hint="eastAsia" w:ascii="宋体" w:hAnsi="宋体" w:cs="宋体"/>
          <w:bCs/>
          <w:color w:val="auto"/>
          <w:szCs w:val="21"/>
          <w:highlight w:val="none"/>
          <w:u w:val="single"/>
        </w:rPr>
        <w:t>方</w:t>
      </w:r>
      <w:r>
        <w:rPr>
          <w:rFonts w:hint="eastAsia" w:ascii="宋体" w:hAnsi="宋体" w:cs="宋体"/>
          <w:color w:val="auto"/>
          <w:highlight w:val="none"/>
          <w:u w:val="single"/>
        </w:rPr>
        <w:t>出具）</w:t>
      </w:r>
    </w:p>
    <w:p w14:paraId="55ACF11C">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（7）项目负责人（兼施工负责人）的建造师电子注册证书扫描件或电子证照，有效期内的安全</w:t>
      </w:r>
      <w:r>
        <w:rPr>
          <w:rFonts w:hint="eastAsia" w:ascii="宋体" w:hAnsi="宋体" w:cs="TimesNewRomanPSMT"/>
          <w:color w:val="auto"/>
          <w:kern w:val="0"/>
          <w:szCs w:val="21"/>
          <w:highlight w:val="none"/>
          <w:u w:val="single"/>
        </w:rPr>
        <w:t>生产</w:t>
      </w:r>
      <w:r>
        <w:rPr>
          <w:rFonts w:hint="eastAsia" w:ascii="宋体" w:hAnsi="宋体" w:cs="宋体"/>
          <w:color w:val="auto"/>
          <w:highlight w:val="none"/>
          <w:u w:val="single"/>
        </w:rPr>
        <w:t>考核合格证书扫描件或电子证照（B类），或建筑施工企业专职安全生产管理人员安全生产考核合格证书扫描件或电子证照（联合体投标的，由联合体主办方出具）</w:t>
      </w:r>
    </w:p>
    <w:p w14:paraId="5570F96D">
      <w:pPr>
        <w:spacing w:line="400" w:lineRule="exact"/>
        <w:ind w:left="210" w:leftChars="100" w:firstLine="735" w:firstLineChars="350"/>
        <w:rPr>
          <w:rFonts w:hint="eastAsia" w:ascii="宋体" w:hAnsi="宋体" w:cs="TimesNewRomanPSMT"/>
          <w:color w:val="auto"/>
          <w:kern w:val="0"/>
          <w:szCs w:val="21"/>
          <w:highlight w:val="none"/>
          <w:u w:val="single"/>
        </w:rPr>
      </w:pPr>
      <w:r>
        <w:rPr>
          <w:rFonts w:hint="eastAsia" w:ascii="宋体" w:hAnsi="宋体" w:cs="TimesNewRomanPSMT"/>
          <w:color w:val="auto"/>
          <w:kern w:val="0"/>
          <w:szCs w:val="21"/>
          <w:highlight w:val="none"/>
          <w:u w:val="single"/>
        </w:rPr>
        <w:t>设计负责人的相关证书扫描件或电子证照（联合体投标的，由</w:t>
      </w:r>
      <w:r>
        <w:rPr>
          <w:rFonts w:hint="eastAsia" w:ascii="宋体" w:hAnsi="宋体" w:cs="宋体"/>
          <w:color w:val="auto"/>
          <w:highlight w:val="none"/>
          <w:u w:val="single"/>
        </w:rPr>
        <w:t>联合体</w:t>
      </w:r>
      <w:r>
        <w:rPr>
          <w:rFonts w:hint="eastAsia" w:ascii="宋体" w:hAnsi="宋体"/>
          <w:color w:val="auto"/>
          <w:szCs w:val="21"/>
          <w:highlight w:val="none"/>
          <w:u w:val="single"/>
        </w:rPr>
        <w:t>承接</w:t>
      </w:r>
      <w:r>
        <w:rPr>
          <w:rFonts w:hint="eastAsia" w:ascii="宋体" w:hAnsi="宋体"/>
          <w:color w:val="auto"/>
          <w:highlight w:val="none"/>
          <w:u w:val="single"/>
        </w:rPr>
        <w:t>设计任务方</w:t>
      </w:r>
      <w:r>
        <w:rPr>
          <w:rFonts w:hint="eastAsia" w:ascii="宋体" w:hAnsi="宋体" w:cs="TimesNewRomanPSMT"/>
          <w:color w:val="auto"/>
          <w:kern w:val="0"/>
          <w:szCs w:val="21"/>
          <w:highlight w:val="none"/>
          <w:u w:val="single"/>
        </w:rPr>
        <w:t>出具）</w:t>
      </w:r>
    </w:p>
    <w:p w14:paraId="03C97AB0">
      <w:pPr>
        <w:spacing w:line="400" w:lineRule="exact"/>
        <w:ind w:left="210" w:leftChars="100" w:firstLine="735" w:firstLineChars="350"/>
        <w:rPr>
          <w:rFonts w:hint="eastAsia" w:ascii="宋体" w:hAnsi="宋体" w:cs="TimesNewRomanPSMT"/>
          <w:color w:val="auto"/>
          <w:kern w:val="0"/>
          <w:szCs w:val="21"/>
          <w:highlight w:val="none"/>
          <w:u w:val="single"/>
        </w:rPr>
      </w:pPr>
      <w:r>
        <w:rPr>
          <w:rFonts w:hint="eastAsia" w:ascii="宋体" w:hAnsi="宋体" w:cs="TimesNewRomanPSMT"/>
          <w:color w:val="auto"/>
          <w:kern w:val="0"/>
          <w:szCs w:val="21"/>
          <w:highlight w:val="none"/>
          <w:u w:val="single"/>
        </w:rPr>
        <w:t>技术负责人的职称证书</w:t>
      </w:r>
      <w:r>
        <w:rPr>
          <w:rFonts w:hint="eastAsia" w:ascii="宋体" w:hAnsi="宋体" w:cs="宋体"/>
          <w:color w:val="auto"/>
          <w:highlight w:val="none"/>
          <w:u w:val="single"/>
        </w:rPr>
        <w:t>扫描件或电子证照</w:t>
      </w:r>
      <w:r>
        <w:rPr>
          <w:rFonts w:hint="eastAsia" w:ascii="宋体" w:hAnsi="宋体" w:cs="TimesNewRomanPSMT"/>
          <w:color w:val="auto"/>
          <w:kern w:val="0"/>
          <w:szCs w:val="21"/>
          <w:highlight w:val="none"/>
          <w:u w:val="single"/>
        </w:rPr>
        <w:t>（联合体投标的，由联合体主办方出具）</w:t>
      </w:r>
    </w:p>
    <w:p w14:paraId="52A16968">
      <w:pPr>
        <w:spacing w:line="400" w:lineRule="exact"/>
        <w:ind w:firstLine="420" w:firstLineChars="200"/>
        <w:rPr>
          <w:rFonts w:hint="eastAsia" w:ascii="宋体" w:hAnsi="宋体" w:cs="TimesNewRomanPSMT"/>
          <w:color w:val="auto"/>
          <w:kern w:val="0"/>
          <w:szCs w:val="21"/>
          <w:highlight w:val="none"/>
          <w:u w:val="single"/>
        </w:rPr>
      </w:pPr>
      <w:r>
        <w:rPr>
          <w:rFonts w:hint="eastAsia" w:ascii="宋体" w:hAnsi="宋体"/>
          <w:color w:val="auto"/>
          <w:highlight w:val="none"/>
          <w:u w:val="single"/>
        </w:rPr>
        <w:t>（8</w:t>
      </w:r>
      <w:r>
        <w:rPr>
          <w:rFonts w:hint="eastAsia" w:ascii="宋体" w:hAnsi="宋体" w:cs="TimesNewRomanPSMT"/>
          <w:color w:val="auto"/>
          <w:kern w:val="0"/>
          <w:szCs w:val="21"/>
          <w:highlight w:val="none"/>
          <w:u w:val="single"/>
        </w:rPr>
        <w:t>）专职安全员的有效期内的安全生产考核合格证（C类）</w:t>
      </w:r>
      <w:r>
        <w:rPr>
          <w:rFonts w:hint="eastAsia" w:ascii="宋体" w:hAnsi="宋体" w:cs="宋体"/>
          <w:color w:val="auto"/>
          <w:highlight w:val="none"/>
          <w:u w:val="single"/>
        </w:rPr>
        <w:t>扫描件或电子证照</w:t>
      </w:r>
      <w:r>
        <w:rPr>
          <w:rFonts w:hint="eastAsia" w:ascii="宋体" w:hAnsi="宋体" w:cs="TimesNewRomanPSMT"/>
          <w:color w:val="auto"/>
          <w:kern w:val="0"/>
          <w:szCs w:val="21"/>
          <w:highlight w:val="none"/>
          <w:u w:val="single"/>
        </w:rPr>
        <w:t>，或建筑施工企业专职安全生产管理人员安全生产考核合格证书（C3类）</w:t>
      </w:r>
      <w:r>
        <w:rPr>
          <w:rFonts w:hint="eastAsia" w:ascii="宋体" w:hAnsi="宋体" w:cs="宋体"/>
          <w:color w:val="auto"/>
          <w:highlight w:val="none"/>
          <w:u w:val="single"/>
        </w:rPr>
        <w:t>扫描件或电子证照</w:t>
      </w:r>
      <w:r>
        <w:rPr>
          <w:rFonts w:hint="eastAsia" w:ascii="宋体" w:hAnsi="宋体" w:cs="TimesNewRomanPSMT"/>
          <w:color w:val="auto"/>
          <w:kern w:val="0"/>
          <w:szCs w:val="21"/>
          <w:highlight w:val="none"/>
          <w:u w:val="single"/>
        </w:rPr>
        <w:t>。项目负责人与安全员不为同一人（联合体投标的，由联合体主办方出具）</w:t>
      </w:r>
    </w:p>
    <w:p w14:paraId="7BE986A1">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（9）投标人按照规定的格式及内容要求签署的《投标人声明》（格式见招标公告附件）</w:t>
      </w:r>
    </w:p>
    <w:p w14:paraId="1403AD97">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（10）列明主办</w:t>
      </w:r>
      <w:r>
        <w:rPr>
          <w:rFonts w:hint="eastAsia" w:ascii="宋体" w:hAnsi="宋体" w:cs="宋体"/>
          <w:color w:val="auto"/>
          <w:highlight w:val="none"/>
          <w:u w:val="single"/>
        </w:rPr>
        <w:t>单位</w:t>
      </w:r>
      <w:r>
        <w:rPr>
          <w:rFonts w:hint="eastAsia" w:ascii="宋体" w:hAnsi="宋体"/>
          <w:color w:val="auto"/>
          <w:highlight w:val="none"/>
          <w:u w:val="single"/>
        </w:rPr>
        <w:t>的联合体工作协议（联合体投标时需递交，格式参考招标公告附件）</w:t>
      </w:r>
    </w:p>
    <w:p w14:paraId="204B1DF0">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（11）</w:t>
      </w:r>
      <w:r>
        <w:rPr>
          <w:rFonts w:ascii="宋体" w:hAnsi="宋体"/>
          <w:color w:val="auto"/>
          <w:highlight w:val="none"/>
          <w:u w:val="single"/>
        </w:rPr>
        <w:t>资格审查前</w:t>
      </w:r>
      <w:r>
        <w:rPr>
          <w:rFonts w:ascii="宋体" w:hAnsi="宋体" w:cs="宋体"/>
          <w:color w:val="auto"/>
          <w:highlight w:val="none"/>
          <w:u w:val="single"/>
        </w:rPr>
        <w:t>，</w:t>
      </w:r>
      <w:r>
        <w:rPr>
          <w:rFonts w:hint="eastAsia" w:ascii="宋体" w:hAnsi="宋体" w:cs="宋体"/>
          <w:color w:val="auto"/>
          <w:highlight w:val="none"/>
          <w:u w:val="single"/>
        </w:rPr>
        <w:t>投标人（若为联合体投标，由联合体各方提供）在广州市住建行业信用管理平台建立企业信用档案</w:t>
      </w:r>
      <w:r>
        <w:rPr>
          <w:rFonts w:hint="eastAsia" w:ascii="宋体" w:hAnsi="宋体"/>
          <w:color w:val="auto"/>
          <w:highlight w:val="none"/>
          <w:u w:val="single"/>
        </w:rPr>
        <w:t>，且拟担任本项目的项目负责人（兼施工负责人）、设计负责人、技术负责人、专职安全员是本企业信用档案中的在册人员（联合体投标的，信用档案和人员在册情况为联合体协议分工对应广州市住建行业信用管理平台内信用档案）</w:t>
      </w:r>
    </w:p>
    <w:p w14:paraId="61CA9519">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（12）投标人（含联合体成员）未被列入拖欠农民工工资失信联合惩戒对象名单和失信被执行人。</w:t>
      </w:r>
    </w:p>
    <w:p w14:paraId="5752FD04">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（13）投标人认为应该提供的其他资料</w:t>
      </w:r>
    </w:p>
    <w:p w14:paraId="543C2951">
      <w:pPr>
        <w:spacing w:line="40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3.1.3 工程总承包实施方案投标文件：</w:t>
      </w:r>
    </w:p>
    <w:p w14:paraId="2EF50C91">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包括但不限于下列内容：</w:t>
      </w:r>
    </w:p>
    <w:p w14:paraId="7B6A62E1">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（1）封面</w:t>
      </w:r>
    </w:p>
    <w:p w14:paraId="19206FAD">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（2）目录</w:t>
      </w:r>
    </w:p>
    <w:p w14:paraId="74E61122">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（3）投标书、投标承诺函</w:t>
      </w:r>
    </w:p>
    <w:p w14:paraId="108E0329">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（4）工程总承包实施方案</w:t>
      </w:r>
    </w:p>
    <w:p w14:paraId="33935C9B">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（4.1）投标人资信情况</w:t>
      </w:r>
    </w:p>
    <w:p w14:paraId="5D7E8E5C">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（4.2）工程实施方案</w:t>
      </w:r>
    </w:p>
    <w:p w14:paraId="2C1CA65A">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（5）按照招标文件要求填写的《参与编制投标文件人员名单》</w:t>
      </w:r>
    </w:p>
    <w:p w14:paraId="61345B5A">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（6）危险性较大的分部分项工程清单及超过一定规模的危险性较大的分部分项工程清单（如有）</w:t>
      </w:r>
    </w:p>
    <w:p w14:paraId="75630B99">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（7）投标人认为应该提供的其他资料</w:t>
      </w:r>
    </w:p>
    <w:p w14:paraId="27314DC3">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注：投标人在编制工程总承包实施方案时应按照招标人提出的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p>
    <w:p w14:paraId="5337EECA">
      <w:pPr>
        <w:pStyle w:val="4"/>
        <w:rPr>
          <w:rFonts w:hint="eastAsia"/>
          <w:color w:val="auto"/>
          <w:highlight w:val="none"/>
        </w:rPr>
      </w:pPr>
      <w:bookmarkStart w:id="194" w:name="_Toc152042324"/>
      <w:bookmarkStart w:id="195" w:name="_Toc152045548"/>
      <w:bookmarkStart w:id="196" w:name="_Toc134304542"/>
      <w:bookmarkStart w:id="197" w:name="_Toc247513972"/>
      <w:bookmarkStart w:id="198" w:name="_Toc247527573"/>
      <w:bookmarkStart w:id="199" w:name="_Toc144974516"/>
      <w:bookmarkStart w:id="200" w:name="_Toc87238910"/>
      <w:bookmarkStart w:id="201" w:name="_Toc32322"/>
      <w:r>
        <w:rPr>
          <w:rFonts w:hint="eastAsia"/>
          <w:color w:val="auto"/>
          <w:highlight w:val="none"/>
        </w:rPr>
        <w:t>3.2 投标报价</w:t>
      </w:r>
      <w:bookmarkEnd w:id="194"/>
      <w:bookmarkEnd w:id="195"/>
      <w:bookmarkEnd w:id="196"/>
      <w:bookmarkEnd w:id="197"/>
      <w:bookmarkEnd w:id="198"/>
      <w:bookmarkEnd w:id="199"/>
      <w:bookmarkEnd w:id="200"/>
      <w:bookmarkEnd w:id="201"/>
    </w:p>
    <w:p w14:paraId="4661CA2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3.2.1 投标人应按第七章“投标文件格式”的要求填写价格清单。</w:t>
      </w:r>
    </w:p>
    <w:p w14:paraId="28D6AC2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 xml:space="preserve">3.2.2 </w:t>
      </w:r>
      <w:r>
        <w:rPr>
          <w:rFonts w:hint="eastAsia" w:ascii="宋体" w:hAnsi="宋体" w:cs="宋体"/>
          <w:color w:val="auto"/>
          <w:szCs w:val="21"/>
          <w:highlight w:val="none"/>
        </w:rPr>
        <w:t>投标人应充分了解施工场地的位置、周边环境、道路、装卸、保管、安装限制以及影响投标报价的其他要素。投标人根据投标设计，结合市场情况进行投标报价。</w:t>
      </w:r>
    </w:p>
    <w:p w14:paraId="78D9410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3.2.3 投标人在投标截止时间前修改投标函中的投标报价总额，应同时修改投标文件“价格清单”中的相应报价，投标报价总额为各分项金额之和。此修改须符合本章第4.3款的有关要求。</w:t>
      </w:r>
    </w:p>
    <w:p w14:paraId="43DFAB9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3.2.4 招标人设有最高投标限价的，投标人的投标报价不得超过最高投标限价，最高投标限价或其计算方法在投标人须知前附表中载明。</w:t>
      </w:r>
    </w:p>
    <w:p w14:paraId="5F8171D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3.2.5 投标报价的其他要求见投标人须知前附表。</w:t>
      </w:r>
    </w:p>
    <w:p w14:paraId="22C4D4CF">
      <w:pPr>
        <w:pStyle w:val="4"/>
        <w:rPr>
          <w:rFonts w:hint="eastAsia"/>
          <w:color w:val="auto"/>
          <w:highlight w:val="none"/>
        </w:rPr>
      </w:pPr>
      <w:bookmarkStart w:id="202" w:name="_Toc152042325"/>
      <w:bookmarkStart w:id="203" w:name="_Toc144974517"/>
      <w:bookmarkStart w:id="204" w:name="_Toc247513973"/>
      <w:bookmarkStart w:id="205" w:name="_Toc247527574"/>
      <w:bookmarkStart w:id="206" w:name="_Toc13756"/>
      <w:bookmarkStart w:id="207" w:name="_Toc134304543"/>
      <w:bookmarkStart w:id="208" w:name="_Toc152045549"/>
      <w:bookmarkStart w:id="209" w:name="_Toc87238911"/>
      <w:r>
        <w:rPr>
          <w:rFonts w:hint="eastAsia"/>
          <w:color w:val="auto"/>
          <w:highlight w:val="none"/>
        </w:rPr>
        <w:t>3.3 投标有效期</w:t>
      </w:r>
      <w:bookmarkEnd w:id="202"/>
      <w:bookmarkEnd w:id="203"/>
      <w:bookmarkEnd w:id="204"/>
      <w:bookmarkEnd w:id="205"/>
      <w:bookmarkEnd w:id="206"/>
      <w:bookmarkEnd w:id="207"/>
      <w:bookmarkEnd w:id="208"/>
      <w:bookmarkEnd w:id="209"/>
    </w:p>
    <w:p w14:paraId="6903720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3.3.1 除投标人须知前附表另有规定外，投标有效期为120日历天。</w:t>
      </w:r>
    </w:p>
    <w:p w14:paraId="1257706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3.3.2 在投标有效期内，投标人撤销或修改其投标文件的，应承担招标文件和法律规定的责任。</w:t>
      </w:r>
    </w:p>
    <w:p w14:paraId="786D124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136F185D">
      <w:pPr>
        <w:pStyle w:val="4"/>
        <w:rPr>
          <w:rFonts w:hint="eastAsia"/>
          <w:color w:val="auto"/>
          <w:highlight w:val="none"/>
        </w:rPr>
      </w:pPr>
      <w:bookmarkStart w:id="210" w:name="_Toc18959"/>
      <w:bookmarkStart w:id="211" w:name="_Toc152042326"/>
      <w:bookmarkStart w:id="212" w:name="_Toc247513974"/>
      <w:bookmarkStart w:id="213" w:name="_Toc247527575"/>
      <w:bookmarkStart w:id="214" w:name="_Toc134304544"/>
      <w:bookmarkStart w:id="215" w:name="_Toc87238912"/>
      <w:bookmarkStart w:id="216" w:name="_Toc152045550"/>
      <w:bookmarkStart w:id="217" w:name="_Toc144974518"/>
      <w:r>
        <w:rPr>
          <w:rFonts w:hint="eastAsia"/>
          <w:color w:val="auto"/>
          <w:highlight w:val="none"/>
        </w:rPr>
        <w:t>3.4 投标保证金</w:t>
      </w:r>
      <w:bookmarkEnd w:id="210"/>
      <w:bookmarkEnd w:id="211"/>
      <w:bookmarkEnd w:id="212"/>
      <w:bookmarkEnd w:id="213"/>
      <w:bookmarkEnd w:id="214"/>
      <w:bookmarkEnd w:id="215"/>
      <w:bookmarkEnd w:id="216"/>
      <w:bookmarkEnd w:id="217"/>
      <w:r>
        <w:rPr>
          <w:rFonts w:hint="eastAsia"/>
          <w:color w:val="auto"/>
          <w:highlight w:val="none"/>
        </w:rPr>
        <w:t>（不适用）</w:t>
      </w:r>
    </w:p>
    <w:p w14:paraId="09BFC983">
      <w:pPr>
        <w:spacing w:line="400" w:lineRule="exact"/>
        <w:ind w:firstLine="420" w:firstLineChars="200"/>
        <w:rPr>
          <w:rFonts w:hint="eastAsia" w:ascii="宋体" w:hAnsi="宋体"/>
          <w:color w:val="auto"/>
          <w:highlight w:val="none"/>
        </w:rPr>
      </w:pPr>
      <w:bookmarkStart w:id="218" w:name="_Toc144974519"/>
      <w:bookmarkStart w:id="219" w:name="_Toc247527576"/>
      <w:bookmarkStart w:id="220" w:name="_Toc247513975"/>
      <w:bookmarkStart w:id="221" w:name="_Toc152045551"/>
      <w:bookmarkStart w:id="222" w:name="_Toc20478"/>
      <w:bookmarkStart w:id="223" w:name="_Toc152042327"/>
      <w:r>
        <w:rPr>
          <w:rFonts w:hint="eastAsia" w:ascii="宋体" w:hAnsi="宋体"/>
          <w:color w:val="auto"/>
          <w:highlight w:val="none"/>
        </w:rPr>
        <w:t>3.4.1 投标人在递交投标文件的同时，应按投标人须知前附表规定的金额、担保形式和第七章“投标文件格式”规定的投标保证金格式递交投标保证金，并作为其投标文件的组成部分。联合体投标的，其投标保证金由主办人递交，并应符合投标人须知前附表的规定。</w:t>
      </w:r>
    </w:p>
    <w:p w14:paraId="3CD5DC16">
      <w:pPr>
        <w:spacing w:line="400" w:lineRule="exact"/>
        <w:ind w:firstLine="420" w:firstLineChars="200"/>
        <w:rPr>
          <w:rFonts w:hint="eastAsia" w:ascii="宋体" w:hAnsi="宋体"/>
          <w:color w:val="auto"/>
          <w:highlight w:val="none"/>
        </w:rPr>
      </w:pPr>
      <w:r>
        <w:rPr>
          <w:rFonts w:hint="eastAsia" w:ascii="宋体" w:hAnsi="宋体"/>
          <w:color w:val="auto"/>
          <w:highlight w:val="none"/>
        </w:rPr>
        <w:t>3.4.2 投标人不按本章第3.4.1项要求提交投标保证金的，评标委员会将否决其投标。</w:t>
      </w:r>
    </w:p>
    <w:p w14:paraId="71CDE0B2">
      <w:pPr>
        <w:spacing w:line="400" w:lineRule="exact"/>
        <w:ind w:firstLine="420" w:firstLineChars="200"/>
        <w:rPr>
          <w:rFonts w:hint="eastAsia" w:ascii="宋体" w:hAnsi="宋体"/>
          <w:color w:val="auto"/>
          <w:highlight w:val="none"/>
        </w:rPr>
      </w:pPr>
      <w:r>
        <w:rPr>
          <w:rFonts w:hint="eastAsia" w:ascii="宋体" w:hAnsi="宋体"/>
          <w:color w:val="auto"/>
          <w:highlight w:val="none"/>
        </w:rPr>
        <w:t>3.4.3 招标人与中标人签订合同后5日内，向未中标的投标人和中标人退还投标保证金及同期银行存款利息。</w:t>
      </w:r>
    </w:p>
    <w:p w14:paraId="4E064FBD">
      <w:pPr>
        <w:spacing w:line="400" w:lineRule="exact"/>
        <w:ind w:firstLine="420" w:firstLineChars="200"/>
        <w:rPr>
          <w:rFonts w:hint="eastAsia" w:ascii="宋体" w:hAnsi="宋体"/>
          <w:color w:val="auto"/>
          <w:highlight w:val="none"/>
        </w:rPr>
      </w:pPr>
      <w:r>
        <w:rPr>
          <w:rFonts w:hint="eastAsia" w:ascii="宋体" w:hAnsi="宋体"/>
          <w:color w:val="auto"/>
          <w:highlight w:val="none"/>
        </w:rPr>
        <w:t>3.4.4 有下列情形之一的，投标保证金将不予退还：</w:t>
      </w:r>
    </w:p>
    <w:p w14:paraId="1882F1B9">
      <w:pPr>
        <w:spacing w:line="400" w:lineRule="exact"/>
        <w:ind w:firstLine="315" w:firstLineChars="150"/>
        <w:rPr>
          <w:rFonts w:hint="eastAsia" w:ascii="宋体" w:hAnsi="宋体"/>
          <w:color w:val="auto"/>
          <w:highlight w:val="none"/>
        </w:rPr>
      </w:pPr>
      <w:r>
        <w:rPr>
          <w:rFonts w:hint="eastAsia" w:ascii="宋体" w:hAnsi="宋体"/>
          <w:color w:val="auto"/>
          <w:highlight w:val="none"/>
        </w:rPr>
        <w:t>（1）投标人在规定的投标有效期内撤销或修改其投标文件；</w:t>
      </w:r>
    </w:p>
    <w:p w14:paraId="030DF44F">
      <w:pPr>
        <w:spacing w:line="400" w:lineRule="exact"/>
        <w:ind w:firstLine="315" w:firstLineChars="150"/>
        <w:rPr>
          <w:rFonts w:hint="eastAsia" w:ascii="宋体" w:hAnsi="宋体" w:cs="宋体"/>
          <w:color w:val="auto"/>
          <w:highlight w:val="none"/>
          <w:u w:val="single"/>
        </w:rPr>
      </w:pPr>
      <w:r>
        <w:rPr>
          <w:rFonts w:hint="eastAsia" w:ascii="宋体" w:hAnsi="宋体"/>
          <w:color w:val="auto"/>
          <w:highlight w:val="none"/>
        </w:rPr>
        <w:t>（2）中标人在收到中标通知书后，无正当理由拒签合同或未按招标文件规定提交履约担保。</w:t>
      </w:r>
    </w:p>
    <w:bookmarkEnd w:id="218"/>
    <w:bookmarkEnd w:id="219"/>
    <w:bookmarkEnd w:id="220"/>
    <w:bookmarkEnd w:id="221"/>
    <w:bookmarkEnd w:id="222"/>
    <w:bookmarkEnd w:id="223"/>
    <w:p w14:paraId="5A9549F6">
      <w:pPr>
        <w:pStyle w:val="4"/>
        <w:rPr>
          <w:rFonts w:hint="eastAsia"/>
          <w:color w:val="auto"/>
          <w:highlight w:val="none"/>
        </w:rPr>
      </w:pPr>
      <w:bookmarkStart w:id="224" w:name="_Toc152042328"/>
      <w:bookmarkStart w:id="225" w:name="_Toc134304545"/>
      <w:bookmarkStart w:id="226" w:name="_Toc247513976"/>
      <w:bookmarkStart w:id="227" w:name="_Toc87238913"/>
      <w:bookmarkStart w:id="228" w:name="_Toc144974520"/>
      <w:bookmarkStart w:id="229" w:name="_Toc247527577"/>
      <w:bookmarkStart w:id="230" w:name="_Toc23531"/>
      <w:bookmarkStart w:id="231" w:name="_Toc152045552"/>
      <w:r>
        <w:rPr>
          <w:rFonts w:hint="eastAsia"/>
          <w:color w:val="auto"/>
          <w:highlight w:val="none"/>
        </w:rPr>
        <w:t>3.5 资格审查资料（适用于未进行资格预审的）</w:t>
      </w:r>
      <w:bookmarkEnd w:id="224"/>
      <w:bookmarkEnd w:id="225"/>
      <w:bookmarkEnd w:id="226"/>
      <w:bookmarkEnd w:id="227"/>
      <w:bookmarkEnd w:id="228"/>
      <w:bookmarkEnd w:id="229"/>
      <w:bookmarkEnd w:id="230"/>
      <w:bookmarkEnd w:id="231"/>
    </w:p>
    <w:p w14:paraId="5F142F80">
      <w:pPr>
        <w:spacing w:line="400" w:lineRule="exact"/>
        <w:ind w:firstLine="420" w:firstLineChars="200"/>
        <w:rPr>
          <w:rFonts w:hint="eastAsia" w:ascii="新宋体" w:hAnsi="新宋体" w:eastAsia="新宋体" w:cs="新宋体"/>
          <w:color w:val="auto"/>
          <w:highlight w:val="none"/>
          <w:u w:val="single"/>
        </w:rPr>
      </w:pPr>
      <w:r>
        <w:rPr>
          <w:rFonts w:hint="eastAsia" w:ascii="新宋体" w:hAnsi="新宋体" w:eastAsia="新宋体" w:cs="新宋体"/>
          <w:color w:val="auto"/>
          <w:highlight w:val="none"/>
          <w:u w:val="single"/>
        </w:rPr>
        <w:t>资格审查资料要求详见本章3.1.2资格审查文件组成。</w:t>
      </w:r>
    </w:p>
    <w:p w14:paraId="5B9884A4">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采用电子化资格后审</w:t>
      </w:r>
      <w:bookmarkStart w:id="232" w:name="_Toc356469198"/>
      <w:bookmarkStart w:id="233" w:name="_Toc300834971"/>
      <w:bookmarkStart w:id="234" w:name="_Toc357089532"/>
      <w:bookmarkStart w:id="235" w:name="_Toc439240619"/>
      <w:bookmarkStart w:id="236" w:name="_Toc439246018"/>
      <w:r>
        <w:rPr>
          <w:rFonts w:hint="eastAsia" w:ascii="宋体" w:hAnsi="宋体" w:cs="宋体"/>
          <w:color w:val="auto"/>
          <w:highlight w:val="none"/>
          <w:u w:val="single"/>
        </w:rPr>
        <w:t>，由综合评标委员会负</w:t>
      </w:r>
      <w:bookmarkEnd w:id="232"/>
      <w:bookmarkEnd w:id="233"/>
      <w:bookmarkEnd w:id="234"/>
      <w:bookmarkEnd w:id="235"/>
      <w:bookmarkEnd w:id="236"/>
      <w:r>
        <w:rPr>
          <w:rFonts w:hint="eastAsia" w:ascii="宋体" w:hAnsi="宋体" w:cs="宋体"/>
          <w:color w:val="auto"/>
          <w:highlight w:val="none"/>
          <w:u w:val="single"/>
        </w:rPr>
        <w:t>责对投标人的资格进行审查，评标时只对通过资格审查的投标人进行下一阶段的评审。</w:t>
      </w:r>
    </w:p>
    <w:p w14:paraId="537DD630">
      <w:pPr>
        <w:spacing w:line="400" w:lineRule="exact"/>
        <w:ind w:firstLine="420" w:firstLineChars="200"/>
        <w:rPr>
          <w:rFonts w:hint="eastAsia" w:ascii="宋体" w:hAnsi="宋体" w:cs="宋体"/>
          <w:strike/>
          <w:color w:val="auto"/>
          <w:highlight w:val="none"/>
        </w:rPr>
      </w:pPr>
      <w:r>
        <w:rPr>
          <w:rFonts w:hint="eastAsia" w:ascii="宋体" w:hAnsi="宋体" w:cs="宋体"/>
          <w:color w:val="auto"/>
          <w:szCs w:val="21"/>
          <w:highlight w:val="none"/>
          <w:u w:val="single"/>
        </w:rPr>
        <w:t>本项目采用电子化资格后审，由综合评标委员会负责对投标人的资格进行审查，评标时只对通过资格审查的投标人进行下一阶段的评审。</w:t>
      </w:r>
    </w:p>
    <w:p w14:paraId="7F7FB8C6">
      <w:pPr>
        <w:spacing w:line="400" w:lineRule="exact"/>
        <w:ind w:firstLine="420" w:firstLineChars="200"/>
        <w:rPr>
          <w:rFonts w:hint="eastAsia" w:ascii="宋体" w:hAnsi="宋体" w:cs="宋体"/>
          <w:color w:val="auto"/>
          <w:highlight w:val="none"/>
        </w:rPr>
      </w:pPr>
    </w:p>
    <w:p w14:paraId="762B909B">
      <w:pPr>
        <w:pStyle w:val="4"/>
        <w:rPr>
          <w:rFonts w:hint="eastAsia"/>
          <w:color w:val="auto"/>
          <w:highlight w:val="none"/>
        </w:rPr>
      </w:pPr>
      <w:bookmarkStart w:id="237" w:name="_Toc247527578"/>
      <w:bookmarkStart w:id="238" w:name="_Toc144974521"/>
      <w:bookmarkStart w:id="239" w:name="_Toc247513977"/>
      <w:bookmarkStart w:id="240" w:name="_Toc87238914"/>
      <w:bookmarkStart w:id="241" w:name="_Toc27554"/>
      <w:bookmarkStart w:id="242" w:name="_Toc152042329"/>
      <w:bookmarkStart w:id="243" w:name="_Toc152045553"/>
      <w:bookmarkStart w:id="244" w:name="_Toc134304546"/>
      <w:r>
        <w:rPr>
          <w:rFonts w:hint="eastAsia"/>
          <w:color w:val="auto"/>
          <w:highlight w:val="none"/>
        </w:rPr>
        <w:t>3.6 备选投标方案</w:t>
      </w:r>
      <w:bookmarkEnd w:id="237"/>
      <w:bookmarkEnd w:id="238"/>
      <w:bookmarkEnd w:id="239"/>
      <w:bookmarkEnd w:id="240"/>
      <w:bookmarkEnd w:id="241"/>
      <w:bookmarkEnd w:id="242"/>
      <w:bookmarkEnd w:id="243"/>
      <w:bookmarkEnd w:id="244"/>
    </w:p>
    <w:p w14:paraId="2D821AA6">
      <w:pPr>
        <w:spacing w:line="400" w:lineRule="exact"/>
        <w:ind w:firstLine="420" w:firstLineChars="200"/>
        <w:rPr>
          <w:rFonts w:hint="eastAsia" w:ascii="宋体" w:hAnsi="宋体" w:cs="宋体"/>
          <w:strike/>
          <w:color w:val="auto"/>
          <w:highlight w:val="none"/>
        </w:rPr>
      </w:pPr>
      <w:r>
        <w:rPr>
          <w:rFonts w:hint="eastAsia" w:ascii="宋体" w:hAnsi="宋体" w:cs="宋体"/>
          <w:color w:val="auto"/>
          <w:highlight w:val="none"/>
        </w:rPr>
        <w:t>除投标人须知前附表另有规定外，投标人不得递交备选投标方案。</w:t>
      </w:r>
      <w:r>
        <w:rPr>
          <w:rFonts w:hint="eastAsia" w:ascii="宋体" w:hAnsi="宋体" w:cs="宋体"/>
          <w:strike/>
          <w:color w:val="auto"/>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284BF3B3">
      <w:pPr>
        <w:pStyle w:val="4"/>
        <w:rPr>
          <w:rFonts w:hint="eastAsia"/>
          <w:color w:val="auto"/>
          <w:highlight w:val="none"/>
        </w:rPr>
      </w:pPr>
      <w:bookmarkStart w:id="245" w:name="_Toc87238915"/>
      <w:bookmarkStart w:id="246" w:name="_Toc152045554"/>
      <w:bookmarkStart w:id="247" w:name="_Toc247527579"/>
      <w:bookmarkStart w:id="248" w:name="_Toc144974522"/>
      <w:bookmarkStart w:id="249" w:name="_Toc15348"/>
      <w:bookmarkStart w:id="250" w:name="_Toc134304547"/>
      <w:bookmarkStart w:id="251" w:name="_Toc152042330"/>
      <w:bookmarkStart w:id="252" w:name="_Toc247513978"/>
      <w:r>
        <w:rPr>
          <w:rFonts w:hint="eastAsia"/>
          <w:color w:val="auto"/>
          <w:highlight w:val="none"/>
        </w:rPr>
        <w:t>3.7 投标文件的编制</w:t>
      </w:r>
      <w:bookmarkEnd w:id="245"/>
      <w:bookmarkEnd w:id="246"/>
      <w:bookmarkEnd w:id="247"/>
      <w:bookmarkEnd w:id="248"/>
      <w:bookmarkEnd w:id="249"/>
      <w:bookmarkEnd w:id="250"/>
      <w:bookmarkEnd w:id="251"/>
      <w:bookmarkEnd w:id="252"/>
    </w:p>
    <w:p w14:paraId="6B66191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7E0BC03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3.7.2 投标文件应当对招标文件有关</w:t>
      </w:r>
      <w:r>
        <w:rPr>
          <w:rFonts w:hint="eastAsia" w:ascii="宋体" w:hAnsi="宋体" w:cs="宋体"/>
          <w:color w:val="auto"/>
          <w:szCs w:val="21"/>
          <w:highlight w:val="none"/>
        </w:rPr>
        <w:t>招标范围、投标有效期、工期、质量标准、发包人要求等实质性内容作出响应。</w:t>
      </w:r>
    </w:p>
    <w:p w14:paraId="6EA3A18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3.7.3 </w:t>
      </w:r>
      <w:r>
        <w:rPr>
          <w:rFonts w:hint="eastAsia" w:ascii="宋体" w:hAnsi="宋体" w:cs="宋体"/>
          <w:color w:val="auto"/>
          <w:szCs w:val="21"/>
          <w:highlight w:val="none"/>
          <w:u w:val="single"/>
        </w:rPr>
        <w:t>投标人（若为联合体投标，指联合体主办方）采用单位数字证书，对投标文件加盖电子印章。投标文件中需个人签字或盖章的，应加盖个人电子印章或在线下完成后扫描上传。按照交易平台关于全流程电子化项目的相关指南进行操作，联合体投标的，除投标文件中的联合体协议书需联合体各方盖章外，投标文件其他内容中的“投标人”、“投标单位”、“声明企业”应填写联合体各方的单位全称【格式表示为：（主）XXXX公司，（成）XXXX公司】，由主办方盖章、签字即可</w:t>
      </w:r>
      <w:r>
        <w:rPr>
          <w:rFonts w:hint="eastAsia" w:ascii="宋体" w:hAnsi="宋体" w:cs="宋体"/>
          <w:color w:val="auto"/>
          <w:szCs w:val="21"/>
          <w:highlight w:val="none"/>
        </w:rPr>
        <w:t>。</w:t>
      </w:r>
      <w:r>
        <w:rPr>
          <w:rFonts w:hint="eastAsia" w:ascii="宋体" w:hAnsi="宋体" w:cs="宋体"/>
          <w:color w:val="auto"/>
          <w:szCs w:val="21"/>
          <w:highlight w:val="none"/>
          <w:u w:val="single"/>
        </w:rPr>
        <w:t>法定代表人证明书及授权委托证明书可由联合体主办方出具。</w:t>
      </w:r>
    </w:p>
    <w:p w14:paraId="1256C6E3">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3.7.4 投标文件正本一份， 副本份数见投标人须知前附表。正本和副本的封面上应清楚地标记“正本”或“副本”的字样。当副本和正本不一致时，以正本为准。</w:t>
      </w:r>
    </w:p>
    <w:p w14:paraId="2FF95548">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3.7.5 投标文件的正本与副本应分别装订成册，具体装订要求见投标人须知前附表规定。</w:t>
      </w:r>
    </w:p>
    <w:p w14:paraId="6A5EE2BC">
      <w:pPr>
        <w:pStyle w:val="3"/>
        <w:rPr>
          <w:color w:val="auto"/>
          <w:highlight w:val="none"/>
        </w:rPr>
      </w:pPr>
      <w:bookmarkStart w:id="253" w:name="_Toc144974523"/>
      <w:bookmarkStart w:id="254" w:name="_Toc152042331"/>
      <w:bookmarkStart w:id="255" w:name="_Toc134304548"/>
      <w:bookmarkStart w:id="256" w:name="_Toc16074"/>
      <w:bookmarkStart w:id="257" w:name="_Toc152045555"/>
      <w:bookmarkStart w:id="258" w:name="_Toc247513979"/>
      <w:bookmarkStart w:id="259" w:name="_Toc247527580"/>
      <w:r>
        <w:rPr>
          <w:rFonts w:hint="eastAsia"/>
          <w:color w:val="auto"/>
          <w:highlight w:val="none"/>
        </w:rPr>
        <w:t>4. 投标</w:t>
      </w:r>
      <w:bookmarkEnd w:id="253"/>
      <w:bookmarkEnd w:id="254"/>
      <w:bookmarkEnd w:id="255"/>
      <w:bookmarkEnd w:id="256"/>
      <w:bookmarkEnd w:id="257"/>
      <w:bookmarkEnd w:id="258"/>
      <w:bookmarkEnd w:id="259"/>
    </w:p>
    <w:p w14:paraId="68817D72">
      <w:pPr>
        <w:pStyle w:val="4"/>
        <w:rPr>
          <w:rFonts w:hint="eastAsia"/>
          <w:color w:val="auto"/>
          <w:highlight w:val="none"/>
        </w:rPr>
      </w:pPr>
      <w:bookmarkStart w:id="260" w:name="_Toc247513980"/>
      <w:bookmarkStart w:id="261" w:name="_Toc134304549"/>
      <w:bookmarkStart w:id="262" w:name="_Toc17494"/>
      <w:bookmarkStart w:id="263" w:name="_Toc247527581"/>
      <w:bookmarkStart w:id="264" w:name="_Toc152042332"/>
      <w:bookmarkStart w:id="265" w:name="_Toc152045556"/>
      <w:bookmarkStart w:id="266" w:name="_Toc144974524"/>
      <w:bookmarkStart w:id="267" w:name="_Toc87238917"/>
      <w:r>
        <w:rPr>
          <w:rFonts w:hint="eastAsia"/>
          <w:color w:val="auto"/>
          <w:highlight w:val="none"/>
        </w:rPr>
        <w:t>4.1 投标文件的密封和标记</w:t>
      </w:r>
      <w:bookmarkEnd w:id="260"/>
      <w:bookmarkEnd w:id="261"/>
      <w:bookmarkEnd w:id="262"/>
      <w:bookmarkEnd w:id="263"/>
      <w:bookmarkEnd w:id="264"/>
      <w:bookmarkEnd w:id="265"/>
      <w:bookmarkEnd w:id="266"/>
      <w:bookmarkEnd w:id="267"/>
    </w:p>
    <w:p w14:paraId="741EB12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4.1.1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应</w:t>
      </w:r>
      <w:r>
        <w:rPr>
          <w:rFonts w:hint="eastAsia" w:ascii="宋体" w:hAnsi="宋体" w:cs="宋体"/>
          <w:color w:val="auto"/>
          <w:szCs w:val="21"/>
          <w:highlight w:val="none"/>
          <w:u w:val="single"/>
        </w:rPr>
        <w:t>当</w:t>
      </w:r>
      <w:r>
        <w:rPr>
          <w:rFonts w:hint="eastAsia" w:ascii="宋体" w:hAnsi="宋体" w:cs="宋体"/>
          <w:color w:val="auto"/>
          <w:spacing w:val="-2"/>
          <w:szCs w:val="21"/>
          <w:highlight w:val="none"/>
          <w:u w:val="single"/>
        </w:rPr>
        <w:t>按</w:t>
      </w:r>
      <w:r>
        <w:rPr>
          <w:rFonts w:hint="eastAsia" w:ascii="宋体" w:hAnsi="宋体" w:cs="宋体"/>
          <w:color w:val="auto"/>
          <w:szCs w:val="21"/>
          <w:highlight w:val="none"/>
          <w:u w:val="single"/>
        </w:rPr>
        <w:t>照招</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和</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标交</w:t>
      </w:r>
      <w:r>
        <w:rPr>
          <w:rFonts w:hint="eastAsia" w:ascii="宋体" w:hAnsi="宋体" w:cs="宋体"/>
          <w:color w:val="auto"/>
          <w:spacing w:val="-2"/>
          <w:szCs w:val="21"/>
          <w:highlight w:val="none"/>
          <w:u w:val="single"/>
        </w:rPr>
        <w:t>易</w:t>
      </w:r>
      <w:r>
        <w:rPr>
          <w:rFonts w:hint="eastAsia" w:ascii="宋体" w:hAnsi="宋体" w:cs="宋体"/>
          <w:color w:val="auto"/>
          <w:szCs w:val="21"/>
          <w:highlight w:val="none"/>
          <w:u w:val="single"/>
        </w:rPr>
        <w:t>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的</w:t>
      </w:r>
      <w:r>
        <w:rPr>
          <w:rFonts w:hint="eastAsia" w:ascii="宋体" w:hAnsi="宋体" w:cs="宋体"/>
          <w:color w:val="auto"/>
          <w:spacing w:val="-2"/>
          <w:szCs w:val="21"/>
          <w:highlight w:val="none"/>
          <w:u w:val="single"/>
        </w:rPr>
        <w:t>要</w:t>
      </w:r>
      <w:r>
        <w:rPr>
          <w:rFonts w:hint="eastAsia" w:ascii="宋体" w:hAnsi="宋体" w:cs="宋体"/>
          <w:color w:val="auto"/>
          <w:szCs w:val="21"/>
          <w:highlight w:val="none"/>
          <w:u w:val="single"/>
        </w:rPr>
        <w:t>求</w:t>
      </w:r>
      <w:r>
        <w:rPr>
          <w:rFonts w:hint="eastAsia" w:ascii="宋体" w:hAnsi="宋体" w:cs="宋体"/>
          <w:color w:val="auto"/>
          <w:spacing w:val="-2"/>
          <w:szCs w:val="21"/>
          <w:highlight w:val="none"/>
          <w:u w:val="single"/>
        </w:rPr>
        <w:t>加</w:t>
      </w:r>
      <w:r>
        <w:rPr>
          <w:rFonts w:hint="eastAsia" w:ascii="宋体" w:hAnsi="宋体" w:cs="宋体"/>
          <w:color w:val="auto"/>
          <w:szCs w:val="21"/>
          <w:highlight w:val="none"/>
          <w:u w:val="single"/>
        </w:rPr>
        <w:t>密</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具体操作详见广州公共资源交易中心有关指引</w:t>
      </w:r>
      <w:r>
        <w:rPr>
          <w:rFonts w:hint="eastAsia" w:ascii="宋体" w:hAnsi="宋体" w:cs="宋体"/>
          <w:color w:val="auto"/>
          <w:highlight w:val="none"/>
        </w:rPr>
        <w:t>。</w:t>
      </w:r>
    </w:p>
    <w:p w14:paraId="2A43B71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4.1.2 投标文件封套上应写明的内容：见投标人须知前附表。</w:t>
      </w:r>
    </w:p>
    <w:p w14:paraId="61B97AD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4.1.3 未按本章第4.1.1项或第4.1.2项要求密封和加写标记的投标文件，招标人不予受理。</w:t>
      </w:r>
    </w:p>
    <w:p w14:paraId="61BED6E6">
      <w:pPr>
        <w:pStyle w:val="4"/>
        <w:rPr>
          <w:rFonts w:hint="eastAsia"/>
          <w:color w:val="auto"/>
          <w:highlight w:val="none"/>
        </w:rPr>
      </w:pPr>
      <w:bookmarkStart w:id="268" w:name="_Toc152045557"/>
      <w:bookmarkStart w:id="269" w:name="_Toc247527582"/>
      <w:bookmarkStart w:id="270" w:name="_Toc87238918"/>
      <w:bookmarkStart w:id="271" w:name="_Toc152042333"/>
      <w:bookmarkStart w:id="272" w:name="_Toc3388"/>
      <w:bookmarkStart w:id="273" w:name="_Toc144974525"/>
      <w:bookmarkStart w:id="274" w:name="_Toc134304550"/>
      <w:bookmarkStart w:id="275" w:name="_Toc247513981"/>
      <w:r>
        <w:rPr>
          <w:rFonts w:hint="eastAsia"/>
          <w:color w:val="auto"/>
          <w:highlight w:val="none"/>
        </w:rPr>
        <w:t>4.2 投标文件的递交</w:t>
      </w:r>
      <w:bookmarkEnd w:id="268"/>
      <w:bookmarkEnd w:id="269"/>
      <w:bookmarkEnd w:id="270"/>
      <w:bookmarkEnd w:id="271"/>
      <w:bookmarkEnd w:id="272"/>
      <w:bookmarkEnd w:id="273"/>
      <w:bookmarkEnd w:id="274"/>
      <w:bookmarkEnd w:id="275"/>
    </w:p>
    <w:p w14:paraId="4D7A6CB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4.2.1 投标人应在第2.2.2项规定的投标截止时间前递交投标文件。</w:t>
      </w:r>
    </w:p>
    <w:p w14:paraId="5265F62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4.2.2 投标人递交投标文件的地点：见投标人须知前附表。</w:t>
      </w:r>
    </w:p>
    <w:p w14:paraId="13DE1ED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4.2.3 除投标人须知前附表另有规定外，投标人所递交的投标文件不予退还。</w:t>
      </w:r>
    </w:p>
    <w:p w14:paraId="6A5F8A5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4.2.4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完</w:t>
      </w:r>
      <w:r>
        <w:rPr>
          <w:rFonts w:hint="eastAsia" w:ascii="宋体" w:hAnsi="宋体" w:cs="宋体"/>
          <w:color w:val="auto"/>
          <w:szCs w:val="21"/>
          <w:highlight w:val="none"/>
          <w:u w:val="single"/>
        </w:rPr>
        <w:t>成</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上</w:t>
      </w:r>
      <w:r>
        <w:rPr>
          <w:rFonts w:hint="eastAsia" w:ascii="宋体" w:hAnsi="宋体" w:cs="宋体"/>
          <w:color w:val="auto"/>
          <w:spacing w:val="-2"/>
          <w:szCs w:val="21"/>
          <w:highlight w:val="none"/>
          <w:u w:val="single"/>
        </w:rPr>
        <w:t>传</w:t>
      </w:r>
      <w:r>
        <w:rPr>
          <w:rFonts w:hint="eastAsia" w:ascii="宋体" w:hAnsi="宋体" w:cs="宋体"/>
          <w:color w:val="auto"/>
          <w:szCs w:val="21"/>
          <w:highlight w:val="none"/>
          <w:u w:val="single"/>
        </w:rPr>
        <w:t>后</w:t>
      </w:r>
      <w:r>
        <w:rPr>
          <w:rFonts w:hint="eastAsia" w:ascii="宋体" w:hAnsi="宋体" w:cs="宋体"/>
          <w:color w:val="auto"/>
          <w:spacing w:val="-5"/>
          <w:szCs w:val="21"/>
          <w:highlight w:val="none"/>
          <w:u w:val="single"/>
        </w:rPr>
        <w:t>，</w:t>
      </w:r>
      <w:r>
        <w:rPr>
          <w:rFonts w:hint="eastAsia" w:ascii="宋体" w:hAnsi="宋体" w:cs="宋体"/>
          <w:color w:val="auto"/>
          <w:szCs w:val="21"/>
          <w:highlight w:val="none"/>
          <w:u w:val="single"/>
        </w:rPr>
        <w:t>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w:t>
      </w:r>
      <w:r>
        <w:rPr>
          <w:rFonts w:hint="eastAsia" w:ascii="宋体" w:hAnsi="宋体" w:cs="宋体"/>
          <w:color w:val="auto"/>
          <w:spacing w:val="-2"/>
          <w:szCs w:val="21"/>
          <w:highlight w:val="none"/>
          <w:u w:val="single"/>
        </w:rPr>
        <w:t>即</w:t>
      </w:r>
      <w:r>
        <w:rPr>
          <w:rFonts w:hint="eastAsia" w:ascii="宋体" w:hAnsi="宋体" w:cs="宋体"/>
          <w:color w:val="auto"/>
          <w:szCs w:val="21"/>
          <w:highlight w:val="none"/>
          <w:u w:val="single"/>
        </w:rPr>
        <w:t>时</w:t>
      </w:r>
      <w:r>
        <w:rPr>
          <w:rFonts w:hint="eastAsia" w:ascii="宋体" w:hAnsi="宋体" w:cs="宋体"/>
          <w:color w:val="auto"/>
          <w:spacing w:val="-2"/>
          <w:szCs w:val="21"/>
          <w:highlight w:val="none"/>
          <w:u w:val="single"/>
        </w:rPr>
        <w:t>向</w:t>
      </w:r>
      <w:r>
        <w:rPr>
          <w:rFonts w:hint="eastAsia" w:ascii="宋体" w:hAnsi="宋体" w:cs="宋体"/>
          <w:color w:val="auto"/>
          <w:szCs w:val="21"/>
          <w:highlight w:val="none"/>
          <w:u w:val="single"/>
        </w:rPr>
        <w:t>投标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发</w:t>
      </w:r>
      <w:r>
        <w:rPr>
          <w:rFonts w:hint="eastAsia" w:ascii="宋体" w:hAnsi="宋体" w:cs="宋体"/>
          <w:color w:val="auto"/>
          <w:spacing w:val="-2"/>
          <w:szCs w:val="21"/>
          <w:highlight w:val="none"/>
          <w:u w:val="single"/>
        </w:rPr>
        <w:t>出</w:t>
      </w:r>
      <w:r>
        <w:rPr>
          <w:rFonts w:hint="eastAsia" w:ascii="宋体" w:hAnsi="宋体" w:cs="宋体"/>
          <w:color w:val="auto"/>
          <w:szCs w:val="21"/>
          <w:highlight w:val="none"/>
          <w:u w:val="single"/>
        </w:rPr>
        <w:t>递交回</w:t>
      </w:r>
      <w:r>
        <w:rPr>
          <w:rFonts w:hint="eastAsia" w:ascii="宋体" w:hAnsi="宋体" w:cs="宋体"/>
          <w:color w:val="auto"/>
          <w:spacing w:val="-2"/>
          <w:szCs w:val="21"/>
          <w:highlight w:val="none"/>
          <w:u w:val="single"/>
        </w:rPr>
        <w:t>执</w:t>
      </w:r>
      <w:r>
        <w:rPr>
          <w:rFonts w:hint="eastAsia" w:ascii="宋体" w:hAnsi="宋体" w:cs="宋体"/>
          <w:color w:val="auto"/>
          <w:szCs w:val="21"/>
          <w:highlight w:val="none"/>
          <w:u w:val="single"/>
        </w:rPr>
        <w:t>通</w:t>
      </w:r>
      <w:r>
        <w:rPr>
          <w:rFonts w:hint="eastAsia" w:ascii="宋体" w:hAnsi="宋体" w:cs="宋体"/>
          <w:color w:val="auto"/>
          <w:spacing w:val="-3"/>
          <w:szCs w:val="21"/>
          <w:highlight w:val="none"/>
          <w:u w:val="single"/>
        </w:rPr>
        <w:t>知</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递</w:t>
      </w:r>
      <w:r>
        <w:rPr>
          <w:rFonts w:hint="eastAsia" w:ascii="宋体" w:hAnsi="宋体" w:cs="宋体"/>
          <w:color w:val="auto"/>
          <w:szCs w:val="21"/>
          <w:highlight w:val="none"/>
          <w:u w:val="single"/>
        </w:rPr>
        <w:t>交</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间</w:t>
      </w:r>
      <w:r>
        <w:rPr>
          <w:rFonts w:hint="eastAsia" w:ascii="宋体" w:hAnsi="宋体" w:cs="宋体"/>
          <w:color w:val="auto"/>
          <w:spacing w:val="-2"/>
          <w:szCs w:val="21"/>
          <w:highlight w:val="none"/>
          <w:u w:val="single"/>
        </w:rPr>
        <w:t>以</w:t>
      </w:r>
      <w:r>
        <w:rPr>
          <w:rFonts w:hint="eastAsia" w:ascii="宋体" w:hAnsi="宋体" w:cs="宋体"/>
          <w:color w:val="auto"/>
          <w:szCs w:val="21"/>
          <w:highlight w:val="none"/>
          <w:u w:val="single"/>
        </w:rPr>
        <w:t>递交</w:t>
      </w:r>
      <w:r>
        <w:rPr>
          <w:rFonts w:hint="eastAsia" w:ascii="宋体" w:hAnsi="宋体" w:cs="宋体"/>
          <w:color w:val="auto"/>
          <w:spacing w:val="-2"/>
          <w:szCs w:val="21"/>
          <w:highlight w:val="none"/>
          <w:u w:val="single"/>
        </w:rPr>
        <w:t>回</w:t>
      </w:r>
      <w:r>
        <w:rPr>
          <w:rFonts w:hint="eastAsia" w:ascii="宋体" w:hAnsi="宋体" w:cs="宋体"/>
          <w:color w:val="auto"/>
          <w:szCs w:val="21"/>
          <w:highlight w:val="none"/>
          <w:u w:val="single"/>
        </w:rPr>
        <w:t>执</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载</w:t>
      </w:r>
      <w:r>
        <w:rPr>
          <w:rFonts w:hint="eastAsia" w:ascii="宋体" w:hAnsi="宋体" w:cs="宋体"/>
          <w:color w:val="auto"/>
          <w:szCs w:val="21"/>
          <w:highlight w:val="none"/>
          <w:u w:val="single"/>
        </w:rPr>
        <w:t>明</w:t>
      </w:r>
      <w:r>
        <w:rPr>
          <w:rFonts w:hint="eastAsia" w:ascii="宋体" w:hAnsi="宋体" w:cs="宋体"/>
          <w:color w:val="auto"/>
          <w:spacing w:val="-2"/>
          <w:szCs w:val="21"/>
          <w:highlight w:val="none"/>
          <w:u w:val="single"/>
        </w:rPr>
        <w:t>的</w:t>
      </w:r>
      <w:r>
        <w:rPr>
          <w:rFonts w:hint="eastAsia" w:ascii="宋体" w:hAnsi="宋体" w:cs="宋体"/>
          <w:color w:val="auto"/>
          <w:szCs w:val="21"/>
          <w:highlight w:val="none"/>
          <w:u w:val="single"/>
        </w:rPr>
        <w:t>传</w:t>
      </w:r>
      <w:r>
        <w:rPr>
          <w:rFonts w:hint="eastAsia" w:ascii="宋体" w:hAnsi="宋体" w:cs="宋体"/>
          <w:color w:val="auto"/>
          <w:spacing w:val="-2"/>
          <w:szCs w:val="21"/>
          <w:highlight w:val="none"/>
          <w:u w:val="single"/>
        </w:rPr>
        <w:t>输</w:t>
      </w:r>
      <w:r>
        <w:rPr>
          <w:rFonts w:hint="eastAsia" w:ascii="宋体" w:hAnsi="宋体" w:cs="宋体"/>
          <w:color w:val="auto"/>
          <w:szCs w:val="21"/>
          <w:highlight w:val="none"/>
          <w:u w:val="single"/>
        </w:rPr>
        <w:t>完成</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间</w:t>
      </w:r>
      <w:r>
        <w:rPr>
          <w:rFonts w:hint="eastAsia" w:ascii="宋体" w:hAnsi="宋体" w:cs="宋体"/>
          <w:color w:val="auto"/>
          <w:spacing w:val="-2"/>
          <w:szCs w:val="21"/>
          <w:highlight w:val="none"/>
          <w:u w:val="single"/>
        </w:rPr>
        <w:t>为</w:t>
      </w:r>
      <w:r>
        <w:rPr>
          <w:rFonts w:hint="eastAsia" w:ascii="宋体" w:hAnsi="宋体" w:cs="宋体"/>
          <w:color w:val="auto"/>
          <w:szCs w:val="21"/>
          <w:highlight w:val="none"/>
          <w:u w:val="single"/>
        </w:rPr>
        <w:t>准</w:t>
      </w:r>
      <w:r>
        <w:rPr>
          <w:rFonts w:hint="eastAsia" w:ascii="宋体" w:hAnsi="宋体" w:cs="宋体"/>
          <w:color w:val="auto"/>
          <w:highlight w:val="none"/>
        </w:rPr>
        <w:t>。</w:t>
      </w:r>
    </w:p>
    <w:p w14:paraId="2FF6A97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4.2.5 </w:t>
      </w:r>
      <w:r>
        <w:rPr>
          <w:rFonts w:hint="eastAsia" w:ascii="宋体" w:hAnsi="宋体" w:cs="宋体"/>
          <w:color w:val="auto"/>
          <w:spacing w:val="-2"/>
          <w:szCs w:val="21"/>
          <w:highlight w:val="none"/>
          <w:u w:val="single"/>
        </w:rPr>
        <w:t>逾</w:t>
      </w:r>
      <w:r>
        <w:rPr>
          <w:rFonts w:hint="eastAsia" w:ascii="宋体" w:hAnsi="宋体" w:cs="宋体"/>
          <w:color w:val="auto"/>
          <w:szCs w:val="21"/>
          <w:highlight w:val="none"/>
          <w:u w:val="single"/>
        </w:rPr>
        <w:t>期</w:t>
      </w:r>
      <w:r>
        <w:rPr>
          <w:rFonts w:hint="eastAsia" w:ascii="宋体" w:hAnsi="宋体" w:cs="宋体"/>
          <w:color w:val="auto"/>
          <w:spacing w:val="-2"/>
          <w:szCs w:val="21"/>
          <w:highlight w:val="none"/>
          <w:u w:val="single"/>
        </w:rPr>
        <w:t>送</w:t>
      </w:r>
      <w:r>
        <w:rPr>
          <w:rFonts w:hint="eastAsia" w:ascii="宋体" w:hAnsi="宋体" w:cs="宋体"/>
          <w:color w:val="auto"/>
          <w:szCs w:val="21"/>
          <w:highlight w:val="none"/>
          <w:u w:val="single"/>
        </w:rPr>
        <w:t>达</w:t>
      </w:r>
      <w:r>
        <w:rPr>
          <w:rFonts w:hint="eastAsia" w:ascii="宋体" w:hAnsi="宋体" w:cs="宋体"/>
          <w:color w:val="auto"/>
          <w:spacing w:val="-2"/>
          <w:szCs w:val="21"/>
          <w:highlight w:val="none"/>
          <w:u w:val="single"/>
        </w:rPr>
        <w:t>的投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将</w:t>
      </w:r>
      <w:r>
        <w:rPr>
          <w:rFonts w:hint="eastAsia" w:ascii="宋体" w:hAnsi="宋体" w:cs="宋体"/>
          <w:color w:val="auto"/>
          <w:spacing w:val="-2"/>
          <w:szCs w:val="21"/>
          <w:highlight w:val="none"/>
          <w:u w:val="single"/>
        </w:rPr>
        <w:t>予</w:t>
      </w:r>
      <w:r>
        <w:rPr>
          <w:rFonts w:hint="eastAsia" w:ascii="宋体" w:hAnsi="宋体" w:cs="宋体"/>
          <w:color w:val="auto"/>
          <w:szCs w:val="21"/>
          <w:highlight w:val="none"/>
          <w:u w:val="single"/>
        </w:rPr>
        <w:t>以</w:t>
      </w:r>
      <w:r>
        <w:rPr>
          <w:rFonts w:hint="eastAsia" w:ascii="宋体" w:hAnsi="宋体" w:cs="宋体"/>
          <w:color w:val="auto"/>
          <w:spacing w:val="-2"/>
          <w:szCs w:val="21"/>
          <w:highlight w:val="none"/>
          <w:u w:val="single"/>
        </w:rPr>
        <w:t>拒</w:t>
      </w:r>
      <w:r>
        <w:rPr>
          <w:rFonts w:hint="eastAsia" w:ascii="宋体" w:hAnsi="宋体" w:cs="宋体"/>
          <w:color w:val="auto"/>
          <w:szCs w:val="21"/>
          <w:highlight w:val="none"/>
          <w:u w:val="single"/>
        </w:rPr>
        <w:t>收</w:t>
      </w:r>
      <w:r>
        <w:rPr>
          <w:rFonts w:hint="eastAsia" w:ascii="宋体" w:hAnsi="宋体" w:cs="宋体"/>
          <w:color w:val="auto"/>
          <w:highlight w:val="none"/>
        </w:rPr>
        <w:t>。</w:t>
      </w:r>
    </w:p>
    <w:p w14:paraId="23268505">
      <w:pPr>
        <w:pStyle w:val="4"/>
        <w:rPr>
          <w:rFonts w:hint="eastAsia"/>
          <w:color w:val="auto"/>
          <w:highlight w:val="none"/>
        </w:rPr>
      </w:pPr>
      <w:bookmarkStart w:id="276" w:name="_Toc152045558"/>
      <w:bookmarkStart w:id="277" w:name="_Toc134304551"/>
      <w:bookmarkStart w:id="278" w:name="_Toc247527583"/>
      <w:bookmarkStart w:id="279" w:name="_Toc87238919"/>
      <w:bookmarkStart w:id="280" w:name="_Toc152042334"/>
      <w:bookmarkStart w:id="281" w:name="_Toc144974526"/>
      <w:bookmarkStart w:id="282" w:name="_Toc247513982"/>
      <w:bookmarkStart w:id="283" w:name="_Toc23264"/>
      <w:r>
        <w:rPr>
          <w:rFonts w:hint="eastAsia"/>
          <w:color w:val="auto"/>
          <w:highlight w:val="none"/>
        </w:rPr>
        <w:t>4.3 投标文件的修改与撤回</w:t>
      </w:r>
      <w:bookmarkEnd w:id="276"/>
      <w:bookmarkEnd w:id="277"/>
      <w:bookmarkEnd w:id="278"/>
      <w:bookmarkEnd w:id="279"/>
      <w:bookmarkEnd w:id="280"/>
      <w:bookmarkEnd w:id="281"/>
      <w:bookmarkEnd w:id="282"/>
      <w:bookmarkEnd w:id="283"/>
    </w:p>
    <w:p w14:paraId="16CB6B3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4.3.1 在本章第2.2.2项规定的投标截止时间前，投标人可以修改或撤回已递交的投标文件，但应以书面形式通知招标人。</w:t>
      </w:r>
    </w:p>
    <w:p w14:paraId="3DB9681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4.3.2 </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修</w:t>
      </w:r>
      <w:r>
        <w:rPr>
          <w:rFonts w:hint="eastAsia" w:ascii="宋体" w:hAnsi="宋体" w:cs="宋体"/>
          <w:color w:val="auto"/>
          <w:spacing w:val="-2"/>
          <w:szCs w:val="21"/>
          <w:highlight w:val="none"/>
          <w:u w:val="single"/>
        </w:rPr>
        <w:t>改或</w:t>
      </w:r>
      <w:r>
        <w:rPr>
          <w:rFonts w:hint="eastAsia" w:ascii="宋体" w:hAnsi="宋体" w:cs="宋体"/>
          <w:color w:val="auto"/>
          <w:szCs w:val="21"/>
          <w:highlight w:val="none"/>
          <w:u w:val="single"/>
        </w:rPr>
        <w:t>撤回</w:t>
      </w:r>
      <w:r>
        <w:rPr>
          <w:rFonts w:hint="eastAsia" w:ascii="宋体" w:hAnsi="宋体" w:cs="宋体"/>
          <w:color w:val="auto"/>
          <w:spacing w:val="-2"/>
          <w:szCs w:val="21"/>
          <w:highlight w:val="none"/>
          <w:u w:val="single"/>
        </w:rPr>
        <w:t>已</w:t>
      </w:r>
      <w:r>
        <w:rPr>
          <w:rFonts w:hint="eastAsia" w:ascii="宋体" w:hAnsi="宋体" w:cs="宋体"/>
          <w:color w:val="auto"/>
          <w:szCs w:val="21"/>
          <w:highlight w:val="none"/>
          <w:u w:val="single"/>
        </w:rPr>
        <w:t>递</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的</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应</w:t>
      </w:r>
      <w:r>
        <w:rPr>
          <w:rFonts w:hint="eastAsia" w:ascii="宋体" w:hAnsi="宋体" w:cs="宋体"/>
          <w:color w:val="auto"/>
          <w:szCs w:val="21"/>
          <w:highlight w:val="none"/>
          <w:u w:val="single"/>
        </w:rPr>
        <w:t>按</w:t>
      </w:r>
      <w:r>
        <w:rPr>
          <w:rFonts w:hint="eastAsia" w:ascii="宋体" w:hAnsi="宋体" w:cs="宋体"/>
          <w:color w:val="auto"/>
          <w:spacing w:val="-2"/>
          <w:szCs w:val="21"/>
          <w:highlight w:val="none"/>
          <w:u w:val="single"/>
        </w:rPr>
        <w:t>照</w:t>
      </w:r>
      <w:r>
        <w:rPr>
          <w:rFonts w:hint="eastAsia" w:ascii="宋体" w:hAnsi="宋体" w:cs="宋体"/>
          <w:color w:val="auto"/>
          <w:szCs w:val="21"/>
          <w:highlight w:val="none"/>
          <w:u w:val="single"/>
        </w:rPr>
        <w:t>本</w:t>
      </w:r>
      <w:r>
        <w:rPr>
          <w:rFonts w:hint="eastAsia" w:ascii="宋体" w:hAnsi="宋体" w:cs="宋体"/>
          <w:color w:val="auto"/>
          <w:spacing w:val="-2"/>
          <w:szCs w:val="21"/>
          <w:highlight w:val="none"/>
          <w:u w:val="single"/>
        </w:rPr>
        <w:t>章</w:t>
      </w:r>
      <w:r>
        <w:rPr>
          <w:rFonts w:hint="eastAsia" w:ascii="宋体" w:hAnsi="宋体" w:cs="宋体"/>
          <w:color w:val="auto"/>
          <w:szCs w:val="21"/>
          <w:highlight w:val="none"/>
          <w:u w:val="single"/>
        </w:rPr>
        <w:t>第3</w:t>
      </w:r>
      <w:r>
        <w:rPr>
          <w:rFonts w:hint="eastAsia" w:ascii="宋体" w:hAnsi="宋体" w:cs="宋体"/>
          <w:color w:val="auto"/>
          <w:spacing w:val="-2"/>
          <w:szCs w:val="21"/>
          <w:highlight w:val="none"/>
          <w:u w:val="single"/>
        </w:rPr>
        <w:t>.</w:t>
      </w:r>
      <w:r>
        <w:rPr>
          <w:rFonts w:hint="eastAsia" w:ascii="宋体" w:hAnsi="宋体" w:cs="宋体"/>
          <w:color w:val="auto"/>
          <w:szCs w:val="21"/>
          <w:highlight w:val="none"/>
          <w:u w:val="single"/>
        </w:rPr>
        <w:t>7.3项</w:t>
      </w:r>
      <w:r>
        <w:rPr>
          <w:rFonts w:hint="eastAsia" w:ascii="宋体" w:hAnsi="宋体" w:cs="宋体"/>
          <w:color w:val="auto"/>
          <w:spacing w:val="-2"/>
          <w:szCs w:val="21"/>
          <w:highlight w:val="none"/>
          <w:u w:val="single"/>
        </w:rPr>
        <w:t>的</w:t>
      </w:r>
      <w:r>
        <w:rPr>
          <w:rFonts w:hint="eastAsia" w:ascii="宋体" w:hAnsi="宋体" w:cs="宋体"/>
          <w:color w:val="auto"/>
          <w:szCs w:val="21"/>
          <w:highlight w:val="none"/>
          <w:u w:val="single"/>
        </w:rPr>
        <w:t>要求加盖</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印</w:t>
      </w:r>
      <w:r>
        <w:rPr>
          <w:rFonts w:hint="eastAsia" w:ascii="宋体" w:hAnsi="宋体" w:cs="宋体"/>
          <w:color w:val="auto"/>
          <w:szCs w:val="21"/>
          <w:highlight w:val="none"/>
          <w:u w:val="single"/>
        </w:rPr>
        <w:t>章</w:t>
      </w:r>
      <w:r>
        <w:rPr>
          <w:rFonts w:hint="eastAsia" w:ascii="宋体" w:hAnsi="宋体" w:cs="宋体"/>
          <w:color w:val="auto"/>
          <w:spacing w:val="-3"/>
          <w:szCs w:val="21"/>
          <w:highlight w:val="none"/>
          <w:u w:val="single"/>
        </w:rPr>
        <w:t>。</w:t>
      </w:r>
      <w:r>
        <w:rPr>
          <w:rFonts w:hint="eastAsia" w:ascii="宋体" w:hAnsi="宋体" w:cs="宋体"/>
          <w:color w:val="auto"/>
          <w:szCs w:val="21"/>
          <w:highlight w:val="none"/>
          <w:u w:val="single"/>
        </w:rPr>
        <w:t>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投标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w:t>
      </w:r>
      <w:r>
        <w:rPr>
          <w:rFonts w:hint="eastAsia" w:ascii="宋体" w:hAnsi="宋体" w:cs="宋体"/>
          <w:color w:val="auto"/>
          <w:spacing w:val="-2"/>
          <w:szCs w:val="21"/>
          <w:highlight w:val="none"/>
          <w:u w:val="single"/>
        </w:rPr>
        <w:t>收</w:t>
      </w:r>
      <w:r>
        <w:rPr>
          <w:rFonts w:hint="eastAsia" w:ascii="宋体" w:hAnsi="宋体" w:cs="宋体"/>
          <w:color w:val="auto"/>
          <w:szCs w:val="21"/>
          <w:highlight w:val="none"/>
          <w:u w:val="single"/>
        </w:rPr>
        <w:t>到</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后</w:t>
      </w:r>
      <w:r>
        <w:rPr>
          <w:rFonts w:hint="eastAsia" w:ascii="宋体" w:hAnsi="宋体" w:cs="宋体"/>
          <w:color w:val="auto"/>
          <w:szCs w:val="21"/>
          <w:highlight w:val="none"/>
          <w:u w:val="single"/>
        </w:rPr>
        <w:t>，即</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向</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发</w:t>
      </w:r>
      <w:r>
        <w:rPr>
          <w:rFonts w:hint="eastAsia" w:ascii="宋体" w:hAnsi="宋体" w:cs="宋体"/>
          <w:color w:val="auto"/>
          <w:spacing w:val="-2"/>
          <w:szCs w:val="21"/>
          <w:highlight w:val="none"/>
          <w:u w:val="single"/>
        </w:rPr>
        <w:t>出</w:t>
      </w:r>
      <w:r>
        <w:rPr>
          <w:rFonts w:hint="eastAsia" w:ascii="宋体" w:hAnsi="宋体" w:cs="宋体"/>
          <w:color w:val="auto"/>
          <w:szCs w:val="21"/>
          <w:highlight w:val="none"/>
          <w:u w:val="single"/>
        </w:rPr>
        <w:t>确</w:t>
      </w:r>
      <w:r>
        <w:rPr>
          <w:rFonts w:hint="eastAsia" w:ascii="宋体" w:hAnsi="宋体" w:cs="宋体"/>
          <w:color w:val="auto"/>
          <w:spacing w:val="-2"/>
          <w:szCs w:val="21"/>
          <w:highlight w:val="none"/>
          <w:u w:val="single"/>
        </w:rPr>
        <w:t>认</w:t>
      </w:r>
      <w:r>
        <w:rPr>
          <w:rFonts w:hint="eastAsia" w:ascii="宋体" w:hAnsi="宋体" w:cs="宋体"/>
          <w:color w:val="auto"/>
          <w:szCs w:val="21"/>
          <w:highlight w:val="none"/>
          <w:u w:val="single"/>
        </w:rPr>
        <w:t>回执</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highlight w:val="none"/>
        </w:rPr>
        <w:t>。</w:t>
      </w:r>
    </w:p>
    <w:p w14:paraId="19596D5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4.3.3 投标人撤回投标文件的，招标人自收到投标人书面撤回通知之日起5日内退还已收取的投标保证金。</w:t>
      </w:r>
    </w:p>
    <w:p w14:paraId="654D41A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4.3.4 修改的内容为投标文件的组成部分。修改的投标文件应按照本章第3条、第4条规定进行编制、密封、标记和递交，并标明“修改”字样。</w:t>
      </w:r>
    </w:p>
    <w:p w14:paraId="747B9F0F">
      <w:pPr>
        <w:pStyle w:val="3"/>
        <w:rPr>
          <w:color w:val="auto"/>
          <w:highlight w:val="none"/>
        </w:rPr>
      </w:pPr>
      <w:bookmarkStart w:id="284" w:name="_Toc247513983"/>
      <w:bookmarkStart w:id="285" w:name="_Toc6688"/>
      <w:bookmarkStart w:id="286" w:name="_Toc144974527"/>
      <w:bookmarkStart w:id="287" w:name="_Toc134304552"/>
      <w:bookmarkStart w:id="288" w:name="_Toc247527584"/>
      <w:bookmarkStart w:id="289" w:name="_Toc152045559"/>
      <w:bookmarkStart w:id="290" w:name="_Toc152042335"/>
      <w:r>
        <w:rPr>
          <w:rFonts w:hint="eastAsia"/>
          <w:color w:val="auto"/>
          <w:highlight w:val="none"/>
        </w:rPr>
        <w:t>5. 开标</w:t>
      </w:r>
      <w:bookmarkEnd w:id="284"/>
      <w:bookmarkEnd w:id="285"/>
      <w:bookmarkEnd w:id="286"/>
      <w:bookmarkEnd w:id="287"/>
      <w:bookmarkEnd w:id="288"/>
      <w:bookmarkEnd w:id="289"/>
      <w:bookmarkEnd w:id="290"/>
    </w:p>
    <w:p w14:paraId="012F266E">
      <w:pPr>
        <w:pStyle w:val="4"/>
        <w:rPr>
          <w:rFonts w:hint="eastAsia"/>
          <w:color w:val="auto"/>
          <w:highlight w:val="none"/>
        </w:rPr>
      </w:pPr>
      <w:bookmarkStart w:id="291" w:name="_Toc152042336"/>
      <w:bookmarkStart w:id="292" w:name="_Toc152045560"/>
      <w:bookmarkStart w:id="293" w:name="_Toc16458"/>
      <w:bookmarkStart w:id="294" w:name="_Toc134304553"/>
      <w:bookmarkStart w:id="295" w:name="_Toc87238921"/>
      <w:bookmarkStart w:id="296" w:name="_Toc144974528"/>
      <w:bookmarkStart w:id="297" w:name="_Toc247527585"/>
      <w:bookmarkStart w:id="298" w:name="_Toc247513984"/>
      <w:r>
        <w:rPr>
          <w:rFonts w:hint="eastAsia"/>
          <w:color w:val="auto"/>
          <w:highlight w:val="none"/>
        </w:rPr>
        <w:t>5.1 开标时间和地点</w:t>
      </w:r>
      <w:bookmarkEnd w:id="291"/>
      <w:bookmarkEnd w:id="292"/>
      <w:bookmarkEnd w:id="293"/>
      <w:bookmarkEnd w:id="294"/>
      <w:bookmarkEnd w:id="295"/>
      <w:bookmarkEnd w:id="296"/>
      <w:bookmarkEnd w:id="297"/>
      <w:bookmarkEnd w:id="298"/>
    </w:p>
    <w:p w14:paraId="30FF323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招标人在本章第2.2.2项规定的投标截止时间（开标时间）和投标人须知前附表规定的地点公开开标，并邀请所有投标人的法定代表人或其委托代理人准时参加。</w:t>
      </w:r>
    </w:p>
    <w:p w14:paraId="3114340B">
      <w:pPr>
        <w:pStyle w:val="4"/>
        <w:rPr>
          <w:rFonts w:hint="eastAsia"/>
          <w:color w:val="auto"/>
          <w:highlight w:val="none"/>
        </w:rPr>
      </w:pPr>
      <w:bookmarkStart w:id="299" w:name="_Toc134304554"/>
      <w:bookmarkStart w:id="300" w:name="_Toc144974529"/>
      <w:bookmarkStart w:id="301" w:name="_Toc19643"/>
      <w:bookmarkStart w:id="302" w:name="_Toc87238922"/>
      <w:bookmarkStart w:id="303" w:name="_Toc247513985"/>
      <w:bookmarkStart w:id="304" w:name="_Toc152042337"/>
      <w:bookmarkStart w:id="305" w:name="_Toc152045561"/>
      <w:bookmarkStart w:id="306" w:name="_Toc247527586"/>
      <w:r>
        <w:rPr>
          <w:rFonts w:hint="eastAsia"/>
          <w:color w:val="auto"/>
          <w:highlight w:val="none"/>
        </w:rPr>
        <w:t>5.2 开标程序</w:t>
      </w:r>
      <w:bookmarkEnd w:id="299"/>
      <w:bookmarkEnd w:id="300"/>
      <w:bookmarkEnd w:id="301"/>
      <w:bookmarkEnd w:id="302"/>
      <w:bookmarkEnd w:id="303"/>
      <w:bookmarkEnd w:id="304"/>
      <w:bookmarkEnd w:id="305"/>
      <w:bookmarkEnd w:id="306"/>
    </w:p>
    <w:p w14:paraId="2DE903B4">
      <w:pPr>
        <w:snapToGrid w:val="0"/>
        <w:spacing w:line="360" w:lineRule="auto"/>
        <w:ind w:firstLine="420" w:firstLineChars="200"/>
        <w:rPr>
          <w:rFonts w:hint="eastAsia" w:ascii="宋体" w:hAnsi="宋体" w:cs="新宋体"/>
          <w:color w:val="auto"/>
          <w:szCs w:val="21"/>
          <w:highlight w:val="none"/>
          <w:u w:val="single"/>
        </w:rPr>
      </w:pPr>
      <w:bookmarkStart w:id="307" w:name="_Toc27275"/>
      <w:r>
        <w:rPr>
          <w:rFonts w:hint="eastAsia" w:ascii="宋体" w:hAnsi="宋体" w:cs="新宋体"/>
          <w:color w:val="auto"/>
          <w:szCs w:val="21"/>
          <w:highlight w:val="none"/>
          <w:u w:val="single"/>
        </w:rPr>
        <w:t>主持人按下列程序进行开标：</w:t>
      </w:r>
    </w:p>
    <w:p w14:paraId="7F726D77">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（1）宣布开标纪律；</w:t>
      </w:r>
    </w:p>
    <w:p w14:paraId="37159C02">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（2）公布在投标截止时间前递交投标文件的投标人名称；</w:t>
      </w:r>
    </w:p>
    <w:p w14:paraId="049F0BF1">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14:paraId="6B22487F">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（4）解密完成后，公布：a投标人名称；b投标文件递交情况；c投标文件解密情况；</w:t>
      </w:r>
      <w:r>
        <w:rPr>
          <w:rFonts w:hint="eastAsia" w:ascii="宋体" w:hAnsi="宋体" w:cs="新宋体"/>
          <w:strike/>
          <w:color w:val="auto"/>
          <w:szCs w:val="21"/>
          <w:highlight w:val="none"/>
          <w:u w:val="single"/>
        </w:rPr>
        <w:t>d投标担保递交情况；</w:t>
      </w:r>
      <w:r>
        <w:rPr>
          <w:rFonts w:hint="eastAsia" w:ascii="宋体" w:hAnsi="宋体" w:cs="新宋体"/>
          <w:color w:val="auto"/>
          <w:szCs w:val="21"/>
          <w:highlight w:val="none"/>
          <w:u w:val="single"/>
        </w:rPr>
        <w:t>d项目负责人（兼施工负责人）、设计负责人、</w:t>
      </w:r>
      <w:r>
        <w:rPr>
          <w:rFonts w:hint="eastAsia" w:ascii="宋体" w:hAnsi="宋体" w:cs="新宋体"/>
          <w:strike/>
          <w:color w:val="auto"/>
          <w:szCs w:val="21"/>
          <w:highlight w:val="none"/>
          <w:u w:val="single"/>
        </w:rPr>
        <w:t>施工负责人、</w:t>
      </w:r>
      <w:r>
        <w:rPr>
          <w:rFonts w:hint="eastAsia" w:ascii="宋体" w:hAnsi="宋体" w:cs="新宋体"/>
          <w:color w:val="auto"/>
          <w:szCs w:val="21"/>
          <w:highlight w:val="none"/>
          <w:u w:val="single"/>
        </w:rPr>
        <w:t>专职安全员；e投标报价（含设计报价和施工报价）；f工期；g质量标准；h投标人的加密打包投标文件电脑机器特征码等主要内容，并记录在案。未在规定时间内解密的投标文件不参与开标、评标。</w:t>
      </w:r>
    </w:p>
    <w:p w14:paraId="0EAA3FAB">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（5）截标后，开标开始时间因故推迟的，相关评标信息仍以原定的开标开始时间的信息为准。</w:t>
      </w:r>
    </w:p>
    <w:p w14:paraId="7D99349B">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（6）备用光盘的读取按“10 电子招标投标”第6点的规定执行。</w:t>
      </w:r>
    </w:p>
    <w:p w14:paraId="079EE0A9">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6AB983CB">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14C09814">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（9）投标人未参加开标或在规定的时间内未提出异议的，视为对开标无异议。</w:t>
      </w:r>
    </w:p>
    <w:p w14:paraId="606681DA">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（10）开标时，两个（含两个）以上的投标人加密打包投标文件电脑机器特征码一致的，不参与下一程序，并由评标委员会否决其投标。</w:t>
      </w:r>
    </w:p>
    <w:p w14:paraId="173CBBC4">
      <w:pPr>
        <w:snapToGrid w:val="0"/>
        <w:spacing w:line="360" w:lineRule="auto"/>
        <w:ind w:firstLine="442" w:firstLineChars="200"/>
        <w:rPr>
          <w:rFonts w:hint="eastAsia" w:ascii="宋体" w:hAnsi="宋体" w:cs="新宋体"/>
          <w:b/>
          <w:bCs/>
          <w:color w:val="auto"/>
          <w:sz w:val="22"/>
          <w:szCs w:val="22"/>
          <w:highlight w:val="none"/>
          <w:u w:val="single"/>
        </w:rPr>
      </w:pPr>
      <w:r>
        <w:rPr>
          <w:rFonts w:hint="eastAsia" w:ascii="宋体" w:hAnsi="宋体" w:cs="新宋体"/>
          <w:b/>
          <w:bCs/>
          <w:color w:val="auto"/>
          <w:sz w:val="22"/>
          <w:szCs w:val="22"/>
          <w:highlight w:val="none"/>
          <w:u w:val="single"/>
        </w:rPr>
        <w:t>（11）投标文件（设计方案）开标时不得开启，在评标时由交易平台随机编号后开启，交由评标委员会进行评审。编号所对应的投标人在设计方案评审结束前不得告知评标委员会、交易平台工作人员、招标人或招标代理机构。</w:t>
      </w:r>
    </w:p>
    <w:p w14:paraId="66F9B2F6">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（12）投标人代表、招标人代表、监标人（如有）、记录人等有关人员在开标记录上签字确认；若有关人员不签字的，不影响开标程序；</w:t>
      </w:r>
    </w:p>
    <w:p w14:paraId="4437C216">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（13）开标结束。</w:t>
      </w:r>
    </w:p>
    <w:p w14:paraId="278F0F73">
      <w:pPr>
        <w:pStyle w:val="4"/>
        <w:rPr>
          <w:rFonts w:hint="eastAsia"/>
          <w:color w:val="auto"/>
          <w:highlight w:val="none"/>
        </w:rPr>
      </w:pPr>
      <w:bookmarkStart w:id="308" w:name="_Toc87238923"/>
      <w:bookmarkStart w:id="309" w:name="_Toc134304555"/>
      <w:r>
        <w:rPr>
          <w:rFonts w:hint="eastAsia"/>
          <w:color w:val="auto"/>
          <w:highlight w:val="none"/>
        </w:rPr>
        <w:t>5.3 开标异议</w:t>
      </w:r>
      <w:bookmarkEnd w:id="307"/>
      <w:bookmarkEnd w:id="308"/>
      <w:bookmarkEnd w:id="309"/>
    </w:p>
    <w:p w14:paraId="29F1740C">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投标人对开标有异议的</w:t>
      </w:r>
      <w:bookmarkStart w:id="310" w:name="_Toc144974530"/>
      <w:bookmarkStart w:id="311" w:name="_Toc152042338"/>
      <w:bookmarkStart w:id="312" w:name="_Toc247513986"/>
      <w:bookmarkStart w:id="313" w:name="_Toc247527587"/>
      <w:bookmarkStart w:id="314" w:name="_Toc152045562"/>
      <w:bookmarkStart w:id="315" w:name="_Toc18405"/>
      <w:r>
        <w:rPr>
          <w:rFonts w:hint="eastAsia" w:ascii="宋体" w:hAnsi="宋体" w:cs="宋体"/>
          <w:color w:val="auto"/>
          <w:highlight w:val="none"/>
        </w:rPr>
        <w:t>：</w:t>
      </w:r>
      <w:r>
        <w:rPr>
          <w:rFonts w:hint="eastAsia" w:ascii="宋体" w:hAnsi="宋体" w:cs="新宋体"/>
          <w:color w:val="auto"/>
          <w:szCs w:val="21"/>
          <w:highlight w:val="none"/>
          <w:u w:val="single"/>
        </w:rPr>
        <w:t>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600F405C">
      <w:pPr>
        <w:pStyle w:val="3"/>
        <w:rPr>
          <w:color w:val="auto"/>
          <w:highlight w:val="none"/>
        </w:rPr>
      </w:pPr>
      <w:bookmarkStart w:id="316" w:name="_Toc134304556"/>
      <w:r>
        <w:rPr>
          <w:rFonts w:hint="eastAsia"/>
          <w:color w:val="auto"/>
          <w:highlight w:val="none"/>
        </w:rPr>
        <w:t>6.评标</w:t>
      </w:r>
      <w:bookmarkEnd w:id="310"/>
      <w:bookmarkEnd w:id="311"/>
      <w:bookmarkEnd w:id="312"/>
      <w:bookmarkEnd w:id="313"/>
      <w:bookmarkEnd w:id="314"/>
      <w:bookmarkEnd w:id="315"/>
      <w:bookmarkEnd w:id="316"/>
      <w:bookmarkStart w:id="317" w:name="_Toc247527588"/>
      <w:bookmarkStart w:id="318" w:name="_Toc152042339"/>
      <w:bookmarkStart w:id="319" w:name="_Toc247513987"/>
      <w:bookmarkStart w:id="320" w:name="_Toc144974531"/>
      <w:bookmarkStart w:id="321" w:name="_Toc152045563"/>
      <w:bookmarkStart w:id="322" w:name="_Toc19178"/>
    </w:p>
    <w:p w14:paraId="0D022E0B">
      <w:pPr>
        <w:pStyle w:val="4"/>
        <w:rPr>
          <w:rFonts w:hint="eastAsia"/>
          <w:color w:val="auto"/>
          <w:highlight w:val="none"/>
        </w:rPr>
      </w:pPr>
      <w:bookmarkStart w:id="323" w:name="_Toc134304557"/>
      <w:bookmarkStart w:id="324" w:name="_Toc87238925"/>
      <w:r>
        <w:rPr>
          <w:rFonts w:hint="eastAsia"/>
          <w:color w:val="auto"/>
          <w:highlight w:val="none"/>
        </w:rPr>
        <w:t>6.1 评标委员会</w:t>
      </w:r>
      <w:bookmarkEnd w:id="317"/>
      <w:bookmarkEnd w:id="318"/>
      <w:bookmarkEnd w:id="319"/>
      <w:bookmarkEnd w:id="320"/>
      <w:bookmarkEnd w:id="321"/>
      <w:bookmarkEnd w:id="322"/>
      <w:bookmarkEnd w:id="323"/>
      <w:bookmarkEnd w:id="324"/>
    </w:p>
    <w:p w14:paraId="56EB832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9B4574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3ECC0F3D">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524F623A">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4B774E02">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（3）与投标人有经济利益关系，可能影响对投标公正评审的；</w:t>
      </w:r>
    </w:p>
    <w:p w14:paraId="4768DF95">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34E1F136">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（5）与投标人有其他利害关系。</w:t>
      </w:r>
    </w:p>
    <w:p w14:paraId="602F3C37">
      <w:pPr>
        <w:pStyle w:val="35"/>
        <w:ind w:firstLine="4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6.1.3 评标过程中，评标委员会成员有回避事由、擅离职守或者因健康等原因不能继续评标的，招标人有权更换。被更换的评标委员会成员作出的评审结论无效，由更换后的评标委员会成员重新进行评审。</w:t>
      </w:r>
    </w:p>
    <w:p w14:paraId="3CCD94A3">
      <w:pPr>
        <w:pStyle w:val="35"/>
        <w:ind w:firstLine="4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6.1.4 评标委员会在开始评标前，应了解评标专家的职责及守则，认真阅读《评标委员会成员声明》的内容并签名，签字后方可进行评标。</w:t>
      </w:r>
    </w:p>
    <w:p w14:paraId="0785C79F">
      <w:pPr>
        <w:pStyle w:val="4"/>
        <w:rPr>
          <w:rFonts w:hint="eastAsia"/>
          <w:color w:val="auto"/>
          <w:highlight w:val="none"/>
        </w:rPr>
      </w:pPr>
      <w:bookmarkStart w:id="325" w:name="_Toc134304558"/>
      <w:bookmarkStart w:id="326" w:name="_Toc247513988"/>
      <w:bookmarkStart w:id="327" w:name="_Toc247527589"/>
      <w:bookmarkStart w:id="328" w:name="_Toc152042340"/>
      <w:bookmarkStart w:id="329" w:name="_Toc87238926"/>
      <w:bookmarkStart w:id="330" w:name="_Toc29261"/>
      <w:bookmarkStart w:id="331" w:name="_Toc144974532"/>
      <w:bookmarkStart w:id="332" w:name="_Toc152045564"/>
      <w:r>
        <w:rPr>
          <w:rFonts w:hint="eastAsia"/>
          <w:color w:val="auto"/>
          <w:highlight w:val="none"/>
        </w:rPr>
        <w:t>6.2 评标原则</w:t>
      </w:r>
      <w:bookmarkEnd w:id="325"/>
      <w:bookmarkEnd w:id="326"/>
      <w:bookmarkEnd w:id="327"/>
      <w:bookmarkEnd w:id="328"/>
      <w:bookmarkEnd w:id="329"/>
      <w:bookmarkEnd w:id="330"/>
      <w:bookmarkEnd w:id="331"/>
      <w:bookmarkEnd w:id="332"/>
    </w:p>
    <w:p w14:paraId="694F76B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评标活动遵循公平、公正、科学和择优的原则。</w:t>
      </w:r>
    </w:p>
    <w:p w14:paraId="1C5E7CF5">
      <w:pPr>
        <w:pStyle w:val="4"/>
        <w:rPr>
          <w:rFonts w:hint="eastAsia"/>
          <w:color w:val="auto"/>
          <w:highlight w:val="none"/>
        </w:rPr>
      </w:pPr>
      <w:bookmarkStart w:id="333" w:name="_Toc247527590"/>
      <w:bookmarkStart w:id="334" w:name="_Toc152042341"/>
      <w:bookmarkStart w:id="335" w:name="_Toc144974533"/>
      <w:bookmarkStart w:id="336" w:name="_Toc9663"/>
      <w:bookmarkStart w:id="337" w:name="_Toc87238927"/>
      <w:bookmarkStart w:id="338" w:name="_Toc247513989"/>
      <w:bookmarkStart w:id="339" w:name="_Toc152045565"/>
      <w:bookmarkStart w:id="340" w:name="_Toc134304559"/>
      <w:r>
        <w:rPr>
          <w:rFonts w:hint="eastAsia"/>
          <w:color w:val="auto"/>
          <w:highlight w:val="none"/>
        </w:rPr>
        <w:t>6.3 评标</w:t>
      </w:r>
      <w:bookmarkEnd w:id="333"/>
      <w:bookmarkEnd w:id="334"/>
      <w:bookmarkEnd w:id="335"/>
      <w:bookmarkEnd w:id="336"/>
      <w:bookmarkEnd w:id="337"/>
      <w:bookmarkEnd w:id="338"/>
      <w:bookmarkEnd w:id="339"/>
      <w:bookmarkEnd w:id="340"/>
    </w:p>
    <w:p w14:paraId="1197D99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6.3.1 评标委员会按照第三章“评标办法”规定的方法、评审因素、标准和程序对投标文件进行评审。第三章“评标办法”没有规定的方法、评审因素和标准，不作为评标依据。</w:t>
      </w:r>
    </w:p>
    <w:p w14:paraId="6215A05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6.3.2评委发现投标文件中含义不明确、对同类问题表述不一致、有明显文字和计算错误、投标报价可能低于成本影响履约的，应当要求投标人作必要的澄清、说明后再判定投标人是否通过审查，不得直接否决投标。</w:t>
      </w:r>
    </w:p>
    <w:p w14:paraId="5E947BD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6.3.3不得将文件顺序、明显的文字错误等列为否决投标的情形。评委发现资格审查文件中含义不明确、对同类问题表述不一致、有明显文字和计算错误的，应当要求投标人作必要的澄清、说明后再判定投标人是否通过审查，不得直接否决投标。</w:t>
      </w:r>
    </w:p>
    <w:p w14:paraId="2DFB0ED5">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6.3.4 评标完成后，评标委员会应当向招标人提交书面评标报告和中标候选人名单。评标委员会推荐中标候选人的人数见投标人须知前附表。</w:t>
      </w:r>
    </w:p>
    <w:p w14:paraId="0F7C10C7">
      <w:pPr>
        <w:spacing w:line="400" w:lineRule="exact"/>
        <w:ind w:firstLine="420" w:firstLineChars="200"/>
        <w:rPr>
          <w:rFonts w:hint="eastAsia" w:ascii="宋体" w:hAnsi="宋体" w:cs="宋体"/>
          <w:color w:val="auto"/>
          <w:highlight w:val="none"/>
        </w:rPr>
      </w:pPr>
    </w:p>
    <w:p w14:paraId="652A6433">
      <w:pPr>
        <w:pStyle w:val="3"/>
        <w:rPr>
          <w:color w:val="auto"/>
          <w:highlight w:val="none"/>
        </w:rPr>
      </w:pPr>
      <w:bookmarkStart w:id="341" w:name="_Toc247513990"/>
      <w:bookmarkStart w:id="342" w:name="_Toc152042342"/>
      <w:bookmarkStart w:id="343" w:name="_Toc247527591"/>
      <w:bookmarkStart w:id="344" w:name="_Toc134304560"/>
      <w:bookmarkStart w:id="345" w:name="_Toc144974534"/>
      <w:bookmarkStart w:id="346" w:name="_Toc152045566"/>
      <w:bookmarkStart w:id="347" w:name="_Toc7626"/>
      <w:r>
        <w:rPr>
          <w:rFonts w:hint="eastAsia"/>
          <w:color w:val="auto"/>
          <w:highlight w:val="none"/>
        </w:rPr>
        <w:t>7. 合同授予</w:t>
      </w:r>
      <w:bookmarkEnd w:id="341"/>
      <w:bookmarkEnd w:id="342"/>
      <w:bookmarkEnd w:id="343"/>
      <w:bookmarkEnd w:id="344"/>
      <w:bookmarkEnd w:id="345"/>
      <w:bookmarkEnd w:id="346"/>
      <w:bookmarkEnd w:id="347"/>
    </w:p>
    <w:p w14:paraId="027A7479">
      <w:pPr>
        <w:pStyle w:val="4"/>
        <w:rPr>
          <w:rFonts w:hint="eastAsia"/>
          <w:color w:val="auto"/>
          <w:highlight w:val="none"/>
        </w:rPr>
      </w:pPr>
      <w:bookmarkStart w:id="348" w:name="_Toc247527592"/>
      <w:bookmarkStart w:id="349" w:name="_Toc144974535"/>
      <w:bookmarkStart w:id="350" w:name="_Toc152042343"/>
      <w:bookmarkStart w:id="351" w:name="_Toc134304561"/>
      <w:bookmarkStart w:id="352" w:name="_Toc4338"/>
      <w:bookmarkStart w:id="353" w:name="_Toc152045567"/>
      <w:bookmarkStart w:id="354" w:name="_Toc87238929"/>
      <w:bookmarkStart w:id="355" w:name="_Toc247513991"/>
      <w:r>
        <w:rPr>
          <w:rFonts w:hint="eastAsia"/>
          <w:color w:val="auto"/>
          <w:highlight w:val="none"/>
        </w:rPr>
        <w:t>7.1 定标方式</w:t>
      </w:r>
      <w:bookmarkEnd w:id="348"/>
      <w:bookmarkEnd w:id="349"/>
      <w:bookmarkEnd w:id="350"/>
      <w:bookmarkEnd w:id="351"/>
      <w:bookmarkEnd w:id="352"/>
      <w:bookmarkEnd w:id="353"/>
      <w:bookmarkEnd w:id="354"/>
      <w:bookmarkEnd w:id="355"/>
    </w:p>
    <w:p w14:paraId="1E8B720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除投标人须知前附表规定评标委员会直接确定中标人外，招标人依据评标委员会推荐的中标候选人确定中标人，评标委员会推荐中标候选人的人数见投标人须知前附表。</w:t>
      </w:r>
    </w:p>
    <w:p w14:paraId="7AA51E3A">
      <w:pPr>
        <w:pStyle w:val="4"/>
        <w:rPr>
          <w:rFonts w:hint="eastAsia"/>
          <w:color w:val="auto"/>
          <w:highlight w:val="none"/>
        </w:rPr>
      </w:pPr>
      <w:bookmarkStart w:id="356" w:name="_Toc87238930"/>
      <w:bookmarkStart w:id="357" w:name="_Toc134304562"/>
      <w:bookmarkStart w:id="358" w:name="_Toc11852"/>
      <w:r>
        <w:rPr>
          <w:rFonts w:hint="eastAsia"/>
          <w:color w:val="auto"/>
          <w:highlight w:val="none"/>
        </w:rPr>
        <w:t>7.2 中标候选人公示</w:t>
      </w:r>
      <w:bookmarkEnd w:id="356"/>
      <w:bookmarkEnd w:id="357"/>
      <w:bookmarkEnd w:id="358"/>
    </w:p>
    <w:p w14:paraId="5530AAF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招标人在投标人须知前附表规定的媒介公示中标候选人。</w:t>
      </w:r>
    </w:p>
    <w:p w14:paraId="50A23784">
      <w:pPr>
        <w:pStyle w:val="4"/>
        <w:rPr>
          <w:rFonts w:hint="eastAsia"/>
          <w:color w:val="auto"/>
          <w:highlight w:val="none"/>
        </w:rPr>
      </w:pPr>
      <w:bookmarkStart w:id="359" w:name="_Toc247513992"/>
      <w:bookmarkStart w:id="360" w:name="_Toc144974536"/>
      <w:bookmarkStart w:id="361" w:name="_Toc6076"/>
      <w:bookmarkStart w:id="362" w:name="_Toc152042344"/>
      <w:bookmarkStart w:id="363" w:name="_Toc247527593"/>
      <w:bookmarkStart w:id="364" w:name="_Toc152045568"/>
      <w:bookmarkStart w:id="365" w:name="_Toc134304563"/>
      <w:bookmarkStart w:id="366" w:name="_Toc87238931"/>
      <w:r>
        <w:rPr>
          <w:rFonts w:hint="eastAsia"/>
          <w:color w:val="auto"/>
          <w:highlight w:val="none"/>
        </w:rPr>
        <w:t>7.3 中标通知</w:t>
      </w:r>
      <w:bookmarkEnd w:id="359"/>
      <w:bookmarkEnd w:id="360"/>
      <w:bookmarkEnd w:id="361"/>
      <w:bookmarkEnd w:id="362"/>
      <w:bookmarkEnd w:id="363"/>
      <w:bookmarkEnd w:id="364"/>
      <w:bookmarkEnd w:id="365"/>
      <w:bookmarkEnd w:id="366"/>
    </w:p>
    <w:p w14:paraId="543083B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在本章第3.3款规定的投标有效期内，招标人以书面形式向中标人发出中标通知书，同时将中标结果通知未中标的投标人。中标通知书按本章附表格式填写。</w:t>
      </w:r>
    </w:p>
    <w:p w14:paraId="51866323">
      <w:pPr>
        <w:pStyle w:val="4"/>
        <w:rPr>
          <w:rFonts w:hint="eastAsia"/>
          <w:color w:val="auto"/>
          <w:highlight w:val="none"/>
        </w:rPr>
      </w:pPr>
      <w:bookmarkStart w:id="367" w:name="_Toc25890"/>
      <w:bookmarkStart w:id="368" w:name="_Toc134304564"/>
      <w:bookmarkStart w:id="369" w:name="_Toc247527594"/>
      <w:bookmarkStart w:id="370" w:name="_Toc152042345"/>
      <w:bookmarkStart w:id="371" w:name="_Toc144974537"/>
      <w:bookmarkStart w:id="372" w:name="_Toc247513993"/>
      <w:bookmarkStart w:id="373" w:name="_Toc152045569"/>
      <w:bookmarkStart w:id="374" w:name="_Toc87238932"/>
      <w:r>
        <w:rPr>
          <w:rFonts w:hint="eastAsia"/>
          <w:color w:val="auto"/>
          <w:highlight w:val="none"/>
        </w:rPr>
        <w:t>7.4 履约担保</w:t>
      </w:r>
      <w:bookmarkEnd w:id="367"/>
      <w:bookmarkEnd w:id="368"/>
      <w:bookmarkEnd w:id="369"/>
      <w:bookmarkEnd w:id="370"/>
      <w:bookmarkEnd w:id="371"/>
      <w:bookmarkEnd w:id="372"/>
      <w:bookmarkEnd w:id="373"/>
      <w:bookmarkEnd w:id="374"/>
    </w:p>
    <w:p w14:paraId="0024F65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主办人的名义提交。</w:t>
      </w:r>
    </w:p>
    <w:p w14:paraId="187A9C1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7.4.2 中标人不能按本章第7.4.1项要求提交履约担保的，视为放弃中标，其投标保证金不予退还，给招标人造成的损失超过投标保证金数额的，中标人还应当对超过部分予以赔偿。</w:t>
      </w:r>
    </w:p>
    <w:p w14:paraId="601C14B9">
      <w:pPr>
        <w:pStyle w:val="4"/>
        <w:rPr>
          <w:rFonts w:hint="eastAsia"/>
          <w:color w:val="auto"/>
          <w:highlight w:val="none"/>
        </w:rPr>
      </w:pPr>
      <w:bookmarkStart w:id="375" w:name="_Toc247527595"/>
      <w:bookmarkStart w:id="376" w:name="_Toc87238933"/>
      <w:bookmarkStart w:id="377" w:name="_Toc152045570"/>
      <w:bookmarkStart w:id="378" w:name="_Toc152042346"/>
      <w:bookmarkStart w:id="379" w:name="_Toc247513994"/>
      <w:bookmarkStart w:id="380" w:name="_Toc134304565"/>
      <w:bookmarkStart w:id="381" w:name="_Toc144974538"/>
      <w:bookmarkStart w:id="382" w:name="_Toc13630"/>
      <w:r>
        <w:rPr>
          <w:rFonts w:hint="eastAsia"/>
          <w:color w:val="auto"/>
          <w:highlight w:val="none"/>
        </w:rPr>
        <w:t>7.5 签订合同</w:t>
      </w:r>
      <w:bookmarkEnd w:id="375"/>
      <w:bookmarkEnd w:id="376"/>
      <w:bookmarkEnd w:id="377"/>
      <w:bookmarkEnd w:id="378"/>
      <w:bookmarkEnd w:id="379"/>
      <w:bookmarkEnd w:id="380"/>
      <w:bookmarkEnd w:id="381"/>
      <w:bookmarkEnd w:id="382"/>
    </w:p>
    <w:p w14:paraId="5494D11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2DE881E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7.5.2 发出中标通知书后，招标人无正当理由拒签合同的，招标人向中标人退还投标保证金；给中标人造成损失的，还应当赔偿损失。</w:t>
      </w:r>
    </w:p>
    <w:p w14:paraId="67278E57">
      <w:pPr>
        <w:pStyle w:val="3"/>
        <w:rPr>
          <w:color w:val="auto"/>
          <w:highlight w:val="none"/>
        </w:rPr>
      </w:pPr>
      <w:bookmarkStart w:id="383" w:name="_Toc152042347"/>
      <w:bookmarkStart w:id="384" w:name="_Toc144974539"/>
      <w:bookmarkStart w:id="385" w:name="_Toc247513995"/>
      <w:bookmarkStart w:id="386" w:name="_Toc247527596"/>
      <w:bookmarkStart w:id="387" w:name="_Toc152045571"/>
      <w:bookmarkStart w:id="388" w:name="_Toc134304566"/>
      <w:bookmarkStart w:id="389" w:name="_Toc23477"/>
      <w:r>
        <w:rPr>
          <w:rFonts w:hint="eastAsia"/>
          <w:color w:val="auto"/>
          <w:highlight w:val="none"/>
        </w:rPr>
        <w:t>8.</w:t>
      </w:r>
      <w:bookmarkEnd w:id="383"/>
      <w:bookmarkEnd w:id="384"/>
      <w:bookmarkEnd w:id="385"/>
      <w:bookmarkEnd w:id="386"/>
      <w:bookmarkEnd w:id="387"/>
      <w:bookmarkStart w:id="390" w:name="_Toc247527599"/>
      <w:bookmarkStart w:id="391" w:name="_Toc152045574"/>
      <w:bookmarkStart w:id="392" w:name="_Toc247513998"/>
      <w:bookmarkStart w:id="393" w:name="_Toc152042350"/>
      <w:bookmarkStart w:id="394" w:name="_Toc144974542"/>
      <w:r>
        <w:rPr>
          <w:rFonts w:hint="eastAsia"/>
          <w:color w:val="auto"/>
          <w:highlight w:val="none"/>
        </w:rPr>
        <w:t xml:space="preserve"> 纪律和监督</w:t>
      </w:r>
      <w:bookmarkEnd w:id="388"/>
      <w:bookmarkEnd w:id="389"/>
      <w:bookmarkEnd w:id="390"/>
      <w:bookmarkEnd w:id="391"/>
      <w:bookmarkEnd w:id="392"/>
      <w:bookmarkEnd w:id="393"/>
      <w:bookmarkEnd w:id="394"/>
    </w:p>
    <w:p w14:paraId="1C4946AC">
      <w:pPr>
        <w:pStyle w:val="4"/>
        <w:rPr>
          <w:rFonts w:hint="eastAsia"/>
          <w:color w:val="auto"/>
          <w:highlight w:val="none"/>
        </w:rPr>
      </w:pPr>
      <w:bookmarkStart w:id="395" w:name="_Toc152045575"/>
      <w:bookmarkStart w:id="396" w:name="_Toc247513999"/>
      <w:bookmarkStart w:id="397" w:name="_Toc87238935"/>
      <w:bookmarkStart w:id="398" w:name="_Toc134304567"/>
      <w:bookmarkStart w:id="399" w:name="_Toc152042351"/>
      <w:bookmarkStart w:id="400" w:name="_Toc9436"/>
      <w:bookmarkStart w:id="401" w:name="_Toc144974543"/>
      <w:bookmarkStart w:id="402" w:name="_Toc247527600"/>
      <w:r>
        <w:rPr>
          <w:rFonts w:hint="eastAsia"/>
          <w:color w:val="auto"/>
          <w:highlight w:val="none"/>
        </w:rPr>
        <w:t>8.1 对招标人的纪律要求</w:t>
      </w:r>
      <w:bookmarkEnd w:id="395"/>
      <w:bookmarkEnd w:id="396"/>
      <w:bookmarkEnd w:id="397"/>
      <w:bookmarkEnd w:id="398"/>
      <w:bookmarkEnd w:id="399"/>
      <w:bookmarkEnd w:id="400"/>
      <w:bookmarkEnd w:id="401"/>
      <w:bookmarkEnd w:id="402"/>
    </w:p>
    <w:p w14:paraId="18C96B0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招标人不得泄漏招标投标活动中应当保密的情况和资料，不得与投标人串通损害国家利益、社会公共利益或者他人合法权益。</w:t>
      </w:r>
    </w:p>
    <w:p w14:paraId="49F275F8">
      <w:pPr>
        <w:pStyle w:val="4"/>
        <w:rPr>
          <w:rFonts w:hint="eastAsia"/>
          <w:color w:val="auto"/>
          <w:highlight w:val="none"/>
        </w:rPr>
      </w:pPr>
      <w:bookmarkStart w:id="403" w:name="_Toc247514000"/>
      <w:bookmarkStart w:id="404" w:name="_Toc87238936"/>
      <w:bookmarkStart w:id="405" w:name="_Toc247527601"/>
      <w:bookmarkStart w:id="406" w:name="_Toc20721"/>
      <w:bookmarkStart w:id="407" w:name="_Toc134304568"/>
      <w:bookmarkStart w:id="408" w:name="_Toc152045576"/>
      <w:bookmarkStart w:id="409" w:name="_Toc144974544"/>
      <w:bookmarkStart w:id="410" w:name="_Toc152042352"/>
      <w:r>
        <w:rPr>
          <w:rFonts w:hint="eastAsia"/>
          <w:color w:val="auto"/>
          <w:highlight w:val="none"/>
        </w:rPr>
        <w:t>8.2 对投标人的纪律要求</w:t>
      </w:r>
      <w:bookmarkEnd w:id="403"/>
      <w:bookmarkEnd w:id="404"/>
      <w:bookmarkEnd w:id="405"/>
      <w:bookmarkEnd w:id="406"/>
      <w:bookmarkEnd w:id="407"/>
      <w:bookmarkEnd w:id="408"/>
      <w:bookmarkEnd w:id="409"/>
      <w:bookmarkEnd w:id="410"/>
    </w:p>
    <w:p w14:paraId="135F162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E9E9DDB">
      <w:pPr>
        <w:pStyle w:val="4"/>
        <w:rPr>
          <w:rFonts w:hint="eastAsia"/>
          <w:color w:val="auto"/>
          <w:highlight w:val="none"/>
        </w:rPr>
      </w:pPr>
      <w:bookmarkStart w:id="411" w:name="_Toc152042353"/>
      <w:bookmarkStart w:id="412" w:name="_Toc134304569"/>
      <w:bookmarkStart w:id="413" w:name="_Toc247527602"/>
      <w:bookmarkStart w:id="414" w:name="_Toc87238937"/>
      <w:bookmarkStart w:id="415" w:name="_Toc16012"/>
      <w:bookmarkStart w:id="416" w:name="_Toc144974545"/>
      <w:bookmarkStart w:id="417" w:name="_Toc247514001"/>
      <w:bookmarkStart w:id="418" w:name="_Toc152045577"/>
      <w:r>
        <w:rPr>
          <w:rFonts w:hint="eastAsia"/>
          <w:color w:val="auto"/>
          <w:highlight w:val="none"/>
        </w:rPr>
        <w:t>8.3 对评标委员会成员的纪律要求</w:t>
      </w:r>
      <w:bookmarkEnd w:id="411"/>
      <w:bookmarkEnd w:id="412"/>
      <w:bookmarkEnd w:id="413"/>
      <w:bookmarkEnd w:id="414"/>
      <w:bookmarkEnd w:id="415"/>
      <w:bookmarkEnd w:id="416"/>
      <w:bookmarkEnd w:id="417"/>
      <w:bookmarkEnd w:id="418"/>
    </w:p>
    <w:p w14:paraId="7189EED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19AD713">
      <w:pPr>
        <w:pStyle w:val="4"/>
        <w:rPr>
          <w:rFonts w:hint="eastAsia"/>
          <w:color w:val="auto"/>
          <w:highlight w:val="none"/>
        </w:rPr>
      </w:pPr>
      <w:bookmarkStart w:id="419" w:name="_Toc247514002"/>
      <w:bookmarkStart w:id="420" w:name="_Toc247527603"/>
      <w:bookmarkStart w:id="421" w:name="_Toc152042354"/>
      <w:bookmarkStart w:id="422" w:name="_Toc152045578"/>
      <w:bookmarkStart w:id="423" w:name="_Toc134304570"/>
      <w:bookmarkStart w:id="424" w:name="_Toc87238938"/>
      <w:bookmarkStart w:id="425" w:name="_Toc18141"/>
      <w:bookmarkStart w:id="426" w:name="_Toc144974546"/>
      <w:r>
        <w:rPr>
          <w:rFonts w:hint="eastAsia"/>
          <w:color w:val="auto"/>
          <w:highlight w:val="none"/>
        </w:rPr>
        <w:t>8.4 对与评标活动有关的工作人员的纪律要求</w:t>
      </w:r>
      <w:bookmarkEnd w:id="419"/>
      <w:bookmarkEnd w:id="420"/>
      <w:bookmarkEnd w:id="421"/>
      <w:bookmarkEnd w:id="422"/>
      <w:bookmarkEnd w:id="423"/>
      <w:bookmarkEnd w:id="424"/>
      <w:bookmarkEnd w:id="425"/>
    </w:p>
    <w:p w14:paraId="60765690">
      <w:pPr>
        <w:spacing w:line="400" w:lineRule="exact"/>
        <w:ind w:firstLine="420" w:firstLineChars="200"/>
        <w:rPr>
          <w:rFonts w:hint="eastAsia" w:ascii="宋体" w:hAnsi="宋体" w:cs="宋体"/>
          <w:color w:val="auto"/>
          <w:highlight w:val="none"/>
        </w:rPr>
      </w:pPr>
      <w:bookmarkStart w:id="427" w:name="_Toc152042355"/>
      <w:r>
        <w:rPr>
          <w:rFonts w:hint="eastAsia" w:ascii="宋体" w:hAnsi="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27"/>
    </w:p>
    <w:p w14:paraId="71D4BD4A">
      <w:pPr>
        <w:pStyle w:val="4"/>
        <w:rPr>
          <w:rFonts w:hint="eastAsia"/>
          <w:color w:val="auto"/>
          <w:highlight w:val="none"/>
        </w:rPr>
      </w:pPr>
      <w:bookmarkStart w:id="428" w:name="_Toc152042356"/>
      <w:bookmarkStart w:id="429" w:name="_Toc247527604"/>
      <w:bookmarkStart w:id="430" w:name="_Toc1651"/>
      <w:bookmarkStart w:id="431" w:name="_Toc247514003"/>
      <w:bookmarkStart w:id="432" w:name="_Toc134304571"/>
      <w:bookmarkStart w:id="433" w:name="_Toc87238939"/>
      <w:bookmarkStart w:id="434" w:name="_Toc152045579"/>
      <w:r>
        <w:rPr>
          <w:rFonts w:hint="eastAsia"/>
          <w:color w:val="auto"/>
          <w:highlight w:val="none"/>
        </w:rPr>
        <w:t>8.5 投诉</w:t>
      </w:r>
      <w:bookmarkEnd w:id="426"/>
      <w:bookmarkEnd w:id="428"/>
      <w:bookmarkEnd w:id="429"/>
      <w:bookmarkEnd w:id="430"/>
      <w:bookmarkEnd w:id="431"/>
      <w:bookmarkEnd w:id="432"/>
      <w:bookmarkEnd w:id="433"/>
      <w:bookmarkEnd w:id="434"/>
    </w:p>
    <w:p w14:paraId="6BC47DC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投标人和其他利害关系人认为本次招标活动违反法律、法规和规章规定的，有权向有关行政监督部门投诉。</w:t>
      </w:r>
    </w:p>
    <w:p w14:paraId="7F977989">
      <w:pPr>
        <w:pStyle w:val="3"/>
        <w:rPr>
          <w:color w:val="auto"/>
          <w:highlight w:val="none"/>
        </w:rPr>
      </w:pPr>
      <w:bookmarkStart w:id="435" w:name="_Toc134304572"/>
      <w:bookmarkStart w:id="436" w:name="_Toc247514004"/>
      <w:bookmarkStart w:id="437" w:name="_Toc152042357"/>
      <w:bookmarkStart w:id="438" w:name="_Toc144974547"/>
      <w:bookmarkStart w:id="439" w:name="_Toc6725"/>
      <w:bookmarkStart w:id="440" w:name="_Toc152045580"/>
      <w:bookmarkStart w:id="441" w:name="_Toc247527605"/>
      <w:r>
        <w:rPr>
          <w:rFonts w:hint="eastAsia"/>
          <w:color w:val="auto"/>
          <w:highlight w:val="none"/>
        </w:rPr>
        <w:t>9. 需要补充的其他内容</w:t>
      </w:r>
      <w:bookmarkEnd w:id="435"/>
      <w:bookmarkEnd w:id="436"/>
      <w:bookmarkEnd w:id="437"/>
      <w:bookmarkEnd w:id="438"/>
      <w:bookmarkEnd w:id="439"/>
      <w:bookmarkEnd w:id="440"/>
      <w:bookmarkEnd w:id="441"/>
    </w:p>
    <w:p w14:paraId="63A5500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需要补充的其他内容：见投标人须知前附表。</w:t>
      </w:r>
    </w:p>
    <w:p w14:paraId="3DA8C36F">
      <w:pPr>
        <w:pStyle w:val="3"/>
        <w:rPr>
          <w:color w:val="auto"/>
          <w:highlight w:val="none"/>
        </w:rPr>
      </w:pPr>
      <w:bookmarkStart w:id="442" w:name="_Toc4738"/>
      <w:bookmarkStart w:id="443" w:name="_Toc134304573"/>
      <w:r>
        <w:rPr>
          <w:rFonts w:hint="eastAsia"/>
          <w:color w:val="auto"/>
          <w:highlight w:val="none"/>
        </w:rPr>
        <w:t>10. 电子招标投标</w:t>
      </w:r>
      <w:bookmarkEnd w:id="442"/>
      <w:bookmarkEnd w:id="443"/>
    </w:p>
    <w:p w14:paraId="01D95EE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采用电子招标投标，对投标文件的编制、密封和标记、递交、开标、评标等具体要求，见投标人须知前附表。</w:t>
      </w:r>
    </w:p>
    <w:p w14:paraId="177266C9">
      <w:pPr>
        <w:spacing w:line="400" w:lineRule="exact"/>
        <w:ind w:firstLine="420" w:firstLineChars="200"/>
        <w:rPr>
          <w:rFonts w:hint="eastAsia" w:ascii="宋体" w:hAnsi="宋体" w:cs="宋体"/>
          <w:color w:val="auto"/>
          <w:highlight w:val="none"/>
        </w:rPr>
      </w:pPr>
    </w:p>
    <w:p w14:paraId="01C48A45">
      <w:pPr>
        <w:spacing w:line="400" w:lineRule="exact"/>
        <w:ind w:firstLine="420" w:firstLineChars="200"/>
        <w:rPr>
          <w:rFonts w:hint="eastAsia" w:ascii="宋体" w:hAnsi="宋体" w:cs="宋体"/>
          <w:color w:val="auto"/>
          <w:highlight w:val="none"/>
        </w:rPr>
      </w:pPr>
    </w:p>
    <w:p w14:paraId="42B6339B">
      <w:pPr>
        <w:spacing w:line="400" w:lineRule="exact"/>
        <w:ind w:firstLine="420" w:firstLineChars="200"/>
        <w:rPr>
          <w:rFonts w:hint="eastAsia" w:ascii="宋体" w:hAnsi="宋体" w:cs="宋体"/>
          <w:color w:val="auto"/>
          <w:highlight w:val="none"/>
        </w:rPr>
      </w:pPr>
    </w:p>
    <w:p w14:paraId="434DB6F7">
      <w:pPr>
        <w:spacing w:line="400" w:lineRule="exact"/>
        <w:rPr>
          <w:rFonts w:hint="eastAsia" w:ascii="宋体" w:hAnsi="宋体" w:cs="宋体"/>
          <w:color w:val="auto"/>
          <w:highlight w:val="none"/>
        </w:rPr>
      </w:pPr>
      <w:r>
        <w:rPr>
          <w:rFonts w:hint="eastAsia" w:ascii="宋体" w:hAnsi="宋体" w:cs="宋体"/>
          <w:color w:val="auto"/>
          <w:highlight w:val="none"/>
        </w:rPr>
        <w:br w:type="page"/>
      </w:r>
      <w:bookmarkStart w:id="444" w:name="_Toc247527606"/>
      <w:bookmarkStart w:id="445" w:name="_Toc247514005"/>
      <w:bookmarkStart w:id="446" w:name="_Toc152045581"/>
      <w:bookmarkStart w:id="447" w:name="_Toc19551"/>
      <w:bookmarkStart w:id="448" w:name="_Toc144974548"/>
      <w:bookmarkStart w:id="449" w:name="_Toc152042358"/>
      <w:r>
        <w:rPr>
          <w:rFonts w:hint="eastAsia" w:ascii="宋体" w:hAnsi="宋体" w:cs="宋体"/>
          <w:color w:val="auto"/>
          <w:highlight w:val="none"/>
        </w:rPr>
        <w:t>附件一：开标记录表</w:t>
      </w:r>
    </w:p>
    <w:p w14:paraId="3841D730">
      <w:pPr>
        <w:spacing w:line="400" w:lineRule="exact"/>
        <w:rPr>
          <w:rFonts w:hint="eastAsia" w:ascii="宋体" w:hAnsi="宋体" w:cs="宋体"/>
          <w:color w:val="auto"/>
          <w:highlight w:val="none"/>
        </w:rPr>
      </w:pPr>
    </w:p>
    <w:p w14:paraId="2B6DD5F8">
      <w:pPr>
        <w:spacing w:line="400" w:lineRule="exact"/>
        <w:ind w:firstLine="56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（项目名称）开标记录表</w:t>
      </w:r>
    </w:p>
    <w:p w14:paraId="7F26C5B9">
      <w:pPr>
        <w:spacing w:line="400" w:lineRule="exact"/>
        <w:rPr>
          <w:rFonts w:hint="eastAsia" w:ascii="宋体" w:hAnsi="宋体" w:cs="宋体"/>
          <w:color w:val="auto"/>
          <w:highlight w:val="none"/>
        </w:rPr>
      </w:pPr>
    </w:p>
    <w:p w14:paraId="17A72D29">
      <w:pPr>
        <w:spacing w:line="360" w:lineRule="auto"/>
        <w:ind w:right="420" w:firstLine="420"/>
        <w:jc w:val="right"/>
        <w:rPr>
          <w:rFonts w:hint="eastAsia" w:ascii="宋体" w:hAnsi="宋体" w:cs="宋体"/>
          <w:color w:val="auto"/>
          <w:highlight w:val="none"/>
        </w:rPr>
      </w:pPr>
      <w:r>
        <w:rPr>
          <w:rFonts w:hint="eastAsia" w:ascii="宋体" w:hAnsi="宋体" w:cs="宋体"/>
          <w:color w:val="auto"/>
          <w:highlight w:val="none"/>
        </w:rPr>
        <w:t>开标时间：年月日时分</w:t>
      </w:r>
    </w:p>
    <w:tbl>
      <w:tblPr>
        <w:tblStyle w:val="37"/>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167"/>
        <w:gridCol w:w="497"/>
        <w:gridCol w:w="526"/>
        <w:gridCol w:w="696"/>
        <w:gridCol w:w="621"/>
        <w:gridCol w:w="635"/>
        <w:gridCol w:w="631"/>
        <w:gridCol w:w="701"/>
        <w:gridCol w:w="843"/>
        <w:gridCol w:w="764"/>
        <w:gridCol w:w="491"/>
        <w:gridCol w:w="741"/>
      </w:tblGrid>
      <w:tr w14:paraId="7651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78" w:type="dxa"/>
            <w:vAlign w:val="center"/>
          </w:tcPr>
          <w:p w14:paraId="42782613">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序号</w:t>
            </w:r>
          </w:p>
        </w:tc>
        <w:tc>
          <w:tcPr>
            <w:tcW w:w="1167" w:type="dxa"/>
            <w:vAlign w:val="center"/>
          </w:tcPr>
          <w:p w14:paraId="6A96AFF8">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投标人名称</w:t>
            </w:r>
          </w:p>
        </w:tc>
        <w:tc>
          <w:tcPr>
            <w:tcW w:w="497" w:type="dxa"/>
            <w:vAlign w:val="center"/>
          </w:tcPr>
          <w:p w14:paraId="5E432C25">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投标文件递交情况</w:t>
            </w:r>
          </w:p>
        </w:tc>
        <w:tc>
          <w:tcPr>
            <w:tcW w:w="526" w:type="dxa"/>
            <w:vAlign w:val="center"/>
          </w:tcPr>
          <w:p w14:paraId="20AB890F">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投标文件解密情况</w:t>
            </w:r>
          </w:p>
        </w:tc>
        <w:tc>
          <w:tcPr>
            <w:tcW w:w="696" w:type="dxa"/>
            <w:vAlign w:val="center"/>
          </w:tcPr>
          <w:p w14:paraId="75005F96">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u w:val="single"/>
              </w:rPr>
              <w:t>项目负责人（兼施工负责人）</w:t>
            </w:r>
          </w:p>
        </w:tc>
        <w:tc>
          <w:tcPr>
            <w:tcW w:w="621" w:type="dxa"/>
            <w:vAlign w:val="center"/>
          </w:tcPr>
          <w:p w14:paraId="2FE37D07">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设计负责人</w:t>
            </w:r>
          </w:p>
        </w:tc>
        <w:tc>
          <w:tcPr>
            <w:tcW w:w="635" w:type="dxa"/>
            <w:vAlign w:val="center"/>
          </w:tcPr>
          <w:p w14:paraId="70680189">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专职安全员</w:t>
            </w:r>
          </w:p>
        </w:tc>
        <w:tc>
          <w:tcPr>
            <w:tcW w:w="631" w:type="dxa"/>
            <w:vAlign w:val="center"/>
          </w:tcPr>
          <w:p w14:paraId="0F9C0445">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技术负责人</w:t>
            </w:r>
          </w:p>
        </w:tc>
        <w:tc>
          <w:tcPr>
            <w:tcW w:w="701" w:type="dxa"/>
            <w:vAlign w:val="center"/>
          </w:tcPr>
          <w:p w14:paraId="422E34C3">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投标总报价</w:t>
            </w:r>
          </w:p>
          <w:p w14:paraId="3A41EC3D">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（元）</w:t>
            </w:r>
          </w:p>
        </w:tc>
        <w:tc>
          <w:tcPr>
            <w:tcW w:w="843" w:type="dxa"/>
            <w:vAlign w:val="center"/>
          </w:tcPr>
          <w:p w14:paraId="5D57A644">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建安工程费报价</w:t>
            </w:r>
          </w:p>
          <w:p w14:paraId="42E29A93">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（元）</w:t>
            </w:r>
          </w:p>
        </w:tc>
        <w:tc>
          <w:tcPr>
            <w:tcW w:w="764" w:type="dxa"/>
            <w:vAlign w:val="center"/>
          </w:tcPr>
          <w:p w14:paraId="2CDC1377">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设计费报价（元）</w:t>
            </w:r>
          </w:p>
        </w:tc>
        <w:tc>
          <w:tcPr>
            <w:tcW w:w="491" w:type="dxa"/>
            <w:vAlign w:val="center"/>
          </w:tcPr>
          <w:p w14:paraId="2FE8AEB5">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工期</w:t>
            </w:r>
          </w:p>
        </w:tc>
        <w:tc>
          <w:tcPr>
            <w:tcW w:w="741" w:type="dxa"/>
            <w:vAlign w:val="center"/>
          </w:tcPr>
          <w:p w14:paraId="386A0FA8">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u w:val="single"/>
              </w:rPr>
              <w:t>质量标准</w:t>
            </w:r>
          </w:p>
        </w:tc>
      </w:tr>
      <w:tr w14:paraId="18CC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0153D5EE">
            <w:pPr>
              <w:snapToGrid w:val="0"/>
              <w:ind w:left="-57" w:leftChars="-27" w:right="-63" w:rightChars="-30"/>
              <w:jc w:val="center"/>
              <w:rPr>
                <w:rFonts w:hint="eastAsia" w:ascii="宋体" w:hAnsi="宋体" w:cs="宋体"/>
                <w:color w:val="auto"/>
                <w:sz w:val="18"/>
                <w:szCs w:val="18"/>
                <w:highlight w:val="none"/>
              </w:rPr>
            </w:pPr>
          </w:p>
        </w:tc>
        <w:tc>
          <w:tcPr>
            <w:tcW w:w="1167" w:type="dxa"/>
            <w:vAlign w:val="center"/>
          </w:tcPr>
          <w:p w14:paraId="702AF6E0">
            <w:pPr>
              <w:snapToGrid w:val="0"/>
              <w:ind w:left="-57" w:leftChars="-27" w:right="-63" w:rightChars="-30"/>
              <w:jc w:val="center"/>
              <w:rPr>
                <w:rFonts w:hint="eastAsia" w:ascii="宋体" w:hAnsi="宋体" w:cs="宋体"/>
                <w:color w:val="auto"/>
                <w:sz w:val="18"/>
                <w:szCs w:val="18"/>
                <w:highlight w:val="none"/>
              </w:rPr>
            </w:pPr>
          </w:p>
        </w:tc>
        <w:tc>
          <w:tcPr>
            <w:tcW w:w="497" w:type="dxa"/>
            <w:vAlign w:val="center"/>
          </w:tcPr>
          <w:p w14:paraId="4BCE085D">
            <w:pPr>
              <w:snapToGrid w:val="0"/>
              <w:ind w:left="-57" w:leftChars="-27" w:right="-63" w:rightChars="-30"/>
              <w:jc w:val="center"/>
              <w:rPr>
                <w:rFonts w:hint="eastAsia" w:ascii="宋体" w:hAnsi="宋体" w:cs="宋体"/>
                <w:color w:val="auto"/>
                <w:sz w:val="18"/>
                <w:szCs w:val="18"/>
                <w:highlight w:val="none"/>
              </w:rPr>
            </w:pPr>
          </w:p>
        </w:tc>
        <w:tc>
          <w:tcPr>
            <w:tcW w:w="526" w:type="dxa"/>
            <w:vAlign w:val="center"/>
          </w:tcPr>
          <w:p w14:paraId="305B9A83">
            <w:pPr>
              <w:snapToGrid w:val="0"/>
              <w:ind w:left="-57" w:leftChars="-27" w:right="-63" w:rightChars="-30"/>
              <w:jc w:val="center"/>
              <w:rPr>
                <w:rFonts w:hint="eastAsia" w:ascii="宋体" w:hAnsi="宋体" w:cs="宋体"/>
                <w:color w:val="auto"/>
                <w:sz w:val="18"/>
                <w:szCs w:val="18"/>
                <w:highlight w:val="none"/>
              </w:rPr>
            </w:pPr>
          </w:p>
        </w:tc>
        <w:tc>
          <w:tcPr>
            <w:tcW w:w="696" w:type="dxa"/>
            <w:vAlign w:val="center"/>
          </w:tcPr>
          <w:p w14:paraId="47B617C8">
            <w:pPr>
              <w:snapToGrid w:val="0"/>
              <w:ind w:left="-57" w:leftChars="-27" w:right="-63" w:rightChars="-30"/>
              <w:jc w:val="center"/>
              <w:rPr>
                <w:rFonts w:hint="eastAsia" w:ascii="宋体" w:hAnsi="宋体" w:cs="宋体"/>
                <w:color w:val="auto"/>
                <w:sz w:val="18"/>
                <w:szCs w:val="18"/>
                <w:highlight w:val="none"/>
              </w:rPr>
            </w:pPr>
          </w:p>
        </w:tc>
        <w:tc>
          <w:tcPr>
            <w:tcW w:w="621" w:type="dxa"/>
            <w:vAlign w:val="center"/>
          </w:tcPr>
          <w:p w14:paraId="44C2B827">
            <w:pPr>
              <w:snapToGrid w:val="0"/>
              <w:ind w:left="-57" w:leftChars="-27" w:right="-63" w:rightChars="-30"/>
              <w:jc w:val="center"/>
              <w:rPr>
                <w:rFonts w:hint="eastAsia" w:ascii="宋体" w:hAnsi="宋体" w:cs="宋体"/>
                <w:color w:val="auto"/>
                <w:sz w:val="18"/>
                <w:szCs w:val="18"/>
                <w:highlight w:val="none"/>
              </w:rPr>
            </w:pPr>
          </w:p>
        </w:tc>
        <w:tc>
          <w:tcPr>
            <w:tcW w:w="635" w:type="dxa"/>
            <w:vAlign w:val="center"/>
          </w:tcPr>
          <w:p w14:paraId="6F2CC20E">
            <w:pPr>
              <w:snapToGrid w:val="0"/>
              <w:ind w:left="-57" w:leftChars="-27" w:right="-63" w:rightChars="-30"/>
              <w:jc w:val="center"/>
              <w:rPr>
                <w:rFonts w:hint="eastAsia" w:ascii="宋体" w:hAnsi="宋体" w:cs="宋体"/>
                <w:color w:val="auto"/>
                <w:sz w:val="18"/>
                <w:szCs w:val="18"/>
                <w:highlight w:val="none"/>
              </w:rPr>
            </w:pPr>
          </w:p>
        </w:tc>
        <w:tc>
          <w:tcPr>
            <w:tcW w:w="631" w:type="dxa"/>
            <w:vAlign w:val="center"/>
          </w:tcPr>
          <w:p w14:paraId="77541525">
            <w:pPr>
              <w:snapToGrid w:val="0"/>
              <w:ind w:left="-57" w:leftChars="-27" w:right="-63" w:rightChars="-30"/>
              <w:jc w:val="center"/>
              <w:rPr>
                <w:rFonts w:hint="eastAsia" w:ascii="宋体" w:hAnsi="宋体" w:cs="宋体"/>
                <w:color w:val="auto"/>
                <w:sz w:val="18"/>
                <w:szCs w:val="18"/>
                <w:highlight w:val="none"/>
              </w:rPr>
            </w:pPr>
          </w:p>
        </w:tc>
        <w:tc>
          <w:tcPr>
            <w:tcW w:w="701" w:type="dxa"/>
            <w:vAlign w:val="center"/>
          </w:tcPr>
          <w:p w14:paraId="75DD61BC">
            <w:pPr>
              <w:snapToGrid w:val="0"/>
              <w:ind w:left="-57" w:leftChars="-27" w:right="-63" w:rightChars="-30"/>
              <w:jc w:val="center"/>
              <w:rPr>
                <w:rFonts w:hint="eastAsia" w:ascii="宋体" w:hAnsi="宋体" w:cs="宋体"/>
                <w:color w:val="auto"/>
                <w:sz w:val="18"/>
                <w:szCs w:val="18"/>
                <w:highlight w:val="none"/>
              </w:rPr>
            </w:pPr>
          </w:p>
        </w:tc>
        <w:tc>
          <w:tcPr>
            <w:tcW w:w="843" w:type="dxa"/>
            <w:vAlign w:val="center"/>
          </w:tcPr>
          <w:p w14:paraId="2580ABC8">
            <w:pPr>
              <w:snapToGrid w:val="0"/>
              <w:ind w:left="-57" w:leftChars="-27" w:right="-63" w:rightChars="-30"/>
              <w:jc w:val="center"/>
              <w:rPr>
                <w:rFonts w:hint="eastAsia" w:ascii="宋体" w:hAnsi="宋体" w:cs="宋体"/>
                <w:color w:val="auto"/>
                <w:sz w:val="18"/>
                <w:szCs w:val="18"/>
                <w:highlight w:val="none"/>
              </w:rPr>
            </w:pPr>
          </w:p>
        </w:tc>
        <w:tc>
          <w:tcPr>
            <w:tcW w:w="764" w:type="dxa"/>
            <w:vAlign w:val="center"/>
          </w:tcPr>
          <w:p w14:paraId="40FC5E52">
            <w:pPr>
              <w:snapToGrid w:val="0"/>
              <w:ind w:left="-57" w:leftChars="-27" w:right="-63" w:rightChars="-30"/>
              <w:jc w:val="center"/>
              <w:rPr>
                <w:rFonts w:hint="eastAsia" w:ascii="宋体" w:hAnsi="宋体" w:cs="宋体"/>
                <w:color w:val="auto"/>
                <w:sz w:val="18"/>
                <w:szCs w:val="18"/>
                <w:highlight w:val="none"/>
              </w:rPr>
            </w:pPr>
          </w:p>
        </w:tc>
        <w:tc>
          <w:tcPr>
            <w:tcW w:w="491" w:type="dxa"/>
            <w:vAlign w:val="center"/>
          </w:tcPr>
          <w:p w14:paraId="335C8A4E">
            <w:pPr>
              <w:snapToGrid w:val="0"/>
              <w:ind w:left="-57" w:leftChars="-27" w:right="-63" w:rightChars="-30"/>
              <w:jc w:val="center"/>
              <w:rPr>
                <w:rFonts w:hint="eastAsia" w:ascii="宋体" w:hAnsi="宋体" w:cs="宋体"/>
                <w:color w:val="auto"/>
                <w:sz w:val="18"/>
                <w:szCs w:val="18"/>
                <w:highlight w:val="none"/>
              </w:rPr>
            </w:pPr>
          </w:p>
        </w:tc>
        <w:tc>
          <w:tcPr>
            <w:tcW w:w="741" w:type="dxa"/>
            <w:vAlign w:val="center"/>
          </w:tcPr>
          <w:p w14:paraId="3A6AC61C">
            <w:pPr>
              <w:snapToGrid w:val="0"/>
              <w:ind w:left="-57" w:leftChars="-27" w:right="-63" w:rightChars="-30"/>
              <w:jc w:val="center"/>
              <w:rPr>
                <w:rFonts w:hint="eastAsia" w:ascii="宋体" w:hAnsi="宋体" w:cs="宋体"/>
                <w:color w:val="auto"/>
                <w:sz w:val="18"/>
                <w:szCs w:val="18"/>
                <w:highlight w:val="none"/>
              </w:rPr>
            </w:pPr>
          </w:p>
        </w:tc>
      </w:tr>
      <w:tr w14:paraId="4FFD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3EF49373">
            <w:pPr>
              <w:snapToGrid w:val="0"/>
              <w:ind w:left="-57" w:leftChars="-27" w:right="-63" w:rightChars="-30"/>
              <w:jc w:val="center"/>
              <w:rPr>
                <w:rFonts w:hint="eastAsia" w:ascii="宋体" w:hAnsi="宋体" w:cs="宋体"/>
                <w:color w:val="auto"/>
                <w:sz w:val="18"/>
                <w:szCs w:val="18"/>
                <w:highlight w:val="none"/>
              </w:rPr>
            </w:pPr>
          </w:p>
        </w:tc>
        <w:tc>
          <w:tcPr>
            <w:tcW w:w="1167" w:type="dxa"/>
            <w:vAlign w:val="center"/>
          </w:tcPr>
          <w:p w14:paraId="790DDB04">
            <w:pPr>
              <w:snapToGrid w:val="0"/>
              <w:ind w:left="-57" w:leftChars="-27" w:right="-63" w:rightChars="-30"/>
              <w:jc w:val="center"/>
              <w:rPr>
                <w:rFonts w:hint="eastAsia" w:ascii="宋体" w:hAnsi="宋体" w:cs="宋体"/>
                <w:color w:val="auto"/>
                <w:sz w:val="18"/>
                <w:szCs w:val="18"/>
                <w:highlight w:val="none"/>
              </w:rPr>
            </w:pPr>
          </w:p>
        </w:tc>
        <w:tc>
          <w:tcPr>
            <w:tcW w:w="497" w:type="dxa"/>
            <w:vAlign w:val="center"/>
          </w:tcPr>
          <w:p w14:paraId="196EF3CE">
            <w:pPr>
              <w:snapToGrid w:val="0"/>
              <w:ind w:left="-57" w:leftChars="-27" w:right="-63" w:rightChars="-30"/>
              <w:jc w:val="center"/>
              <w:rPr>
                <w:rFonts w:hint="eastAsia" w:ascii="宋体" w:hAnsi="宋体" w:cs="宋体"/>
                <w:color w:val="auto"/>
                <w:sz w:val="18"/>
                <w:szCs w:val="18"/>
                <w:highlight w:val="none"/>
              </w:rPr>
            </w:pPr>
          </w:p>
        </w:tc>
        <w:tc>
          <w:tcPr>
            <w:tcW w:w="526" w:type="dxa"/>
            <w:vAlign w:val="center"/>
          </w:tcPr>
          <w:p w14:paraId="6855CE14">
            <w:pPr>
              <w:snapToGrid w:val="0"/>
              <w:ind w:left="-57" w:leftChars="-27" w:right="-63" w:rightChars="-30"/>
              <w:jc w:val="center"/>
              <w:rPr>
                <w:rFonts w:hint="eastAsia" w:ascii="宋体" w:hAnsi="宋体" w:cs="宋体"/>
                <w:color w:val="auto"/>
                <w:sz w:val="18"/>
                <w:szCs w:val="18"/>
                <w:highlight w:val="none"/>
              </w:rPr>
            </w:pPr>
          </w:p>
        </w:tc>
        <w:tc>
          <w:tcPr>
            <w:tcW w:w="696" w:type="dxa"/>
            <w:vAlign w:val="center"/>
          </w:tcPr>
          <w:p w14:paraId="61EE468E">
            <w:pPr>
              <w:snapToGrid w:val="0"/>
              <w:ind w:left="-57" w:leftChars="-27" w:right="-63" w:rightChars="-30"/>
              <w:jc w:val="center"/>
              <w:rPr>
                <w:rFonts w:hint="eastAsia" w:ascii="宋体" w:hAnsi="宋体" w:cs="宋体"/>
                <w:color w:val="auto"/>
                <w:sz w:val="18"/>
                <w:szCs w:val="18"/>
                <w:highlight w:val="none"/>
              </w:rPr>
            </w:pPr>
          </w:p>
        </w:tc>
        <w:tc>
          <w:tcPr>
            <w:tcW w:w="621" w:type="dxa"/>
            <w:vAlign w:val="center"/>
          </w:tcPr>
          <w:p w14:paraId="564EA4DF">
            <w:pPr>
              <w:snapToGrid w:val="0"/>
              <w:ind w:left="-57" w:leftChars="-27" w:right="-63" w:rightChars="-30"/>
              <w:jc w:val="center"/>
              <w:rPr>
                <w:rFonts w:hint="eastAsia" w:ascii="宋体" w:hAnsi="宋体" w:cs="宋体"/>
                <w:color w:val="auto"/>
                <w:sz w:val="18"/>
                <w:szCs w:val="18"/>
                <w:highlight w:val="none"/>
              </w:rPr>
            </w:pPr>
          </w:p>
        </w:tc>
        <w:tc>
          <w:tcPr>
            <w:tcW w:w="635" w:type="dxa"/>
            <w:vAlign w:val="center"/>
          </w:tcPr>
          <w:p w14:paraId="50FF0886">
            <w:pPr>
              <w:snapToGrid w:val="0"/>
              <w:ind w:left="-57" w:leftChars="-27" w:right="-63" w:rightChars="-30"/>
              <w:jc w:val="center"/>
              <w:rPr>
                <w:rFonts w:hint="eastAsia" w:ascii="宋体" w:hAnsi="宋体" w:cs="宋体"/>
                <w:color w:val="auto"/>
                <w:sz w:val="18"/>
                <w:szCs w:val="18"/>
                <w:highlight w:val="none"/>
              </w:rPr>
            </w:pPr>
          </w:p>
        </w:tc>
        <w:tc>
          <w:tcPr>
            <w:tcW w:w="631" w:type="dxa"/>
            <w:vAlign w:val="center"/>
          </w:tcPr>
          <w:p w14:paraId="061FBBB4">
            <w:pPr>
              <w:snapToGrid w:val="0"/>
              <w:ind w:left="-57" w:leftChars="-27" w:right="-63" w:rightChars="-30"/>
              <w:jc w:val="center"/>
              <w:rPr>
                <w:rFonts w:hint="eastAsia" w:ascii="宋体" w:hAnsi="宋体" w:cs="宋体"/>
                <w:color w:val="auto"/>
                <w:sz w:val="18"/>
                <w:szCs w:val="18"/>
                <w:highlight w:val="none"/>
              </w:rPr>
            </w:pPr>
          </w:p>
        </w:tc>
        <w:tc>
          <w:tcPr>
            <w:tcW w:w="701" w:type="dxa"/>
            <w:vAlign w:val="center"/>
          </w:tcPr>
          <w:p w14:paraId="1AA6FE83">
            <w:pPr>
              <w:snapToGrid w:val="0"/>
              <w:ind w:left="-57" w:leftChars="-27" w:right="-63" w:rightChars="-30"/>
              <w:jc w:val="center"/>
              <w:rPr>
                <w:rFonts w:hint="eastAsia" w:ascii="宋体" w:hAnsi="宋体" w:cs="宋体"/>
                <w:color w:val="auto"/>
                <w:sz w:val="18"/>
                <w:szCs w:val="18"/>
                <w:highlight w:val="none"/>
              </w:rPr>
            </w:pPr>
          </w:p>
        </w:tc>
        <w:tc>
          <w:tcPr>
            <w:tcW w:w="843" w:type="dxa"/>
            <w:vAlign w:val="center"/>
          </w:tcPr>
          <w:p w14:paraId="2614DCDE">
            <w:pPr>
              <w:snapToGrid w:val="0"/>
              <w:ind w:left="-57" w:leftChars="-27" w:right="-63" w:rightChars="-30"/>
              <w:jc w:val="center"/>
              <w:rPr>
                <w:rFonts w:hint="eastAsia" w:ascii="宋体" w:hAnsi="宋体" w:cs="宋体"/>
                <w:color w:val="auto"/>
                <w:sz w:val="18"/>
                <w:szCs w:val="18"/>
                <w:highlight w:val="none"/>
              </w:rPr>
            </w:pPr>
          </w:p>
        </w:tc>
        <w:tc>
          <w:tcPr>
            <w:tcW w:w="764" w:type="dxa"/>
            <w:vAlign w:val="center"/>
          </w:tcPr>
          <w:p w14:paraId="017C0626">
            <w:pPr>
              <w:snapToGrid w:val="0"/>
              <w:ind w:left="-57" w:leftChars="-27" w:right="-63" w:rightChars="-30"/>
              <w:jc w:val="center"/>
              <w:rPr>
                <w:rFonts w:hint="eastAsia" w:ascii="宋体" w:hAnsi="宋体" w:cs="宋体"/>
                <w:color w:val="auto"/>
                <w:sz w:val="18"/>
                <w:szCs w:val="18"/>
                <w:highlight w:val="none"/>
              </w:rPr>
            </w:pPr>
          </w:p>
        </w:tc>
        <w:tc>
          <w:tcPr>
            <w:tcW w:w="491" w:type="dxa"/>
            <w:vAlign w:val="center"/>
          </w:tcPr>
          <w:p w14:paraId="0F08B5ED">
            <w:pPr>
              <w:snapToGrid w:val="0"/>
              <w:ind w:left="-57" w:leftChars="-27" w:right="-63" w:rightChars="-30"/>
              <w:jc w:val="center"/>
              <w:rPr>
                <w:rFonts w:hint="eastAsia" w:ascii="宋体" w:hAnsi="宋体" w:cs="宋体"/>
                <w:color w:val="auto"/>
                <w:sz w:val="18"/>
                <w:szCs w:val="18"/>
                <w:highlight w:val="none"/>
              </w:rPr>
            </w:pPr>
          </w:p>
        </w:tc>
        <w:tc>
          <w:tcPr>
            <w:tcW w:w="741" w:type="dxa"/>
            <w:vAlign w:val="center"/>
          </w:tcPr>
          <w:p w14:paraId="2B42EDA9">
            <w:pPr>
              <w:snapToGrid w:val="0"/>
              <w:ind w:left="-57" w:leftChars="-27" w:right="-63" w:rightChars="-30"/>
              <w:jc w:val="center"/>
              <w:rPr>
                <w:rFonts w:hint="eastAsia" w:ascii="宋体" w:hAnsi="宋体" w:cs="宋体"/>
                <w:color w:val="auto"/>
                <w:sz w:val="18"/>
                <w:szCs w:val="18"/>
                <w:highlight w:val="none"/>
              </w:rPr>
            </w:pPr>
          </w:p>
        </w:tc>
      </w:tr>
      <w:tr w14:paraId="7CA8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45568727">
            <w:pPr>
              <w:snapToGrid w:val="0"/>
              <w:ind w:left="-57" w:leftChars="-27" w:right="-63" w:rightChars="-30"/>
              <w:jc w:val="center"/>
              <w:rPr>
                <w:rFonts w:hint="eastAsia" w:ascii="宋体" w:hAnsi="宋体" w:cs="宋体"/>
                <w:color w:val="auto"/>
                <w:sz w:val="18"/>
                <w:szCs w:val="18"/>
                <w:highlight w:val="none"/>
              </w:rPr>
            </w:pPr>
          </w:p>
        </w:tc>
        <w:tc>
          <w:tcPr>
            <w:tcW w:w="1167" w:type="dxa"/>
            <w:vAlign w:val="center"/>
          </w:tcPr>
          <w:p w14:paraId="43455797">
            <w:pPr>
              <w:snapToGrid w:val="0"/>
              <w:ind w:left="-57" w:leftChars="-27" w:right="-63" w:rightChars="-30"/>
              <w:jc w:val="center"/>
              <w:rPr>
                <w:rFonts w:hint="eastAsia" w:ascii="宋体" w:hAnsi="宋体" w:cs="宋体"/>
                <w:color w:val="auto"/>
                <w:sz w:val="18"/>
                <w:szCs w:val="18"/>
                <w:highlight w:val="none"/>
              </w:rPr>
            </w:pPr>
          </w:p>
        </w:tc>
        <w:tc>
          <w:tcPr>
            <w:tcW w:w="497" w:type="dxa"/>
            <w:vAlign w:val="center"/>
          </w:tcPr>
          <w:p w14:paraId="14BBE555">
            <w:pPr>
              <w:snapToGrid w:val="0"/>
              <w:ind w:left="-57" w:leftChars="-27" w:right="-63" w:rightChars="-30"/>
              <w:jc w:val="center"/>
              <w:rPr>
                <w:rFonts w:hint="eastAsia" w:ascii="宋体" w:hAnsi="宋体" w:cs="宋体"/>
                <w:color w:val="auto"/>
                <w:sz w:val="18"/>
                <w:szCs w:val="18"/>
                <w:highlight w:val="none"/>
              </w:rPr>
            </w:pPr>
          </w:p>
        </w:tc>
        <w:tc>
          <w:tcPr>
            <w:tcW w:w="526" w:type="dxa"/>
            <w:vAlign w:val="center"/>
          </w:tcPr>
          <w:p w14:paraId="518807B6">
            <w:pPr>
              <w:snapToGrid w:val="0"/>
              <w:ind w:left="-57" w:leftChars="-27" w:right="-63" w:rightChars="-30"/>
              <w:jc w:val="center"/>
              <w:rPr>
                <w:rFonts w:hint="eastAsia" w:ascii="宋体" w:hAnsi="宋体" w:cs="宋体"/>
                <w:color w:val="auto"/>
                <w:sz w:val="18"/>
                <w:szCs w:val="18"/>
                <w:highlight w:val="none"/>
              </w:rPr>
            </w:pPr>
          </w:p>
        </w:tc>
        <w:tc>
          <w:tcPr>
            <w:tcW w:w="696" w:type="dxa"/>
            <w:vAlign w:val="center"/>
          </w:tcPr>
          <w:p w14:paraId="314DC936">
            <w:pPr>
              <w:snapToGrid w:val="0"/>
              <w:ind w:left="-57" w:leftChars="-27" w:right="-63" w:rightChars="-30"/>
              <w:jc w:val="center"/>
              <w:rPr>
                <w:rFonts w:hint="eastAsia" w:ascii="宋体" w:hAnsi="宋体" w:cs="宋体"/>
                <w:color w:val="auto"/>
                <w:sz w:val="18"/>
                <w:szCs w:val="18"/>
                <w:highlight w:val="none"/>
              </w:rPr>
            </w:pPr>
          </w:p>
        </w:tc>
        <w:tc>
          <w:tcPr>
            <w:tcW w:w="621" w:type="dxa"/>
            <w:vAlign w:val="center"/>
          </w:tcPr>
          <w:p w14:paraId="7160B083">
            <w:pPr>
              <w:snapToGrid w:val="0"/>
              <w:ind w:left="-57" w:leftChars="-27" w:right="-63" w:rightChars="-30"/>
              <w:jc w:val="center"/>
              <w:rPr>
                <w:rFonts w:hint="eastAsia" w:ascii="宋体" w:hAnsi="宋体" w:cs="宋体"/>
                <w:color w:val="auto"/>
                <w:sz w:val="18"/>
                <w:szCs w:val="18"/>
                <w:highlight w:val="none"/>
              </w:rPr>
            </w:pPr>
          </w:p>
        </w:tc>
        <w:tc>
          <w:tcPr>
            <w:tcW w:w="635" w:type="dxa"/>
            <w:vAlign w:val="center"/>
          </w:tcPr>
          <w:p w14:paraId="65124743">
            <w:pPr>
              <w:snapToGrid w:val="0"/>
              <w:ind w:left="-57" w:leftChars="-27" w:right="-63" w:rightChars="-30"/>
              <w:jc w:val="center"/>
              <w:rPr>
                <w:rFonts w:hint="eastAsia" w:ascii="宋体" w:hAnsi="宋体" w:cs="宋体"/>
                <w:color w:val="auto"/>
                <w:sz w:val="18"/>
                <w:szCs w:val="18"/>
                <w:highlight w:val="none"/>
              </w:rPr>
            </w:pPr>
          </w:p>
        </w:tc>
        <w:tc>
          <w:tcPr>
            <w:tcW w:w="631" w:type="dxa"/>
            <w:vAlign w:val="center"/>
          </w:tcPr>
          <w:p w14:paraId="4E0B24C3">
            <w:pPr>
              <w:snapToGrid w:val="0"/>
              <w:ind w:left="-57" w:leftChars="-27" w:right="-63" w:rightChars="-30"/>
              <w:jc w:val="center"/>
              <w:rPr>
                <w:rFonts w:hint="eastAsia" w:ascii="宋体" w:hAnsi="宋体" w:cs="宋体"/>
                <w:color w:val="auto"/>
                <w:sz w:val="18"/>
                <w:szCs w:val="18"/>
                <w:highlight w:val="none"/>
              </w:rPr>
            </w:pPr>
          </w:p>
        </w:tc>
        <w:tc>
          <w:tcPr>
            <w:tcW w:w="701" w:type="dxa"/>
            <w:vAlign w:val="center"/>
          </w:tcPr>
          <w:p w14:paraId="4B807D81">
            <w:pPr>
              <w:snapToGrid w:val="0"/>
              <w:ind w:left="-57" w:leftChars="-27" w:right="-63" w:rightChars="-30"/>
              <w:jc w:val="center"/>
              <w:rPr>
                <w:rFonts w:hint="eastAsia" w:ascii="宋体" w:hAnsi="宋体" w:cs="宋体"/>
                <w:color w:val="auto"/>
                <w:sz w:val="18"/>
                <w:szCs w:val="18"/>
                <w:highlight w:val="none"/>
              </w:rPr>
            </w:pPr>
          </w:p>
        </w:tc>
        <w:tc>
          <w:tcPr>
            <w:tcW w:w="843" w:type="dxa"/>
            <w:vAlign w:val="center"/>
          </w:tcPr>
          <w:p w14:paraId="7A48A12B">
            <w:pPr>
              <w:snapToGrid w:val="0"/>
              <w:ind w:left="-57" w:leftChars="-27" w:right="-63" w:rightChars="-30"/>
              <w:jc w:val="center"/>
              <w:rPr>
                <w:rFonts w:hint="eastAsia" w:ascii="宋体" w:hAnsi="宋体" w:cs="宋体"/>
                <w:color w:val="auto"/>
                <w:sz w:val="18"/>
                <w:szCs w:val="18"/>
                <w:highlight w:val="none"/>
              </w:rPr>
            </w:pPr>
          </w:p>
        </w:tc>
        <w:tc>
          <w:tcPr>
            <w:tcW w:w="764" w:type="dxa"/>
            <w:vAlign w:val="center"/>
          </w:tcPr>
          <w:p w14:paraId="6F526ED8">
            <w:pPr>
              <w:snapToGrid w:val="0"/>
              <w:ind w:left="-57" w:leftChars="-27" w:right="-63" w:rightChars="-30"/>
              <w:jc w:val="center"/>
              <w:rPr>
                <w:rFonts w:hint="eastAsia" w:ascii="宋体" w:hAnsi="宋体" w:cs="宋体"/>
                <w:color w:val="auto"/>
                <w:sz w:val="18"/>
                <w:szCs w:val="18"/>
                <w:highlight w:val="none"/>
              </w:rPr>
            </w:pPr>
          </w:p>
        </w:tc>
        <w:tc>
          <w:tcPr>
            <w:tcW w:w="491" w:type="dxa"/>
            <w:vAlign w:val="center"/>
          </w:tcPr>
          <w:p w14:paraId="0C703A4E">
            <w:pPr>
              <w:snapToGrid w:val="0"/>
              <w:ind w:left="-57" w:leftChars="-27" w:right="-63" w:rightChars="-30"/>
              <w:jc w:val="center"/>
              <w:rPr>
                <w:rFonts w:hint="eastAsia" w:ascii="宋体" w:hAnsi="宋体" w:cs="宋体"/>
                <w:color w:val="auto"/>
                <w:sz w:val="18"/>
                <w:szCs w:val="18"/>
                <w:highlight w:val="none"/>
              </w:rPr>
            </w:pPr>
          </w:p>
        </w:tc>
        <w:tc>
          <w:tcPr>
            <w:tcW w:w="741" w:type="dxa"/>
            <w:vAlign w:val="center"/>
          </w:tcPr>
          <w:p w14:paraId="042FE5CD">
            <w:pPr>
              <w:snapToGrid w:val="0"/>
              <w:ind w:left="-57" w:leftChars="-27" w:right="-63" w:rightChars="-30"/>
              <w:jc w:val="center"/>
              <w:rPr>
                <w:rFonts w:hint="eastAsia" w:ascii="宋体" w:hAnsi="宋体" w:cs="宋体"/>
                <w:color w:val="auto"/>
                <w:sz w:val="18"/>
                <w:szCs w:val="18"/>
                <w:highlight w:val="none"/>
              </w:rPr>
            </w:pPr>
          </w:p>
        </w:tc>
      </w:tr>
      <w:tr w14:paraId="5F41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76891075">
            <w:pPr>
              <w:snapToGrid w:val="0"/>
              <w:ind w:left="-57" w:leftChars="-27" w:right="-63" w:rightChars="-30"/>
              <w:jc w:val="center"/>
              <w:rPr>
                <w:rFonts w:hint="eastAsia" w:ascii="宋体" w:hAnsi="宋体" w:cs="宋体"/>
                <w:color w:val="auto"/>
                <w:sz w:val="18"/>
                <w:szCs w:val="18"/>
                <w:highlight w:val="none"/>
              </w:rPr>
            </w:pPr>
          </w:p>
        </w:tc>
        <w:tc>
          <w:tcPr>
            <w:tcW w:w="1167" w:type="dxa"/>
            <w:vAlign w:val="center"/>
          </w:tcPr>
          <w:p w14:paraId="25590216">
            <w:pPr>
              <w:snapToGrid w:val="0"/>
              <w:ind w:left="-57" w:leftChars="-27" w:right="-63" w:rightChars="-30"/>
              <w:jc w:val="center"/>
              <w:rPr>
                <w:rFonts w:hint="eastAsia" w:ascii="宋体" w:hAnsi="宋体" w:cs="宋体"/>
                <w:color w:val="auto"/>
                <w:sz w:val="18"/>
                <w:szCs w:val="18"/>
                <w:highlight w:val="none"/>
              </w:rPr>
            </w:pPr>
          </w:p>
        </w:tc>
        <w:tc>
          <w:tcPr>
            <w:tcW w:w="497" w:type="dxa"/>
            <w:vAlign w:val="center"/>
          </w:tcPr>
          <w:p w14:paraId="0E05551A">
            <w:pPr>
              <w:snapToGrid w:val="0"/>
              <w:ind w:left="-57" w:leftChars="-27" w:right="-63" w:rightChars="-30"/>
              <w:jc w:val="center"/>
              <w:rPr>
                <w:rFonts w:hint="eastAsia" w:ascii="宋体" w:hAnsi="宋体" w:cs="宋体"/>
                <w:color w:val="auto"/>
                <w:sz w:val="18"/>
                <w:szCs w:val="18"/>
                <w:highlight w:val="none"/>
              </w:rPr>
            </w:pPr>
          </w:p>
        </w:tc>
        <w:tc>
          <w:tcPr>
            <w:tcW w:w="526" w:type="dxa"/>
            <w:vAlign w:val="center"/>
          </w:tcPr>
          <w:p w14:paraId="7A813C9A">
            <w:pPr>
              <w:snapToGrid w:val="0"/>
              <w:ind w:left="-57" w:leftChars="-27" w:right="-63" w:rightChars="-30"/>
              <w:jc w:val="center"/>
              <w:rPr>
                <w:rFonts w:hint="eastAsia" w:ascii="宋体" w:hAnsi="宋体" w:cs="宋体"/>
                <w:color w:val="auto"/>
                <w:sz w:val="18"/>
                <w:szCs w:val="18"/>
                <w:highlight w:val="none"/>
              </w:rPr>
            </w:pPr>
          </w:p>
        </w:tc>
        <w:tc>
          <w:tcPr>
            <w:tcW w:w="696" w:type="dxa"/>
            <w:vAlign w:val="center"/>
          </w:tcPr>
          <w:p w14:paraId="76DC9144">
            <w:pPr>
              <w:snapToGrid w:val="0"/>
              <w:ind w:left="-57" w:leftChars="-27" w:right="-63" w:rightChars="-30"/>
              <w:jc w:val="center"/>
              <w:rPr>
                <w:rFonts w:hint="eastAsia" w:ascii="宋体" w:hAnsi="宋体" w:cs="宋体"/>
                <w:color w:val="auto"/>
                <w:sz w:val="18"/>
                <w:szCs w:val="18"/>
                <w:highlight w:val="none"/>
              </w:rPr>
            </w:pPr>
          </w:p>
        </w:tc>
        <w:tc>
          <w:tcPr>
            <w:tcW w:w="621" w:type="dxa"/>
            <w:vAlign w:val="center"/>
          </w:tcPr>
          <w:p w14:paraId="43D3410D">
            <w:pPr>
              <w:snapToGrid w:val="0"/>
              <w:ind w:left="-57" w:leftChars="-27" w:right="-63" w:rightChars="-30"/>
              <w:jc w:val="center"/>
              <w:rPr>
                <w:rFonts w:hint="eastAsia" w:ascii="宋体" w:hAnsi="宋体" w:cs="宋体"/>
                <w:color w:val="auto"/>
                <w:sz w:val="18"/>
                <w:szCs w:val="18"/>
                <w:highlight w:val="none"/>
              </w:rPr>
            </w:pPr>
          </w:p>
        </w:tc>
        <w:tc>
          <w:tcPr>
            <w:tcW w:w="635" w:type="dxa"/>
            <w:vAlign w:val="center"/>
          </w:tcPr>
          <w:p w14:paraId="760A9799">
            <w:pPr>
              <w:snapToGrid w:val="0"/>
              <w:ind w:left="-57" w:leftChars="-27" w:right="-63" w:rightChars="-30"/>
              <w:jc w:val="center"/>
              <w:rPr>
                <w:rFonts w:hint="eastAsia" w:ascii="宋体" w:hAnsi="宋体" w:cs="宋体"/>
                <w:color w:val="auto"/>
                <w:sz w:val="18"/>
                <w:szCs w:val="18"/>
                <w:highlight w:val="none"/>
              </w:rPr>
            </w:pPr>
          </w:p>
        </w:tc>
        <w:tc>
          <w:tcPr>
            <w:tcW w:w="631" w:type="dxa"/>
            <w:vAlign w:val="center"/>
          </w:tcPr>
          <w:p w14:paraId="1042E21B">
            <w:pPr>
              <w:snapToGrid w:val="0"/>
              <w:ind w:left="-57" w:leftChars="-27" w:right="-63" w:rightChars="-30"/>
              <w:jc w:val="center"/>
              <w:rPr>
                <w:rFonts w:hint="eastAsia" w:ascii="宋体" w:hAnsi="宋体" w:cs="宋体"/>
                <w:color w:val="auto"/>
                <w:sz w:val="18"/>
                <w:szCs w:val="18"/>
                <w:highlight w:val="none"/>
              </w:rPr>
            </w:pPr>
          </w:p>
        </w:tc>
        <w:tc>
          <w:tcPr>
            <w:tcW w:w="701" w:type="dxa"/>
            <w:vAlign w:val="center"/>
          </w:tcPr>
          <w:p w14:paraId="4B9436FD">
            <w:pPr>
              <w:snapToGrid w:val="0"/>
              <w:ind w:left="-57" w:leftChars="-27" w:right="-63" w:rightChars="-30"/>
              <w:jc w:val="center"/>
              <w:rPr>
                <w:rFonts w:hint="eastAsia" w:ascii="宋体" w:hAnsi="宋体" w:cs="宋体"/>
                <w:color w:val="auto"/>
                <w:sz w:val="18"/>
                <w:szCs w:val="18"/>
                <w:highlight w:val="none"/>
              </w:rPr>
            </w:pPr>
          </w:p>
        </w:tc>
        <w:tc>
          <w:tcPr>
            <w:tcW w:w="843" w:type="dxa"/>
            <w:vAlign w:val="center"/>
          </w:tcPr>
          <w:p w14:paraId="2DE288FE">
            <w:pPr>
              <w:snapToGrid w:val="0"/>
              <w:ind w:left="-57" w:leftChars="-27" w:right="-63" w:rightChars="-30"/>
              <w:jc w:val="center"/>
              <w:rPr>
                <w:rFonts w:hint="eastAsia" w:ascii="宋体" w:hAnsi="宋体" w:cs="宋体"/>
                <w:color w:val="auto"/>
                <w:sz w:val="18"/>
                <w:szCs w:val="18"/>
                <w:highlight w:val="none"/>
              </w:rPr>
            </w:pPr>
          </w:p>
        </w:tc>
        <w:tc>
          <w:tcPr>
            <w:tcW w:w="764" w:type="dxa"/>
            <w:vAlign w:val="center"/>
          </w:tcPr>
          <w:p w14:paraId="57B76976">
            <w:pPr>
              <w:snapToGrid w:val="0"/>
              <w:ind w:left="-57" w:leftChars="-27" w:right="-63" w:rightChars="-30"/>
              <w:jc w:val="center"/>
              <w:rPr>
                <w:rFonts w:hint="eastAsia" w:ascii="宋体" w:hAnsi="宋体" w:cs="宋体"/>
                <w:color w:val="auto"/>
                <w:sz w:val="18"/>
                <w:szCs w:val="18"/>
                <w:highlight w:val="none"/>
              </w:rPr>
            </w:pPr>
          </w:p>
        </w:tc>
        <w:tc>
          <w:tcPr>
            <w:tcW w:w="491" w:type="dxa"/>
            <w:vAlign w:val="center"/>
          </w:tcPr>
          <w:p w14:paraId="194F9792">
            <w:pPr>
              <w:snapToGrid w:val="0"/>
              <w:ind w:left="-57" w:leftChars="-27" w:right="-63" w:rightChars="-30"/>
              <w:jc w:val="center"/>
              <w:rPr>
                <w:rFonts w:hint="eastAsia" w:ascii="宋体" w:hAnsi="宋体" w:cs="宋体"/>
                <w:color w:val="auto"/>
                <w:sz w:val="18"/>
                <w:szCs w:val="18"/>
                <w:highlight w:val="none"/>
              </w:rPr>
            </w:pPr>
          </w:p>
        </w:tc>
        <w:tc>
          <w:tcPr>
            <w:tcW w:w="741" w:type="dxa"/>
            <w:vAlign w:val="center"/>
          </w:tcPr>
          <w:p w14:paraId="4C08DE9E">
            <w:pPr>
              <w:snapToGrid w:val="0"/>
              <w:ind w:left="-57" w:leftChars="-27" w:right="-63" w:rightChars="-30"/>
              <w:jc w:val="center"/>
              <w:rPr>
                <w:rFonts w:hint="eastAsia" w:ascii="宋体" w:hAnsi="宋体" w:cs="宋体"/>
                <w:color w:val="auto"/>
                <w:sz w:val="18"/>
                <w:szCs w:val="18"/>
                <w:highlight w:val="none"/>
              </w:rPr>
            </w:pPr>
          </w:p>
        </w:tc>
      </w:tr>
      <w:tr w14:paraId="13B5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467A1498">
            <w:pPr>
              <w:snapToGrid w:val="0"/>
              <w:ind w:left="-57" w:leftChars="-27" w:right="-63" w:rightChars="-30"/>
              <w:jc w:val="center"/>
              <w:rPr>
                <w:rFonts w:hint="eastAsia" w:ascii="宋体" w:hAnsi="宋体" w:cs="宋体"/>
                <w:color w:val="auto"/>
                <w:sz w:val="18"/>
                <w:szCs w:val="18"/>
                <w:highlight w:val="none"/>
              </w:rPr>
            </w:pPr>
          </w:p>
        </w:tc>
        <w:tc>
          <w:tcPr>
            <w:tcW w:w="1167" w:type="dxa"/>
            <w:vAlign w:val="center"/>
          </w:tcPr>
          <w:p w14:paraId="45EB5B32">
            <w:pPr>
              <w:snapToGrid w:val="0"/>
              <w:ind w:left="-57" w:leftChars="-27" w:right="-63" w:rightChars="-30"/>
              <w:jc w:val="center"/>
              <w:rPr>
                <w:rFonts w:hint="eastAsia" w:ascii="宋体" w:hAnsi="宋体" w:cs="宋体"/>
                <w:color w:val="auto"/>
                <w:sz w:val="18"/>
                <w:szCs w:val="18"/>
                <w:highlight w:val="none"/>
              </w:rPr>
            </w:pPr>
          </w:p>
        </w:tc>
        <w:tc>
          <w:tcPr>
            <w:tcW w:w="497" w:type="dxa"/>
            <w:vAlign w:val="center"/>
          </w:tcPr>
          <w:p w14:paraId="76781D57">
            <w:pPr>
              <w:snapToGrid w:val="0"/>
              <w:ind w:left="-57" w:leftChars="-27" w:right="-63" w:rightChars="-30"/>
              <w:jc w:val="center"/>
              <w:rPr>
                <w:rFonts w:hint="eastAsia" w:ascii="宋体" w:hAnsi="宋体" w:cs="宋体"/>
                <w:color w:val="auto"/>
                <w:sz w:val="18"/>
                <w:szCs w:val="18"/>
                <w:highlight w:val="none"/>
              </w:rPr>
            </w:pPr>
          </w:p>
        </w:tc>
        <w:tc>
          <w:tcPr>
            <w:tcW w:w="526" w:type="dxa"/>
            <w:vAlign w:val="center"/>
          </w:tcPr>
          <w:p w14:paraId="3DB8E713">
            <w:pPr>
              <w:snapToGrid w:val="0"/>
              <w:ind w:left="-57" w:leftChars="-27" w:right="-63" w:rightChars="-30"/>
              <w:jc w:val="center"/>
              <w:rPr>
                <w:rFonts w:hint="eastAsia" w:ascii="宋体" w:hAnsi="宋体" w:cs="宋体"/>
                <w:color w:val="auto"/>
                <w:sz w:val="18"/>
                <w:szCs w:val="18"/>
                <w:highlight w:val="none"/>
              </w:rPr>
            </w:pPr>
          </w:p>
        </w:tc>
        <w:tc>
          <w:tcPr>
            <w:tcW w:w="696" w:type="dxa"/>
            <w:vAlign w:val="center"/>
          </w:tcPr>
          <w:p w14:paraId="07DA34AF">
            <w:pPr>
              <w:snapToGrid w:val="0"/>
              <w:ind w:left="-57" w:leftChars="-27" w:right="-63" w:rightChars="-30"/>
              <w:jc w:val="center"/>
              <w:rPr>
                <w:rFonts w:hint="eastAsia" w:ascii="宋体" w:hAnsi="宋体" w:cs="宋体"/>
                <w:color w:val="auto"/>
                <w:sz w:val="18"/>
                <w:szCs w:val="18"/>
                <w:highlight w:val="none"/>
              </w:rPr>
            </w:pPr>
          </w:p>
        </w:tc>
        <w:tc>
          <w:tcPr>
            <w:tcW w:w="621" w:type="dxa"/>
            <w:vAlign w:val="center"/>
          </w:tcPr>
          <w:p w14:paraId="3020CB41">
            <w:pPr>
              <w:snapToGrid w:val="0"/>
              <w:ind w:left="-57" w:leftChars="-27" w:right="-63" w:rightChars="-30"/>
              <w:jc w:val="center"/>
              <w:rPr>
                <w:rFonts w:hint="eastAsia" w:ascii="宋体" w:hAnsi="宋体" w:cs="宋体"/>
                <w:color w:val="auto"/>
                <w:sz w:val="18"/>
                <w:szCs w:val="18"/>
                <w:highlight w:val="none"/>
              </w:rPr>
            </w:pPr>
          </w:p>
        </w:tc>
        <w:tc>
          <w:tcPr>
            <w:tcW w:w="635" w:type="dxa"/>
            <w:vAlign w:val="center"/>
          </w:tcPr>
          <w:p w14:paraId="5AFAF0F7">
            <w:pPr>
              <w:snapToGrid w:val="0"/>
              <w:ind w:left="-57" w:leftChars="-27" w:right="-63" w:rightChars="-30"/>
              <w:jc w:val="center"/>
              <w:rPr>
                <w:rFonts w:hint="eastAsia" w:ascii="宋体" w:hAnsi="宋体" w:cs="宋体"/>
                <w:color w:val="auto"/>
                <w:sz w:val="18"/>
                <w:szCs w:val="18"/>
                <w:highlight w:val="none"/>
              </w:rPr>
            </w:pPr>
          </w:p>
        </w:tc>
        <w:tc>
          <w:tcPr>
            <w:tcW w:w="631" w:type="dxa"/>
            <w:vAlign w:val="center"/>
          </w:tcPr>
          <w:p w14:paraId="21A4CBA0">
            <w:pPr>
              <w:snapToGrid w:val="0"/>
              <w:ind w:left="-57" w:leftChars="-27" w:right="-63" w:rightChars="-30"/>
              <w:jc w:val="center"/>
              <w:rPr>
                <w:rFonts w:hint="eastAsia" w:ascii="宋体" w:hAnsi="宋体" w:cs="宋体"/>
                <w:color w:val="auto"/>
                <w:sz w:val="18"/>
                <w:szCs w:val="18"/>
                <w:highlight w:val="none"/>
              </w:rPr>
            </w:pPr>
          </w:p>
        </w:tc>
        <w:tc>
          <w:tcPr>
            <w:tcW w:w="701" w:type="dxa"/>
            <w:vAlign w:val="center"/>
          </w:tcPr>
          <w:p w14:paraId="6BA87645">
            <w:pPr>
              <w:snapToGrid w:val="0"/>
              <w:ind w:left="-57" w:leftChars="-27" w:right="-63" w:rightChars="-30"/>
              <w:jc w:val="center"/>
              <w:rPr>
                <w:rFonts w:hint="eastAsia" w:ascii="宋体" w:hAnsi="宋体" w:cs="宋体"/>
                <w:color w:val="auto"/>
                <w:sz w:val="18"/>
                <w:szCs w:val="18"/>
                <w:highlight w:val="none"/>
              </w:rPr>
            </w:pPr>
          </w:p>
        </w:tc>
        <w:tc>
          <w:tcPr>
            <w:tcW w:w="843" w:type="dxa"/>
            <w:vAlign w:val="center"/>
          </w:tcPr>
          <w:p w14:paraId="2251C035">
            <w:pPr>
              <w:snapToGrid w:val="0"/>
              <w:ind w:left="-57" w:leftChars="-27" w:right="-63" w:rightChars="-30"/>
              <w:jc w:val="center"/>
              <w:rPr>
                <w:rFonts w:hint="eastAsia" w:ascii="宋体" w:hAnsi="宋体" w:cs="宋体"/>
                <w:color w:val="auto"/>
                <w:sz w:val="18"/>
                <w:szCs w:val="18"/>
                <w:highlight w:val="none"/>
              </w:rPr>
            </w:pPr>
          </w:p>
        </w:tc>
        <w:tc>
          <w:tcPr>
            <w:tcW w:w="764" w:type="dxa"/>
            <w:vAlign w:val="center"/>
          </w:tcPr>
          <w:p w14:paraId="204ACD6A">
            <w:pPr>
              <w:snapToGrid w:val="0"/>
              <w:ind w:left="-57" w:leftChars="-27" w:right="-63" w:rightChars="-30"/>
              <w:jc w:val="center"/>
              <w:rPr>
                <w:rFonts w:hint="eastAsia" w:ascii="宋体" w:hAnsi="宋体" w:cs="宋体"/>
                <w:color w:val="auto"/>
                <w:sz w:val="18"/>
                <w:szCs w:val="18"/>
                <w:highlight w:val="none"/>
              </w:rPr>
            </w:pPr>
          </w:p>
        </w:tc>
        <w:tc>
          <w:tcPr>
            <w:tcW w:w="491" w:type="dxa"/>
            <w:vAlign w:val="center"/>
          </w:tcPr>
          <w:p w14:paraId="29C33D90">
            <w:pPr>
              <w:snapToGrid w:val="0"/>
              <w:ind w:left="-57" w:leftChars="-27" w:right="-63" w:rightChars="-30"/>
              <w:jc w:val="center"/>
              <w:rPr>
                <w:rFonts w:hint="eastAsia" w:ascii="宋体" w:hAnsi="宋体" w:cs="宋体"/>
                <w:color w:val="auto"/>
                <w:sz w:val="18"/>
                <w:szCs w:val="18"/>
                <w:highlight w:val="none"/>
              </w:rPr>
            </w:pPr>
          </w:p>
        </w:tc>
        <w:tc>
          <w:tcPr>
            <w:tcW w:w="741" w:type="dxa"/>
            <w:vAlign w:val="center"/>
          </w:tcPr>
          <w:p w14:paraId="6FCFCD42">
            <w:pPr>
              <w:snapToGrid w:val="0"/>
              <w:ind w:left="-57" w:leftChars="-27" w:right="-63" w:rightChars="-30"/>
              <w:jc w:val="center"/>
              <w:rPr>
                <w:rFonts w:hint="eastAsia" w:ascii="宋体" w:hAnsi="宋体" w:cs="宋体"/>
                <w:color w:val="auto"/>
                <w:sz w:val="18"/>
                <w:szCs w:val="18"/>
                <w:highlight w:val="none"/>
              </w:rPr>
            </w:pPr>
          </w:p>
        </w:tc>
      </w:tr>
      <w:tr w14:paraId="44A7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791" w:type="dxa"/>
            <w:gridSpan w:val="13"/>
            <w:vAlign w:val="center"/>
          </w:tcPr>
          <w:p w14:paraId="31484A48">
            <w:pPr>
              <w:rPr>
                <w:color w:val="auto"/>
                <w:kern w:val="1"/>
                <w:highlight w:val="none"/>
              </w:rPr>
            </w:pPr>
            <w:r>
              <w:rPr>
                <w:rFonts w:hint="eastAsia"/>
                <w:color w:val="auto"/>
                <w:kern w:val="1"/>
                <w:highlight w:val="none"/>
              </w:rPr>
              <w:t>最高投标限价为元；</w:t>
            </w:r>
          </w:p>
          <w:p w14:paraId="0D06BB5E">
            <w:pPr>
              <w:rPr>
                <w:color w:val="auto"/>
                <w:kern w:val="1"/>
                <w:highlight w:val="none"/>
              </w:rPr>
            </w:pPr>
            <w:r>
              <w:rPr>
                <w:rFonts w:hint="eastAsia"/>
                <w:color w:val="auto"/>
                <w:kern w:val="1"/>
                <w:highlight w:val="none"/>
              </w:rPr>
              <w:t>其中：设计费最高投标限价为元，建安工程费最高投标限价为元。</w:t>
            </w:r>
          </w:p>
        </w:tc>
      </w:tr>
    </w:tbl>
    <w:p w14:paraId="5B2FBAAE">
      <w:pPr>
        <w:spacing w:line="400" w:lineRule="exact"/>
        <w:ind w:right="420"/>
        <w:rPr>
          <w:rFonts w:hint="eastAsia" w:ascii="宋体" w:hAnsi="宋体" w:cs="宋体"/>
          <w:color w:val="auto"/>
          <w:szCs w:val="21"/>
          <w:highlight w:val="none"/>
        </w:rPr>
      </w:pPr>
      <w:r>
        <w:rPr>
          <w:rFonts w:hint="eastAsia" w:ascii="宋体" w:hAnsi="宋体" w:cs="宋体"/>
          <w:color w:val="auto"/>
          <w:szCs w:val="21"/>
          <w:highlight w:val="none"/>
        </w:rPr>
        <w:t>招标人代表： 记录人： 监标人：</w:t>
      </w:r>
    </w:p>
    <w:p w14:paraId="36662327">
      <w:pPr>
        <w:spacing w:line="620" w:lineRule="exact"/>
        <w:ind w:firstLine="420"/>
        <w:jc w:val="right"/>
        <w:rPr>
          <w:rFonts w:hint="eastAsia" w:ascii="宋体" w:hAnsi="宋体" w:cs="宋体"/>
          <w:color w:val="auto"/>
          <w:sz w:val="20"/>
          <w:szCs w:val="20"/>
          <w:highlight w:val="none"/>
        </w:rPr>
      </w:pPr>
      <w:r>
        <w:rPr>
          <w:rFonts w:hint="eastAsia" w:ascii="宋体" w:hAnsi="宋体" w:cs="宋体"/>
          <w:color w:val="auto"/>
          <w:szCs w:val="21"/>
          <w:highlight w:val="none"/>
        </w:rPr>
        <w:t>年月日</w:t>
      </w:r>
    </w:p>
    <w:bookmarkEnd w:id="444"/>
    <w:bookmarkEnd w:id="445"/>
    <w:bookmarkEnd w:id="446"/>
    <w:bookmarkEnd w:id="447"/>
    <w:bookmarkEnd w:id="448"/>
    <w:bookmarkEnd w:id="449"/>
    <w:p w14:paraId="6872D0A7">
      <w:pPr>
        <w:spacing w:line="620" w:lineRule="exact"/>
        <w:ind w:firstLine="420"/>
        <w:jc w:val="right"/>
        <w:rPr>
          <w:rFonts w:hint="eastAsia" w:ascii="宋体" w:hAnsi="宋体" w:cs="宋体"/>
          <w:color w:val="auto"/>
          <w:sz w:val="20"/>
          <w:szCs w:val="20"/>
          <w:highlight w:val="none"/>
        </w:rPr>
      </w:pPr>
    </w:p>
    <w:p w14:paraId="5BE57758">
      <w:pPr>
        <w:rPr>
          <w:color w:val="auto"/>
          <w:highlight w:val="none"/>
        </w:rPr>
      </w:pPr>
    </w:p>
    <w:p w14:paraId="34A96A49">
      <w:pPr>
        <w:rPr>
          <w:color w:val="auto"/>
          <w:highlight w:val="none"/>
        </w:rPr>
      </w:pPr>
    </w:p>
    <w:p w14:paraId="48391AC3">
      <w:pPr>
        <w:rPr>
          <w:color w:val="auto"/>
          <w:highlight w:val="none"/>
        </w:rPr>
      </w:pPr>
      <w:r>
        <w:rPr>
          <w:rFonts w:hint="eastAsia"/>
          <w:color w:val="auto"/>
          <w:highlight w:val="none"/>
        </w:rPr>
        <w:t>注：本表仅供参考，具体以开标时的开标记录表为准。</w:t>
      </w:r>
    </w:p>
    <w:p w14:paraId="6E363E0A">
      <w:pPr>
        <w:pStyle w:val="4"/>
        <w:rPr>
          <w:rFonts w:hint="eastAsia"/>
          <w:color w:val="auto"/>
          <w:highlight w:val="none"/>
        </w:rPr>
      </w:pPr>
      <w:r>
        <w:rPr>
          <w:rFonts w:hint="eastAsia"/>
          <w:color w:val="auto"/>
          <w:highlight w:val="none"/>
        </w:rPr>
        <w:br w:type="page"/>
      </w:r>
      <w:bookmarkStart w:id="450" w:name="_Toc134304574"/>
      <w:r>
        <w:rPr>
          <w:rFonts w:hint="eastAsia"/>
          <w:color w:val="auto"/>
          <w:highlight w:val="none"/>
        </w:rPr>
        <w:t>附件二：问题澄清通知</w:t>
      </w:r>
      <w:bookmarkEnd w:id="450"/>
    </w:p>
    <w:p w14:paraId="1D4274C7">
      <w:pPr>
        <w:spacing w:line="440" w:lineRule="exact"/>
        <w:ind w:firstLine="420"/>
        <w:jc w:val="center"/>
        <w:rPr>
          <w:rFonts w:hint="eastAsia" w:ascii="宋体" w:hAnsi="宋体" w:cs="宋体"/>
          <w:color w:val="auto"/>
          <w:szCs w:val="21"/>
          <w:highlight w:val="none"/>
        </w:rPr>
      </w:pPr>
    </w:p>
    <w:p w14:paraId="2ADDDB1E">
      <w:pPr>
        <w:spacing w:line="44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问题澄清通知</w:t>
      </w:r>
    </w:p>
    <w:p w14:paraId="76BB73FD">
      <w:pPr>
        <w:spacing w:line="440" w:lineRule="exact"/>
        <w:ind w:firstLine="6663"/>
        <w:rPr>
          <w:rFonts w:hint="eastAsia" w:ascii="宋体" w:hAnsi="宋体" w:cs="宋体"/>
          <w:color w:val="auto"/>
          <w:szCs w:val="21"/>
          <w:highlight w:val="none"/>
        </w:rPr>
      </w:pPr>
      <w:r>
        <w:rPr>
          <w:rFonts w:hint="eastAsia" w:ascii="宋体" w:hAnsi="宋体" w:cs="宋体"/>
          <w:color w:val="auto"/>
          <w:szCs w:val="21"/>
          <w:highlight w:val="none"/>
        </w:rPr>
        <w:t>编号：</w:t>
      </w:r>
    </w:p>
    <w:p w14:paraId="201C59FE">
      <w:pPr>
        <w:spacing w:line="440" w:lineRule="exact"/>
        <w:ind w:firstLine="420"/>
        <w:rPr>
          <w:rFonts w:hint="eastAsia" w:ascii="宋体" w:hAnsi="宋体" w:cs="宋体"/>
          <w:color w:val="auto"/>
          <w:szCs w:val="21"/>
          <w:highlight w:val="none"/>
        </w:rPr>
      </w:pPr>
    </w:p>
    <w:p w14:paraId="01A4788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（投标人名称）：</w:t>
      </w:r>
    </w:p>
    <w:p w14:paraId="266426C4">
      <w:pPr>
        <w:spacing w:line="440" w:lineRule="exact"/>
        <w:ind w:firstLine="420"/>
        <w:rPr>
          <w:rFonts w:hint="eastAsia" w:ascii="宋体" w:hAnsi="宋体" w:cs="宋体"/>
          <w:color w:val="auto"/>
          <w:szCs w:val="21"/>
          <w:highlight w:val="none"/>
        </w:rPr>
      </w:pPr>
    </w:p>
    <w:p w14:paraId="70C7EEAD">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（项目名称）招标的评标委员会，对你方的投标文件进行了仔细的审查，现需你方对下列问题以书面形式予以澄清：</w:t>
      </w:r>
    </w:p>
    <w:p w14:paraId="0B2B8E38">
      <w:pPr>
        <w:spacing w:line="440" w:lineRule="exact"/>
        <w:ind w:firstLine="420"/>
        <w:rPr>
          <w:rFonts w:hint="eastAsia" w:ascii="宋体" w:hAnsi="宋体" w:cs="宋体"/>
          <w:color w:val="auto"/>
          <w:szCs w:val="21"/>
          <w:highlight w:val="none"/>
        </w:rPr>
      </w:pPr>
    </w:p>
    <w:p w14:paraId="178B5AC3">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w:t>
      </w:r>
    </w:p>
    <w:p w14:paraId="3D097B79">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w:t>
      </w:r>
    </w:p>
    <w:p w14:paraId="068918A4">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C9CB5C4">
      <w:pPr>
        <w:spacing w:line="440" w:lineRule="exact"/>
        <w:ind w:firstLine="420"/>
        <w:rPr>
          <w:rFonts w:hint="eastAsia" w:ascii="宋体" w:hAnsi="宋体" w:cs="宋体"/>
          <w:color w:val="auto"/>
          <w:szCs w:val="21"/>
          <w:highlight w:val="none"/>
        </w:rPr>
      </w:pPr>
    </w:p>
    <w:p w14:paraId="1A67FD47">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请将上述问题的澄清于年月日时前递交至（详细地址）或传真至</w:t>
      </w:r>
      <w:bookmarkStart w:id="451" w:name="_Toc300835003"/>
      <w:bookmarkStart w:id="452" w:name="_Toc152042359"/>
      <w:bookmarkStart w:id="453" w:name="_Toc439246049"/>
      <w:bookmarkStart w:id="454" w:name="_Toc439240650"/>
      <w:bookmarkStart w:id="455" w:name="_Toc356469229"/>
      <w:bookmarkStart w:id="456" w:name="_Toc247527607"/>
      <w:bookmarkStart w:id="457" w:name="_Toc144974549"/>
      <w:bookmarkStart w:id="458" w:name="_Toc247514006"/>
      <w:bookmarkStart w:id="459" w:name="_Toc152045582"/>
      <w:bookmarkStart w:id="460" w:name="_Toc357089563"/>
      <w:r>
        <w:rPr>
          <w:rFonts w:hint="eastAsia" w:ascii="宋体" w:hAnsi="宋体" w:cs="宋体"/>
          <w:color w:val="auto"/>
          <w:szCs w:val="21"/>
          <w:highlight w:val="none"/>
        </w:rPr>
        <w:t>（传真号码</w:t>
      </w:r>
      <w:bookmarkEnd w:id="451"/>
      <w:bookmarkEnd w:id="452"/>
      <w:bookmarkEnd w:id="453"/>
      <w:bookmarkEnd w:id="454"/>
      <w:bookmarkEnd w:id="455"/>
      <w:bookmarkEnd w:id="456"/>
      <w:bookmarkEnd w:id="457"/>
      <w:bookmarkEnd w:id="458"/>
      <w:bookmarkEnd w:id="459"/>
      <w:bookmarkEnd w:id="460"/>
      <w:r>
        <w:rPr>
          <w:rFonts w:hint="eastAsia" w:ascii="宋体" w:hAnsi="宋体" w:cs="宋体"/>
          <w:color w:val="auto"/>
          <w:szCs w:val="21"/>
          <w:highlight w:val="none"/>
        </w:rPr>
        <w:t>）。采用传真方式的，应在年月日时前将原件递交至（详细地址）。</w:t>
      </w:r>
    </w:p>
    <w:p w14:paraId="3E813A4F">
      <w:pPr>
        <w:spacing w:line="440" w:lineRule="exact"/>
        <w:ind w:firstLine="420"/>
        <w:rPr>
          <w:rFonts w:hint="eastAsia" w:ascii="宋体" w:hAnsi="宋体" w:cs="宋体"/>
          <w:color w:val="auto"/>
          <w:szCs w:val="21"/>
          <w:highlight w:val="none"/>
        </w:rPr>
      </w:pPr>
    </w:p>
    <w:p w14:paraId="19E50493">
      <w:pPr>
        <w:spacing w:line="440" w:lineRule="exact"/>
        <w:ind w:firstLine="420"/>
        <w:rPr>
          <w:rFonts w:hint="eastAsia" w:ascii="宋体" w:hAnsi="宋体" w:cs="宋体"/>
          <w:color w:val="auto"/>
          <w:szCs w:val="21"/>
          <w:highlight w:val="none"/>
        </w:rPr>
      </w:pPr>
    </w:p>
    <w:p w14:paraId="2C2926EC">
      <w:pPr>
        <w:spacing w:line="440" w:lineRule="exact"/>
        <w:ind w:firstLine="420"/>
        <w:jc w:val="center"/>
        <w:rPr>
          <w:rFonts w:hint="eastAsia" w:ascii="宋体" w:hAnsi="宋体" w:cs="宋体"/>
          <w:color w:val="auto"/>
          <w:szCs w:val="21"/>
          <w:highlight w:val="none"/>
        </w:rPr>
      </w:pPr>
      <w:r>
        <w:rPr>
          <w:rFonts w:hint="eastAsia" w:ascii="宋体" w:hAnsi="宋体" w:cs="宋体"/>
          <w:color w:val="auto"/>
          <w:szCs w:val="21"/>
          <w:highlight w:val="none"/>
        </w:rPr>
        <w:t>评标委员会</w:t>
      </w:r>
    </w:p>
    <w:p w14:paraId="03CCB706">
      <w:pPr>
        <w:spacing w:line="440" w:lineRule="exact"/>
        <w:ind w:firstLine="420"/>
        <w:rPr>
          <w:rFonts w:hint="eastAsia" w:ascii="宋体" w:hAnsi="宋体" w:cs="宋体"/>
          <w:color w:val="auto"/>
          <w:szCs w:val="21"/>
          <w:highlight w:val="none"/>
        </w:rPr>
      </w:pPr>
    </w:p>
    <w:p w14:paraId="4311A82A">
      <w:pPr>
        <w:spacing w:line="440" w:lineRule="exact"/>
        <w:ind w:firstLine="5670" w:firstLineChars="2700"/>
        <w:rPr>
          <w:rFonts w:hint="eastAsia" w:ascii="宋体" w:hAnsi="宋体" w:cs="宋体"/>
          <w:color w:val="auto"/>
          <w:szCs w:val="21"/>
          <w:highlight w:val="none"/>
        </w:rPr>
      </w:pPr>
      <w:r>
        <w:rPr>
          <w:rFonts w:hint="eastAsia" w:ascii="宋体" w:hAnsi="宋体" w:cs="宋体"/>
          <w:color w:val="auto"/>
          <w:szCs w:val="21"/>
          <w:highlight w:val="none"/>
        </w:rPr>
        <w:t>年  月  日</w:t>
      </w:r>
    </w:p>
    <w:p w14:paraId="3724EE90">
      <w:pPr>
        <w:spacing w:line="400" w:lineRule="exact"/>
        <w:ind w:firstLine="420"/>
        <w:rPr>
          <w:rFonts w:hint="eastAsia" w:ascii="宋体" w:hAnsi="宋体" w:cs="宋体"/>
          <w:color w:val="auto"/>
          <w:highlight w:val="none"/>
        </w:rPr>
      </w:pPr>
    </w:p>
    <w:p w14:paraId="5CE4C188">
      <w:pPr>
        <w:pStyle w:val="4"/>
        <w:rPr>
          <w:rFonts w:hint="eastAsia"/>
          <w:color w:val="auto"/>
          <w:highlight w:val="none"/>
        </w:rPr>
      </w:pPr>
      <w:r>
        <w:rPr>
          <w:rFonts w:hint="eastAsia" w:ascii="宋体" w:cs="宋体"/>
          <w:color w:val="auto"/>
          <w:highlight w:val="none"/>
        </w:rPr>
        <w:br w:type="page"/>
      </w:r>
      <w:bookmarkStart w:id="461" w:name="_Toc134304575"/>
      <w:r>
        <w:rPr>
          <w:rFonts w:hint="eastAsia"/>
          <w:color w:val="auto"/>
          <w:highlight w:val="none"/>
        </w:rPr>
        <w:t>附件三：问题的澄清</w:t>
      </w:r>
      <w:bookmarkEnd w:id="461"/>
    </w:p>
    <w:p w14:paraId="3A27A7E5">
      <w:pPr>
        <w:spacing w:line="400" w:lineRule="exact"/>
        <w:jc w:val="center"/>
        <w:rPr>
          <w:rFonts w:hint="eastAsia" w:ascii="宋体" w:hAnsi="宋体" w:cs="宋体"/>
          <w:b/>
          <w:color w:val="auto"/>
          <w:sz w:val="28"/>
          <w:szCs w:val="28"/>
          <w:highlight w:val="none"/>
        </w:rPr>
      </w:pPr>
    </w:p>
    <w:p w14:paraId="6EE28F8B">
      <w:pPr>
        <w:spacing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问题的澄清</w:t>
      </w:r>
    </w:p>
    <w:p w14:paraId="5538B035">
      <w:pPr>
        <w:spacing w:line="400" w:lineRule="exact"/>
        <w:ind w:firstLine="6804" w:firstLineChars="3240"/>
        <w:rPr>
          <w:rFonts w:hint="eastAsia" w:ascii="宋体" w:hAnsi="宋体" w:cs="宋体"/>
          <w:color w:val="auto"/>
          <w:highlight w:val="none"/>
        </w:rPr>
      </w:pPr>
      <w:r>
        <w:rPr>
          <w:rFonts w:hint="eastAsia" w:ascii="宋体" w:hAnsi="宋体" w:cs="宋体"/>
          <w:color w:val="auto"/>
          <w:highlight w:val="none"/>
        </w:rPr>
        <w:t xml:space="preserve">编号： </w:t>
      </w:r>
    </w:p>
    <w:p w14:paraId="141EDAF7">
      <w:pPr>
        <w:spacing w:line="400" w:lineRule="exact"/>
        <w:ind w:firstLine="420"/>
        <w:rPr>
          <w:rFonts w:hint="eastAsia" w:ascii="宋体" w:hAnsi="宋体" w:cs="宋体"/>
          <w:color w:val="auto"/>
          <w:szCs w:val="21"/>
          <w:highlight w:val="none"/>
        </w:rPr>
      </w:pPr>
    </w:p>
    <w:p w14:paraId="2FFD4F0A">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（项目名称）招标评标委员会：</w:t>
      </w:r>
    </w:p>
    <w:p w14:paraId="58AD8266">
      <w:pPr>
        <w:spacing w:line="440" w:lineRule="exact"/>
        <w:ind w:firstLine="420"/>
        <w:rPr>
          <w:rFonts w:hint="eastAsia" w:ascii="宋体" w:hAnsi="宋体" w:cs="宋体"/>
          <w:color w:val="auto"/>
          <w:szCs w:val="21"/>
          <w:highlight w:val="none"/>
        </w:rPr>
      </w:pPr>
    </w:p>
    <w:p w14:paraId="6350C473">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问题澄清通知（编号：）已收悉，现澄清如下：</w:t>
      </w:r>
    </w:p>
    <w:p w14:paraId="5F806F47">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1.</w:t>
      </w:r>
    </w:p>
    <w:p w14:paraId="10F831AC">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2.</w:t>
      </w:r>
    </w:p>
    <w:p w14:paraId="0CA91CC3">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w:t>
      </w:r>
    </w:p>
    <w:p w14:paraId="3ADB4371">
      <w:pPr>
        <w:spacing w:line="440" w:lineRule="exact"/>
        <w:ind w:firstLine="420"/>
        <w:rPr>
          <w:rFonts w:hint="eastAsia" w:ascii="宋体" w:hAnsi="宋体" w:cs="宋体"/>
          <w:color w:val="auto"/>
          <w:szCs w:val="21"/>
          <w:highlight w:val="none"/>
        </w:rPr>
      </w:pPr>
    </w:p>
    <w:p w14:paraId="6C4247FA">
      <w:pPr>
        <w:spacing w:line="440" w:lineRule="exact"/>
        <w:ind w:firstLine="420"/>
        <w:rPr>
          <w:rFonts w:hint="eastAsia" w:ascii="宋体" w:hAnsi="宋体" w:cs="宋体"/>
          <w:color w:val="auto"/>
          <w:szCs w:val="21"/>
          <w:highlight w:val="none"/>
        </w:rPr>
      </w:pPr>
    </w:p>
    <w:p w14:paraId="2E7CF1EF">
      <w:pPr>
        <w:spacing w:line="440" w:lineRule="exact"/>
        <w:ind w:firstLine="420"/>
        <w:rPr>
          <w:rFonts w:hint="eastAsia" w:ascii="宋体" w:hAnsi="宋体" w:cs="宋体"/>
          <w:color w:val="auto"/>
          <w:szCs w:val="21"/>
          <w:highlight w:val="none"/>
        </w:rPr>
      </w:pPr>
    </w:p>
    <w:p w14:paraId="26CC2B3F">
      <w:pPr>
        <w:spacing w:line="440" w:lineRule="exact"/>
        <w:ind w:firstLine="420"/>
        <w:rPr>
          <w:rFonts w:hint="eastAsia" w:ascii="宋体" w:hAnsi="宋体" w:cs="宋体"/>
          <w:color w:val="auto"/>
          <w:szCs w:val="21"/>
          <w:highlight w:val="none"/>
        </w:rPr>
      </w:pPr>
    </w:p>
    <w:p w14:paraId="1011AF61">
      <w:pPr>
        <w:spacing w:line="440" w:lineRule="exact"/>
        <w:ind w:firstLine="420"/>
        <w:rPr>
          <w:rFonts w:hint="eastAsia" w:ascii="宋体" w:hAnsi="宋体" w:cs="宋体"/>
          <w:color w:val="auto"/>
          <w:szCs w:val="21"/>
          <w:highlight w:val="none"/>
        </w:rPr>
      </w:pPr>
    </w:p>
    <w:p w14:paraId="650AB028">
      <w:pPr>
        <w:spacing w:line="440" w:lineRule="exact"/>
        <w:ind w:firstLine="420"/>
        <w:rPr>
          <w:rFonts w:hint="eastAsia" w:ascii="宋体" w:hAnsi="宋体" w:cs="宋体"/>
          <w:color w:val="auto"/>
          <w:szCs w:val="21"/>
          <w:highlight w:val="none"/>
        </w:rPr>
      </w:pPr>
    </w:p>
    <w:p w14:paraId="70CE9457">
      <w:pPr>
        <w:spacing w:line="440" w:lineRule="exact"/>
        <w:ind w:firstLine="3544"/>
        <w:rPr>
          <w:rFonts w:hint="eastAsia" w:ascii="宋体" w:hAnsi="宋体" w:cs="宋体"/>
          <w:color w:val="auto"/>
          <w:szCs w:val="21"/>
          <w:highlight w:val="none"/>
        </w:rPr>
      </w:pPr>
      <w:r>
        <w:rPr>
          <w:rFonts w:hint="eastAsia" w:ascii="宋体" w:hAnsi="宋体" w:cs="宋体"/>
          <w:color w:val="auto"/>
          <w:szCs w:val="21"/>
          <w:highlight w:val="none"/>
        </w:rPr>
        <w:t>投标人：（盖单位章）</w:t>
      </w:r>
    </w:p>
    <w:p w14:paraId="7F76F6F1">
      <w:pPr>
        <w:spacing w:line="440" w:lineRule="exact"/>
        <w:ind w:firstLine="3544"/>
        <w:rPr>
          <w:rFonts w:hint="eastAsia" w:ascii="宋体" w:hAnsi="宋体" w:cs="宋体"/>
          <w:color w:val="auto"/>
          <w:szCs w:val="21"/>
          <w:highlight w:val="none"/>
        </w:rPr>
      </w:pPr>
    </w:p>
    <w:p w14:paraId="2682696A">
      <w:pPr>
        <w:spacing w:line="440" w:lineRule="exact"/>
        <w:ind w:firstLine="3544"/>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法定代表人或其委托代理人：（签字）</w:t>
      </w:r>
    </w:p>
    <w:p w14:paraId="46A87C38">
      <w:pPr>
        <w:spacing w:line="440" w:lineRule="exact"/>
        <w:ind w:firstLine="3544"/>
        <w:rPr>
          <w:rFonts w:hint="eastAsia" w:ascii="宋体" w:hAnsi="宋体" w:cs="宋体"/>
          <w:color w:val="auto"/>
          <w:szCs w:val="21"/>
          <w:highlight w:val="none"/>
        </w:rPr>
      </w:pPr>
    </w:p>
    <w:p w14:paraId="4A430830">
      <w:pPr>
        <w:spacing w:line="440" w:lineRule="exact"/>
        <w:ind w:firstLine="3544"/>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712AC073">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F2B699F">
      <w:pPr>
        <w:pStyle w:val="4"/>
        <w:spacing w:line="420" w:lineRule="exact"/>
        <w:rPr>
          <w:rFonts w:hint="eastAsia" w:ascii="宋体" w:eastAsia="宋体" w:cs="宋体"/>
          <w:color w:val="auto"/>
          <w:highlight w:val="none"/>
        </w:rPr>
      </w:pPr>
      <w:bookmarkStart w:id="462" w:name="_Toc28476"/>
      <w:r>
        <w:rPr>
          <w:rFonts w:hint="eastAsia" w:ascii="宋体" w:eastAsia="宋体" w:cs="宋体"/>
          <w:color w:val="auto"/>
          <w:highlight w:val="none"/>
        </w:rPr>
        <w:t>附件四：评标委员会成员声明</w:t>
      </w:r>
      <w:bookmarkEnd w:id="462"/>
    </w:p>
    <w:p w14:paraId="6891E5D8">
      <w:pPr>
        <w:spacing w:line="420" w:lineRule="exact"/>
        <w:ind w:firstLine="640" w:firstLineChars="20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评标委员会成员声明</w:t>
      </w:r>
    </w:p>
    <w:p w14:paraId="50D45DC5">
      <w:pPr>
        <w:spacing w:line="42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本项目招标人  </w:t>
      </w:r>
      <w:r>
        <w:rPr>
          <w:rFonts w:hint="eastAsia" w:ascii="宋体" w:hAnsi="宋体" w:cs="宋体"/>
          <w:color w:val="auto"/>
          <w:sz w:val="24"/>
          <w:highlight w:val="none"/>
        </w:rPr>
        <w:t>：</w:t>
      </w:r>
    </w:p>
    <w:p w14:paraId="38E50D91">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本人就参与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项目的评标工作，作出郑重声明：</w:t>
      </w:r>
    </w:p>
    <w:p w14:paraId="190B0786">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16B8985">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2E1B6CC">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4E6FC13">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9E23EE0">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B1F9DF9">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如果本人违反上述声明内容，造成的后果由本人自行承担。</w:t>
      </w:r>
    </w:p>
    <w:p w14:paraId="5F59963A">
      <w:pPr>
        <w:pStyle w:val="35"/>
        <w:spacing w:line="420" w:lineRule="exact"/>
        <w:rPr>
          <w:rFonts w:hint="eastAsia" w:ascii="宋体" w:hAnsi="宋体" w:cs="宋体"/>
          <w:color w:val="auto"/>
          <w:highlight w:val="none"/>
        </w:rPr>
      </w:pPr>
      <w:r>
        <w:rPr>
          <w:rFonts w:hint="eastAsia" w:ascii="宋体" w:hAnsi="宋体" w:cs="宋体"/>
          <w:color w:val="auto"/>
          <w:sz w:val="24"/>
          <w:szCs w:val="24"/>
          <w:highlight w:val="none"/>
        </w:rPr>
        <w:t xml:space="preserve">                             声明人：</w:t>
      </w:r>
      <w:r>
        <w:rPr>
          <w:rFonts w:hint="eastAsia" w:ascii="宋体" w:hAnsi="宋体" w:cs="宋体"/>
          <w:color w:val="auto"/>
          <w:sz w:val="24"/>
          <w:szCs w:val="24"/>
          <w:highlight w:val="none"/>
          <w:u w:val="single"/>
        </w:rPr>
        <w:t xml:space="preserve">（签名）  </w:t>
      </w:r>
    </w:p>
    <w:p w14:paraId="700FDA64">
      <w:pPr>
        <w:spacing w:line="440" w:lineRule="exact"/>
        <w:ind w:firstLine="420"/>
        <w:rPr>
          <w:rFonts w:hint="eastAsia" w:ascii="宋体" w:hAnsi="宋体" w:cs="宋体"/>
          <w:color w:val="auto"/>
          <w:highlight w:val="none"/>
        </w:rPr>
      </w:pPr>
    </w:p>
    <w:p w14:paraId="5293C5D2">
      <w:pPr>
        <w:pStyle w:val="2"/>
        <w:rPr>
          <w:rFonts w:hint="eastAsia" w:ascii="宋体" w:hAnsi="宋体" w:cs="宋体"/>
          <w:color w:val="auto"/>
          <w:highlight w:val="none"/>
        </w:rPr>
      </w:pPr>
      <w:r>
        <w:rPr>
          <w:rFonts w:ascii="宋体" w:hAnsi="宋体" w:cs="宋体"/>
          <w:color w:val="auto"/>
          <w:highlight w:val="none"/>
        </w:rPr>
        <w:br w:type="page"/>
      </w:r>
      <w:bookmarkStart w:id="463" w:name="_Toc134304576"/>
      <w:r>
        <w:rPr>
          <w:rFonts w:hint="eastAsia" w:ascii="宋体" w:hAnsi="宋体" w:cs="宋体"/>
          <w:color w:val="auto"/>
          <w:highlight w:val="none"/>
        </w:rPr>
        <w:t>第三章 评标办法（综合评估法）</w:t>
      </w:r>
      <w:bookmarkEnd w:id="463"/>
    </w:p>
    <w:p w14:paraId="66A159E5">
      <w:pPr>
        <w:pStyle w:val="3"/>
        <w:jc w:val="center"/>
        <w:rPr>
          <w:rFonts w:hint="eastAsia" w:ascii="宋体" w:hAnsi="宋体" w:eastAsia="宋体" w:cs="宋体"/>
          <w:color w:val="auto"/>
          <w:highlight w:val="none"/>
        </w:rPr>
      </w:pPr>
      <w:bookmarkStart w:id="464" w:name="_Toc134304577"/>
      <w:bookmarkStart w:id="465" w:name="_Toc152045600"/>
      <w:bookmarkStart w:id="466" w:name="_Toc144974567"/>
      <w:bookmarkStart w:id="467" w:name="_Toc247514024"/>
      <w:bookmarkStart w:id="468" w:name="_Toc152042377"/>
      <w:bookmarkStart w:id="469" w:name="_Toc134304578"/>
      <w:bookmarkStart w:id="470" w:name="_Toc247527625"/>
      <w:bookmarkStart w:id="471" w:name="_Toc28120"/>
      <w:bookmarkStart w:id="472" w:name="_Toc152042387"/>
      <w:bookmarkStart w:id="473" w:name="_Toc247527634"/>
      <w:bookmarkStart w:id="474" w:name="_Toc13796"/>
      <w:bookmarkStart w:id="475" w:name="_Toc152045609"/>
      <w:bookmarkStart w:id="476" w:name="_Toc144974577"/>
      <w:bookmarkStart w:id="477" w:name="_Toc247514033"/>
      <w:r>
        <w:rPr>
          <w:rFonts w:hint="eastAsia" w:ascii="宋体" w:hAnsi="宋体" w:eastAsia="宋体" w:cs="宋体"/>
          <w:color w:val="auto"/>
          <w:highlight w:val="none"/>
        </w:rPr>
        <w:t>评标办法前附表</w:t>
      </w:r>
    </w:p>
    <w:tbl>
      <w:tblPr>
        <w:tblStyle w:val="37"/>
        <w:tblW w:w="98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40" w:type="dxa"/>
          <w:left w:w="85" w:type="dxa"/>
          <w:bottom w:w="34" w:type="dxa"/>
          <w:right w:w="85" w:type="dxa"/>
        </w:tblCellMar>
      </w:tblPr>
      <w:tblGrid>
        <w:gridCol w:w="676"/>
        <w:gridCol w:w="1005"/>
        <w:gridCol w:w="909"/>
        <w:gridCol w:w="360"/>
        <w:gridCol w:w="375"/>
        <w:gridCol w:w="6502"/>
        <w:gridCol w:w="43"/>
      </w:tblGrid>
      <w:tr w14:paraId="14F20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1681" w:type="dxa"/>
            <w:gridSpan w:val="2"/>
            <w:tcBorders>
              <w:top w:val="single" w:color="auto" w:sz="4" w:space="0"/>
              <w:bottom w:val="single" w:color="auto" w:sz="4" w:space="0"/>
              <w:right w:val="single" w:color="auto" w:sz="4" w:space="0"/>
            </w:tcBorders>
            <w:noWrap w:val="0"/>
            <w:vAlign w:val="center"/>
          </w:tcPr>
          <w:p w14:paraId="0EA66FEC">
            <w:pPr>
              <w:snapToGrid w:val="0"/>
              <w:ind w:left="-53" w:leftChars="-25" w:right="-53" w:rightChars="-25"/>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285DA4AE">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09972062">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0D8A6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restart"/>
            <w:tcBorders>
              <w:top w:val="single" w:color="auto" w:sz="4" w:space="0"/>
              <w:bottom w:val="single" w:color="auto" w:sz="4" w:space="0"/>
              <w:right w:val="single" w:color="auto" w:sz="4" w:space="0"/>
            </w:tcBorders>
            <w:noWrap w:val="0"/>
            <w:vAlign w:val="center"/>
          </w:tcPr>
          <w:p w14:paraId="4DD1FBFA">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05" w:type="dxa"/>
            <w:vMerge w:val="restart"/>
            <w:tcBorders>
              <w:top w:val="single" w:color="auto" w:sz="4" w:space="0"/>
              <w:bottom w:val="single" w:color="auto" w:sz="4" w:space="0"/>
              <w:right w:val="single" w:color="auto" w:sz="4" w:space="0"/>
            </w:tcBorders>
            <w:noWrap w:val="0"/>
            <w:vAlign w:val="center"/>
          </w:tcPr>
          <w:p w14:paraId="44E50A18">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5FA1BAB8">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77A18C78">
            <w:pPr>
              <w:snapToGrid w:val="0"/>
              <w:rPr>
                <w:rFonts w:hint="eastAsia" w:ascii="宋体" w:hAnsi="宋体" w:cs="宋体"/>
                <w:color w:val="auto"/>
                <w:szCs w:val="21"/>
                <w:highlight w:val="none"/>
              </w:rPr>
            </w:pPr>
            <w:r>
              <w:rPr>
                <w:rFonts w:hint="eastAsia" w:ascii="宋体" w:hAnsi="宋体" w:cs="宋体"/>
                <w:color w:val="auto"/>
                <w:szCs w:val="21"/>
                <w:highlight w:val="none"/>
              </w:rPr>
              <w:t>与营业执照、资质证书一致</w:t>
            </w:r>
          </w:p>
        </w:tc>
      </w:tr>
      <w:tr w14:paraId="101A1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noWrap w:val="0"/>
            <w:vAlign w:val="center"/>
          </w:tcPr>
          <w:p w14:paraId="43FE526B">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5B88B451">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708ECAD8">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法定代表人证明及授权</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1996D2EA">
            <w:pPr>
              <w:snapToGrid w:val="0"/>
              <w:rPr>
                <w:rFonts w:hint="eastAsia" w:ascii="宋体" w:hAnsi="宋体" w:cs="宋体"/>
                <w:color w:val="auto"/>
                <w:spacing w:val="-2"/>
                <w:szCs w:val="21"/>
                <w:highlight w:val="none"/>
              </w:rPr>
            </w:pPr>
            <w:r>
              <w:rPr>
                <w:rFonts w:hint="eastAsia" w:ascii="宋体" w:hAnsi="宋体" w:cs="宋体"/>
                <w:color w:val="auto"/>
                <w:spacing w:val="-2"/>
                <w:szCs w:val="21"/>
                <w:highlight w:val="none"/>
              </w:rPr>
              <w:t>投标文件中有有效的法定代表人证明书，或由委托代理人签字或盖章的投标文件中有法定代表人证明书和授权委托证明书</w:t>
            </w:r>
          </w:p>
        </w:tc>
      </w:tr>
      <w:tr w14:paraId="17DF5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noWrap w:val="0"/>
            <w:vAlign w:val="center"/>
          </w:tcPr>
          <w:p w14:paraId="0973CA0D">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20308228">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6BA371A2">
            <w:pPr>
              <w:snapToGrid w:val="0"/>
              <w:ind w:left="-59" w:leftChars="-28" w:right="-80" w:rightChars="-38"/>
              <w:jc w:val="center"/>
              <w:rPr>
                <w:rFonts w:hint="eastAsia" w:ascii="宋体" w:hAnsi="宋体" w:cs="宋体"/>
                <w:color w:val="auto"/>
                <w:szCs w:val="21"/>
                <w:highlight w:val="none"/>
              </w:rPr>
            </w:pPr>
            <w:r>
              <w:rPr>
                <w:rFonts w:hint="eastAsia" w:ascii="宋体" w:hAnsi="宋体" w:cs="宋体"/>
                <w:color w:val="auto"/>
                <w:szCs w:val="21"/>
                <w:highlight w:val="none"/>
              </w:rPr>
              <w:t>投标书、投标承诺函</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65D3AE48">
            <w:pPr>
              <w:snapToGrid w:val="0"/>
              <w:rPr>
                <w:rFonts w:hint="eastAsia" w:ascii="宋体" w:hAnsi="宋体" w:cs="宋体"/>
                <w:color w:val="auto"/>
                <w:szCs w:val="21"/>
                <w:highlight w:val="none"/>
              </w:rPr>
            </w:pPr>
            <w:r>
              <w:rPr>
                <w:rFonts w:hint="eastAsia" w:ascii="宋体" w:hAnsi="宋体" w:cs="宋体"/>
                <w:color w:val="auto"/>
                <w:szCs w:val="21"/>
                <w:highlight w:val="none"/>
              </w:rPr>
              <w:t>投标书、投标承诺函内容与招标文件规定一致</w:t>
            </w:r>
          </w:p>
        </w:tc>
      </w:tr>
      <w:tr w14:paraId="1A5F4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noWrap w:val="0"/>
            <w:vAlign w:val="center"/>
          </w:tcPr>
          <w:p w14:paraId="6FEFE1A6">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150BD966">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6ADBC7A6">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2373B94A">
            <w:pPr>
              <w:snapToGrid w:val="0"/>
              <w:rPr>
                <w:rFonts w:hint="eastAsia" w:ascii="宋体" w:hAnsi="宋体" w:cs="宋体"/>
                <w:color w:val="auto"/>
                <w:szCs w:val="21"/>
                <w:highlight w:val="none"/>
              </w:rPr>
            </w:pPr>
            <w:r>
              <w:rPr>
                <w:rFonts w:hint="eastAsia" w:ascii="宋体" w:hAnsi="宋体" w:cs="宋体"/>
                <w:color w:val="auto"/>
                <w:szCs w:val="21"/>
                <w:highlight w:val="none"/>
              </w:rPr>
              <w:t>符合第七章“投标文件格式”（格式1、格式2、格式4）的要求</w:t>
            </w:r>
          </w:p>
        </w:tc>
      </w:tr>
      <w:tr w14:paraId="67CF8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noWrap w:val="0"/>
            <w:vAlign w:val="center"/>
          </w:tcPr>
          <w:p w14:paraId="5F96D540">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3644D6B1">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right w:val="single" w:color="auto" w:sz="4" w:space="0"/>
            </w:tcBorders>
            <w:noWrap w:val="0"/>
            <w:vAlign w:val="center"/>
          </w:tcPr>
          <w:p w14:paraId="2B6F0AEA">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6467C77D">
            <w:pPr>
              <w:snapToGrid w:val="0"/>
              <w:rPr>
                <w:rFonts w:hint="eastAsia" w:ascii="宋体" w:hAnsi="宋体" w:cs="宋体"/>
                <w:color w:val="auto"/>
                <w:szCs w:val="21"/>
                <w:highlight w:val="none"/>
              </w:rPr>
            </w:pPr>
            <w:r>
              <w:rPr>
                <w:rFonts w:hint="eastAsia" w:ascii="宋体" w:hAnsi="宋体" w:cs="宋体"/>
                <w:color w:val="auto"/>
                <w:szCs w:val="21"/>
                <w:highlight w:val="none"/>
              </w:rPr>
              <w:t>只能有一个有效</w:t>
            </w:r>
            <w:r>
              <w:rPr>
                <w:rFonts w:hint="eastAsia" w:ascii="宋体" w:hAnsi="宋体" w:cs="宋体"/>
                <w:color w:val="auto"/>
                <w:szCs w:val="21"/>
                <w:highlight w:val="none"/>
                <w:lang w:val="zh-CN"/>
              </w:rPr>
              <w:t>投标总报价</w:t>
            </w:r>
          </w:p>
        </w:tc>
      </w:tr>
      <w:tr w14:paraId="57D81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noWrap w:val="0"/>
            <w:vAlign w:val="center"/>
          </w:tcPr>
          <w:p w14:paraId="655332C0">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1C29C0F5">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62F6873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机器特征码一致</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6585AE8D">
            <w:pPr>
              <w:snapToGrid w:val="0"/>
              <w:rPr>
                <w:rFonts w:hint="eastAsia" w:ascii="宋体" w:hAnsi="宋体" w:cs="宋体"/>
                <w:color w:val="auto"/>
                <w:spacing w:val="-3"/>
                <w:szCs w:val="21"/>
                <w:highlight w:val="none"/>
              </w:rPr>
            </w:pPr>
            <w:r>
              <w:rPr>
                <w:rFonts w:hint="eastAsia" w:ascii="宋体" w:hAnsi="宋体" w:cs="宋体"/>
                <w:color w:val="auto"/>
                <w:spacing w:val="-3"/>
                <w:szCs w:val="21"/>
                <w:highlight w:val="none"/>
                <w:lang w:val="en-US" w:eastAsia="zh-CN"/>
              </w:rPr>
              <w:t>投标人与</w:t>
            </w:r>
            <w:r>
              <w:rPr>
                <w:rFonts w:hint="eastAsia" w:ascii="宋体" w:hAnsi="宋体" w:cs="宋体"/>
                <w:color w:val="auto"/>
                <w:spacing w:val="-3"/>
                <w:szCs w:val="21"/>
                <w:highlight w:val="none"/>
              </w:rPr>
              <w:t>本项目</w:t>
            </w:r>
            <w:r>
              <w:rPr>
                <w:rFonts w:hint="eastAsia" w:ascii="宋体" w:hAnsi="宋体" w:cs="宋体"/>
                <w:color w:val="auto"/>
                <w:spacing w:val="-3"/>
                <w:szCs w:val="21"/>
                <w:highlight w:val="none"/>
                <w:lang w:val="en-US" w:eastAsia="zh-CN"/>
              </w:rPr>
              <w:t>其他</w:t>
            </w:r>
            <w:r>
              <w:rPr>
                <w:rFonts w:hint="eastAsia" w:ascii="宋体" w:hAnsi="宋体" w:cs="宋体"/>
                <w:color w:val="auto"/>
                <w:spacing w:val="-3"/>
                <w:szCs w:val="21"/>
                <w:highlight w:val="none"/>
              </w:rPr>
              <w:t>投标人的加密打包投标文件电脑机器特征码不一致</w:t>
            </w:r>
          </w:p>
        </w:tc>
      </w:tr>
      <w:tr w14:paraId="15D99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noWrap w:val="0"/>
            <w:vAlign w:val="center"/>
          </w:tcPr>
          <w:p w14:paraId="1B50CE78">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702B2928">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29FC59F7">
            <w:pPr>
              <w:snapToGrid w:val="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备选投标方案</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6D4FC5FC">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不允许</w:t>
            </w:r>
          </w:p>
        </w:tc>
      </w:tr>
      <w:tr w14:paraId="2A0AB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restart"/>
            <w:tcBorders>
              <w:top w:val="single" w:color="auto" w:sz="4" w:space="0"/>
              <w:bottom w:val="single" w:color="auto" w:sz="4" w:space="0"/>
              <w:right w:val="single" w:color="auto" w:sz="4" w:space="0"/>
            </w:tcBorders>
            <w:noWrap w:val="0"/>
            <w:vAlign w:val="center"/>
          </w:tcPr>
          <w:p w14:paraId="3F354C2D">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05" w:type="dxa"/>
            <w:vMerge w:val="restart"/>
            <w:tcBorders>
              <w:top w:val="single" w:color="auto" w:sz="4" w:space="0"/>
              <w:bottom w:val="single" w:color="auto" w:sz="4" w:space="0"/>
              <w:right w:val="single" w:color="auto" w:sz="4" w:space="0"/>
            </w:tcBorders>
            <w:noWrap w:val="0"/>
            <w:vAlign w:val="center"/>
          </w:tcPr>
          <w:p w14:paraId="0A76F671">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4DFEECD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营业执照</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3BE20D3A">
            <w:pPr>
              <w:snapToGrid w:val="0"/>
              <w:rPr>
                <w:rFonts w:hint="eastAsia" w:ascii="宋体" w:hAnsi="宋体" w:cs="宋体"/>
                <w:color w:val="auto"/>
                <w:szCs w:val="21"/>
                <w:highlight w:val="none"/>
              </w:rPr>
            </w:pPr>
            <w:r>
              <w:rPr>
                <w:rFonts w:hint="eastAsia" w:ascii="宋体" w:hAnsi="宋体" w:cs="宋体"/>
                <w:color w:val="auto"/>
                <w:szCs w:val="21"/>
                <w:highlight w:val="none"/>
              </w:rPr>
              <w:t>具备有效的营业执照</w:t>
            </w:r>
          </w:p>
        </w:tc>
      </w:tr>
      <w:tr w14:paraId="00FCA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noWrap w:val="0"/>
            <w:vAlign w:val="center"/>
          </w:tcPr>
          <w:p w14:paraId="3A366DE4">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27151063">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1217CAA4">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资质等级</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566ACCAC">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271F9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noWrap w:val="0"/>
            <w:vAlign w:val="center"/>
          </w:tcPr>
          <w:p w14:paraId="6D9FE3EA">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6C481DA5">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655ECAEF">
            <w:pPr>
              <w:snapToGrid w:val="0"/>
              <w:jc w:val="center"/>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财务状况</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03CBCE46">
            <w:pPr>
              <w:snapToGrid w:val="0"/>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14:paraId="70D2B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noWrap w:val="0"/>
            <w:vAlign w:val="center"/>
          </w:tcPr>
          <w:p w14:paraId="17433BB5">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64C65B0C">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2044042F">
            <w:pPr>
              <w:snapToGrid w:val="0"/>
              <w:jc w:val="center"/>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类似项目业绩</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713873FD">
            <w:pPr>
              <w:snapToGrid w:val="0"/>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14:paraId="0AA5F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noWrap w:val="0"/>
            <w:vAlign w:val="center"/>
          </w:tcPr>
          <w:p w14:paraId="6F49FB51">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1C712423">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6DB179AA">
            <w:pPr>
              <w:snapToGrid w:val="0"/>
              <w:jc w:val="center"/>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信誉</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2556E363">
            <w:pPr>
              <w:snapToGrid w:val="0"/>
              <w:rPr>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14:paraId="0B173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noWrap w:val="0"/>
            <w:vAlign w:val="center"/>
          </w:tcPr>
          <w:p w14:paraId="4D97AE29">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0B87A58F">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5C2973D2">
            <w:pPr>
              <w:snapToGrid w:val="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项目负责人</w:t>
            </w:r>
          </w:p>
          <w:p w14:paraId="0BF39FD5">
            <w:pPr>
              <w:snapToGrid w:val="0"/>
              <w:jc w:val="center"/>
              <w:rPr>
                <w:rFonts w:hint="eastAsia" w:ascii="宋体" w:hAnsi="宋体" w:cs="宋体"/>
                <w:color w:val="auto"/>
                <w:szCs w:val="21"/>
                <w:highlight w:val="none"/>
              </w:rPr>
            </w:pPr>
            <w:r>
              <w:rPr>
                <w:rFonts w:hint="eastAsia" w:ascii="宋体" w:hAnsi="宋体" w:cs="宋体"/>
                <w:color w:val="auto"/>
                <w:szCs w:val="21"/>
                <w:highlight w:val="none"/>
                <w:u w:val="single"/>
              </w:rPr>
              <w:t>（兼施工负责人）</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63646B44">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3B6D4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noWrap w:val="0"/>
            <w:vAlign w:val="center"/>
          </w:tcPr>
          <w:p w14:paraId="07860D52">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685626E3">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30033D4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设计负责人</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4F1C0948">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0E7A6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noWrap w:val="0"/>
            <w:vAlign w:val="center"/>
          </w:tcPr>
          <w:p w14:paraId="5E763B49">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5A7A9BDA">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767EE32F">
            <w:pPr>
              <w:snapToGrid w:val="0"/>
              <w:jc w:val="center"/>
              <w:rPr>
                <w:rFonts w:hint="eastAsia" w:ascii="宋体" w:hAnsi="宋体" w:cs="宋体"/>
                <w:color w:val="auto"/>
                <w:szCs w:val="21"/>
                <w:highlight w:val="none"/>
              </w:rPr>
            </w:pPr>
            <w:r>
              <w:rPr>
                <w:rFonts w:hint="eastAsia" w:ascii="新宋体" w:hAnsi="新宋体" w:eastAsia="新宋体" w:cs="新宋体"/>
                <w:strike/>
                <w:color w:val="auto"/>
                <w:szCs w:val="21"/>
                <w:highlight w:val="none"/>
              </w:rPr>
              <w:t>施工负责人</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10FED5A2">
            <w:pPr>
              <w:snapToGrid w:val="0"/>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14:paraId="2967A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noWrap w:val="0"/>
            <w:vAlign w:val="center"/>
          </w:tcPr>
          <w:p w14:paraId="299C699A">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056909DE">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33ACEDF1">
            <w:pPr>
              <w:snapToGrid w:val="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技术负责人</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0FAB9D75">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符合第二章“投标人须知”第1.4.1项规定</w:t>
            </w:r>
          </w:p>
        </w:tc>
      </w:tr>
      <w:tr w14:paraId="20FA4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noWrap w:val="0"/>
            <w:vAlign w:val="center"/>
          </w:tcPr>
          <w:p w14:paraId="11D13266">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17404B5F">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00D8FE65">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专职安全员</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3E688E4A">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1F52F7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noWrap w:val="0"/>
            <w:vAlign w:val="center"/>
          </w:tcPr>
          <w:p w14:paraId="39541335">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5300A086">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2ADFBD71">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3E006347">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76A05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nil"/>
              <w:bottom w:val="single" w:color="auto" w:sz="4" w:space="0"/>
              <w:right w:val="single" w:color="auto" w:sz="4" w:space="0"/>
            </w:tcBorders>
            <w:noWrap w:val="0"/>
            <w:vAlign w:val="center"/>
          </w:tcPr>
          <w:p w14:paraId="14AFE199">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35B41D47">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right w:val="single" w:color="auto" w:sz="4" w:space="0"/>
            </w:tcBorders>
            <w:noWrap w:val="0"/>
            <w:vAlign w:val="center"/>
          </w:tcPr>
          <w:p w14:paraId="4A479B16">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联合体投标人</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1EE84320">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符合第二章“投标人须知”第1.4.2项规定</w:t>
            </w:r>
          </w:p>
        </w:tc>
      </w:tr>
      <w:tr w14:paraId="0D219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restart"/>
            <w:tcBorders>
              <w:top w:val="single" w:color="auto" w:sz="4" w:space="0"/>
              <w:right w:val="single" w:color="auto" w:sz="4" w:space="0"/>
            </w:tcBorders>
            <w:noWrap w:val="0"/>
            <w:vAlign w:val="center"/>
          </w:tcPr>
          <w:p w14:paraId="681A2864">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05" w:type="dxa"/>
            <w:vMerge w:val="restart"/>
            <w:tcBorders>
              <w:top w:val="single" w:color="auto" w:sz="4" w:space="0"/>
              <w:right w:val="single" w:color="auto" w:sz="4" w:space="0"/>
            </w:tcBorders>
            <w:noWrap w:val="0"/>
            <w:vAlign w:val="center"/>
          </w:tcPr>
          <w:p w14:paraId="15AE4259">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工程总承包实施方案响应性评审标准</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55409D52">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37E59BB4">
            <w:pPr>
              <w:snapToGrid w:val="0"/>
              <w:rPr>
                <w:rFonts w:hint="eastAsia" w:ascii="宋体" w:hAnsi="宋体" w:cs="宋体"/>
                <w:color w:val="auto"/>
                <w:spacing w:val="-2"/>
                <w:szCs w:val="21"/>
                <w:highlight w:val="none"/>
              </w:rPr>
            </w:pPr>
            <w:r>
              <w:rPr>
                <w:rFonts w:hint="eastAsia" w:ascii="宋体" w:hAnsi="宋体" w:cs="宋体"/>
                <w:color w:val="auto"/>
                <w:spacing w:val="-2"/>
                <w:szCs w:val="21"/>
                <w:highlight w:val="none"/>
              </w:rPr>
              <w:t>符合第二章“投标人须知”第3.2.4项规定且不低于企业成本</w:t>
            </w:r>
          </w:p>
        </w:tc>
      </w:tr>
      <w:tr w14:paraId="0C2D5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top w:val="single" w:color="auto" w:sz="4" w:space="0"/>
              <w:right w:val="single" w:color="auto" w:sz="4" w:space="0"/>
            </w:tcBorders>
            <w:noWrap w:val="0"/>
            <w:vAlign w:val="center"/>
          </w:tcPr>
          <w:p w14:paraId="33F90B30">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single" w:color="auto" w:sz="4" w:space="0"/>
              <w:right w:val="single" w:color="auto" w:sz="4" w:space="0"/>
            </w:tcBorders>
            <w:noWrap w:val="0"/>
            <w:vAlign w:val="center"/>
          </w:tcPr>
          <w:p w14:paraId="08F1688D">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5CD5840C">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0F50CD29">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符合第二章“投标人须知”第1.3.1项规定</w:t>
            </w:r>
          </w:p>
        </w:tc>
      </w:tr>
      <w:tr w14:paraId="49BF1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noWrap w:val="0"/>
            <w:vAlign w:val="center"/>
          </w:tcPr>
          <w:p w14:paraId="2FDC0373">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575F7F7D">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45D394AD">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6BD1EF8B">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符合第二章“投标人须知”第1.3.2项规定</w:t>
            </w:r>
          </w:p>
        </w:tc>
      </w:tr>
      <w:tr w14:paraId="7090E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noWrap w:val="0"/>
            <w:vAlign w:val="center"/>
          </w:tcPr>
          <w:p w14:paraId="3DF15116">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1D0A72B3">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119C264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532F4900">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符合第二章“投标人须知”第1.3.3项规定</w:t>
            </w:r>
          </w:p>
        </w:tc>
      </w:tr>
      <w:tr w14:paraId="62EE2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noWrap w:val="0"/>
            <w:vAlign w:val="center"/>
          </w:tcPr>
          <w:p w14:paraId="434AB897">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6192F86A">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52229BA6">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68692E08">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符合第二章“投标人须知”第3.3.1项规定</w:t>
            </w:r>
          </w:p>
        </w:tc>
      </w:tr>
      <w:tr w14:paraId="340AC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bottom w:val="single" w:color="auto" w:sz="4" w:space="0"/>
              <w:right w:val="single" w:color="auto" w:sz="4" w:space="0"/>
            </w:tcBorders>
            <w:noWrap w:val="0"/>
            <w:vAlign w:val="center"/>
          </w:tcPr>
          <w:p w14:paraId="3D5AD639">
            <w:pPr>
              <w:snapToGrid w:val="0"/>
              <w:ind w:left="-53" w:leftChars="-25" w:right="-53" w:rightChars="-25"/>
              <w:rPr>
                <w:rFonts w:hint="eastAsia" w:ascii="宋体" w:hAnsi="宋体" w:cs="宋体"/>
                <w:color w:val="auto"/>
                <w:szCs w:val="21"/>
                <w:highlight w:val="none"/>
              </w:rPr>
            </w:pPr>
          </w:p>
        </w:tc>
        <w:tc>
          <w:tcPr>
            <w:tcW w:w="1005" w:type="dxa"/>
            <w:vMerge w:val="continue"/>
            <w:tcBorders>
              <w:bottom w:val="single" w:color="auto" w:sz="4" w:space="0"/>
              <w:right w:val="single" w:color="auto" w:sz="4" w:space="0"/>
            </w:tcBorders>
            <w:noWrap w:val="0"/>
            <w:vAlign w:val="center"/>
          </w:tcPr>
          <w:p w14:paraId="2C5EAFED">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0ADA9EBF">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合法合规性</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1FA5F8D6">
            <w:pPr>
              <w:snapToGrid w:val="0"/>
              <w:rPr>
                <w:rFonts w:hint="eastAsia"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r>
      <w:tr w14:paraId="422C7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restart"/>
            <w:tcBorders>
              <w:right w:val="single" w:color="auto" w:sz="4" w:space="0"/>
            </w:tcBorders>
            <w:noWrap w:val="0"/>
            <w:vAlign w:val="center"/>
          </w:tcPr>
          <w:p w14:paraId="63D3B378">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2.1.4</w:t>
            </w:r>
          </w:p>
        </w:tc>
        <w:tc>
          <w:tcPr>
            <w:tcW w:w="1005" w:type="dxa"/>
            <w:vMerge w:val="restart"/>
            <w:tcBorders>
              <w:right w:val="single" w:color="auto" w:sz="4" w:space="0"/>
            </w:tcBorders>
            <w:noWrap w:val="0"/>
            <w:vAlign w:val="center"/>
          </w:tcPr>
          <w:p w14:paraId="4D52C88B">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设计方案响应性评审标准（暗标）</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73F28D8C">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投标人身份</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22D20E65">
            <w:pPr>
              <w:snapToGrid w:val="0"/>
              <w:rPr>
                <w:rFonts w:hint="eastAsia" w:ascii="宋体" w:hAnsi="宋体" w:cs="宋体"/>
                <w:color w:val="auto"/>
                <w:spacing w:val="-2"/>
                <w:szCs w:val="21"/>
                <w:highlight w:val="none"/>
              </w:rPr>
            </w:pPr>
            <w:r>
              <w:rPr>
                <w:rFonts w:hint="eastAsia" w:ascii="宋体" w:hAnsi="宋体" w:cs="宋体"/>
                <w:color w:val="auto"/>
                <w:spacing w:val="-2"/>
                <w:szCs w:val="21"/>
                <w:highlight w:val="none"/>
              </w:rPr>
              <w:t>投标人在设计方案内不存在标注名称、印章、商标、图形等记认符号（或使人辨认出投标人或其专业技术人员的身份）</w:t>
            </w:r>
          </w:p>
        </w:tc>
      </w:tr>
      <w:tr w14:paraId="7606C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noWrap w:val="0"/>
            <w:vAlign w:val="center"/>
          </w:tcPr>
          <w:p w14:paraId="58D61D56">
            <w:pPr>
              <w:snapToGrid w:val="0"/>
              <w:ind w:left="-53" w:leftChars="-25" w:right="-53" w:rightChars="-25"/>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451C1589">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18C29AEC">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雷同性</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6991FD8A">
            <w:pPr>
              <w:snapToGrid w:val="0"/>
              <w:rPr>
                <w:rFonts w:hint="eastAsia" w:ascii="宋体" w:hAnsi="宋体" w:cs="宋体"/>
                <w:color w:val="auto"/>
                <w:szCs w:val="21"/>
                <w:highlight w:val="none"/>
              </w:rPr>
            </w:pPr>
            <w:r>
              <w:rPr>
                <w:rFonts w:hint="eastAsia" w:ascii="宋体" w:hAnsi="宋体" w:cs="宋体"/>
                <w:color w:val="auto"/>
                <w:szCs w:val="21"/>
                <w:highlight w:val="none"/>
              </w:rPr>
              <w:t>设计方案之间不存在互相雷同和串通投标的</w:t>
            </w:r>
          </w:p>
        </w:tc>
      </w:tr>
      <w:tr w14:paraId="17484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bottom w:val="single" w:color="auto" w:sz="4" w:space="0"/>
              <w:right w:val="single" w:color="auto" w:sz="4" w:space="0"/>
            </w:tcBorders>
            <w:noWrap w:val="0"/>
            <w:vAlign w:val="center"/>
          </w:tcPr>
          <w:p w14:paraId="50E490E3">
            <w:pPr>
              <w:snapToGrid w:val="0"/>
              <w:ind w:left="-53" w:leftChars="-25" w:right="-53" w:rightChars="-25"/>
              <w:rPr>
                <w:rFonts w:hint="eastAsia" w:ascii="宋体" w:hAnsi="宋体" w:cs="宋体"/>
                <w:color w:val="auto"/>
                <w:szCs w:val="21"/>
                <w:highlight w:val="none"/>
              </w:rPr>
            </w:pPr>
          </w:p>
        </w:tc>
        <w:tc>
          <w:tcPr>
            <w:tcW w:w="1005" w:type="dxa"/>
            <w:vMerge w:val="continue"/>
            <w:tcBorders>
              <w:bottom w:val="single" w:color="auto" w:sz="4" w:space="0"/>
              <w:right w:val="single" w:color="auto" w:sz="4" w:space="0"/>
            </w:tcBorders>
            <w:noWrap w:val="0"/>
            <w:vAlign w:val="center"/>
          </w:tcPr>
          <w:p w14:paraId="1A6420A5">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2D21B72E">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合法合规性</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3CF37D50">
            <w:pPr>
              <w:snapToGrid w:val="0"/>
              <w:rPr>
                <w:rFonts w:hint="eastAsia"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r>
      <w:tr w14:paraId="27830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1681" w:type="dxa"/>
            <w:gridSpan w:val="2"/>
            <w:tcBorders>
              <w:bottom w:val="single" w:color="auto" w:sz="4" w:space="0"/>
              <w:right w:val="single" w:color="auto" w:sz="4" w:space="0"/>
            </w:tcBorders>
            <w:noWrap w:val="0"/>
            <w:vAlign w:val="center"/>
          </w:tcPr>
          <w:p w14:paraId="24C83058">
            <w:pPr>
              <w:snapToGrid w:val="0"/>
              <w:ind w:left="-53" w:leftChars="-25" w:right="-53" w:rightChars="-25"/>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76B6B600">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09613D3D">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编制内容</w:t>
            </w:r>
          </w:p>
        </w:tc>
      </w:tr>
      <w:tr w14:paraId="60722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927" w:hRule="atLeast"/>
          <w:jc w:val="center"/>
        </w:trPr>
        <w:tc>
          <w:tcPr>
            <w:tcW w:w="1681" w:type="dxa"/>
            <w:gridSpan w:val="2"/>
            <w:tcBorders>
              <w:bottom w:val="single" w:color="auto" w:sz="4" w:space="0"/>
              <w:right w:val="single" w:color="auto" w:sz="4" w:space="0"/>
            </w:tcBorders>
            <w:noWrap w:val="0"/>
            <w:vAlign w:val="center"/>
          </w:tcPr>
          <w:p w14:paraId="57F67A61">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71E3853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79C24ED2">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（总分100分）</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13147184">
            <w:pPr>
              <w:pStyle w:val="35"/>
              <w:snapToGrid w:val="0"/>
              <w:spacing w:after="0" w:line="240" w:lineRule="auto"/>
              <w:ind w:left="42" w:leftChars="20" w:firstLine="0"/>
              <w:rPr>
                <w:rFonts w:hint="eastAsia" w:ascii="宋体" w:hAnsi="宋体"/>
                <w:color w:val="auto"/>
                <w:kern w:val="2"/>
                <w:sz w:val="21"/>
                <w:szCs w:val="21"/>
                <w:highlight w:val="none"/>
              </w:rPr>
            </w:pPr>
            <w:r>
              <w:rPr>
                <w:rFonts w:hint="eastAsia" w:ascii="宋体" w:hAnsi="宋体"/>
                <w:color w:val="auto"/>
                <w:kern w:val="2"/>
                <w:sz w:val="21"/>
                <w:szCs w:val="21"/>
                <w:highlight w:val="none"/>
              </w:rPr>
              <w:t>投标人总得分满分为100分，总得分权重分配：</w:t>
            </w:r>
          </w:p>
          <w:p w14:paraId="52675542">
            <w:pPr>
              <w:pStyle w:val="35"/>
              <w:snapToGrid w:val="0"/>
              <w:spacing w:after="0" w:line="240" w:lineRule="auto"/>
              <w:ind w:left="42" w:leftChars="20" w:firstLine="0"/>
              <w:rPr>
                <w:rFonts w:hint="eastAsia" w:ascii="宋体" w:hAnsi="宋体"/>
                <w:color w:val="auto"/>
                <w:kern w:val="2"/>
                <w:sz w:val="21"/>
                <w:szCs w:val="21"/>
                <w:highlight w:val="none"/>
              </w:rPr>
            </w:pPr>
            <w:r>
              <w:rPr>
                <w:rFonts w:hint="eastAsia" w:ascii="宋体" w:hAnsi="宋体"/>
                <w:color w:val="auto"/>
                <w:kern w:val="2"/>
                <w:sz w:val="21"/>
                <w:szCs w:val="21"/>
                <w:highlight w:val="none"/>
              </w:rPr>
              <w:t>投标人总得分=设计方案得分×权重(30%)+工程总承包实施方案得分×权重(35%)+投标报价得分×权重(35%)</w:t>
            </w:r>
          </w:p>
        </w:tc>
      </w:tr>
      <w:tr w14:paraId="3A08C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301" w:hRule="atLeast"/>
          <w:jc w:val="center"/>
        </w:trPr>
        <w:tc>
          <w:tcPr>
            <w:tcW w:w="1681" w:type="dxa"/>
            <w:gridSpan w:val="2"/>
            <w:tcBorders>
              <w:top w:val="single" w:color="auto" w:sz="4" w:space="0"/>
              <w:bottom w:val="single" w:color="auto" w:sz="4" w:space="0"/>
              <w:right w:val="single" w:color="auto" w:sz="4" w:space="0"/>
            </w:tcBorders>
            <w:noWrap w:val="0"/>
            <w:vAlign w:val="center"/>
          </w:tcPr>
          <w:p w14:paraId="264F70ED">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31FE7C73">
            <w:pPr>
              <w:snapToGrid w:val="0"/>
              <w:ind w:left="-59" w:leftChars="-28" w:right="-80" w:rightChars="-38"/>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283F6103">
            <w:pPr>
              <w:pStyle w:val="35"/>
              <w:snapToGrid w:val="0"/>
              <w:spacing w:after="0" w:line="240" w:lineRule="auto"/>
              <w:ind w:firstLine="41"/>
              <w:rPr>
                <w:color w:val="auto"/>
                <w:highlight w:val="none"/>
              </w:rPr>
            </w:pPr>
            <w:r>
              <w:rPr>
                <w:rFonts w:hint="eastAsia"/>
                <w:color w:val="auto"/>
                <w:highlight w:val="none"/>
              </w:rPr>
              <w:t>区间抽取法</w:t>
            </w:r>
          </w:p>
          <w:p w14:paraId="4044F87C">
            <w:pPr>
              <w:snapToGrid w:val="0"/>
              <w:ind w:firstLine="420"/>
              <w:rPr>
                <w:color w:val="auto"/>
                <w:highlight w:val="none"/>
              </w:rPr>
            </w:pPr>
            <w:r>
              <w:rPr>
                <w:rFonts w:hint="eastAsia"/>
                <w:color w:val="auto"/>
                <w:kern w:val="0"/>
                <w:sz w:val="20"/>
                <w:szCs w:val="20"/>
                <w:highlight w:val="none"/>
              </w:rPr>
              <w:t>设立入围合格分数线（设计方案得分×权重(30%)+工程总承包实施方案得分×权重(35%)=45.5分），通过初步评审且达到或超过及格线的投标人的建安工程费报价方能参与评标参考价的计算。将达到或超过及格分数线的建安工程费投标报价由低至高进行排列，按以下公式计算评标参考价，计算公式如下：</w:t>
            </w:r>
          </w:p>
          <w:p w14:paraId="0CB87848">
            <w:pPr>
              <w:pStyle w:val="35"/>
              <w:snapToGrid w:val="0"/>
              <w:spacing w:after="0" w:line="240" w:lineRule="auto"/>
              <w:ind w:firstLine="41"/>
              <w:rPr>
                <w:color w:val="auto"/>
                <w:highlight w:val="none"/>
              </w:rPr>
            </w:pPr>
            <w:r>
              <w:rPr>
                <w:rFonts w:hint="eastAsia"/>
                <w:color w:val="auto"/>
                <w:highlight w:val="none"/>
              </w:rPr>
              <w:t>评标参考价＝（Q高-Q低）/100*Ｘ+Q低</w:t>
            </w:r>
          </w:p>
          <w:p w14:paraId="2DBD6B3A">
            <w:pPr>
              <w:pStyle w:val="35"/>
              <w:snapToGrid w:val="0"/>
              <w:spacing w:after="0" w:line="240" w:lineRule="auto"/>
              <w:ind w:firstLine="41"/>
              <w:rPr>
                <w:color w:val="auto"/>
                <w:highlight w:val="none"/>
              </w:rPr>
            </w:pPr>
            <w:r>
              <w:rPr>
                <w:rFonts w:hint="eastAsia"/>
                <w:color w:val="auto"/>
                <w:highlight w:val="none"/>
              </w:rPr>
              <w:t>Q低：为达到或超过入围合格分数线的投标人建安工程费的最低报价与建安工程费成本警示价两者中的较高值；如投标人均没有达到入围合格分数线的，则Q低为建安工程费成本警示价。</w:t>
            </w:r>
          </w:p>
          <w:p w14:paraId="08745B89">
            <w:pPr>
              <w:pStyle w:val="35"/>
              <w:snapToGrid w:val="0"/>
              <w:spacing w:after="0" w:line="240" w:lineRule="auto"/>
              <w:ind w:firstLine="41"/>
              <w:rPr>
                <w:color w:val="auto"/>
                <w:highlight w:val="none"/>
              </w:rPr>
            </w:pPr>
            <w:r>
              <w:rPr>
                <w:rFonts w:hint="eastAsia"/>
                <w:color w:val="auto"/>
                <w:highlight w:val="none"/>
              </w:rPr>
              <w:t>Q高：为建安工程费最高投标限价</w:t>
            </w:r>
          </w:p>
          <w:p w14:paraId="5D845B31">
            <w:pPr>
              <w:pStyle w:val="35"/>
              <w:snapToGrid w:val="0"/>
              <w:spacing w:after="0" w:line="240" w:lineRule="auto"/>
              <w:ind w:firstLine="41"/>
              <w:rPr>
                <w:rFonts w:hint="eastAsia" w:ascii="宋体" w:hAnsi="宋体" w:cs="宋体"/>
                <w:color w:val="auto"/>
                <w:kern w:val="2"/>
                <w:sz w:val="21"/>
                <w:szCs w:val="21"/>
                <w:highlight w:val="none"/>
                <w:lang w:val="zh-TW" w:eastAsia="zh-TW"/>
              </w:rPr>
            </w:pPr>
            <w:r>
              <w:rPr>
                <w:rFonts w:hint="eastAsia"/>
                <w:color w:val="auto"/>
                <w:highlight w:val="none"/>
              </w:rPr>
              <w:t>X：为等分值点，由招标人或招标代理机构在开标前从[0,100] 的整数中随机抽取确定。</w:t>
            </w:r>
          </w:p>
        </w:tc>
      </w:tr>
      <w:tr w14:paraId="4136C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1681" w:type="dxa"/>
            <w:gridSpan w:val="2"/>
            <w:tcBorders>
              <w:top w:val="single" w:color="auto" w:sz="4" w:space="0"/>
              <w:bottom w:val="single" w:color="auto" w:sz="4" w:space="0"/>
              <w:right w:val="single" w:color="auto" w:sz="4" w:space="0"/>
            </w:tcBorders>
            <w:noWrap w:val="0"/>
            <w:vAlign w:val="center"/>
          </w:tcPr>
          <w:p w14:paraId="4EA1CC41">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1269" w:type="dxa"/>
            <w:gridSpan w:val="2"/>
            <w:tcBorders>
              <w:top w:val="single" w:color="auto" w:sz="4" w:space="0"/>
              <w:left w:val="single" w:color="auto" w:sz="4" w:space="0"/>
              <w:right w:val="single" w:color="auto" w:sz="4" w:space="0"/>
            </w:tcBorders>
            <w:noWrap w:val="0"/>
            <w:vAlign w:val="center"/>
          </w:tcPr>
          <w:p w14:paraId="29A11F0F">
            <w:pPr>
              <w:snapToGrid w:val="0"/>
              <w:jc w:val="center"/>
              <w:rPr>
                <w:rFonts w:hint="eastAsia" w:ascii="宋体" w:hAnsi="宋体" w:cs="宋体"/>
                <w:color w:val="auto"/>
                <w:szCs w:val="21"/>
                <w:highlight w:val="none"/>
                <w:lang w:val="zh-TW"/>
              </w:rPr>
            </w:pPr>
            <w:r>
              <w:rPr>
                <w:rFonts w:hint="eastAsia" w:ascii="宋体" w:hAnsi="宋体" w:cs="宋体"/>
                <w:color w:val="auto"/>
                <w:szCs w:val="21"/>
                <w:highlight w:val="none"/>
                <w:lang w:val="zh-TW" w:eastAsia="zh-TW"/>
              </w:rPr>
              <w:t>投标报价的偏差率</w:t>
            </w:r>
          </w:p>
          <w:p w14:paraId="4EE08B88">
            <w:pPr>
              <w:snapToGrid w:val="0"/>
              <w:jc w:val="center"/>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计算公式</w:t>
            </w:r>
          </w:p>
        </w:tc>
        <w:tc>
          <w:tcPr>
            <w:tcW w:w="6877" w:type="dxa"/>
            <w:gridSpan w:val="2"/>
            <w:tcBorders>
              <w:top w:val="single" w:color="auto" w:sz="4" w:space="0"/>
              <w:left w:val="single" w:color="auto" w:sz="4" w:space="0"/>
              <w:right w:val="single" w:color="auto" w:sz="4" w:space="0"/>
            </w:tcBorders>
            <w:noWrap w:val="0"/>
            <w:vAlign w:val="center"/>
          </w:tcPr>
          <w:p w14:paraId="727B8AB8">
            <w:pPr>
              <w:snapToGrid w:val="0"/>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偏差率=100%</w:t>
            </w:r>
            <w:r>
              <w:rPr>
                <w:rFonts w:ascii="宋体" w:hAnsi="宋体" w:cs="Arial"/>
                <w:color w:val="auto"/>
                <w:szCs w:val="21"/>
                <w:highlight w:val="none"/>
                <w:lang w:val="zh-TW" w:eastAsia="zh-TW"/>
              </w:rPr>
              <w:t>×</w:t>
            </w:r>
            <w:r>
              <w:rPr>
                <w:rFonts w:hint="eastAsia" w:ascii="宋体" w:hAnsi="宋体" w:cs="宋体"/>
                <w:color w:val="auto"/>
                <w:szCs w:val="21"/>
                <w:highlight w:val="none"/>
                <w:lang w:val="zh-TW" w:eastAsia="zh-TW"/>
              </w:rPr>
              <w:t>（投标人报价－评标基准价）÷评标基准价</w:t>
            </w:r>
          </w:p>
        </w:tc>
      </w:tr>
      <w:tr w14:paraId="2F311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1681" w:type="dxa"/>
            <w:gridSpan w:val="2"/>
            <w:tcBorders>
              <w:top w:val="single" w:color="auto" w:sz="4" w:space="0"/>
              <w:bottom w:val="single" w:color="auto" w:sz="4" w:space="0"/>
              <w:right w:val="single" w:color="auto" w:sz="4" w:space="0"/>
            </w:tcBorders>
            <w:noWrap w:val="0"/>
            <w:vAlign w:val="center"/>
          </w:tcPr>
          <w:p w14:paraId="12E99E7F">
            <w:pPr>
              <w:snapToGrid w:val="0"/>
              <w:ind w:left="-53" w:leftChars="-25" w:right="-53" w:rightChars="-25"/>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427CBDAA">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评分因素</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3206B473">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评分标准</w:t>
            </w:r>
          </w:p>
        </w:tc>
      </w:tr>
      <w:tr w14:paraId="6E105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1455" w:hRule="atLeast"/>
          <w:jc w:val="center"/>
        </w:trPr>
        <w:tc>
          <w:tcPr>
            <w:tcW w:w="676" w:type="dxa"/>
            <w:vMerge w:val="restart"/>
            <w:tcBorders>
              <w:top w:val="single" w:color="auto" w:sz="4" w:space="0"/>
              <w:right w:val="single" w:color="auto" w:sz="4" w:space="0"/>
            </w:tcBorders>
            <w:noWrap w:val="0"/>
            <w:vAlign w:val="center"/>
          </w:tcPr>
          <w:p w14:paraId="42B4FB53">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2.2.4（1）</w:t>
            </w:r>
          </w:p>
        </w:tc>
        <w:tc>
          <w:tcPr>
            <w:tcW w:w="1005" w:type="dxa"/>
            <w:vMerge w:val="restart"/>
            <w:tcBorders>
              <w:top w:val="single" w:color="auto" w:sz="4" w:space="0"/>
              <w:right w:val="single" w:color="auto" w:sz="4" w:space="0"/>
            </w:tcBorders>
            <w:noWrap w:val="0"/>
            <w:vAlign w:val="center"/>
          </w:tcPr>
          <w:p w14:paraId="79CE0F84">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设计方案评分标准</w:t>
            </w:r>
          </w:p>
          <w:p w14:paraId="39DBF52D">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（100分）</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43B6B533">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项目设计理念</w:t>
            </w:r>
          </w:p>
          <w:p w14:paraId="60E2327D">
            <w:pPr>
              <w:snapToGrid w:val="0"/>
              <w:jc w:val="center"/>
              <w:rPr>
                <w:rFonts w:hint="eastAsia" w:ascii="宋体" w:hAnsi="宋体" w:cs="宋体"/>
                <w:color w:val="auto"/>
                <w:szCs w:val="21"/>
                <w:highlight w:val="yellow"/>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6FAC54C5">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设计理念</w:t>
            </w:r>
            <w:r>
              <w:rPr>
                <w:rFonts w:hint="eastAsia" w:ascii="宋体" w:hAnsi="宋体" w:cs="宋体"/>
                <w:color w:val="auto"/>
                <w:szCs w:val="21"/>
                <w:highlight w:val="none"/>
              </w:rPr>
              <w:t>符合医疗行业发展趋势，具有较高的创新性和前瞻性。</w:t>
            </w:r>
          </w:p>
          <w:p w14:paraId="113E0BDC">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[优]设计理念具有创新性、前瞻性，以满足不同功能的需求，得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分；[良]设计理念较为先进，能够满足基本需求，但在创新性和前瞻性上有所欠缺，得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14:paraId="034DFED7">
            <w:pPr>
              <w:snapToGrid w:val="0"/>
              <w:spacing w:after="78" w:afterLines="25"/>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[中]设计理念一般，创新性不足，得1-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2CBEDF59">
            <w:pPr>
              <w:snapToGrid w:val="0"/>
              <w:spacing w:after="78" w:afterLines="25"/>
              <w:jc w:val="left"/>
              <w:rPr>
                <w:rFonts w:hint="eastAsia" w:ascii="宋体" w:hAnsi="宋体" w:cs="宋体"/>
                <w:color w:val="auto"/>
                <w:szCs w:val="21"/>
                <w:highlight w:val="yellow"/>
              </w:rPr>
            </w:pPr>
            <w:r>
              <w:rPr>
                <w:rFonts w:hint="eastAsia" w:ascii="宋体" w:hAnsi="宋体" w:cs="宋体"/>
                <w:color w:val="auto"/>
                <w:szCs w:val="21"/>
                <w:highlight w:val="none"/>
              </w:rPr>
              <w:t>[差]设计理念落后，不符合现代医疗需求，存在明显缺陷，得0分。</w:t>
            </w:r>
          </w:p>
        </w:tc>
      </w:tr>
      <w:tr w14:paraId="26262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noWrap w:val="0"/>
            <w:vAlign w:val="center"/>
          </w:tcPr>
          <w:p w14:paraId="39E31A6E">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3AEEB4E5">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30AB460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品质提升</w:t>
            </w:r>
            <w:r>
              <w:rPr>
                <w:rFonts w:hint="eastAsia" w:ascii="宋体" w:hAnsi="宋体" w:cs="宋体"/>
                <w:color w:val="auto"/>
                <w:szCs w:val="21"/>
                <w:highlight w:val="none"/>
                <w:lang w:val="en-US" w:eastAsia="zh-CN"/>
              </w:rPr>
              <w:t>方案</w:t>
            </w:r>
          </w:p>
          <w:p w14:paraId="2835DD4D">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24E4EEB8">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品质提升显著，对内部装修的</w:t>
            </w:r>
            <w:r>
              <w:rPr>
                <w:rFonts w:hint="eastAsia" w:ascii="宋体" w:hAnsi="宋体" w:eastAsia="宋体" w:cs="宋体"/>
                <w:i w:val="0"/>
                <w:iCs w:val="0"/>
                <w:caps w:val="0"/>
                <w:color w:val="auto"/>
                <w:spacing w:val="0"/>
                <w:sz w:val="21"/>
                <w:szCs w:val="21"/>
                <w:highlight w:val="none"/>
                <w:shd w:val="clear" w:color="auto" w:fill="auto"/>
              </w:rPr>
              <w:t>效果图呈现效果进行评分</w:t>
            </w:r>
            <w:r>
              <w:rPr>
                <w:rFonts w:hint="eastAsia" w:ascii="宋体" w:hAnsi="宋体" w:eastAsia="宋体" w:cs="宋体"/>
                <w:color w:val="auto"/>
                <w:szCs w:val="21"/>
                <w:highlight w:val="none"/>
              </w:rPr>
              <w:t>。</w:t>
            </w:r>
          </w:p>
          <w:p w14:paraId="3F266759">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[优]品质提升显著，效果图基本展现良好设计，体现了高水平的建筑设计和施工工艺，提升了制剂室的整体形象，得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p w14:paraId="0836CADA">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[良]品质提升较为明显，但效果图的部分设计可能在某些方面存在不足，得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14:paraId="14C5E344">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[中]品质提升一般，效果图的细节设计不够精致，存在瑕疵或不足得1-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0B9DBAC7">
            <w:pPr>
              <w:snapToGrid w:val="0"/>
              <w:spacing w:after="78" w:afterLines="25"/>
              <w:rPr>
                <w:rFonts w:hint="eastAsia" w:ascii="宋体" w:hAnsi="宋体" w:cs="宋体"/>
                <w:color w:val="auto"/>
                <w:szCs w:val="21"/>
                <w:highlight w:val="none"/>
              </w:rPr>
            </w:pPr>
            <w:r>
              <w:rPr>
                <w:rFonts w:hint="eastAsia" w:ascii="宋体" w:hAnsi="宋体" w:cs="宋体"/>
                <w:color w:val="auto"/>
                <w:szCs w:val="21"/>
                <w:highlight w:val="none"/>
              </w:rPr>
              <w:t>[差]品质提升不明显，效果图</w:t>
            </w:r>
            <w:r>
              <w:rPr>
                <w:rFonts w:hint="eastAsia" w:ascii="宋体" w:hAnsi="宋体" w:cs="宋体"/>
                <w:color w:val="auto"/>
                <w:szCs w:val="21"/>
                <w:highlight w:val="none"/>
                <w:lang w:eastAsia="zh-CN"/>
              </w:rPr>
              <w:t>的</w:t>
            </w:r>
            <w:r>
              <w:rPr>
                <w:rFonts w:hint="eastAsia" w:ascii="宋体" w:hAnsi="宋体" w:cs="宋体"/>
                <w:color w:val="auto"/>
                <w:szCs w:val="21"/>
                <w:highlight w:val="none"/>
              </w:rPr>
              <w:t>细节设计粗糙，影响了制剂室的整体形象，得0分。</w:t>
            </w:r>
          </w:p>
        </w:tc>
      </w:tr>
      <w:tr w14:paraId="7D911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noWrap w:val="0"/>
            <w:vAlign w:val="center"/>
          </w:tcPr>
          <w:p w14:paraId="654D78C6">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2DECB7DE">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73006754">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空间</w:t>
            </w:r>
            <w:r>
              <w:rPr>
                <w:rFonts w:hint="eastAsia" w:ascii="宋体" w:hAnsi="宋体" w:cs="宋体"/>
                <w:color w:val="auto"/>
                <w:szCs w:val="21"/>
                <w:highlight w:val="none"/>
                <w:lang w:val="en-US" w:eastAsia="zh-CN"/>
              </w:rPr>
              <w:t>布局</w:t>
            </w:r>
          </w:p>
          <w:p w14:paraId="18D370E4">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33DD8415">
            <w:pPr>
              <w:snapToGrid w:val="0"/>
              <w:spacing w:after="78" w:afterLines="25"/>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改造方案应科学合理地反映出对功能布局和流程的优化，提升</w:t>
            </w:r>
            <w:r>
              <w:rPr>
                <w:rFonts w:hint="eastAsia" w:ascii="宋体" w:hAnsi="宋体" w:eastAsia="宋体" w:cs="宋体"/>
                <w:color w:val="auto"/>
                <w:kern w:val="2"/>
                <w:sz w:val="21"/>
                <w:szCs w:val="21"/>
                <w:highlight w:val="none"/>
                <w:lang w:val="en-US" w:eastAsia="zh-CN" w:bidi="ar-SA"/>
              </w:rPr>
              <w:t>制剂室</w:t>
            </w:r>
            <w:r>
              <w:rPr>
                <w:rFonts w:hint="eastAsia" w:ascii="宋体" w:hAnsi="宋体" w:cs="宋体"/>
                <w:color w:val="auto"/>
                <w:szCs w:val="21"/>
                <w:highlight w:val="none"/>
                <w:lang w:val="en-US" w:eastAsia="zh-CN"/>
              </w:rPr>
              <w:t>服务的效率、安全性：</w:t>
            </w:r>
          </w:p>
          <w:p w14:paraId="45F5A62D">
            <w:pPr>
              <w:snapToGrid w:val="0"/>
              <w:spacing w:after="78" w:afterLines="25"/>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[优]空间布局科学合理且充分优化，从使用者角度精心规划单元设计，具备前瞻性和良好适应性；制剂室</w:t>
            </w:r>
            <w:r>
              <w:rPr>
                <w:rFonts w:hint="eastAsia" w:ascii="宋体" w:hAnsi="宋体" w:cs="宋体"/>
                <w:color w:val="auto"/>
                <w:szCs w:val="21"/>
                <w:highlight w:val="none"/>
                <w:lang w:val="en-US" w:eastAsia="zh-CN"/>
              </w:rPr>
              <w:t>工作</w:t>
            </w:r>
            <w:r>
              <w:rPr>
                <w:rFonts w:hint="eastAsia" w:ascii="宋体" w:hAnsi="宋体" w:cs="宋体"/>
                <w:color w:val="auto"/>
                <w:szCs w:val="21"/>
                <w:highlight w:val="none"/>
              </w:rPr>
              <w:t>流线无交叉，整体舒适实用，功能齐全且能充分满足使用需求，得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p w14:paraId="455658B1">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[良]空间布局比较合理，兼顾使用者角度进行单元设计；制剂室工作流线无交叉，功能比较齐全，能够满足使用要求，得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14:paraId="6DF9A66E">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]空间布局基本合理，在使用者角度的单元设计上有所体现；制剂室</w:t>
            </w:r>
            <w:r>
              <w:rPr>
                <w:rFonts w:hint="eastAsia" w:ascii="宋体" w:hAnsi="宋体" w:cs="宋体"/>
                <w:color w:val="auto"/>
                <w:szCs w:val="21"/>
                <w:highlight w:val="none"/>
                <w:lang w:val="en-US" w:eastAsia="zh-CN"/>
              </w:rPr>
              <w:t>工作</w:t>
            </w:r>
            <w:r>
              <w:rPr>
                <w:rFonts w:hint="eastAsia" w:ascii="宋体" w:hAnsi="宋体" w:cs="宋体"/>
                <w:color w:val="auto"/>
                <w:szCs w:val="21"/>
                <w:highlight w:val="none"/>
              </w:rPr>
              <w:t>，功能基本齐全，可基本满足使用要求，得1-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4C40C499">
            <w:pPr>
              <w:snapToGrid w:val="0"/>
              <w:spacing w:after="78" w:afterLines="25"/>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差</w:t>
            </w:r>
            <w:r>
              <w:rPr>
                <w:rFonts w:hint="eastAsia" w:ascii="宋体" w:hAnsi="宋体" w:cs="宋体"/>
                <w:color w:val="auto"/>
                <w:szCs w:val="21"/>
                <w:highlight w:val="none"/>
              </w:rPr>
              <w:t>]空间布局不合理，未从使用者角度考虑单元设计；制剂室</w:t>
            </w:r>
            <w:r>
              <w:rPr>
                <w:rFonts w:hint="eastAsia" w:ascii="宋体" w:hAnsi="宋体" w:cs="宋体"/>
                <w:color w:val="auto"/>
                <w:szCs w:val="21"/>
                <w:highlight w:val="none"/>
                <w:lang w:val="en-US" w:eastAsia="zh-CN"/>
              </w:rPr>
              <w:t>工作</w:t>
            </w:r>
            <w:r>
              <w:rPr>
                <w:rFonts w:hint="eastAsia" w:ascii="宋体" w:hAnsi="宋体" w:cs="宋体"/>
                <w:color w:val="auto"/>
                <w:szCs w:val="21"/>
                <w:highlight w:val="none"/>
              </w:rPr>
              <w:t>流线</w:t>
            </w:r>
            <w:r>
              <w:rPr>
                <w:rFonts w:hint="eastAsia" w:ascii="宋体" w:hAnsi="宋体" w:cs="宋体"/>
                <w:color w:val="auto"/>
                <w:szCs w:val="21"/>
                <w:highlight w:val="none"/>
                <w:lang w:val="en-US" w:eastAsia="zh-CN"/>
              </w:rPr>
              <w:t>存在</w:t>
            </w:r>
            <w:r>
              <w:rPr>
                <w:rFonts w:hint="eastAsia" w:ascii="宋体" w:hAnsi="宋体" w:cs="宋体"/>
                <w:color w:val="auto"/>
                <w:szCs w:val="21"/>
                <w:highlight w:val="none"/>
              </w:rPr>
              <w:t>交叉，功能不齐全，无法满足使用要求，得0分。</w:t>
            </w:r>
          </w:p>
        </w:tc>
      </w:tr>
      <w:tr w14:paraId="5E76F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noWrap w:val="0"/>
            <w:vAlign w:val="center"/>
          </w:tcPr>
          <w:p w14:paraId="45045E14">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51BF1A59">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2A0A7AE4">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消防改造设计方案</w:t>
            </w:r>
          </w:p>
          <w:p w14:paraId="07481799">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cs="宋体"/>
                <w:strike w:val="0"/>
                <w:color w:val="auto"/>
                <w:szCs w:val="21"/>
                <w:highlight w:val="none"/>
              </w:rPr>
            </w:pPr>
            <w:r>
              <w:rPr>
                <w:rFonts w:hint="eastAsia" w:ascii="宋体" w:hAnsi="宋体" w:eastAsia="宋体" w:cs="宋体"/>
                <w:color w:val="auto"/>
                <w:kern w:val="2"/>
                <w:sz w:val="21"/>
                <w:szCs w:val="21"/>
                <w:highlight w:val="none"/>
                <w:lang w:val="en-US" w:eastAsia="zh-CN" w:bidi="ar-SA"/>
              </w:rPr>
              <w:t>（10分）</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652E6B2F">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根据现有的消防设施条件，提出切实可行的消防改造方案，优化消防布局、完善消防报警及联动系统。全面提升本制剂室的消防能力：</w:t>
            </w:r>
          </w:p>
          <w:p w14:paraId="76C116F7">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[优]：提出的消防改造方案切实可行，能有效优化消防布局、完善消防报警及联动系统，全面提升本装修施工区域内的消防能力；方案完善且完全符合相关法规要求，可充分确保消防安全，得7-10分；</w:t>
            </w:r>
          </w:p>
          <w:p w14:paraId="7C99549C">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[良]：消防改造设计符合法规要求，方案较为完善，能在一定程度上优化消防布局和系统，提升消防能力，但在设备选型或布局上可能存在细微不足，得3-6分；</w:t>
            </w:r>
          </w:p>
          <w:p w14:paraId="096FCBD5">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[中]：消防改造设计存在一定缺陷，未能完全满足法规要求，方案不够完善，对消防能力的提升有限，存在一定安全隐患，得1-2分；​</w:t>
            </w:r>
          </w:p>
          <w:p w14:paraId="24D1337E">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宋体" w:hAnsi="宋体" w:cs="宋体"/>
                <w:strike w:val="0"/>
                <w:color w:val="auto"/>
                <w:szCs w:val="21"/>
                <w:highlight w:val="none"/>
              </w:rPr>
            </w:pPr>
            <w:r>
              <w:rPr>
                <w:rFonts w:hint="eastAsia" w:ascii="宋体" w:hAnsi="宋体" w:eastAsia="宋体" w:cs="宋体"/>
                <w:color w:val="auto"/>
                <w:kern w:val="2"/>
                <w:sz w:val="21"/>
                <w:szCs w:val="21"/>
                <w:highlight w:val="none"/>
                <w:lang w:val="en-US" w:eastAsia="zh-CN" w:bidi="ar-SA"/>
              </w:rPr>
              <w:t>[差]：消防改造设计严重不符合法规要求，方案存在重大漏洞，无法提升消防能力，反而存在重大安全隐患，得 0-1分。</w:t>
            </w:r>
          </w:p>
        </w:tc>
      </w:tr>
      <w:tr w14:paraId="3D917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noWrap w:val="0"/>
            <w:vAlign w:val="center"/>
          </w:tcPr>
          <w:p w14:paraId="7FD500DF">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1AA237FE">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03E57B21">
            <w:pPr>
              <w:snapToGrid w:val="0"/>
              <w:jc w:val="center"/>
              <w:rPr>
                <w:rFonts w:hint="eastAsia" w:ascii="宋体" w:hAnsi="宋体" w:cs="宋体"/>
                <w:strike w:val="0"/>
                <w:color w:val="auto"/>
                <w:szCs w:val="21"/>
                <w:highlight w:val="none"/>
              </w:rPr>
            </w:pPr>
            <w:r>
              <w:rPr>
                <w:rFonts w:hint="eastAsia" w:ascii="宋体" w:hAnsi="宋体" w:cs="宋体"/>
                <w:strike w:val="0"/>
                <w:color w:val="auto"/>
                <w:szCs w:val="21"/>
                <w:highlight w:val="none"/>
              </w:rPr>
              <w:t>高效率生产</w:t>
            </w:r>
            <w:r>
              <w:rPr>
                <w:rFonts w:hint="eastAsia" w:ascii="宋体" w:hAnsi="宋体" w:cs="宋体"/>
                <w:strike w:val="0"/>
                <w:color w:val="auto"/>
                <w:szCs w:val="21"/>
                <w:highlight w:val="none"/>
                <w:lang w:val="en-US" w:eastAsia="zh-CN"/>
              </w:rPr>
              <w:t>解决思路</w:t>
            </w: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15</w:t>
            </w:r>
            <w:r>
              <w:rPr>
                <w:rFonts w:hint="eastAsia" w:ascii="宋体" w:hAnsi="宋体" w:cs="宋体"/>
                <w:strike w:val="0"/>
                <w:color w:val="auto"/>
                <w:szCs w:val="21"/>
                <w:highlight w:val="none"/>
              </w:rPr>
              <w:t>分）</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41B56D93">
            <w:pPr>
              <w:snapToGrid w:val="0"/>
              <w:spacing w:after="78" w:afterLines="25"/>
              <w:jc w:val="left"/>
              <w:rPr>
                <w:rFonts w:hint="eastAsia" w:ascii="宋体" w:hAnsi="宋体" w:cs="宋体"/>
                <w:strike w:val="0"/>
                <w:color w:val="auto"/>
                <w:szCs w:val="21"/>
                <w:highlight w:val="none"/>
              </w:rPr>
            </w:pPr>
            <w:r>
              <w:rPr>
                <w:rFonts w:hint="eastAsia" w:ascii="宋体" w:hAnsi="宋体" w:cs="宋体"/>
                <w:strike w:val="0"/>
                <w:color w:val="auto"/>
                <w:szCs w:val="21"/>
                <w:highlight w:val="none"/>
                <w:lang w:val="en-US" w:eastAsia="zh-CN"/>
              </w:rPr>
              <w:t>针对</w:t>
            </w:r>
            <w:r>
              <w:rPr>
                <w:rFonts w:hint="eastAsia" w:ascii="宋体" w:hAnsi="宋体" w:cs="宋体"/>
                <w:strike w:val="0"/>
                <w:color w:val="auto"/>
                <w:szCs w:val="21"/>
                <w:highlight w:val="none"/>
              </w:rPr>
              <w:t>实现制剂室机械化、自动化</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lang w:val="en-US" w:eastAsia="zh-CN"/>
              </w:rPr>
              <w:t>工艺流程设计的先进性、流畅性，各功能区域（如称量、制粒、压片、包衣、内包、外包、质检等）面积分配和衔接关系，</w:t>
            </w:r>
            <w:r>
              <w:rPr>
                <w:rFonts w:hint="eastAsia" w:ascii="宋体" w:hAnsi="宋体" w:cs="宋体"/>
                <w:strike w:val="0"/>
                <w:color w:val="auto"/>
                <w:szCs w:val="21"/>
                <w:highlight w:val="none"/>
              </w:rPr>
              <w:t>降低工人劳动强度，实现高效率生产</w:t>
            </w:r>
            <w:r>
              <w:rPr>
                <w:rFonts w:hint="eastAsia" w:ascii="宋体" w:hAnsi="宋体" w:cs="宋体"/>
                <w:strike w:val="0"/>
                <w:color w:val="auto"/>
                <w:szCs w:val="21"/>
                <w:highlight w:val="none"/>
                <w:lang w:val="en-US" w:eastAsia="zh-CN"/>
              </w:rPr>
              <w:t>及为未来发展预留空间设计</w:t>
            </w:r>
            <w:r>
              <w:rPr>
                <w:rFonts w:hint="eastAsia" w:ascii="宋体" w:hAnsi="宋体" w:cs="宋体"/>
                <w:strike w:val="0"/>
                <w:color w:val="auto"/>
                <w:szCs w:val="21"/>
                <w:highlight w:val="none"/>
              </w:rPr>
              <w:t>提供相应解决</w:t>
            </w:r>
            <w:r>
              <w:rPr>
                <w:rFonts w:hint="eastAsia" w:ascii="宋体" w:hAnsi="宋体" w:cs="宋体"/>
                <w:strike w:val="0"/>
                <w:color w:val="auto"/>
                <w:szCs w:val="21"/>
                <w:highlight w:val="none"/>
                <w:lang w:val="en-US" w:eastAsia="zh-CN"/>
              </w:rPr>
              <w:t>思路</w:t>
            </w:r>
            <w:r>
              <w:rPr>
                <w:rFonts w:hint="eastAsia" w:ascii="宋体" w:hAnsi="宋体" w:cs="宋体"/>
                <w:strike w:val="0"/>
                <w:color w:val="auto"/>
                <w:szCs w:val="21"/>
                <w:highlight w:val="none"/>
              </w:rPr>
              <w:t>；</w:t>
            </w:r>
          </w:p>
          <w:p w14:paraId="0518F898">
            <w:pPr>
              <w:snapToGrid w:val="0"/>
              <w:spacing w:after="78" w:afterLines="25"/>
              <w:jc w:val="left"/>
              <w:rPr>
                <w:rFonts w:hint="eastAsia" w:ascii="宋体" w:hAnsi="宋体" w:eastAsia="宋体" w:cs="宋体"/>
                <w:strike w:val="0"/>
                <w:color w:val="auto"/>
                <w:szCs w:val="21"/>
                <w:highlight w:val="none"/>
                <w:lang w:val="en-US" w:eastAsia="zh-CN"/>
              </w:rPr>
            </w:pPr>
            <w:r>
              <w:rPr>
                <w:rFonts w:hint="eastAsia" w:ascii="宋体" w:hAnsi="宋体" w:cs="宋体"/>
                <w:strike w:val="0"/>
                <w:color w:val="auto"/>
                <w:szCs w:val="21"/>
                <w:highlight w:val="none"/>
              </w:rPr>
              <w:t>[优]</w:t>
            </w:r>
            <w:r>
              <w:rPr>
                <w:rFonts w:hint="eastAsia" w:ascii="宋体" w:hAnsi="宋体" w:cs="宋体"/>
                <w:strike w:val="0"/>
                <w:color w:val="auto"/>
                <w:szCs w:val="21"/>
                <w:highlight w:val="none"/>
                <w:lang w:val="en-US" w:eastAsia="zh-CN"/>
              </w:rPr>
              <w:t>针对上述问题，</w:t>
            </w:r>
            <w:r>
              <w:rPr>
                <w:rFonts w:hint="eastAsia" w:ascii="宋体" w:hAnsi="宋体" w:cs="宋体"/>
                <w:strike w:val="0"/>
                <w:color w:val="auto"/>
                <w:szCs w:val="21"/>
                <w:highlight w:val="none"/>
              </w:rPr>
              <w:t>提出的解决</w:t>
            </w:r>
            <w:r>
              <w:rPr>
                <w:rFonts w:hint="eastAsia" w:ascii="宋体" w:hAnsi="宋体" w:cs="宋体"/>
                <w:strike w:val="0"/>
                <w:color w:val="auto"/>
                <w:szCs w:val="21"/>
                <w:highlight w:val="none"/>
                <w:lang w:val="en-US" w:eastAsia="zh-CN"/>
              </w:rPr>
              <w:t>思路</w:t>
            </w:r>
            <w:r>
              <w:rPr>
                <w:rFonts w:hint="eastAsia" w:ascii="宋体" w:hAnsi="宋体" w:cs="宋体"/>
                <w:strike w:val="0"/>
                <w:color w:val="auto"/>
                <w:szCs w:val="21"/>
                <w:highlight w:val="none"/>
              </w:rPr>
              <w:t>合理、可行</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lang w:val="en-US" w:eastAsia="zh-CN"/>
              </w:rPr>
              <w:t>可操作性强</w:t>
            </w:r>
            <w:r>
              <w:rPr>
                <w:rFonts w:hint="eastAsia" w:ascii="宋体" w:hAnsi="宋体" w:cs="宋体"/>
                <w:strike w:val="0"/>
                <w:color w:val="auto"/>
                <w:szCs w:val="21"/>
                <w:highlight w:val="none"/>
              </w:rPr>
              <w:t>，得</w:t>
            </w:r>
            <w:r>
              <w:rPr>
                <w:rFonts w:hint="eastAsia" w:ascii="宋体" w:hAnsi="宋体" w:cs="宋体"/>
                <w:strike w:val="0"/>
                <w:color w:val="auto"/>
                <w:szCs w:val="21"/>
                <w:highlight w:val="none"/>
                <w:lang w:val="en-US" w:eastAsia="zh-CN"/>
              </w:rPr>
              <w:t>10</w:t>
            </w: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15</w:t>
            </w:r>
            <w:r>
              <w:rPr>
                <w:rFonts w:hint="eastAsia" w:ascii="宋体" w:hAnsi="宋体" w:cs="宋体"/>
                <w:strike w:val="0"/>
                <w:color w:val="auto"/>
                <w:szCs w:val="21"/>
                <w:highlight w:val="none"/>
              </w:rPr>
              <w:t>分；</w:t>
            </w:r>
          </w:p>
          <w:p w14:paraId="60AC5DCC">
            <w:pPr>
              <w:snapToGrid w:val="0"/>
              <w:spacing w:after="78" w:afterLines="25"/>
              <w:jc w:val="left"/>
              <w:rPr>
                <w:rFonts w:hint="eastAsia" w:ascii="宋体" w:hAnsi="宋体" w:cs="宋体"/>
                <w:strike w:val="0"/>
                <w:color w:val="auto"/>
                <w:szCs w:val="21"/>
                <w:highlight w:val="none"/>
                <w:lang w:eastAsia="zh-CN"/>
              </w:rPr>
            </w:pPr>
            <w:r>
              <w:rPr>
                <w:rFonts w:hint="eastAsia" w:ascii="宋体" w:hAnsi="宋体" w:cs="宋体"/>
                <w:strike w:val="0"/>
                <w:color w:val="auto"/>
                <w:szCs w:val="21"/>
                <w:highlight w:val="none"/>
              </w:rPr>
              <w:t>[良]</w:t>
            </w:r>
            <w:r>
              <w:rPr>
                <w:rFonts w:hint="eastAsia" w:ascii="宋体" w:hAnsi="宋体" w:cs="宋体"/>
                <w:strike w:val="0"/>
                <w:color w:val="auto"/>
                <w:szCs w:val="21"/>
                <w:highlight w:val="none"/>
                <w:lang w:val="en-US" w:eastAsia="zh-CN"/>
              </w:rPr>
              <w:t>针对上述问题，</w:t>
            </w:r>
            <w:r>
              <w:rPr>
                <w:rFonts w:hint="eastAsia" w:ascii="宋体" w:hAnsi="宋体" w:cs="宋体"/>
                <w:strike w:val="0"/>
                <w:color w:val="auto"/>
                <w:szCs w:val="21"/>
                <w:highlight w:val="none"/>
              </w:rPr>
              <w:t>提出的解决</w:t>
            </w:r>
            <w:r>
              <w:rPr>
                <w:rFonts w:hint="eastAsia" w:ascii="宋体" w:hAnsi="宋体" w:cs="宋体"/>
                <w:strike w:val="0"/>
                <w:color w:val="auto"/>
                <w:szCs w:val="21"/>
                <w:highlight w:val="none"/>
                <w:lang w:val="en-US" w:eastAsia="zh-CN"/>
              </w:rPr>
              <w:t>思路</w:t>
            </w:r>
            <w:r>
              <w:rPr>
                <w:rFonts w:hint="eastAsia" w:ascii="宋体" w:hAnsi="宋体" w:cs="宋体"/>
                <w:strike w:val="0"/>
                <w:color w:val="auto"/>
                <w:szCs w:val="21"/>
                <w:highlight w:val="none"/>
              </w:rPr>
              <w:t>合理</w:t>
            </w:r>
            <w:r>
              <w:rPr>
                <w:rFonts w:hint="eastAsia" w:ascii="宋体" w:hAnsi="宋体" w:cs="宋体"/>
                <w:strike w:val="0"/>
                <w:color w:val="auto"/>
                <w:szCs w:val="21"/>
                <w:highlight w:val="none"/>
                <w:lang w:val="en-US" w:eastAsia="zh-CN"/>
              </w:rPr>
              <w:t>性一般</w:t>
            </w:r>
            <w:r>
              <w:rPr>
                <w:rFonts w:hint="eastAsia" w:ascii="宋体" w:hAnsi="宋体" w:cs="宋体"/>
                <w:strike w:val="0"/>
                <w:color w:val="auto"/>
                <w:szCs w:val="21"/>
                <w:highlight w:val="none"/>
              </w:rPr>
              <w:t>、可行</w:t>
            </w:r>
            <w:r>
              <w:rPr>
                <w:rFonts w:hint="eastAsia" w:ascii="宋体" w:hAnsi="宋体" w:cs="宋体"/>
                <w:strike w:val="0"/>
                <w:color w:val="auto"/>
                <w:szCs w:val="21"/>
                <w:highlight w:val="none"/>
                <w:lang w:val="en-US" w:eastAsia="zh-CN"/>
              </w:rPr>
              <w:t>性一般</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lang w:val="en-US" w:eastAsia="zh-CN"/>
              </w:rPr>
              <w:t>可操作性一般</w:t>
            </w:r>
            <w:r>
              <w:rPr>
                <w:rFonts w:hint="eastAsia" w:ascii="宋体" w:hAnsi="宋体" w:cs="宋体"/>
                <w:strike w:val="0"/>
                <w:color w:val="auto"/>
                <w:szCs w:val="21"/>
                <w:highlight w:val="none"/>
              </w:rPr>
              <w:t>，得</w:t>
            </w:r>
            <w:r>
              <w:rPr>
                <w:rFonts w:hint="eastAsia" w:ascii="宋体" w:hAnsi="宋体" w:cs="宋体"/>
                <w:strike w:val="0"/>
                <w:color w:val="auto"/>
                <w:szCs w:val="21"/>
                <w:highlight w:val="none"/>
                <w:lang w:val="en-US" w:eastAsia="zh-CN"/>
              </w:rPr>
              <w:t>5</w:t>
            </w: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9</w:t>
            </w:r>
            <w:r>
              <w:rPr>
                <w:rFonts w:hint="eastAsia" w:ascii="宋体" w:hAnsi="宋体" w:cs="宋体"/>
                <w:strike w:val="0"/>
                <w:color w:val="auto"/>
                <w:szCs w:val="21"/>
                <w:highlight w:val="none"/>
              </w:rPr>
              <w:t>分；</w:t>
            </w:r>
          </w:p>
          <w:p w14:paraId="540E4163">
            <w:pPr>
              <w:snapToGrid w:val="0"/>
              <w:spacing w:after="78" w:afterLines="25"/>
              <w:jc w:val="left"/>
              <w:rPr>
                <w:rFonts w:hint="eastAsia" w:ascii="宋体" w:hAnsi="宋体" w:cs="宋体"/>
                <w:strike w:val="0"/>
                <w:color w:val="auto"/>
                <w:szCs w:val="21"/>
                <w:highlight w:val="none"/>
              </w:rPr>
            </w:pP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中</w:t>
            </w: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针对上述问题，</w:t>
            </w:r>
            <w:r>
              <w:rPr>
                <w:rFonts w:hint="eastAsia" w:ascii="宋体" w:hAnsi="宋体" w:cs="宋体"/>
                <w:strike w:val="0"/>
                <w:color w:val="auto"/>
                <w:szCs w:val="21"/>
                <w:highlight w:val="none"/>
              </w:rPr>
              <w:t>提出的解决</w:t>
            </w:r>
            <w:r>
              <w:rPr>
                <w:rFonts w:hint="eastAsia" w:ascii="宋体" w:hAnsi="宋体" w:cs="宋体"/>
                <w:strike w:val="0"/>
                <w:color w:val="auto"/>
                <w:szCs w:val="21"/>
                <w:highlight w:val="none"/>
                <w:lang w:val="en-US" w:eastAsia="zh-CN"/>
              </w:rPr>
              <w:t>思路较</w:t>
            </w:r>
            <w:r>
              <w:rPr>
                <w:rFonts w:hint="eastAsia" w:ascii="宋体" w:hAnsi="宋体" w:cs="宋体"/>
                <w:strike w:val="0"/>
                <w:color w:val="auto"/>
                <w:szCs w:val="21"/>
                <w:highlight w:val="none"/>
              </w:rPr>
              <w:t>合理、</w:t>
            </w:r>
            <w:r>
              <w:rPr>
                <w:rFonts w:hint="eastAsia" w:ascii="宋体" w:hAnsi="宋体" w:cs="宋体"/>
                <w:strike w:val="0"/>
                <w:color w:val="auto"/>
                <w:szCs w:val="21"/>
                <w:highlight w:val="none"/>
                <w:lang w:val="en-US" w:eastAsia="zh-CN"/>
              </w:rPr>
              <w:t>较</w:t>
            </w:r>
            <w:r>
              <w:rPr>
                <w:rFonts w:hint="eastAsia" w:ascii="宋体" w:hAnsi="宋体" w:cs="宋体"/>
                <w:strike w:val="0"/>
                <w:color w:val="auto"/>
                <w:szCs w:val="21"/>
                <w:highlight w:val="none"/>
              </w:rPr>
              <w:t>可行</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lang w:val="en-US" w:eastAsia="zh-CN"/>
              </w:rPr>
              <w:t>操作难道较大</w:t>
            </w:r>
            <w:r>
              <w:rPr>
                <w:rFonts w:hint="eastAsia" w:ascii="宋体" w:hAnsi="宋体" w:cs="宋体"/>
                <w:strike w:val="0"/>
                <w:color w:val="auto"/>
                <w:szCs w:val="21"/>
                <w:highlight w:val="none"/>
              </w:rPr>
              <w:t>，得1-</w:t>
            </w:r>
            <w:r>
              <w:rPr>
                <w:rFonts w:hint="eastAsia" w:ascii="宋体" w:hAnsi="宋体" w:cs="宋体"/>
                <w:strike w:val="0"/>
                <w:color w:val="auto"/>
                <w:szCs w:val="21"/>
                <w:highlight w:val="none"/>
                <w:lang w:val="en-US" w:eastAsia="zh-CN"/>
              </w:rPr>
              <w:t>4</w:t>
            </w:r>
            <w:r>
              <w:rPr>
                <w:rFonts w:hint="eastAsia" w:ascii="宋体" w:hAnsi="宋体" w:cs="宋体"/>
                <w:strike w:val="0"/>
                <w:color w:val="auto"/>
                <w:szCs w:val="21"/>
                <w:highlight w:val="none"/>
              </w:rPr>
              <w:t>分</w:t>
            </w:r>
            <w:r>
              <w:rPr>
                <w:rFonts w:hint="eastAsia" w:ascii="宋体" w:hAnsi="宋体" w:cs="宋体"/>
                <w:strike w:val="0"/>
                <w:color w:val="auto"/>
                <w:szCs w:val="21"/>
                <w:highlight w:val="none"/>
                <w:lang w:eastAsia="zh-CN"/>
              </w:rPr>
              <w:t>；</w:t>
            </w:r>
          </w:p>
          <w:p w14:paraId="61E802E8">
            <w:pPr>
              <w:snapToGrid w:val="0"/>
              <w:spacing w:after="78" w:afterLines="25"/>
              <w:jc w:val="left"/>
              <w:rPr>
                <w:rFonts w:hint="eastAsia" w:ascii="宋体" w:hAnsi="宋体" w:cs="宋体"/>
                <w:strike w:val="0"/>
                <w:color w:val="auto"/>
                <w:szCs w:val="21"/>
                <w:highlight w:val="none"/>
              </w:rPr>
            </w:pP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差</w:t>
            </w: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针对上述问题，</w:t>
            </w:r>
            <w:r>
              <w:rPr>
                <w:rFonts w:hint="eastAsia" w:ascii="宋体" w:hAnsi="宋体" w:cs="宋体"/>
                <w:strike w:val="0"/>
                <w:color w:val="auto"/>
                <w:szCs w:val="21"/>
                <w:highlight w:val="none"/>
              </w:rPr>
              <w:t>提出的解决</w:t>
            </w:r>
            <w:r>
              <w:rPr>
                <w:rFonts w:hint="eastAsia" w:ascii="宋体" w:hAnsi="宋体" w:cs="宋体"/>
                <w:strike w:val="0"/>
                <w:color w:val="auto"/>
                <w:szCs w:val="21"/>
                <w:highlight w:val="none"/>
                <w:lang w:val="en-US" w:eastAsia="zh-CN"/>
              </w:rPr>
              <w:t>思路不</w:t>
            </w:r>
            <w:r>
              <w:rPr>
                <w:rFonts w:hint="eastAsia" w:ascii="宋体" w:hAnsi="宋体" w:cs="宋体"/>
                <w:strike w:val="0"/>
                <w:color w:val="auto"/>
                <w:szCs w:val="21"/>
                <w:highlight w:val="none"/>
              </w:rPr>
              <w:t>合理、</w:t>
            </w:r>
            <w:r>
              <w:rPr>
                <w:rFonts w:hint="eastAsia" w:ascii="宋体" w:hAnsi="宋体" w:cs="宋体"/>
                <w:strike w:val="0"/>
                <w:color w:val="auto"/>
                <w:szCs w:val="21"/>
                <w:highlight w:val="none"/>
                <w:lang w:val="en-US" w:eastAsia="zh-CN"/>
              </w:rPr>
              <w:t>不</w:t>
            </w:r>
            <w:r>
              <w:rPr>
                <w:rFonts w:hint="eastAsia" w:ascii="宋体" w:hAnsi="宋体" w:cs="宋体"/>
                <w:strike w:val="0"/>
                <w:color w:val="auto"/>
                <w:szCs w:val="21"/>
                <w:highlight w:val="none"/>
              </w:rPr>
              <w:t>可行</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lang w:val="en-US" w:eastAsia="zh-CN"/>
              </w:rPr>
              <w:t>难以操作</w:t>
            </w:r>
            <w:r>
              <w:rPr>
                <w:rFonts w:hint="eastAsia" w:ascii="宋体" w:hAnsi="宋体" w:cs="宋体"/>
                <w:strike w:val="0"/>
                <w:color w:val="auto"/>
                <w:szCs w:val="21"/>
                <w:highlight w:val="none"/>
              </w:rPr>
              <w:t>，得0分。</w:t>
            </w:r>
          </w:p>
        </w:tc>
      </w:tr>
      <w:tr w14:paraId="3F7B9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noWrap w:val="0"/>
            <w:vAlign w:val="center"/>
          </w:tcPr>
          <w:p w14:paraId="1CF199AD">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66231596">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20E0FAE6">
            <w:pPr>
              <w:snapToGrid w:val="0"/>
              <w:jc w:val="center"/>
              <w:rPr>
                <w:rFonts w:hint="eastAsia" w:ascii="宋体" w:hAnsi="宋体" w:cs="宋体"/>
                <w:strike w:val="0"/>
                <w:color w:val="auto"/>
                <w:szCs w:val="21"/>
                <w:highlight w:val="none"/>
                <w:lang w:val="en-US" w:eastAsia="zh-CN"/>
              </w:rPr>
            </w:pPr>
            <w:r>
              <w:rPr>
                <w:rFonts w:hint="eastAsia" w:ascii="宋体" w:hAnsi="宋体" w:cs="宋体"/>
                <w:strike w:val="0"/>
                <w:color w:val="auto"/>
                <w:szCs w:val="21"/>
                <w:highlight w:val="none"/>
                <w:lang w:val="en-US" w:eastAsia="zh-CN"/>
              </w:rPr>
              <w:t>交叉污染优化设计思路</w:t>
            </w:r>
          </w:p>
          <w:p w14:paraId="6AA50956">
            <w:pPr>
              <w:snapToGrid w:val="0"/>
              <w:jc w:val="center"/>
              <w:rPr>
                <w:rFonts w:hint="eastAsia" w:ascii="宋体" w:hAnsi="宋体" w:cs="宋体"/>
                <w:strike w:val="0"/>
                <w:color w:val="auto"/>
                <w:szCs w:val="21"/>
                <w:highlight w:val="none"/>
              </w:rPr>
            </w:pPr>
            <w:r>
              <w:rPr>
                <w:rFonts w:hint="eastAsia"/>
                <w:bCs/>
                <w:strike w:val="0"/>
                <w:color w:val="auto"/>
                <w:sz w:val="21"/>
                <w:szCs w:val="21"/>
                <w:highlight w:val="none"/>
                <w:lang w:eastAsia="zh-CN"/>
              </w:rPr>
              <w:t>（</w:t>
            </w:r>
            <w:r>
              <w:rPr>
                <w:rFonts w:hint="eastAsia"/>
                <w:bCs/>
                <w:strike w:val="0"/>
                <w:color w:val="auto"/>
                <w:sz w:val="21"/>
                <w:szCs w:val="21"/>
                <w:highlight w:val="none"/>
                <w:lang w:val="en-US" w:eastAsia="zh-CN"/>
              </w:rPr>
              <w:t>15分</w:t>
            </w:r>
            <w:r>
              <w:rPr>
                <w:rFonts w:hint="eastAsia"/>
                <w:bCs/>
                <w:strike w:val="0"/>
                <w:color w:val="auto"/>
                <w:sz w:val="21"/>
                <w:szCs w:val="21"/>
                <w:highlight w:val="none"/>
                <w:lang w:eastAsia="zh-CN"/>
              </w:rPr>
              <w:t>）</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19A7B86A">
            <w:pPr>
              <w:snapToGrid w:val="0"/>
              <w:spacing w:after="78" w:afterLines="25"/>
              <w:jc w:val="left"/>
              <w:rPr>
                <w:rFonts w:hint="eastAsia" w:ascii="宋体" w:hAnsi="宋体" w:cs="宋体"/>
                <w:strike w:val="0"/>
                <w:color w:val="auto"/>
                <w:szCs w:val="21"/>
                <w:highlight w:val="none"/>
                <w:lang w:val="en-US" w:eastAsia="zh-CN"/>
              </w:rPr>
            </w:pPr>
            <w:r>
              <w:rPr>
                <w:rFonts w:hint="eastAsia" w:ascii="宋体" w:hAnsi="宋体" w:cs="宋体"/>
                <w:strike w:val="0"/>
                <w:color w:val="auto"/>
                <w:szCs w:val="21"/>
                <w:highlight w:val="none"/>
                <w:lang w:val="en-US" w:eastAsia="zh-CN"/>
              </w:rPr>
              <w:t>针对避免人流、物流交叉污染的问题提供优化设计思路。</w:t>
            </w:r>
          </w:p>
          <w:p w14:paraId="5F328EF6">
            <w:pPr>
              <w:snapToGrid w:val="0"/>
              <w:spacing w:after="78" w:afterLines="25"/>
              <w:jc w:val="left"/>
              <w:rPr>
                <w:rFonts w:hint="eastAsia" w:ascii="宋体" w:hAnsi="宋体" w:eastAsia="宋体" w:cs="宋体"/>
                <w:strike w:val="0"/>
                <w:color w:val="auto"/>
                <w:szCs w:val="21"/>
                <w:highlight w:val="none"/>
                <w:lang w:val="en-US" w:eastAsia="zh-CN"/>
              </w:rPr>
            </w:pPr>
            <w:r>
              <w:rPr>
                <w:rFonts w:hint="eastAsia" w:ascii="宋体" w:hAnsi="宋体" w:cs="宋体"/>
                <w:strike w:val="0"/>
                <w:color w:val="auto"/>
                <w:szCs w:val="21"/>
                <w:highlight w:val="none"/>
              </w:rPr>
              <w:t>[优]</w:t>
            </w:r>
            <w:r>
              <w:rPr>
                <w:rFonts w:hint="eastAsia" w:ascii="宋体" w:hAnsi="宋体" w:cs="宋体"/>
                <w:strike w:val="0"/>
                <w:color w:val="auto"/>
                <w:szCs w:val="21"/>
                <w:highlight w:val="none"/>
                <w:lang w:val="en-US" w:eastAsia="zh-CN"/>
              </w:rPr>
              <w:t>针对上述问题，</w:t>
            </w:r>
            <w:r>
              <w:rPr>
                <w:rFonts w:hint="eastAsia" w:ascii="宋体" w:hAnsi="宋体" w:cs="宋体"/>
                <w:strike w:val="0"/>
                <w:color w:val="auto"/>
                <w:szCs w:val="21"/>
                <w:highlight w:val="none"/>
              </w:rPr>
              <w:t>提出的</w:t>
            </w:r>
            <w:r>
              <w:rPr>
                <w:rFonts w:hint="eastAsia" w:ascii="宋体" w:hAnsi="宋体" w:cs="宋体"/>
                <w:strike w:val="0"/>
                <w:color w:val="auto"/>
                <w:szCs w:val="21"/>
                <w:highlight w:val="none"/>
                <w:lang w:val="en-US" w:eastAsia="zh-CN"/>
              </w:rPr>
              <w:t>设计思路</w:t>
            </w:r>
            <w:r>
              <w:rPr>
                <w:rFonts w:hint="eastAsia" w:ascii="宋体" w:hAnsi="宋体" w:cs="宋体"/>
                <w:strike w:val="0"/>
                <w:color w:val="auto"/>
                <w:szCs w:val="21"/>
                <w:highlight w:val="none"/>
              </w:rPr>
              <w:t>合理、可行</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lang w:val="en-US" w:eastAsia="zh-CN"/>
              </w:rPr>
              <w:t>可操作性强</w:t>
            </w:r>
            <w:r>
              <w:rPr>
                <w:rFonts w:hint="eastAsia" w:ascii="宋体" w:hAnsi="宋体" w:cs="宋体"/>
                <w:strike w:val="0"/>
                <w:color w:val="auto"/>
                <w:szCs w:val="21"/>
                <w:highlight w:val="none"/>
              </w:rPr>
              <w:t>，得</w:t>
            </w:r>
            <w:r>
              <w:rPr>
                <w:rFonts w:hint="eastAsia" w:ascii="宋体" w:hAnsi="宋体" w:cs="宋体"/>
                <w:strike w:val="0"/>
                <w:color w:val="auto"/>
                <w:szCs w:val="21"/>
                <w:highlight w:val="none"/>
                <w:lang w:val="en-US" w:eastAsia="zh-CN"/>
              </w:rPr>
              <w:t>10</w:t>
            </w: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15</w:t>
            </w:r>
            <w:r>
              <w:rPr>
                <w:rFonts w:hint="eastAsia" w:ascii="宋体" w:hAnsi="宋体" w:cs="宋体"/>
                <w:strike w:val="0"/>
                <w:color w:val="auto"/>
                <w:szCs w:val="21"/>
                <w:highlight w:val="none"/>
              </w:rPr>
              <w:t>分；</w:t>
            </w:r>
          </w:p>
          <w:p w14:paraId="0F718F25">
            <w:pPr>
              <w:snapToGrid w:val="0"/>
              <w:spacing w:after="78" w:afterLines="25"/>
              <w:jc w:val="left"/>
              <w:rPr>
                <w:rFonts w:hint="eastAsia" w:ascii="宋体" w:hAnsi="宋体" w:cs="宋体"/>
                <w:strike w:val="0"/>
                <w:color w:val="auto"/>
                <w:szCs w:val="21"/>
                <w:highlight w:val="none"/>
                <w:lang w:eastAsia="zh-CN"/>
              </w:rPr>
            </w:pPr>
            <w:r>
              <w:rPr>
                <w:rFonts w:hint="eastAsia" w:ascii="宋体" w:hAnsi="宋体" w:cs="宋体"/>
                <w:strike w:val="0"/>
                <w:color w:val="auto"/>
                <w:szCs w:val="21"/>
                <w:highlight w:val="none"/>
              </w:rPr>
              <w:t>[良]</w:t>
            </w:r>
            <w:r>
              <w:rPr>
                <w:rFonts w:hint="eastAsia" w:ascii="宋体" w:hAnsi="宋体" w:cs="宋体"/>
                <w:strike w:val="0"/>
                <w:color w:val="auto"/>
                <w:szCs w:val="21"/>
                <w:highlight w:val="none"/>
                <w:lang w:val="en-US" w:eastAsia="zh-CN"/>
              </w:rPr>
              <w:t>针对上述问题，</w:t>
            </w:r>
            <w:r>
              <w:rPr>
                <w:rFonts w:hint="eastAsia" w:ascii="宋体" w:hAnsi="宋体" w:cs="宋体"/>
                <w:strike w:val="0"/>
                <w:color w:val="auto"/>
                <w:szCs w:val="21"/>
                <w:highlight w:val="none"/>
              </w:rPr>
              <w:t>提出的</w:t>
            </w:r>
            <w:r>
              <w:rPr>
                <w:rFonts w:hint="eastAsia" w:ascii="宋体" w:hAnsi="宋体" w:cs="宋体"/>
                <w:strike w:val="0"/>
                <w:color w:val="auto"/>
                <w:szCs w:val="21"/>
                <w:highlight w:val="none"/>
                <w:lang w:val="en-US" w:eastAsia="zh-CN"/>
              </w:rPr>
              <w:t>设计思路</w:t>
            </w:r>
            <w:r>
              <w:rPr>
                <w:rFonts w:hint="eastAsia" w:ascii="宋体" w:hAnsi="宋体" w:cs="宋体"/>
                <w:strike w:val="0"/>
                <w:color w:val="auto"/>
                <w:szCs w:val="21"/>
                <w:highlight w:val="none"/>
              </w:rPr>
              <w:t>合理</w:t>
            </w:r>
            <w:r>
              <w:rPr>
                <w:rFonts w:hint="eastAsia" w:ascii="宋体" w:hAnsi="宋体" w:cs="宋体"/>
                <w:strike w:val="0"/>
                <w:color w:val="auto"/>
                <w:szCs w:val="21"/>
                <w:highlight w:val="none"/>
                <w:lang w:val="en-US" w:eastAsia="zh-CN"/>
              </w:rPr>
              <w:t>性一般</w:t>
            </w:r>
            <w:r>
              <w:rPr>
                <w:rFonts w:hint="eastAsia" w:ascii="宋体" w:hAnsi="宋体" w:cs="宋体"/>
                <w:strike w:val="0"/>
                <w:color w:val="auto"/>
                <w:szCs w:val="21"/>
                <w:highlight w:val="none"/>
              </w:rPr>
              <w:t>、可行</w:t>
            </w:r>
            <w:r>
              <w:rPr>
                <w:rFonts w:hint="eastAsia" w:ascii="宋体" w:hAnsi="宋体" w:cs="宋体"/>
                <w:strike w:val="0"/>
                <w:color w:val="auto"/>
                <w:szCs w:val="21"/>
                <w:highlight w:val="none"/>
                <w:lang w:val="en-US" w:eastAsia="zh-CN"/>
              </w:rPr>
              <w:t>性一般</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lang w:val="en-US" w:eastAsia="zh-CN"/>
              </w:rPr>
              <w:t>可操作性一般</w:t>
            </w:r>
            <w:r>
              <w:rPr>
                <w:rFonts w:hint="eastAsia" w:ascii="宋体" w:hAnsi="宋体" w:cs="宋体"/>
                <w:strike w:val="0"/>
                <w:color w:val="auto"/>
                <w:szCs w:val="21"/>
                <w:highlight w:val="none"/>
              </w:rPr>
              <w:t>，得</w:t>
            </w:r>
            <w:r>
              <w:rPr>
                <w:rFonts w:hint="eastAsia" w:ascii="宋体" w:hAnsi="宋体" w:cs="宋体"/>
                <w:strike w:val="0"/>
                <w:color w:val="auto"/>
                <w:szCs w:val="21"/>
                <w:highlight w:val="none"/>
                <w:lang w:val="en-US" w:eastAsia="zh-CN"/>
              </w:rPr>
              <w:t>5</w:t>
            </w: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9</w:t>
            </w:r>
            <w:r>
              <w:rPr>
                <w:rFonts w:hint="eastAsia" w:ascii="宋体" w:hAnsi="宋体" w:cs="宋体"/>
                <w:strike w:val="0"/>
                <w:color w:val="auto"/>
                <w:szCs w:val="21"/>
                <w:highlight w:val="none"/>
              </w:rPr>
              <w:t>分；</w:t>
            </w:r>
          </w:p>
          <w:p w14:paraId="69B5297A">
            <w:pPr>
              <w:snapToGrid w:val="0"/>
              <w:spacing w:after="78" w:afterLines="25"/>
              <w:jc w:val="left"/>
              <w:rPr>
                <w:rFonts w:hint="eastAsia" w:ascii="宋体" w:hAnsi="宋体" w:cs="宋体"/>
                <w:strike w:val="0"/>
                <w:color w:val="auto"/>
                <w:szCs w:val="21"/>
                <w:highlight w:val="none"/>
              </w:rPr>
            </w:pP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中</w:t>
            </w: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针对上述问题，</w:t>
            </w:r>
            <w:r>
              <w:rPr>
                <w:rFonts w:hint="eastAsia" w:ascii="宋体" w:hAnsi="宋体" w:cs="宋体"/>
                <w:strike w:val="0"/>
                <w:color w:val="auto"/>
                <w:szCs w:val="21"/>
                <w:highlight w:val="none"/>
              </w:rPr>
              <w:t>提出的</w:t>
            </w:r>
            <w:r>
              <w:rPr>
                <w:rFonts w:hint="eastAsia" w:ascii="宋体" w:hAnsi="宋体" w:cs="宋体"/>
                <w:strike w:val="0"/>
                <w:color w:val="auto"/>
                <w:szCs w:val="21"/>
                <w:highlight w:val="none"/>
                <w:lang w:val="en-US" w:eastAsia="zh-CN"/>
              </w:rPr>
              <w:t>设计思路较</w:t>
            </w:r>
            <w:r>
              <w:rPr>
                <w:rFonts w:hint="eastAsia" w:ascii="宋体" w:hAnsi="宋体" w:cs="宋体"/>
                <w:strike w:val="0"/>
                <w:color w:val="auto"/>
                <w:szCs w:val="21"/>
                <w:highlight w:val="none"/>
              </w:rPr>
              <w:t>合理、</w:t>
            </w:r>
            <w:r>
              <w:rPr>
                <w:rFonts w:hint="eastAsia" w:ascii="宋体" w:hAnsi="宋体" w:cs="宋体"/>
                <w:strike w:val="0"/>
                <w:color w:val="auto"/>
                <w:szCs w:val="21"/>
                <w:highlight w:val="none"/>
                <w:lang w:val="en-US" w:eastAsia="zh-CN"/>
              </w:rPr>
              <w:t>较</w:t>
            </w:r>
            <w:r>
              <w:rPr>
                <w:rFonts w:hint="eastAsia" w:ascii="宋体" w:hAnsi="宋体" w:cs="宋体"/>
                <w:strike w:val="0"/>
                <w:color w:val="auto"/>
                <w:szCs w:val="21"/>
                <w:highlight w:val="none"/>
              </w:rPr>
              <w:t>可行</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lang w:val="en-US" w:eastAsia="zh-CN"/>
              </w:rPr>
              <w:t>操作难道较大</w:t>
            </w:r>
            <w:r>
              <w:rPr>
                <w:rFonts w:hint="eastAsia" w:ascii="宋体" w:hAnsi="宋体" w:cs="宋体"/>
                <w:strike w:val="0"/>
                <w:color w:val="auto"/>
                <w:szCs w:val="21"/>
                <w:highlight w:val="none"/>
              </w:rPr>
              <w:t>，得1-</w:t>
            </w:r>
            <w:r>
              <w:rPr>
                <w:rFonts w:hint="eastAsia" w:ascii="宋体" w:hAnsi="宋体" w:cs="宋体"/>
                <w:strike w:val="0"/>
                <w:color w:val="auto"/>
                <w:szCs w:val="21"/>
                <w:highlight w:val="none"/>
                <w:lang w:val="en-US" w:eastAsia="zh-CN"/>
              </w:rPr>
              <w:t>4</w:t>
            </w:r>
            <w:r>
              <w:rPr>
                <w:rFonts w:hint="eastAsia" w:ascii="宋体" w:hAnsi="宋体" w:cs="宋体"/>
                <w:strike w:val="0"/>
                <w:color w:val="auto"/>
                <w:szCs w:val="21"/>
                <w:highlight w:val="none"/>
              </w:rPr>
              <w:t>分</w:t>
            </w:r>
            <w:r>
              <w:rPr>
                <w:rFonts w:hint="eastAsia" w:ascii="宋体" w:hAnsi="宋体" w:cs="宋体"/>
                <w:strike w:val="0"/>
                <w:color w:val="auto"/>
                <w:szCs w:val="21"/>
                <w:highlight w:val="none"/>
                <w:lang w:eastAsia="zh-CN"/>
              </w:rPr>
              <w:t>；</w:t>
            </w:r>
          </w:p>
          <w:p w14:paraId="108CB1DE">
            <w:pPr>
              <w:snapToGrid w:val="0"/>
              <w:spacing w:after="78" w:afterLines="25"/>
              <w:jc w:val="left"/>
              <w:rPr>
                <w:rFonts w:hint="eastAsia" w:ascii="宋体" w:hAnsi="宋体" w:cs="宋体"/>
                <w:strike w:val="0"/>
                <w:color w:val="auto"/>
                <w:szCs w:val="21"/>
                <w:highlight w:val="none"/>
              </w:rPr>
            </w:pP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差</w:t>
            </w: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针对上述问题，</w:t>
            </w:r>
            <w:r>
              <w:rPr>
                <w:rFonts w:hint="eastAsia" w:ascii="宋体" w:hAnsi="宋体" w:cs="宋体"/>
                <w:strike w:val="0"/>
                <w:color w:val="auto"/>
                <w:szCs w:val="21"/>
                <w:highlight w:val="none"/>
              </w:rPr>
              <w:t>提出的</w:t>
            </w:r>
            <w:r>
              <w:rPr>
                <w:rFonts w:hint="eastAsia" w:ascii="宋体" w:hAnsi="宋体" w:cs="宋体"/>
                <w:strike w:val="0"/>
                <w:color w:val="auto"/>
                <w:szCs w:val="21"/>
                <w:highlight w:val="none"/>
                <w:lang w:val="en-US" w:eastAsia="zh-CN"/>
              </w:rPr>
              <w:t>设计思路不</w:t>
            </w:r>
            <w:r>
              <w:rPr>
                <w:rFonts w:hint="eastAsia" w:ascii="宋体" w:hAnsi="宋体" w:cs="宋体"/>
                <w:strike w:val="0"/>
                <w:color w:val="auto"/>
                <w:szCs w:val="21"/>
                <w:highlight w:val="none"/>
              </w:rPr>
              <w:t>合理、</w:t>
            </w:r>
            <w:r>
              <w:rPr>
                <w:rFonts w:hint="eastAsia" w:ascii="宋体" w:hAnsi="宋体" w:cs="宋体"/>
                <w:strike w:val="0"/>
                <w:color w:val="auto"/>
                <w:szCs w:val="21"/>
                <w:highlight w:val="none"/>
                <w:lang w:val="en-US" w:eastAsia="zh-CN"/>
              </w:rPr>
              <w:t>不</w:t>
            </w:r>
            <w:r>
              <w:rPr>
                <w:rFonts w:hint="eastAsia" w:ascii="宋体" w:hAnsi="宋体" w:cs="宋体"/>
                <w:strike w:val="0"/>
                <w:color w:val="auto"/>
                <w:szCs w:val="21"/>
                <w:highlight w:val="none"/>
              </w:rPr>
              <w:t>可行</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lang w:val="en-US" w:eastAsia="zh-CN"/>
              </w:rPr>
              <w:t>难以操作</w:t>
            </w:r>
            <w:r>
              <w:rPr>
                <w:rFonts w:hint="eastAsia" w:ascii="宋体" w:hAnsi="宋体" w:cs="宋体"/>
                <w:strike w:val="0"/>
                <w:color w:val="auto"/>
                <w:szCs w:val="21"/>
                <w:highlight w:val="none"/>
              </w:rPr>
              <w:t>，得0分。</w:t>
            </w:r>
          </w:p>
        </w:tc>
      </w:tr>
      <w:tr w14:paraId="38E22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gridAfter w:val="1"/>
          <w:wAfter w:w="43" w:type="dxa"/>
          <w:trHeight w:val="284" w:hRule="atLeast"/>
          <w:jc w:val="center"/>
        </w:trPr>
        <w:tc>
          <w:tcPr>
            <w:tcW w:w="676" w:type="dxa"/>
            <w:vMerge w:val="continue"/>
            <w:tcBorders>
              <w:right w:val="single" w:color="auto" w:sz="4" w:space="0"/>
            </w:tcBorders>
            <w:noWrap w:val="0"/>
            <w:vAlign w:val="center"/>
          </w:tcPr>
          <w:p w14:paraId="76C08A0C">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6E4A273B">
            <w:pPr>
              <w:snapToGrid w:val="0"/>
              <w:ind w:left="-53" w:leftChars="-25" w:right="-53" w:rightChars="-25"/>
              <w:jc w:val="center"/>
              <w:rPr>
                <w:rFonts w:hint="eastAsia" w:ascii="宋体" w:hAnsi="宋体" w:cs="宋体"/>
                <w:color w:val="auto"/>
                <w:szCs w:val="21"/>
                <w:highlight w:val="none"/>
              </w:rPr>
            </w:pP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6386695F">
            <w:pPr>
              <w:snapToGrid w:val="0"/>
              <w:jc w:val="center"/>
              <w:rPr>
                <w:rFonts w:hint="eastAsia"/>
                <w:bCs/>
                <w:strike w:val="0"/>
                <w:color w:val="auto"/>
                <w:sz w:val="21"/>
                <w:szCs w:val="21"/>
                <w:highlight w:val="none"/>
                <w:lang w:val="en-US" w:eastAsia="zh-CN"/>
              </w:rPr>
            </w:pPr>
            <w:r>
              <w:rPr>
                <w:rFonts w:hint="eastAsia"/>
                <w:bCs/>
                <w:strike w:val="0"/>
                <w:color w:val="auto"/>
                <w:sz w:val="21"/>
                <w:szCs w:val="21"/>
                <w:highlight w:val="none"/>
                <w:lang w:val="en-US" w:eastAsia="zh-CN"/>
              </w:rPr>
              <w:t>医艺要求</w:t>
            </w:r>
          </w:p>
          <w:p w14:paraId="21E0EBCD">
            <w:pPr>
              <w:snapToGrid w:val="0"/>
              <w:jc w:val="center"/>
              <w:rPr>
                <w:rFonts w:hint="eastAsia" w:ascii="宋体" w:hAnsi="宋体" w:cs="宋体"/>
                <w:strike w:val="0"/>
                <w:color w:val="auto"/>
                <w:szCs w:val="21"/>
                <w:highlight w:val="none"/>
              </w:rPr>
            </w:pPr>
            <w:r>
              <w:rPr>
                <w:rFonts w:hint="eastAsia"/>
                <w:bCs/>
                <w:strike w:val="0"/>
                <w:color w:val="auto"/>
                <w:sz w:val="21"/>
                <w:szCs w:val="21"/>
                <w:highlight w:val="none"/>
                <w:lang w:eastAsia="zh-CN"/>
              </w:rPr>
              <w:t>（</w:t>
            </w:r>
            <w:r>
              <w:rPr>
                <w:rFonts w:hint="eastAsia"/>
                <w:bCs/>
                <w:strike w:val="0"/>
                <w:color w:val="auto"/>
                <w:sz w:val="21"/>
                <w:szCs w:val="21"/>
                <w:highlight w:val="none"/>
                <w:lang w:val="en-US" w:eastAsia="zh-CN"/>
              </w:rPr>
              <w:t>15分</w:t>
            </w:r>
            <w:r>
              <w:rPr>
                <w:rFonts w:hint="eastAsia"/>
                <w:bCs/>
                <w:strike w:val="0"/>
                <w:color w:val="auto"/>
                <w:sz w:val="21"/>
                <w:szCs w:val="21"/>
                <w:highlight w:val="none"/>
                <w:lang w:eastAsia="zh-CN"/>
              </w:rPr>
              <w:t>）</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09672BCA">
            <w:pPr>
              <w:snapToGrid w:val="0"/>
              <w:spacing w:after="78" w:afterLines="25"/>
              <w:jc w:val="left"/>
              <w:rPr>
                <w:rFonts w:hint="eastAsia" w:ascii="宋体" w:hAnsi="宋体" w:cs="宋体"/>
                <w:strike w:val="0"/>
                <w:color w:val="auto"/>
                <w:szCs w:val="21"/>
                <w:highlight w:val="none"/>
                <w:lang w:val="en-US" w:eastAsia="zh-CN"/>
              </w:rPr>
            </w:pPr>
            <w:r>
              <w:rPr>
                <w:rFonts w:hint="eastAsia" w:ascii="宋体" w:hAnsi="宋体" w:cs="宋体"/>
                <w:strike w:val="0"/>
                <w:color w:val="auto"/>
                <w:szCs w:val="21"/>
                <w:highlight w:val="none"/>
                <w:lang w:val="en-US" w:eastAsia="zh-CN"/>
              </w:rPr>
              <w:t>针对对洁净空调系统（HVAC）、纯化水/注射水系统、工艺气体系统等关键公用工程提供</w:t>
            </w:r>
            <w:r>
              <w:rPr>
                <w:rFonts w:hint="eastAsia" w:ascii="宋体" w:hAnsi="宋体" w:cs="宋体"/>
                <w:strike w:val="0"/>
                <w:color w:val="auto"/>
                <w:szCs w:val="21"/>
                <w:highlight w:val="none"/>
              </w:rPr>
              <w:t>相应</w:t>
            </w:r>
            <w:r>
              <w:rPr>
                <w:rFonts w:hint="eastAsia" w:ascii="宋体" w:hAnsi="宋体" w:cs="宋体"/>
                <w:strike w:val="0"/>
                <w:color w:val="auto"/>
                <w:szCs w:val="21"/>
                <w:highlight w:val="none"/>
                <w:lang w:val="en-US" w:eastAsia="zh-CN"/>
              </w:rPr>
              <w:t>设计思路。</w:t>
            </w:r>
          </w:p>
          <w:p w14:paraId="4FA5231B">
            <w:pPr>
              <w:snapToGrid w:val="0"/>
              <w:spacing w:after="78" w:afterLines="25"/>
              <w:jc w:val="left"/>
              <w:rPr>
                <w:rFonts w:hint="eastAsia" w:ascii="宋体" w:hAnsi="宋体" w:eastAsia="宋体" w:cs="宋体"/>
                <w:strike w:val="0"/>
                <w:color w:val="auto"/>
                <w:szCs w:val="21"/>
                <w:highlight w:val="none"/>
                <w:lang w:val="en-US" w:eastAsia="zh-CN"/>
              </w:rPr>
            </w:pPr>
            <w:r>
              <w:rPr>
                <w:rFonts w:hint="eastAsia" w:ascii="宋体" w:hAnsi="宋体" w:cs="宋体"/>
                <w:strike w:val="0"/>
                <w:color w:val="auto"/>
                <w:szCs w:val="21"/>
                <w:highlight w:val="none"/>
              </w:rPr>
              <w:t>[优]</w:t>
            </w:r>
            <w:r>
              <w:rPr>
                <w:rFonts w:hint="eastAsia" w:ascii="宋体" w:hAnsi="宋体" w:cs="宋体"/>
                <w:strike w:val="0"/>
                <w:color w:val="auto"/>
                <w:szCs w:val="21"/>
                <w:highlight w:val="none"/>
                <w:lang w:val="en-US" w:eastAsia="zh-CN"/>
              </w:rPr>
              <w:t>针对上述问题，</w:t>
            </w:r>
            <w:r>
              <w:rPr>
                <w:rFonts w:hint="eastAsia" w:ascii="宋体" w:hAnsi="宋体" w:cs="宋体"/>
                <w:strike w:val="0"/>
                <w:color w:val="auto"/>
                <w:szCs w:val="21"/>
                <w:highlight w:val="none"/>
              </w:rPr>
              <w:t>提出的</w:t>
            </w:r>
            <w:r>
              <w:rPr>
                <w:rFonts w:hint="eastAsia" w:ascii="宋体" w:hAnsi="宋体" w:cs="宋体"/>
                <w:strike w:val="0"/>
                <w:color w:val="auto"/>
                <w:szCs w:val="21"/>
                <w:highlight w:val="none"/>
                <w:lang w:val="en-US" w:eastAsia="zh-CN"/>
              </w:rPr>
              <w:t>设计思路</w:t>
            </w:r>
            <w:r>
              <w:rPr>
                <w:rFonts w:hint="eastAsia" w:ascii="宋体" w:hAnsi="宋体" w:cs="宋体"/>
                <w:strike w:val="0"/>
                <w:color w:val="auto"/>
                <w:szCs w:val="21"/>
                <w:highlight w:val="none"/>
              </w:rPr>
              <w:t>合理、可行</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lang w:val="en-US" w:eastAsia="zh-CN"/>
              </w:rPr>
              <w:t>可操作性强</w:t>
            </w:r>
            <w:r>
              <w:rPr>
                <w:rFonts w:hint="eastAsia" w:ascii="宋体" w:hAnsi="宋体" w:cs="宋体"/>
                <w:strike w:val="0"/>
                <w:color w:val="auto"/>
                <w:szCs w:val="21"/>
                <w:highlight w:val="none"/>
              </w:rPr>
              <w:t>，得</w:t>
            </w:r>
            <w:r>
              <w:rPr>
                <w:rFonts w:hint="eastAsia" w:ascii="宋体" w:hAnsi="宋体" w:cs="宋体"/>
                <w:strike w:val="0"/>
                <w:color w:val="auto"/>
                <w:szCs w:val="21"/>
                <w:highlight w:val="none"/>
                <w:lang w:val="en-US" w:eastAsia="zh-CN"/>
              </w:rPr>
              <w:t>10</w:t>
            </w: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15</w:t>
            </w:r>
            <w:r>
              <w:rPr>
                <w:rFonts w:hint="eastAsia" w:ascii="宋体" w:hAnsi="宋体" w:cs="宋体"/>
                <w:strike w:val="0"/>
                <w:color w:val="auto"/>
                <w:szCs w:val="21"/>
                <w:highlight w:val="none"/>
              </w:rPr>
              <w:t>分</w:t>
            </w:r>
            <w:r>
              <w:rPr>
                <w:rFonts w:hint="eastAsia" w:ascii="宋体" w:hAnsi="宋体" w:cs="宋体"/>
                <w:strike w:val="0"/>
                <w:color w:val="auto"/>
                <w:szCs w:val="21"/>
                <w:highlight w:val="none"/>
                <w:lang w:eastAsia="zh-CN"/>
              </w:rPr>
              <w:t>；</w:t>
            </w:r>
          </w:p>
          <w:p w14:paraId="59A076F1">
            <w:pPr>
              <w:snapToGrid w:val="0"/>
              <w:spacing w:after="78" w:afterLines="25"/>
              <w:jc w:val="left"/>
              <w:rPr>
                <w:rFonts w:hint="eastAsia" w:ascii="宋体" w:hAnsi="宋体" w:cs="宋体"/>
                <w:strike w:val="0"/>
                <w:color w:val="auto"/>
                <w:szCs w:val="21"/>
                <w:highlight w:val="none"/>
                <w:lang w:eastAsia="zh-CN"/>
              </w:rPr>
            </w:pPr>
            <w:r>
              <w:rPr>
                <w:rFonts w:hint="eastAsia" w:ascii="宋体" w:hAnsi="宋体" w:cs="宋体"/>
                <w:strike w:val="0"/>
                <w:color w:val="auto"/>
                <w:szCs w:val="21"/>
                <w:highlight w:val="none"/>
              </w:rPr>
              <w:t>[良]</w:t>
            </w:r>
            <w:r>
              <w:rPr>
                <w:rFonts w:hint="eastAsia" w:ascii="宋体" w:hAnsi="宋体" w:cs="宋体"/>
                <w:strike w:val="0"/>
                <w:color w:val="auto"/>
                <w:szCs w:val="21"/>
                <w:highlight w:val="none"/>
                <w:lang w:val="en-US" w:eastAsia="zh-CN"/>
              </w:rPr>
              <w:t>针对上述问题，</w:t>
            </w:r>
            <w:r>
              <w:rPr>
                <w:rFonts w:hint="eastAsia" w:ascii="宋体" w:hAnsi="宋体" w:cs="宋体"/>
                <w:strike w:val="0"/>
                <w:color w:val="auto"/>
                <w:szCs w:val="21"/>
                <w:highlight w:val="none"/>
              </w:rPr>
              <w:t>提出</w:t>
            </w:r>
            <w:r>
              <w:rPr>
                <w:rFonts w:hint="eastAsia" w:ascii="宋体" w:hAnsi="宋体" w:cs="宋体"/>
                <w:strike w:val="0"/>
                <w:color w:val="auto"/>
                <w:szCs w:val="21"/>
                <w:highlight w:val="none"/>
                <w:lang w:val="en-US" w:eastAsia="zh-CN"/>
              </w:rPr>
              <w:t>的设计思路</w:t>
            </w:r>
            <w:r>
              <w:rPr>
                <w:rFonts w:hint="eastAsia" w:ascii="宋体" w:hAnsi="宋体" w:cs="宋体"/>
                <w:strike w:val="0"/>
                <w:color w:val="auto"/>
                <w:szCs w:val="21"/>
                <w:highlight w:val="none"/>
              </w:rPr>
              <w:t>合理</w:t>
            </w:r>
            <w:r>
              <w:rPr>
                <w:rFonts w:hint="eastAsia" w:ascii="宋体" w:hAnsi="宋体" w:cs="宋体"/>
                <w:strike w:val="0"/>
                <w:color w:val="auto"/>
                <w:szCs w:val="21"/>
                <w:highlight w:val="none"/>
                <w:lang w:val="en-US" w:eastAsia="zh-CN"/>
              </w:rPr>
              <w:t>性一般</w:t>
            </w:r>
            <w:r>
              <w:rPr>
                <w:rFonts w:hint="eastAsia" w:ascii="宋体" w:hAnsi="宋体" w:cs="宋体"/>
                <w:strike w:val="0"/>
                <w:color w:val="auto"/>
                <w:szCs w:val="21"/>
                <w:highlight w:val="none"/>
              </w:rPr>
              <w:t>、可行</w:t>
            </w:r>
            <w:r>
              <w:rPr>
                <w:rFonts w:hint="eastAsia" w:ascii="宋体" w:hAnsi="宋体" w:cs="宋体"/>
                <w:strike w:val="0"/>
                <w:color w:val="auto"/>
                <w:szCs w:val="21"/>
                <w:highlight w:val="none"/>
                <w:lang w:val="en-US" w:eastAsia="zh-CN"/>
              </w:rPr>
              <w:t>性一般</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lang w:val="en-US" w:eastAsia="zh-CN"/>
              </w:rPr>
              <w:t>可操作性一般</w:t>
            </w:r>
            <w:r>
              <w:rPr>
                <w:rFonts w:hint="eastAsia" w:ascii="宋体" w:hAnsi="宋体" w:cs="宋体"/>
                <w:strike w:val="0"/>
                <w:color w:val="auto"/>
                <w:szCs w:val="21"/>
                <w:highlight w:val="none"/>
              </w:rPr>
              <w:t>，得</w:t>
            </w:r>
            <w:r>
              <w:rPr>
                <w:rFonts w:hint="eastAsia" w:ascii="宋体" w:hAnsi="宋体" w:cs="宋体"/>
                <w:strike w:val="0"/>
                <w:color w:val="auto"/>
                <w:szCs w:val="21"/>
                <w:highlight w:val="none"/>
                <w:lang w:val="en-US" w:eastAsia="zh-CN"/>
              </w:rPr>
              <w:t>5</w:t>
            </w: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9</w:t>
            </w:r>
            <w:r>
              <w:rPr>
                <w:rFonts w:hint="eastAsia" w:ascii="宋体" w:hAnsi="宋体" w:cs="宋体"/>
                <w:strike w:val="0"/>
                <w:color w:val="auto"/>
                <w:szCs w:val="21"/>
                <w:highlight w:val="none"/>
              </w:rPr>
              <w:t>分</w:t>
            </w:r>
            <w:r>
              <w:rPr>
                <w:rFonts w:hint="eastAsia" w:ascii="宋体" w:hAnsi="宋体" w:cs="宋体"/>
                <w:strike w:val="0"/>
                <w:color w:val="auto"/>
                <w:szCs w:val="21"/>
                <w:highlight w:val="none"/>
                <w:lang w:eastAsia="zh-CN"/>
              </w:rPr>
              <w:t>；</w:t>
            </w:r>
          </w:p>
          <w:p w14:paraId="0FF5B70B">
            <w:pPr>
              <w:snapToGrid w:val="0"/>
              <w:spacing w:after="78" w:afterLines="25"/>
              <w:jc w:val="left"/>
              <w:rPr>
                <w:rFonts w:hint="eastAsia" w:ascii="宋体" w:hAnsi="宋体" w:cs="宋体"/>
                <w:strike w:val="0"/>
                <w:color w:val="auto"/>
                <w:szCs w:val="21"/>
                <w:highlight w:val="none"/>
              </w:rPr>
            </w:pP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中</w:t>
            </w: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针对上述问题，</w:t>
            </w:r>
            <w:r>
              <w:rPr>
                <w:rFonts w:hint="eastAsia" w:ascii="宋体" w:hAnsi="宋体" w:cs="宋体"/>
                <w:strike w:val="0"/>
                <w:color w:val="auto"/>
                <w:szCs w:val="21"/>
                <w:highlight w:val="none"/>
              </w:rPr>
              <w:t>提出</w:t>
            </w:r>
            <w:r>
              <w:rPr>
                <w:rFonts w:hint="eastAsia" w:ascii="宋体" w:hAnsi="宋体" w:cs="宋体"/>
                <w:strike w:val="0"/>
                <w:color w:val="auto"/>
                <w:szCs w:val="21"/>
                <w:highlight w:val="none"/>
                <w:lang w:val="en-US" w:eastAsia="zh-CN"/>
              </w:rPr>
              <w:t>的设计思路较</w:t>
            </w:r>
            <w:r>
              <w:rPr>
                <w:rFonts w:hint="eastAsia" w:ascii="宋体" w:hAnsi="宋体" w:cs="宋体"/>
                <w:strike w:val="0"/>
                <w:color w:val="auto"/>
                <w:szCs w:val="21"/>
                <w:highlight w:val="none"/>
              </w:rPr>
              <w:t>合理、</w:t>
            </w:r>
            <w:r>
              <w:rPr>
                <w:rFonts w:hint="eastAsia" w:ascii="宋体" w:hAnsi="宋体" w:cs="宋体"/>
                <w:strike w:val="0"/>
                <w:color w:val="auto"/>
                <w:szCs w:val="21"/>
                <w:highlight w:val="none"/>
                <w:lang w:val="en-US" w:eastAsia="zh-CN"/>
              </w:rPr>
              <w:t>较</w:t>
            </w:r>
            <w:r>
              <w:rPr>
                <w:rFonts w:hint="eastAsia" w:ascii="宋体" w:hAnsi="宋体" w:cs="宋体"/>
                <w:strike w:val="0"/>
                <w:color w:val="auto"/>
                <w:szCs w:val="21"/>
                <w:highlight w:val="none"/>
              </w:rPr>
              <w:t>可行</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lang w:val="en-US" w:eastAsia="zh-CN"/>
              </w:rPr>
              <w:t>操作难道较大</w:t>
            </w:r>
            <w:r>
              <w:rPr>
                <w:rFonts w:hint="eastAsia" w:ascii="宋体" w:hAnsi="宋体" w:cs="宋体"/>
                <w:strike w:val="0"/>
                <w:color w:val="auto"/>
                <w:szCs w:val="21"/>
                <w:highlight w:val="none"/>
              </w:rPr>
              <w:t>，得1-</w:t>
            </w:r>
            <w:r>
              <w:rPr>
                <w:rFonts w:hint="eastAsia" w:ascii="宋体" w:hAnsi="宋体" w:cs="宋体"/>
                <w:strike w:val="0"/>
                <w:color w:val="auto"/>
                <w:szCs w:val="21"/>
                <w:highlight w:val="none"/>
                <w:lang w:val="en-US" w:eastAsia="zh-CN"/>
              </w:rPr>
              <w:t>4</w:t>
            </w:r>
            <w:r>
              <w:rPr>
                <w:rFonts w:hint="eastAsia" w:ascii="宋体" w:hAnsi="宋体" w:cs="宋体"/>
                <w:strike w:val="0"/>
                <w:color w:val="auto"/>
                <w:szCs w:val="21"/>
                <w:highlight w:val="none"/>
              </w:rPr>
              <w:t>分</w:t>
            </w:r>
            <w:r>
              <w:rPr>
                <w:rFonts w:hint="eastAsia" w:ascii="宋体" w:hAnsi="宋体" w:cs="宋体"/>
                <w:strike w:val="0"/>
                <w:color w:val="auto"/>
                <w:szCs w:val="21"/>
                <w:highlight w:val="none"/>
                <w:lang w:eastAsia="zh-CN"/>
              </w:rPr>
              <w:t>；</w:t>
            </w:r>
          </w:p>
          <w:p w14:paraId="24639510">
            <w:pPr>
              <w:snapToGrid w:val="0"/>
              <w:spacing w:after="78" w:afterLines="25"/>
              <w:jc w:val="left"/>
              <w:rPr>
                <w:rFonts w:hint="eastAsia" w:ascii="宋体" w:hAnsi="宋体" w:cs="宋体"/>
                <w:strike w:val="0"/>
                <w:color w:val="auto"/>
                <w:szCs w:val="21"/>
                <w:highlight w:val="none"/>
              </w:rPr>
            </w:pP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差</w:t>
            </w: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针对上述问题，</w:t>
            </w:r>
            <w:r>
              <w:rPr>
                <w:rFonts w:hint="eastAsia" w:ascii="宋体" w:hAnsi="宋体" w:cs="宋体"/>
                <w:strike w:val="0"/>
                <w:color w:val="auto"/>
                <w:szCs w:val="21"/>
                <w:highlight w:val="none"/>
              </w:rPr>
              <w:t>提出</w:t>
            </w:r>
            <w:r>
              <w:rPr>
                <w:rFonts w:hint="eastAsia" w:ascii="宋体" w:hAnsi="宋体" w:cs="宋体"/>
                <w:strike w:val="0"/>
                <w:color w:val="auto"/>
                <w:szCs w:val="21"/>
                <w:highlight w:val="none"/>
                <w:lang w:val="en-US" w:eastAsia="zh-CN"/>
              </w:rPr>
              <w:t>的设计思路不</w:t>
            </w:r>
            <w:r>
              <w:rPr>
                <w:rFonts w:hint="eastAsia" w:ascii="宋体" w:hAnsi="宋体" w:cs="宋体"/>
                <w:strike w:val="0"/>
                <w:color w:val="auto"/>
                <w:szCs w:val="21"/>
                <w:highlight w:val="none"/>
              </w:rPr>
              <w:t>合理、</w:t>
            </w:r>
            <w:r>
              <w:rPr>
                <w:rFonts w:hint="eastAsia" w:ascii="宋体" w:hAnsi="宋体" w:cs="宋体"/>
                <w:strike w:val="0"/>
                <w:color w:val="auto"/>
                <w:szCs w:val="21"/>
                <w:highlight w:val="none"/>
                <w:lang w:val="en-US" w:eastAsia="zh-CN"/>
              </w:rPr>
              <w:t>不</w:t>
            </w:r>
            <w:r>
              <w:rPr>
                <w:rFonts w:hint="eastAsia" w:ascii="宋体" w:hAnsi="宋体" w:cs="宋体"/>
                <w:strike w:val="0"/>
                <w:color w:val="auto"/>
                <w:szCs w:val="21"/>
                <w:highlight w:val="none"/>
              </w:rPr>
              <w:t>可行</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lang w:val="en-US" w:eastAsia="zh-CN"/>
              </w:rPr>
              <w:t>难以操作</w:t>
            </w:r>
            <w:r>
              <w:rPr>
                <w:rFonts w:hint="eastAsia" w:ascii="宋体" w:hAnsi="宋体" w:cs="宋体"/>
                <w:strike w:val="0"/>
                <w:color w:val="auto"/>
                <w:szCs w:val="21"/>
                <w:highlight w:val="none"/>
              </w:rPr>
              <w:t>，得0分。</w:t>
            </w:r>
          </w:p>
        </w:tc>
      </w:tr>
      <w:tr w14:paraId="7EAD2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top w:val="single" w:color="auto" w:sz="4" w:space="0"/>
              <w:right w:val="single" w:color="auto" w:sz="4" w:space="0"/>
            </w:tcBorders>
            <w:noWrap w:val="0"/>
            <w:vAlign w:val="center"/>
          </w:tcPr>
          <w:p w14:paraId="3F51909D">
            <w:pPr>
              <w:snapToGrid w:val="0"/>
              <w:ind w:left="-53" w:leftChars="-25" w:right="-53" w:rightChars="-25"/>
              <w:rPr>
                <w:rFonts w:hint="eastAsia" w:ascii="宋体" w:hAnsi="宋体" w:cs="宋体"/>
                <w:color w:val="auto"/>
                <w:szCs w:val="21"/>
                <w:highlight w:val="none"/>
              </w:rPr>
            </w:pPr>
            <w:r>
              <w:rPr>
                <w:rFonts w:hint="eastAsia" w:ascii="宋体" w:hAnsi="宋体" w:cs="宋体"/>
                <w:color w:val="auto"/>
                <w:szCs w:val="21"/>
                <w:highlight w:val="none"/>
              </w:rPr>
              <w:t>2.2.4（2）</w:t>
            </w:r>
          </w:p>
        </w:tc>
        <w:tc>
          <w:tcPr>
            <w:tcW w:w="1005" w:type="dxa"/>
            <w:vMerge w:val="restart"/>
            <w:tcBorders>
              <w:top w:val="single" w:color="auto" w:sz="4" w:space="0"/>
              <w:right w:val="single" w:color="auto" w:sz="4" w:space="0"/>
            </w:tcBorders>
            <w:noWrap w:val="0"/>
            <w:vAlign w:val="center"/>
          </w:tcPr>
          <w:p w14:paraId="57FC1F09">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工程总承包实施方案评分标准</w:t>
            </w:r>
          </w:p>
          <w:p w14:paraId="024F48D8">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（100分）</w:t>
            </w:r>
          </w:p>
        </w:tc>
        <w:tc>
          <w:tcPr>
            <w:tcW w:w="909" w:type="dxa"/>
            <w:vMerge w:val="restart"/>
            <w:tcBorders>
              <w:top w:val="single" w:color="auto" w:sz="4" w:space="0"/>
              <w:left w:val="single" w:color="auto" w:sz="4" w:space="0"/>
              <w:right w:val="single" w:color="auto" w:sz="4" w:space="0"/>
            </w:tcBorders>
            <w:noWrap w:val="0"/>
            <w:vAlign w:val="center"/>
          </w:tcPr>
          <w:p w14:paraId="43D21BA4">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企业资信</w:t>
            </w:r>
          </w:p>
          <w:p w14:paraId="69ECB73B">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highlight w:val="none"/>
              </w:rPr>
              <w:t>（36分）</w:t>
            </w:r>
          </w:p>
        </w:tc>
        <w:tc>
          <w:tcPr>
            <w:tcW w:w="735" w:type="dxa"/>
            <w:gridSpan w:val="2"/>
            <w:vMerge w:val="restart"/>
            <w:tcBorders>
              <w:top w:val="single" w:color="auto" w:sz="4" w:space="0"/>
              <w:left w:val="single" w:color="auto" w:sz="4" w:space="0"/>
              <w:right w:val="single" w:color="auto" w:sz="4" w:space="0"/>
            </w:tcBorders>
            <w:noWrap w:val="0"/>
            <w:vAlign w:val="center"/>
          </w:tcPr>
          <w:p w14:paraId="12D16AFD">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企业业绩</w:t>
            </w:r>
          </w:p>
          <w:p w14:paraId="35A6D00B">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（10分）</w:t>
            </w:r>
          </w:p>
        </w:tc>
        <w:tc>
          <w:tcPr>
            <w:tcW w:w="6545" w:type="dxa"/>
            <w:gridSpan w:val="2"/>
            <w:tcBorders>
              <w:top w:val="single" w:color="auto" w:sz="4" w:space="0"/>
              <w:left w:val="single" w:color="auto" w:sz="4" w:space="0"/>
              <w:bottom w:val="single" w:color="auto" w:sz="4" w:space="0"/>
              <w:right w:val="single" w:color="auto" w:sz="4" w:space="0"/>
            </w:tcBorders>
            <w:noWrap w:val="0"/>
            <w:vAlign w:val="center"/>
          </w:tcPr>
          <w:p w14:paraId="325A330E">
            <w:pPr>
              <w:snapToGrid w:val="0"/>
              <w:rPr>
                <w:rFonts w:hint="eastAsia" w:ascii="宋体" w:hAnsi="宋体"/>
                <w:color w:val="auto"/>
                <w:szCs w:val="21"/>
                <w:highlight w:val="none"/>
              </w:rPr>
            </w:pPr>
            <w:r>
              <w:rPr>
                <w:rFonts w:hint="eastAsia" w:ascii="宋体" w:hAnsi="宋体"/>
                <w:b/>
                <w:bCs/>
                <w:color w:val="auto"/>
                <w:szCs w:val="21"/>
                <w:highlight w:val="none"/>
              </w:rPr>
              <w:t>施工业绩：</w:t>
            </w:r>
            <w:r>
              <w:rPr>
                <w:rFonts w:hint="eastAsia" w:ascii="宋体" w:hAnsi="宋体"/>
                <w:color w:val="auto"/>
                <w:szCs w:val="21"/>
                <w:highlight w:val="none"/>
              </w:rPr>
              <w:t>投标人（若为联合体，指联合体主办方）自2020年1月1日至投标截止，完成过质量合格的类似项目业绩，每项得1分。（本项最高得5分）</w:t>
            </w:r>
          </w:p>
        </w:tc>
      </w:tr>
      <w:tr w14:paraId="79A53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0E01B59D">
            <w:pPr>
              <w:snapToGrid w:val="0"/>
              <w:ind w:left="-53" w:leftChars="-25" w:right="-53" w:rightChars="-25"/>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613B780B">
            <w:pPr>
              <w:snapToGrid w:val="0"/>
              <w:ind w:left="-53" w:leftChars="-25" w:right="-53" w:rightChars="-25"/>
              <w:jc w:val="center"/>
              <w:rPr>
                <w:rFonts w:hint="eastAsia" w:ascii="宋体" w:hAnsi="宋体" w:cs="宋体"/>
                <w:color w:val="auto"/>
                <w:szCs w:val="21"/>
                <w:highlight w:val="none"/>
              </w:rPr>
            </w:pPr>
          </w:p>
        </w:tc>
        <w:tc>
          <w:tcPr>
            <w:tcW w:w="909" w:type="dxa"/>
            <w:vMerge w:val="continue"/>
            <w:tcBorders>
              <w:left w:val="single" w:color="auto" w:sz="4" w:space="0"/>
              <w:right w:val="single" w:color="auto" w:sz="4" w:space="0"/>
            </w:tcBorders>
            <w:noWrap w:val="0"/>
            <w:vAlign w:val="center"/>
          </w:tcPr>
          <w:p w14:paraId="79FC7C25">
            <w:pPr>
              <w:snapToGrid w:val="0"/>
              <w:ind w:left="-53" w:leftChars="-25" w:right="-53" w:rightChars="-25"/>
              <w:jc w:val="center"/>
              <w:rPr>
                <w:rFonts w:hint="eastAsia" w:ascii="宋体" w:hAnsi="宋体" w:cs="宋体"/>
                <w:color w:val="auto"/>
                <w:highlight w:val="none"/>
              </w:rPr>
            </w:pPr>
          </w:p>
        </w:tc>
        <w:tc>
          <w:tcPr>
            <w:tcW w:w="735" w:type="dxa"/>
            <w:gridSpan w:val="2"/>
            <w:vMerge w:val="continue"/>
            <w:tcBorders>
              <w:left w:val="single" w:color="auto" w:sz="4" w:space="0"/>
              <w:right w:val="single" w:color="auto" w:sz="4" w:space="0"/>
            </w:tcBorders>
            <w:noWrap w:val="0"/>
            <w:vAlign w:val="center"/>
          </w:tcPr>
          <w:p w14:paraId="45D9FC69">
            <w:pPr>
              <w:snapToGrid w:val="0"/>
              <w:ind w:left="-53" w:leftChars="-25" w:right="-53" w:rightChars="-25"/>
              <w:jc w:val="center"/>
              <w:rPr>
                <w:rFonts w:hint="eastAsia" w:ascii="宋体" w:hAnsi="宋体" w:cs="宋体"/>
                <w:color w:val="auto"/>
                <w:highlight w:val="none"/>
              </w:rPr>
            </w:pPr>
          </w:p>
        </w:tc>
        <w:tc>
          <w:tcPr>
            <w:tcW w:w="6545" w:type="dxa"/>
            <w:gridSpan w:val="2"/>
            <w:tcBorders>
              <w:top w:val="single" w:color="auto" w:sz="4" w:space="0"/>
              <w:left w:val="single" w:color="auto" w:sz="4" w:space="0"/>
              <w:bottom w:val="single" w:color="auto" w:sz="4" w:space="0"/>
              <w:right w:val="single" w:color="auto" w:sz="4" w:space="0"/>
            </w:tcBorders>
            <w:noWrap w:val="0"/>
            <w:vAlign w:val="center"/>
          </w:tcPr>
          <w:p w14:paraId="1F5A946D">
            <w:pPr>
              <w:snapToGrid w:val="0"/>
              <w:rPr>
                <w:rFonts w:hint="eastAsia" w:ascii="宋体" w:hAnsi="宋体"/>
                <w:b/>
                <w:color w:val="auto"/>
                <w:szCs w:val="21"/>
                <w:highlight w:val="none"/>
              </w:rPr>
            </w:pPr>
            <w:r>
              <w:rPr>
                <w:rFonts w:hint="eastAsia" w:ascii="宋体" w:hAnsi="宋体"/>
                <w:color w:val="auto"/>
                <w:szCs w:val="21"/>
                <w:highlight w:val="none"/>
              </w:rPr>
              <w:t>设计业绩：投标人（若为联合体，指联合体设计方）自2020年1月1日至投标截止，承接过类似工程项目中的设计业绩（类似工程是指房建类工程项目,设计业绩可以是单独的设计业绩，或勘察设计的设计部分业绩或工程总承包项目（包括勘察设计施工总承包或设计施工总承包或设计采购施工总承包或勘察设计采购施工总承包等）中的设计部分业绩。），每项得1分。（本项最高得5分）</w:t>
            </w:r>
          </w:p>
        </w:tc>
      </w:tr>
      <w:tr w14:paraId="4483E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68D83641">
            <w:pPr>
              <w:snapToGrid w:val="0"/>
              <w:ind w:left="-53" w:leftChars="-25" w:right="-53" w:rightChars="-25"/>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0888853A">
            <w:pPr>
              <w:snapToGrid w:val="0"/>
              <w:ind w:left="-53" w:leftChars="-25" w:right="-53" w:rightChars="-25"/>
              <w:jc w:val="center"/>
              <w:rPr>
                <w:rFonts w:hint="eastAsia" w:ascii="宋体" w:hAnsi="宋体" w:cs="宋体"/>
                <w:color w:val="auto"/>
                <w:szCs w:val="21"/>
                <w:highlight w:val="none"/>
              </w:rPr>
            </w:pPr>
          </w:p>
        </w:tc>
        <w:tc>
          <w:tcPr>
            <w:tcW w:w="909" w:type="dxa"/>
            <w:vMerge w:val="continue"/>
            <w:tcBorders>
              <w:left w:val="single" w:color="auto" w:sz="4" w:space="0"/>
              <w:right w:val="single" w:color="auto" w:sz="4" w:space="0"/>
            </w:tcBorders>
            <w:noWrap w:val="0"/>
            <w:vAlign w:val="center"/>
          </w:tcPr>
          <w:p w14:paraId="56C5FA3E">
            <w:pPr>
              <w:snapToGrid w:val="0"/>
              <w:ind w:left="-53" w:leftChars="-25" w:right="-53" w:rightChars="-25"/>
              <w:jc w:val="center"/>
              <w:rPr>
                <w:rFonts w:hint="eastAsia" w:ascii="宋体" w:hAnsi="宋体" w:cs="宋体"/>
                <w:color w:val="auto"/>
                <w:highlight w:val="none"/>
              </w:rPr>
            </w:pPr>
          </w:p>
        </w:tc>
        <w:tc>
          <w:tcPr>
            <w:tcW w:w="735" w:type="dxa"/>
            <w:gridSpan w:val="2"/>
            <w:tcBorders>
              <w:top w:val="single" w:color="auto" w:sz="4" w:space="0"/>
              <w:left w:val="single" w:color="auto" w:sz="4" w:space="0"/>
              <w:right w:val="single" w:color="auto" w:sz="4" w:space="0"/>
            </w:tcBorders>
            <w:noWrap w:val="0"/>
            <w:vAlign w:val="center"/>
          </w:tcPr>
          <w:p w14:paraId="4BEA907A">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工程获奖</w:t>
            </w:r>
          </w:p>
          <w:p w14:paraId="34A4D085">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（6分）</w:t>
            </w:r>
          </w:p>
        </w:tc>
        <w:tc>
          <w:tcPr>
            <w:tcW w:w="6545" w:type="dxa"/>
            <w:gridSpan w:val="2"/>
            <w:tcBorders>
              <w:top w:val="single" w:color="auto" w:sz="4" w:space="0"/>
              <w:left w:val="single" w:color="auto" w:sz="4" w:space="0"/>
              <w:bottom w:val="single" w:color="auto" w:sz="4" w:space="0"/>
              <w:right w:val="single" w:color="auto" w:sz="4" w:space="0"/>
            </w:tcBorders>
            <w:noWrap w:val="0"/>
            <w:vAlign w:val="center"/>
          </w:tcPr>
          <w:p w14:paraId="3DF197C7">
            <w:pPr>
              <w:snapToGrid w:val="0"/>
              <w:rPr>
                <w:rFonts w:hint="eastAsia" w:ascii="宋体" w:hAnsi="宋体"/>
                <w:color w:val="auto"/>
                <w:szCs w:val="21"/>
                <w:highlight w:val="none"/>
              </w:rPr>
            </w:pPr>
            <w:r>
              <w:rPr>
                <w:rFonts w:hint="eastAsia" w:ascii="宋体" w:hAnsi="宋体"/>
                <w:color w:val="auto"/>
                <w:szCs w:val="21"/>
                <w:highlight w:val="none"/>
              </w:rPr>
              <w:t>投标人（若为联合体，指联合体主办方）自2020年1月1日至投标截止，完成过房建类项目获得工程质量奖项的：国家级奖项，每项得</w:t>
            </w:r>
            <w:r>
              <w:rPr>
                <w:rFonts w:hint="eastAsia" w:ascii="宋体" w:hAnsi="宋体"/>
                <w:color w:val="auto"/>
                <w:szCs w:val="21"/>
                <w:highlight w:val="none"/>
                <w:lang w:val="en-US" w:eastAsia="zh-CN"/>
              </w:rPr>
              <w:t>3</w:t>
            </w:r>
            <w:r>
              <w:rPr>
                <w:rFonts w:hint="eastAsia" w:ascii="宋体" w:hAnsi="宋体"/>
                <w:color w:val="auto"/>
                <w:szCs w:val="21"/>
                <w:highlight w:val="none"/>
              </w:rPr>
              <w:t>分；省级奖项，每项得</w:t>
            </w:r>
            <w:r>
              <w:rPr>
                <w:rFonts w:hint="eastAsia" w:ascii="宋体" w:hAnsi="宋体"/>
                <w:color w:val="auto"/>
                <w:szCs w:val="21"/>
                <w:highlight w:val="none"/>
                <w:lang w:val="en-US" w:eastAsia="zh-CN"/>
              </w:rPr>
              <w:t>2</w:t>
            </w:r>
            <w:r>
              <w:rPr>
                <w:rFonts w:hint="eastAsia" w:ascii="宋体" w:hAnsi="宋体"/>
                <w:color w:val="auto"/>
                <w:szCs w:val="21"/>
                <w:highlight w:val="none"/>
              </w:rPr>
              <w:t>分；市级奖项，每项得</w:t>
            </w:r>
            <w:r>
              <w:rPr>
                <w:rFonts w:hint="eastAsia" w:ascii="宋体" w:hAnsi="宋体"/>
                <w:color w:val="auto"/>
                <w:szCs w:val="21"/>
                <w:highlight w:val="none"/>
                <w:lang w:val="en-US" w:eastAsia="zh-CN"/>
              </w:rPr>
              <w:t>1.5</w:t>
            </w:r>
            <w:r>
              <w:rPr>
                <w:rFonts w:hint="eastAsia" w:ascii="宋体" w:hAnsi="宋体"/>
                <w:color w:val="auto"/>
                <w:szCs w:val="21"/>
                <w:highlight w:val="none"/>
              </w:rPr>
              <w:t>分。（本项最高得6分）</w:t>
            </w:r>
          </w:p>
        </w:tc>
      </w:tr>
      <w:tr w14:paraId="080EE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016" w:hRule="atLeast"/>
          <w:jc w:val="center"/>
        </w:trPr>
        <w:tc>
          <w:tcPr>
            <w:tcW w:w="676" w:type="dxa"/>
            <w:vMerge w:val="continue"/>
            <w:tcBorders>
              <w:right w:val="single" w:color="auto" w:sz="4" w:space="0"/>
            </w:tcBorders>
            <w:noWrap w:val="0"/>
            <w:vAlign w:val="center"/>
          </w:tcPr>
          <w:p w14:paraId="7132E2D8">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12C60BDD">
            <w:pPr>
              <w:snapToGrid w:val="0"/>
              <w:ind w:left="-53" w:leftChars="-25" w:right="-53" w:rightChars="-25"/>
              <w:jc w:val="center"/>
              <w:rPr>
                <w:rFonts w:hint="eastAsia" w:ascii="宋体" w:hAnsi="宋体" w:cs="宋体"/>
                <w:color w:val="auto"/>
                <w:highlight w:val="none"/>
              </w:rPr>
            </w:pPr>
          </w:p>
        </w:tc>
        <w:tc>
          <w:tcPr>
            <w:tcW w:w="909" w:type="dxa"/>
            <w:vMerge w:val="continue"/>
            <w:tcBorders>
              <w:left w:val="single" w:color="auto" w:sz="4" w:space="0"/>
              <w:right w:val="single" w:color="auto" w:sz="4" w:space="0"/>
            </w:tcBorders>
            <w:noWrap w:val="0"/>
            <w:vAlign w:val="center"/>
          </w:tcPr>
          <w:p w14:paraId="4FBB29FD">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right w:val="single" w:color="auto" w:sz="4" w:space="0"/>
            </w:tcBorders>
            <w:noWrap w:val="0"/>
            <w:vAlign w:val="center"/>
          </w:tcPr>
          <w:p w14:paraId="33ECB0F1">
            <w:pPr>
              <w:snapToGrid w:val="0"/>
              <w:ind w:left="-53" w:leftChars="-25" w:right="-53" w:rightChars="-25"/>
              <w:jc w:val="center"/>
              <w:rPr>
                <w:rFonts w:hint="eastAsia" w:ascii="宋体" w:hAnsi="宋体" w:cs="宋体"/>
                <w:color w:val="auto"/>
                <w:highlight w:val="none"/>
              </w:rPr>
            </w:pPr>
            <w:r>
              <w:rPr>
                <w:rFonts w:hint="eastAsia" w:ascii="宋体" w:hAnsi="宋体"/>
                <w:color w:val="auto"/>
                <w:kern w:val="0"/>
                <w:szCs w:val="21"/>
                <w:highlight w:val="none"/>
              </w:rPr>
              <w:t>工程研发能力</w:t>
            </w:r>
          </w:p>
          <w:p w14:paraId="51C5D99A">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（5分）</w:t>
            </w:r>
          </w:p>
        </w:tc>
        <w:tc>
          <w:tcPr>
            <w:tcW w:w="6545" w:type="dxa"/>
            <w:gridSpan w:val="2"/>
            <w:tcBorders>
              <w:top w:val="single" w:color="auto" w:sz="4" w:space="0"/>
              <w:left w:val="single" w:color="auto" w:sz="4" w:space="0"/>
              <w:bottom w:val="single" w:color="auto" w:sz="4" w:space="0"/>
              <w:right w:val="single" w:color="auto" w:sz="4" w:space="0"/>
            </w:tcBorders>
            <w:noWrap w:val="0"/>
            <w:vAlign w:val="center"/>
          </w:tcPr>
          <w:p w14:paraId="601F1EAB">
            <w:pPr>
              <w:snapToGrid w:val="0"/>
              <w:rPr>
                <w:rFonts w:hint="eastAsia" w:ascii="宋体" w:hAnsi="宋体"/>
                <w:color w:val="auto"/>
                <w:szCs w:val="21"/>
                <w:highlight w:val="none"/>
              </w:rPr>
            </w:pPr>
            <w:r>
              <w:rPr>
                <w:rFonts w:hint="eastAsia" w:ascii="宋体" w:hAnsi="宋体"/>
                <w:color w:val="auto"/>
                <w:szCs w:val="21"/>
                <w:highlight w:val="none"/>
              </w:rPr>
              <w:t>投标人（若为联合体，指联合体主办方）自2020年1月1日至投标截止，获得过省级（或以上）“房建”类工法证书的每项得1分，本小项最高5分。</w:t>
            </w:r>
          </w:p>
        </w:tc>
      </w:tr>
      <w:tr w14:paraId="0951F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996" w:hRule="atLeast"/>
          <w:jc w:val="center"/>
        </w:trPr>
        <w:tc>
          <w:tcPr>
            <w:tcW w:w="676" w:type="dxa"/>
            <w:vMerge w:val="continue"/>
            <w:tcBorders>
              <w:right w:val="single" w:color="auto" w:sz="4" w:space="0"/>
            </w:tcBorders>
            <w:noWrap w:val="0"/>
            <w:vAlign w:val="center"/>
          </w:tcPr>
          <w:p w14:paraId="4C3DE103">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40366915">
            <w:pPr>
              <w:snapToGrid w:val="0"/>
              <w:ind w:left="-53" w:leftChars="-25" w:right="-53" w:rightChars="-25"/>
              <w:jc w:val="center"/>
              <w:rPr>
                <w:rFonts w:hint="eastAsia" w:ascii="宋体" w:hAnsi="宋体" w:cs="宋体"/>
                <w:color w:val="auto"/>
                <w:highlight w:val="none"/>
              </w:rPr>
            </w:pPr>
          </w:p>
        </w:tc>
        <w:tc>
          <w:tcPr>
            <w:tcW w:w="909" w:type="dxa"/>
            <w:vMerge w:val="continue"/>
            <w:tcBorders>
              <w:left w:val="single" w:color="auto" w:sz="4" w:space="0"/>
              <w:right w:val="single" w:color="auto" w:sz="4" w:space="0"/>
            </w:tcBorders>
            <w:noWrap w:val="0"/>
            <w:vAlign w:val="center"/>
          </w:tcPr>
          <w:p w14:paraId="29868513">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right w:val="single" w:color="auto" w:sz="4" w:space="0"/>
            </w:tcBorders>
            <w:noWrap w:val="0"/>
            <w:vAlign w:val="center"/>
          </w:tcPr>
          <w:p w14:paraId="59F01CD7">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第三方评价</w:t>
            </w:r>
          </w:p>
          <w:p w14:paraId="1B4B7874">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（5分）</w:t>
            </w:r>
          </w:p>
        </w:tc>
        <w:tc>
          <w:tcPr>
            <w:tcW w:w="6545" w:type="dxa"/>
            <w:gridSpan w:val="2"/>
            <w:tcBorders>
              <w:top w:val="single" w:color="auto" w:sz="4" w:space="0"/>
              <w:left w:val="single" w:color="auto" w:sz="4" w:space="0"/>
              <w:bottom w:val="single" w:color="auto" w:sz="4" w:space="0"/>
              <w:right w:val="single" w:color="auto" w:sz="4" w:space="0"/>
            </w:tcBorders>
            <w:noWrap w:val="0"/>
            <w:vAlign w:val="center"/>
          </w:tcPr>
          <w:p w14:paraId="547BC592">
            <w:pPr>
              <w:snapToGrid w:val="0"/>
              <w:spacing w:after="78" w:afterLines="25"/>
              <w:rPr>
                <w:rFonts w:hint="eastAsia" w:ascii="宋体" w:hAnsi="宋体"/>
                <w:color w:val="auto"/>
                <w:szCs w:val="21"/>
                <w:highlight w:val="none"/>
              </w:rPr>
            </w:pPr>
            <w:r>
              <w:rPr>
                <w:rFonts w:hint="eastAsia" w:ascii="宋体" w:hAnsi="宋体"/>
                <w:color w:val="auto"/>
                <w:szCs w:val="21"/>
                <w:highlight w:val="none"/>
              </w:rPr>
              <w:t>投标人（若为联合体，指联合体主办方）具有有效期内的质量管理体系认证、环境管理体系认证、职业健康安全管理体系认证情况：</w:t>
            </w:r>
          </w:p>
          <w:p w14:paraId="1CB6019C">
            <w:pPr>
              <w:snapToGrid w:val="0"/>
              <w:rPr>
                <w:rFonts w:hint="eastAsia" w:ascii="宋体" w:hAnsi="宋体"/>
                <w:color w:val="auto"/>
                <w:szCs w:val="21"/>
                <w:highlight w:val="none"/>
              </w:rPr>
            </w:pPr>
            <w:r>
              <w:rPr>
                <w:rFonts w:hint="eastAsia" w:ascii="宋体" w:hAnsi="宋体"/>
                <w:color w:val="auto"/>
                <w:szCs w:val="21"/>
                <w:highlight w:val="none"/>
              </w:rPr>
              <w:t>[优] 获得3项的，得5分；</w:t>
            </w:r>
          </w:p>
          <w:p w14:paraId="64122C76">
            <w:pPr>
              <w:snapToGrid w:val="0"/>
              <w:rPr>
                <w:rFonts w:hint="eastAsia" w:ascii="宋体" w:hAnsi="宋体"/>
                <w:color w:val="auto"/>
                <w:szCs w:val="21"/>
                <w:highlight w:val="none"/>
              </w:rPr>
            </w:pPr>
            <w:r>
              <w:rPr>
                <w:rFonts w:hint="eastAsia" w:ascii="宋体" w:hAnsi="宋体"/>
                <w:color w:val="auto"/>
                <w:szCs w:val="21"/>
                <w:highlight w:val="none"/>
              </w:rPr>
              <w:t>[良] 获得2项的，得3分；</w:t>
            </w:r>
          </w:p>
          <w:p w14:paraId="48927354">
            <w:pPr>
              <w:snapToGrid w:val="0"/>
              <w:rPr>
                <w:rFonts w:hint="eastAsia" w:ascii="宋体" w:hAnsi="宋体"/>
                <w:color w:val="auto"/>
                <w:szCs w:val="21"/>
                <w:highlight w:val="none"/>
              </w:rPr>
            </w:pPr>
            <w:r>
              <w:rPr>
                <w:rFonts w:hint="eastAsia" w:ascii="宋体" w:hAnsi="宋体"/>
                <w:color w:val="auto"/>
                <w:szCs w:val="21"/>
                <w:highlight w:val="none"/>
              </w:rPr>
              <w:t>[中] 获得1项的，得1分；</w:t>
            </w:r>
          </w:p>
          <w:p w14:paraId="3D23FF78">
            <w:pPr>
              <w:snapToGrid w:val="0"/>
              <w:rPr>
                <w:rFonts w:hint="eastAsia" w:ascii="宋体" w:hAnsi="宋体"/>
                <w:color w:val="auto"/>
                <w:szCs w:val="21"/>
                <w:highlight w:val="none"/>
              </w:rPr>
            </w:pPr>
            <w:r>
              <w:rPr>
                <w:rFonts w:hint="eastAsia" w:ascii="宋体" w:hAnsi="宋体"/>
                <w:color w:val="auto"/>
                <w:szCs w:val="21"/>
                <w:highlight w:val="none"/>
              </w:rPr>
              <w:t>[差] 获得0项的，得0分。</w:t>
            </w:r>
          </w:p>
        </w:tc>
      </w:tr>
      <w:tr w14:paraId="63240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495" w:hRule="atLeast"/>
          <w:jc w:val="center"/>
        </w:trPr>
        <w:tc>
          <w:tcPr>
            <w:tcW w:w="676" w:type="dxa"/>
            <w:vMerge w:val="continue"/>
            <w:tcBorders>
              <w:right w:val="single" w:color="auto" w:sz="4" w:space="0"/>
            </w:tcBorders>
            <w:noWrap w:val="0"/>
            <w:vAlign w:val="center"/>
          </w:tcPr>
          <w:p w14:paraId="159DD628">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5C3A25CA">
            <w:pPr>
              <w:snapToGrid w:val="0"/>
              <w:ind w:left="-53" w:leftChars="-25" w:right="-53" w:rightChars="-25"/>
              <w:jc w:val="center"/>
              <w:rPr>
                <w:rFonts w:hint="eastAsia" w:ascii="宋体" w:hAnsi="宋体" w:cs="宋体"/>
                <w:color w:val="auto"/>
                <w:highlight w:val="none"/>
              </w:rPr>
            </w:pPr>
          </w:p>
        </w:tc>
        <w:tc>
          <w:tcPr>
            <w:tcW w:w="909" w:type="dxa"/>
            <w:tcBorders>
              <w:left w:val="single" w:color="auto" w:sz="4" w:space="0"/>
              <w:right w:val="single" w:color="auto" w:sz="4" w:space="0"/>
            </w:tcBorders>
            <w:noWrap w:val="0"/>
            <w:vAlign w:val="center"/>
          </w:tcPr>
          <w:p w14:paraId="461FA66F">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right w:val="single" w:color="auto" w:sz="4" w:space="0"/>
            </w:tcBorders>
            <w:noWrap w:val="0"/>
            <w:vAlign w:val="center"/>
          </w:tcPr>
          <w:p w14:paraId="158683A4">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项目管理机构能力</w:t>
            </w:r>
          </w:p>
          <w:p w14:paraId="1522BF20">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（10分）</w:t>
            </w:r>
          </w:p>
        </w:tc>
        <w:tc>
          <w:tcPr>
            <w:tcW w:w="6545" w:type="dxa"/>
            <w:gridSpan w:val="2"/>
            <w:tcBorders>
              <w:top w:val="single" w:color="auto" w:sz="4" w:space="0"/>
              <w:left w:val="single" w:color="auto" w:sz="4" w:space="0"/>
              <w:bottom w:val="single" w:color="auto" w:sz="4" w:space="0"/>
              <w:right w:val="single" w:color="auto" w:sz="4" w:space="0"/>
            </w:tcBorders>
            <w:noWrap w:val="0"/>
            <w:vAlign w:val="center"/>
          </w:tcPr>
          <w:p w14:paraId="0B136626">
            <w:pPr>
              <w:snapToGrid w:val="0"/>
              <w:spacing w:after="78" w:afterLines="25"/>
              <w:ind w:left="316" w:right="-53" w:rightChars="-25" w:hanging="316" w:hangingChars="150"/>
              <w:rPr>
                <w:rFonts w:hint="eastAsia" w:ascii="宋体" w:hAnsi="宋体" w:cs="宋体"/>
                <w:b/>
                <w:color w:val="auto"/>
                <w:highlight w:val="none"/>
              </w:rPr>
            </w:pPr>
            <w:r>
              <w:rPr>
                <w:rFonts w:hint="eastAsia" w:ascii="宋体" w:hAnsi="宋体" w:cs="宋体"/>
                <w:b/>
                <w:color w:val="auto"/>
                <w:highlight w:val="none"/>
              </w:rPr>
              <w:t>施工团队（联合体主办方人员）</w:t>
            </w:r>
          </w:p>
          <w:p w14:paraId="63CB177B">
            <w:pPr>
              <w:snapToGrid w:val="0"/>
              <w:spacing w:after="78" w:afterLines="25"/>
              <w:ind w:left="315" w:right="-53" w:rightChars="-25" w:hanging="315" w:hangingChars="150"/>
              <w:rPr>
                <w:rFonts w:hint="eastAsia" w:ascii="宋体" w:hAnsi="宋体" w:cs="宋体"/>
                <w:color w:val="auto"/>
                <w:highlight w:val="none"/>
              </w:rPr>
            </w:pPr>
            <w:r>
              <w:rPr>
                <w:rFonts w:hint="eastAsia" w:ascii="宋体" w:hAnsi="宋体" w:cs="宋体"/>
                <w:color w:val="auto"/>
                <w:highlight w:val="none"/>
              </w:rPr>
              <w:t>（1）项目负责人：</w:t>
            </w:r>
          </w:p>
          <w:p w14:paraId="6D9CBA51">
            <w:pPr>
              <w:snapToGrid w:val="0"/>
              <w:spacing w:after="78" w:afterLines="25"/>
              <w:ind w:left="315" w:right="-53" w:rightChars="-25" w:hanging="315" w:hangingChars="150"/>
              <w:rPr>
                <w:rFonts w:hint="eastAsia" w:ascii="宋体" w:hAnsi="宋体"/>
                <w:color w:val="auto"/>
                <w:highlight w:val="none"/>
              </w:rPr>
            </w:pPr>
            <w:r>
              <w:rPr>
                <w:rFonts w:hint="eastAsia" w:ascii="宋体" w:hAnsi="宋体" w:cs="宋体"/>
                <w:color w:val="auto"/>
                <w:highlight w:val="none"/>
              </w:rPr>
              <w:t>①</w:t>
            </w:r>
            <w:r>
              <w:rPr>
                <w:rFonts w:hint="eastAsia" w:ascii="宋体" w:hAnsi="宋体"/>
                <w:color w:val="auto"/>
                <w:highlight w:val="none"/>
              </w:rPr>
              <w:t>取得机电</w:t>
            </w:r>
            <w:r>
              <w:rPr>
                <w:rFonts w:hint="eastAsia"/>
                <w:color w:val="auto"/>
                <w:highlight w:val="none"/>
              </w:rPr>
              <w:t>或建筑工程</w:t>
            </w:r>
            <w:r>
              <w:rPr>
                <w:rFonts w:hint="eastAsia" w:ascii="宋体" w:hAnsi="宋体"/>
                <w:color w:val="auto"/>
                <w:highlight w:val="none"/>
              </w:rPr>
              <w:t>类专业中级工程师职称证书得1分；取得机电</w:t>
            </w:r>
            <w:r>
              <w:rPr>
                <w:rFonts w:hint="eastAsia"/>
                <w:color w:val="auto"/>
                <w:highlight w:val="none"/>
              </w:rPr>
              <w:t>或建筑工程</w:t>
            </w:r>
            <w:r>
              <w:rPr>
                <w:rFonts w:hint="eastAsia" w:ascii="宋体" w:hAnsi="宋体"/>
                <w:color w:val="auto"/>
                <w:highlight w:val="none"/>
              </w:rPr>
              <w:t>类专业中级工程师职称证书5年以上，或机电</w:t>
            </w:r>
            <w:r>
              <w:rPr>
                <w:rFonts w:hint="eastAsia"/>
                <w:color w:val="auto"/>
                <w:highlight w:val="none"/>
              </w:rPr>
              <w:t>或建筑工程</w:t>
            </w:r>
            <w:r>
              <w:rPr>
                <w:rFonts w:hint="eastAsia" w:ascii="宋体" w:hAnsi="宋体"/>
                <w:color w:val="auto"/>
                <w:highlight w:val="none"/>
              </w:rPr>
              <w:t>类专业高级或以上工程师职称证书得2分。（本项最高得2分）</w:t>
            </w:r>
          </w:p>
          <w:p w14:paraId="0ABF7375">
            <w:pPr>
              <w:snapToGrid w:val="0"/>
              <w:spacing w:after="78" w:afterLines="25"/>
              <w:ind w:left="315" w:right="-53" w:rightChars="-25" w:hanging="315" w:hangingChars="150"/>
              <w:rPr>
                <w:rFonts w:hint="eastAsia" w:ascii="宋体" w:hAnsi="宋体" w:cs="宋体"/>
                <w:color w:val="auto"/>
                <w:highlight w:val="none"/>
              </w:rPr>
            </w:pPr>
            <w:r>
              <w:rPr>
                <w:rFonts w:hint="eastAsia" w:ascii="宋体" w:hAnsi="宋体"/>
                <w:color w:val="auto"/>
                <w:highlight w:val="none"/>
              </w:rPr>
              <w:t>②作为项目负责人主持完成过质量合格的类似项目业绩的，得3分。（本项最高得3分）</w:t>
            </w:r>
          </w:p>
          <w:p w14:paraId="356D28EB">
            <w:pPr>
              <w:snapToGrid w:val="0"/>
              <w:spacing w:after="78" w:afterLines="25"/>
              <w:ind w:left="316" w:right="-53" w:rightChars="-25" w:hanging="316" w:hangingChars="150"/>
              <w:rPr>
                <w:rFonts w:hint="eastAsia" w:ascii="宋体" w:hAnsi="宋体" w:cs="宋体"/>
                <w:color w:val="auto"/>
                <w:highlight w:val="none"/>
              </w:rPr>
            </w:pPr>
            <w:r>
              <w:rPr>
                <w:rFonts w:hint="eastAsia" w:ascii="宋体" w:hAnsi="宋体" w:cs="宋体"/>
                <w:b/>
                <w:color w:val="auto"/>
                <w:highlight w:val="none"/>
              </w:rPr>
              <w:t>设计团队（联合体设计方人员）</w:t>
            </w:r>
          </w:p>
          <w:p w14:paraId="13420B7E">
            <w:pPr>
              <w:snapToGrid w:val="0"/>
              <w:spacing w:after="78" w:afterLines="25"/>
              <w:ind w:left="315" w:right="-53" w:rightChars="-25" w:hanging="315" w:hangingChars="150"/>
              <w:rPr>
                <w:rFonts w:hint="eastAsia" w:ascii="宋体" w:hAnsi="宋体" w:cs="宋体"/>
                <w:color w:val="auto"/>
                <w:highlight w:val="none"/>
              </w:rPr>
            </w:pPr>
            <w:r>
              <w:rPr>
                <w:rFonts w:hint="eastAsia" w:ascii="宋体" w:hAnsi="宋体" w:cs="宋体"/>
                <w:color w:val="auto"/>
                <w:highlight w:val="none"/>
              </w:rPr>
              <w:t>（1）设计负责人：</w:t>
            </w:r>
          </w:p>
          <w:p w14:paraId="120451CE">
            <w:pPr>
              <w:snapToGrid w:val="0"/>
              <w:spacing w:after="78" w:afterLines="25"/>
              <w:ind w:left="315" w:right="-53" w:rightChars="-25" w:hanging="315" w:hangingChars="150"/>
              <w:rPr>
                <w:rFonts w:hint="eastAsia" w:ascii="宋体" w:hAnsi="宋体"/>
                <w:color w:val="auto"/>
                <w:highlight w:val="none"/>
              </w:rPr>
            </w:pPr>
            <w:r>
              <w:rPr>
                <w:rFonts w:hint="eastAsia" w:ascii="宋体" w:hAnsi="宋体" w:cs="宋体"/>
                <w:color w:val="auto"/>
                <w:highlight w:val="none"/>
              </w:rPr>
              <w:t>①</w:t>
            </w:r>
            <w:r>
              <w:rPr>
                <w:rFonts w:hint="eastAsia" w:ascii="宋体" w:hAnsi="宋体"/>
                <w:color w:val="auto"/>
                <w:highlight w:val="none"/>
              </w:rPr>
              <w:t>取得建筑相关专业</w:t>
            </w:r>
            <w:r>
              <w:rPr>
                <w:rFonts w:hint="eastAsia" w:ascii="宋体" w:hAnsi="宋体"/>
                <w:color w:val="auto"/>
                <w:highlight w:val="none"/>
                <w:lang w:val="en-US" w:eastAsia="zh-CN"/>
              </w:rPr>
              <w:t>副高或以上</w:t>
            </w:r>
            <w:r>
              <w:rPr>
                <w:rFonts w:hint="eastAsia" w:ascii="宋体" w:hAnsi="宋体"/>
                <w:color w:val="auto"/>
                <w:highlight w:val="none"/>
              </w:rPr>
              <w:t>工程师职称证书得1分。（本项最高得</w:t>
            </w:r>
            <w:r>
              <w:rPr>
                <w:rFonts w:hint="eastAsia" w:ascii="宋体" w:hAnsi="宋体"/>
                <w:color w:val="auto"/>
                <w:highlight w:val="none"/>
                <w:lang w:val="en-US" w:eastAsia="zh-CN"/>
              </w:rPr>
              <w:t>1</w:t>
            </w:r>
            <w:r>
              <w:rPr>
                <w:rFonts w:hint="eastAsia" w:ascii="宋体" w:hAnsi="宋体"/>
                <w:color w:val="auto"/>
                <w:highlight w:val="none"/>
              </w:rPr>
              <w:t>分）</w:t>
            </w:r>
          </w:p>
          <w:p w14:paraId="6FCE84FF">
            <w:pPr>
              <w:snapToGrid w:val="0"/>
              <w:spacing w:after="78" w:afterLines="25"/>
              <w:ind w:left="315" w:right="-53" w:rightChars="-25" w:hanging="315" w:hangingChars="150"/>
              <w:rPr>
                <w:rFonts w:hint="eastAsia" w:ascii="宋体" w:hAnsi="宋体" w:cs="宋体"/>
                <w:color w:val="auto"/>
                <w:highlight w:val="none"/>
              </w:rPr>
            </w:pPr>
            <w:r>
              <w:rPr>
                <w:rFonts w:hint="eastAsia" w:ascii="宋体" w:hAnsi="宋体"/>
                <w:color w:val="auto"/>
                <w:highlight w:val="none"/>
              </w:rPr>
              <w:t>②作为设计负责人主持完成过质量合格的类似项目业绩的，得3分。（本项最高得3分）</w:t>
            </w:r>
          </w:p>
          <w:p w14:paraId="5A1B1288">
            <w:pPr>
              <w:snapToGrid w:val="0"/>
              <w:spacing w:after="78" w:afterLines="25"/>
              <w:ind w:left="315" w:right="-53" w:rightChars="-25" w:hanging="315" w:hangingChars="150"/>
              <w:rPr>
                <w:rFonts w:hint="eastAsia" w:ascii="宋体" w:hAnsi="宋体" w:cs="宋体"/>
                <w:color w:val="auto"/>
                <w:highlight w:val="none"/>
              </w:rPr>
            </w:pPr>
            <w:r>
              <w:rPr>
                <w:rFonts w:hint="eastAsia" w:ascii="宋体" w:hAnsi="宋体" w:cs="宋体"/>
                <w:color w:val="auto"/>
                <w:highlight w:val="none"/>
              </w:rPr>
              <w:t>（2）设计技术负责人：</w:t>
            </w:r>
          </w:p>
          <w:p w14:paraId="0D689E18">
            <w:pPr>
              <w:snapToGrid w:val="0"/>
              <w:spacing w:after="78" w:afterLines="25"/>
              <w:ind w:left="315" w:leftChars="100" w:right="-53" w:rightChars="-25" w:hanging="105" w:hangingChars="50"/>
              <w:rPr>
                <w:rFonts w:hint="eastAsia" w:ascii="宋体" w:hAnsi="宋体"/>
                <w:color w:val="auto"/>
                <w:szCs w:val="21"/>
                <w:highlight w:val="none"/>
              </w:rPr>
            </w:pPr>
            <w:r>
              <w:rPr>
                <w:rFonts w:hint="eastAsia" w:ascii="宋体" w:hAnsi="宋体"/>
                <w:color w:val="auto"/>
                <w:highlight w:val="none"/>
              </w:rPr>
              <w:t>取得建筑结构设计类专业</w:t>
            </w:r>
            <w:r>
              <w:rPr>
                <w:rFonts w:hint="eastAsia" w:ascii="宋体" w:hAnsi="宋体"/>
                <w:color w:val="auto"/>
                <w:highlight w:val="none"/>
                <w:lang w:val="en-US" w:eastAsia="zh-CN"/>
              </w:rPr>
              <w:t>副高或以上</w:t>
            </w:r>
            <w:r>
              <w:rPr>
                <w:rFonts w:hint="eastAsia" w:ascii="宋体" w:hAnsi="宋体"/>
                <w:color w:val="auto"/>
                <w:highlight w:val="none"/>
              </w:rPr>
              <w:t>工程师职称证书得1分。（本项最高得</w:t>
            </w:r>
            <w:r>
              <w:rPr>
                <w:rFonts w:hint="eastAsia" w:ascii="宋体" w:hAnsi="宋体"/>
                <w:color w:val="auto"/>
                <w:highlight w:val="none"/>
                <w:lang w:val="en-US" w:eastAsia="zh-CN"/>
              </w:rPr>
              <w:t>1</w:t>
            </w:r>
            <w:r>
              <w:rPr>
                <w:rFonts w:hint="eastAsia" w:ascii="宋体" w:hAnsi="宋体"/>
                <w:color w:val="auto"/>
                <w:highlight w:val="none"/>
              </w:rPr>
              <w:t>分））</w:t>
            </w:r>
          </w:p>
        </w:tc>
      </w:tr>
      <w:tr w14:paraId="414D3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32A4574D">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31F76F54">
            <w:pPr>
              <w:snapToGrid w:val="0"/>
              <w:ind w:left="-53" w:leftChars="-25" w:right="-53" w:rightChars="-25"/>
              <w:jc w:val="center"/>
              <w:rPr>
                <w:rFonts w:hint="eastAsia" w:ascii="宋体" w:hAnsi="宋体" w:cs="宋体"/>
                <w:color w:val="auto"/>
                <w:highlight w:val="none"/>
              </w:rPr>
            </w:pPr>
          </w:p>
        </w:tc>
        <w:tc>
          <w:tcPr>
            <w:tcW w:w="909" w:type="dxa"/>
            <w:vMerge w:val="restart"/>
            <w:tcBorders>
              <w:top w:val="single" w:color="auto" w:sz="4" w:space="0"/>
              <w:left w:val="single" w:color="auto" w:sz="4" w:space="0"/>
              <w:right w:val="single" w:color="auto" w:sz="4" w:space="0"/>
            </w:tcBorders>
            <w:noWrap w:val="0"/>
            <w:vAlign w:val="center"/>
          </w:tcPr>
          <w:p w14:paraId="615B8D64">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工程实施方案</w:t>
            </w:r>
          </w:p>
          <w:p w14:paraId="035D540C">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（64分）</w:t>
            </w:r>
          </w:p>
        </w:tc>
        <w:tc>
          <w:tcPr>
            <w:tcW w:w="735" w:type="dxa"/>
            <w:gridSpan w:val="2"/>
            <w:tcBorders>
              <w:top w:val="single" w:color="auto" w:sz="4" w:space="0"/>
              <w:left w:val="single" w:color="auto" w:sz="4" w:space="0"/>
              <w:bottom w:val="single" w:color="auto" w:sz="4" w:space="0"/>
              <w:right w:val="single" w:color="auto" w:sz="4" w:space="0"/>
            </w:tcBorders>
            <w:noWrap w:val="0"/>
            <w:vAlign w:val="center"/>
          </w:tcPr>
          <w:p w14:paraId="22E0490B">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设计和施工</w:t>
            </w:r>
          </w:p>
          <w:p w14:paraId="68BE4CC9">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融合措施</w:t>
            </w:r>
          </w:p>
          <w:p w14:paraId="73CAF578">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（8分）</w:t>
            </w:r>
          </w:p>
        </w:tc>
        <w:tc>
          <w:tcPr>
            <w:tcW w:w="6545" w:type="dxa"/>
            <w:gridSpan w:val="2"/>
            <w:tcBorders>
              <w:top w:val="single" w:color="auto" w:sz="4" w:space="0"/>
              <w:left w:val="single" w:color="auto" w:sz="4" w:space="0"/>
              <w:bottom w:val="single" w:color="auto" w:sz="4" w:space="0"/>
              <w:right w:val="single" w:color="auto" w:sz="4" w:space="0"/>
            </w:tcBorders>
            <w:noWrap w:val="0"/>
            <w:vAlign w:val="center"/>
          </w:tcPr>
          <w:p w14:paraId="64FDA9FD">
            <w:pPr>
              <w:snapToGrid w:val="0"/>
              <w:spacing w:after="78" w:afterLines="25"/>
              <w:ind w:right="-53" w:rightChars="-25"/>
              <w:rPr>
                <w:rFonts w:hint="eastAsia" w:ascii="宋体" w:hAnsi="宋体" w:cs="宋体"/>
                <w:color w:val="auto"/>
                <w:highlight w:val="none"/>
              </w:rPr>
            </w:pPr>
            <w:r>
              <w:rPr>
                <w:rFonts w:hint="eastAsia" w:ascii="宋体" w:hAnsi="宋体" w:cs="宋体"/>
                <w:color w:val="auto"/>
                <w:highlight w:val="none"/>
              </w:rPr>
              <w:t>针对本项目特点，制定了相应的设计和施工的融合措施。</w:t>
            </w:r>
          </w:p>
          <w:p w14:paraId="17BD5357">
            <w:pPr>
              <w:snapToGrid w:val="0"/>
              <w:spacing w:after="78" w:afterLines="25"/>
              <w:ind w:right="-53" w:rightChars="-25"/>
              <w:rPr>
                <w:rFonts w:hint="eastAsia" w:ascii="宋体" w:hAnsi="宋体" w:cs="宋体"/>
                <w:color w:val="auto"/>
                <w:highlight w:val="none"/>
              </w:rPr>
            </w:pPr>
            <w:r>
              <w:rPr>
                <w:rFonts w:hint="eastAsia" w:ascii="宋体" w:hAnsi="宋体"/>
                <w:b/>
                <w:bCs/>
                <w:color w:val="auto"/>
                <w:szCs w:val="21"/>
                <w:highlight w:val="none"/>
              </w:rPr>
              <w:t>[优]</w:t>
            </w:r>
            <w:r>
              <w:rPr>
                <w:rFonts w:hint="eastAsia" w:ascii="宋体" w:hAnsi="宋体" w:cs="宋体"/>
                <w:color w:val="auto"/>
                <w:highlight w:val="none"/>
              </w:rPr>
              <w:t>有明确清晰的设计和施工融合目标，有行之有效的设计和施工融合管理体系，有逻辑性强、条理清晰的设计和施工融合措施，确保在项目的设计、施工及保修等过程中，设计方、施工方紧密协作以满足项目的各阶段需求，得8分。</w:t>
            </w:r>
          </w:p>
          <w:p w14:paraId="2C110938">
            <w:pPr>
              <w:snapToGrid w:val="0"/>
              <w:spacing w:after="78" w:afterLines="25"/>
              <w:ind w:right="-53" w:rightChars="-25"/>
              <w:rPr>
                <w:rFonts w:hint="eastAsia" w:ascii="宋体" w:hAnsi="宋体" w:cs="宋体"/>
                <w:color w:val="auto"/>
                <w:highlight w:val="none"/>
              </w:rPr>
            </w:pPr>
            <w:r>
              <w:rPr>
                <w:rFonts w:hint="eastAsia" w:ascii="宋体" w:hAnsi="宋体"/>
                <w:b/>
                <w:bCs/>
                <w:color w:val="auto"/>
                <w:szCs w:val="21"/>
                <w:highlight w:val="none"/>
              </w:rPr>
              <w:t>[良]</w:t>
            </w:r>
            <w:r>
              <w:rPr>
                <w:rFonts w:hint="eastAsia" w:ascii="宋体" w:hAnsi="宋体" w:cs="宋体"/>
                <w:color w:val="auto"/>
                <w:highlight w:val="none"/>
              </w:rPr>
              <w:t>有设计和施工融合措施，有效的设计和施工融合管理体系，逻辑性较强、条理较清晰的设计和施工融合措施，在项目的设计、施工及保修等过程中，设计方、施工方协作较满足项目的各阶段需求，得6分。</w:t>
            </w:r>
          </w:p>
          <w:p w14:paraId="752B6053">
            <w:pPr>
              <w:snapToGrid w:val="0"/>
              <w:spacing w:after="78" w:afterLines="25"/>
              <w:ind w:right="-53" w:rightChars="-25"/>
              <w:rPr>
                <w:rFonts w:hint="eastAsia" w:ascii="宋体" w:hAnsi="宋体" w:cs="宋体"/>
                <w:color w:val="auto"/>
                <w:highlight w:val="none"/>
              </w:rPr>
            </w:pPr>
            <w:r>
              <w:rPr>
                <w:rFonts w:hint="eastAsia" w:ascii="宋体" w:hAnsi="宋体"/>
                <w:b/>
                <w:bCs/>
                <w:color w:val="auto"/>
                <w:szCs w:val="21"/>
                <w:highlight w:val="none"/>
              </w:rPr>
              <w:t>[中]</w:t>
            </w:r>
            <w:r>
              <w:rPr>
                <w:rFonts w:hint="eastAsia" w:ascii="宋体" w:hAnsi="宋体" w:cs="宋体"/>
                <w:color w:val="auto"/>
                <w:highlight w:val="none"/>
              </w:rPr>
              <w:t>有设计和施工融合措施，有设计和施工融合管理体系，逻辑性较一般、条理一般的设计和施工融合措施，在项目的设计、施工及保修等过程中，设计方、施工方协作基本符合项目的各阶段需求，得4分。</w:t>
            </w:r>
          </w:p>
          <w:p w14:paraId="50F54FDE">
            <w:pPr>
              <w:snapToGrid w:val="0"/>
              <w:spacing w:after="78" w:afterLines="25"/>
              <w:ind w:right="-53" w:rightChars="-25"/>
              <w:rPr>
                <w:rFonts w:hint="eastAsia" w:ascii="宋体" w:hAnsi="宋体"/>
                <w:color w:val="auto"/>
                <w:szCs w:val="21"/>
                <w:highlight w:val="none"/>
              </w:rPr>
            </w:pPr>
            <w:r>
              <w:rPr>
                <w:rFonts w:hint="eastAsia" w:ascii="宋体" w:hAnsi="宋体"/>
                <w:b/>
                <w:bCs/>
                <w:color w:val="auto"/>
                <w:szCs w:val="21"/>
                <w:highlight w:val="none"/>
              </w:rPr>
              <w:t>[差]</w:t>
            </w:r>
            <w:r>
              <w:rPr>
                <w:rFonts w:hint="eastAsia" w:ascii="宋体" w:hAnsi="宋体" w:cs="宋体"/>
                <w:color w:val="auto"/>
                <w:highlight w:val="none"/>
              </w:rPr>
              <w:t>没有提供上述内容的，得0分。</w:t>
            </w:r>
          </w:p>
        </w:tc>
      </w:tr>
      <w:tr w14:paraId="6E764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34545896">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3F31147E">
            <w:pPr>
              <w:snapToGrid w:val="0"/>
              <w:ind w:left="-53" w:leftChars="-25" w:right="-53" w:rightChars="-25"/>
              <w:jc w:val="center"/>
              <w:rPr>
                <w:rFonts w:hint="eastAsia" w:ascii="宋体" w:hAnsi="宋体" w:cs="宋体"/>
                <w:color w:val="auto"/>
                <w:highlight w:val="none"/>
              </w:rPr>
            </w:pPr>
          </w:p>
        </w:tc>
        <w:tc>
          <w:tcPr>
            <w:tcW w:w="909" w:type="dxa"/>
            <w:vMerge w:val="continue"/>
            <w:tcBorders>
              <w:left w:val="single" w:color="auto" w:sz="4" w:space="0"/>
              <w:right w:val="single" w:color="auto" w:sz="4" w:space="0"/>
            </w:tcBorders>
            <w:noWrap w:val="0"/>
            <w:vAlign w:val="center"/>
          </w:tcPr>
          <w:p w14:paraId="4121D5FC">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bottom w:val="single" w:color="auto" w:sz="4" w:space="0"/>
              <w:right w:val="single" w:color="auto" w:sz="4" w:space="0"/>
            </w:tcBorders>
            <w:noWrap w:val="0"/>
            <w:vAlign w:val="center"/>
          </w:tcPr>
          <w:p w14:paraId="551D0FAE">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绿色节能</w:t>
            </w:r>
          </w:p>
          <w:p w14:paraId="45B9ECA3">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控制措施</w:t>
            </w:r>
          </w:p>
          <w:p w14:paraId="2F9F75F0">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（6分）</w:t>
            </w:r>
          </w:p>
        </w:tc>
        <w:tc>
          <w:tcPr>
            <w:tcW w:w="6545" w:type="dxa"/>
            <w:gridSpan w:val="2"/>
            <w:tcBorders>
              <w:top w:val="single" w:color="auto" w:sz="4" w:space="0"/>
              <w:left w:val="single" w:color="auto" w:sz="4" w:space="0"/>
              <w:bottom w:val="single" w:color="auto" w:sz="4" w:space="0"/>
              <w:right w:val="single" w:color="auto" w:sz="4" w:space="0"/>
            </w:tcBorders>
            <w:noWrap w:val="0"/>
            <w:vAlign w:val="center"/>
          </w:tcPr>
          <w:p w14:paraId="7F7D8B9E">
            <w:pPr>
              <w:snapToGrid w:val="0"/>
              <w:ind w:right="-53" w:rightChars="-25"/>
              <w:rPr>
                <w:rFonts w:hint="eastAsia" w:ascii="宋体" w:hAnsi="宋体" w:cs="宋体"/>
                <w:color w:val="auto"/>
                <w:highlight w:val="none"/>
              </w:rPr>
            </w:pPr>
            <w:r>
              <w:rPr>
                <w:rFonts w:hint="eastAsia" w:ascii="宋体" w:hAnsi="宋体" w:cs="宋体"/>
                <w:color w:val="auto"/>
                <w:highlight w:val="none"/>
              </w:rPr>
              <w:t>针对本项目特点，制定了相应的绿色节能控制措施；最大限度地节约资源与减少对环境的负面影响，以达到“四节一环保”目标。</w:t>
            </w:r>
          </w:p>
          <w:p w14:paraId="6A8CB610">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[优]</w:t>
            </w:r>
            <w:r>
              <w:rPr>
                <w:rFonts w:hint="eastAsia" w:ascii="宋体" w:hAnsi="宋体" w:cs="宋体"/>
                <w:color w:val="auto"/>
                <w:highlight w:val="none"/>
              </w:rPr>
              <w:t>有针对性强的绿色节能控制措施，有科学、合理的环境保护措施，有承诺在施工过程中通过科学管理和先进的技术手段，最大限度地节约资源与减少对环境的负面影响，得6分。</w:t>
            </w:r>
          </w:p>
          <w:p w14:paraId="14568E82">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[良]</w:t>
            </w:r>
            <w:r>
              <w:rPr>
                <w:rFonts w:hint="eastAsia" w:ascii="宋体" w:hAnsi="宋体" w:cs="宋体"/>
                <w:color w:val="auto"/>
                <w:highlight w:val="none"/>
              </w:rPr>
              <w:t>有针对性较强的绿色节能控制措施，有科学、较合理的环境保护措施，承诺在施工过程中通过科学管理和先进的技术手段，较大限度地节约资源与减少对环境的负面影响，得4分。</w:t>
            </w:r>
          </w:p>
          <w:p w14:paraId="1EB93301">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[中]</w:t>
            </w:r>
            <w:r>
              <w:rPr>
                <w:rFonts w:hint="eastAsia" w:ascii="宋体" w:hAnsi="宋体" w:cs="宋体"/>
                <w:color w:val="auto"/>
                <w:highlight w:val="none"/>
              </w:rPr>
              <w:t>有针对性一般的绿色节能控制措施，有科学、一般合理的环境保护措施，有承诺在施工过程中节约资源与减少对环境的负面影响，得2分。</w:t>
            </w:r>
          </w:p>
          <w:p w14:paraId="14F59A49">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[差]</w:t>
            </w:r>
            <w:r>
              <w:rPr>
                <w:rFonts w:hint="eastAsia" w:ascii="宋体" w:hAnsi="宋体" w:cs="宋体"/>
                <w:color w:val="auto"/>
                <w:highlight w:val="none"/>
              </w:rPr>
              <w:t>没有提供上述内容的，得0分。</w:t>
            </w:r>
          </w:p>
        </w:tc>
      </w:tr>
      <w:tr w14:paraId="0B5FE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04B5CC5F">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47AB963B">
            <w:pPr>
              <w:snapToGrid w:val="0"/>
              <w:ind w:left="-53" w:leftChars="-25" w:right="-53" w:rightChars="-25"/>
              <w:jc w:val="center"/>
              <w:rPr>
                <w:rFonts w:hint="eastAsia" w:ascii="宋体" w:hAnsi="宋体" w:cs="宋体"/>
                <w:color w:val="auto"/>
                <w:highlight w:val="none"/>
              </w:rPr>
            </w:pPr>
          </w:p>
        </w:tc>
        <w:tc>
          <w:tcPr>
            <w:tcW w:w="909" w:type="dxa"/>
            <w:vMerge w:val="continue"/>
            <w:tcBorders>
              <w:left w:val="single" w:color="auto" w:sz="4" w:space="0"/>
              <w:right w:val="single" w:color="auto" w:sz="4" w:space="0"/>
            </w:tcBorders>
            <w:noWrap w:val="0"/>
            <w:vAlign w:val="center"/>
          </w:tcPr>
          <w:p w14:paraId="35453FCE">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bottom w:val="single" w:color="auto" w:sz="4" w:space="0"/>
              <w:right w:val="single" w:color="auto" w:sz="4" w:space="0"/>
            </w:tcBorders>
            <w:noWrap w:val="0"/>
            <w:vAlign w:val="center"/>
          </w:tcPr>
          <w:p w14:paraId="60141B9A">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安全控制措施</w:t>
            </w:r>
          </w:p>
          <w:p w14:paraId="695AA0C9">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（8分）</w:t>
            </w:r>
          </w:p>
        </w:tc>
        <w:tc>
          <w:tcPr>
            <w:tcW w:w="6545" w:type="dxa"/>
            <w:gridSpan w:val="2"/>
            <w:tcBorders>
              <w:top w:val="single" w:color="auto" w:sz="4" w:space="0"/>
              <w:left w:val="single" w:color="auto" w:sz="4" w:space="0"/>
              <w:bottom w:val="single" w:color="auto" w:sz="4" w:space="0"/>
              <w:right w:val="single" w:color="auto" w:sz="4" w:space="0"/>
            </w:tcBorders>
            <w:noWrap w:val="0"/>
            <w:vAlign w:val="center"/>
          </w:tcPr>
          <w:p w14:paraId="4484C520">
            <w:pPr>
              <w:snapToGrid w:val="0"/>
              <w:ind w:right="-53" w:rightChars="-25"/>
              <w:rPr>
                <w:rFonts w:hint="eastAsia" w:ascii="宋体" w:hAnsi="宋体" w:cs="宋体"/>
                <w:color w:val="auto"/>
                <w:highlight w:val="none"/>
              </w:rPr>
            </w:pPr>
            <w:r>
              <w:rPr>
                <w:rFonts w:hint="eastAsia" w:ascii="宋体" w:hAnsi="宋体" w:cs="宋体"/>
                <w:color w:val="auto"/>
                <w:highlight w:val="none"/>
              </w:rPr>
              <w:t>针对本项目特点，建立了相应的安全文明施工保障体系和制定了相应的保证措施。</w:t>
            </w:r>
          </w:p>
          <w:p w14:paraId="2CF0FF3E">
            <w:pPr>
              <w:shd w:val="clear" w:color="auto" w:fill="auto"/>
              <w:jc w:val="left"/>
              <w:rPr>
                <w:rFonts w:hint="eastAsia" w:ascii="宋体" w:hAnsi="宋体" w:cs="宋体"/>
                <w:color w:val="auto"/>
                <w:szCs w:val="21"/>
                <w:highlight w:val="none"/>
                <w:u w:val="none"/>
              </w:rPr>
            </w:pPr>
            <w:r>
              <w:rPr>
                <w:rFonts w:hint="eastAsia" w:ascii="宋体" w:hAnsi="宋体"/>
                <w:b/>
                <w:bCs/>
                <w:color w:val="auto"/>
                <w:szCs w:val="21"/>
                <w:highlight w:val="none"/>
                <w:u w:val="none"/>
              </w:rPr>
              <w:t>[优]</w:t>
            </w:r>
            <w:r>
              <w:rPr>
                <w:rFonts w:hint="eastAsia" w:ascii="宋体" w:hAnsi="宋体" w:cs="宋体"/>
                <w:color w:val="auto"/>
                <w:szCs w:val="21"/>
                <w:highlight w:val="none"/>
                <w:u w:val="none"/>
                <w:lang w:bidi="ar"/>
              </w:rPr>
              <w:t>确保不发生等级安全事故</w:t>
            </w:r>
            <w:r>
              <w:rPr>
                <w:rFonts w:hint="eastAsia" w:ascii="宋体" w:hAnsi="宋体" w:cs="宋体"/>
                <w:color w:val="auto"/>
                <w:szCs w:val="21"/>
                <w:highlight w:val="none"/>
                <w:u w:val="none"/>
                <w:lang w:eastAsia="zh-CN" w:bidi="ar"/>
              </w:rPr>
              <w:t>（</w:t>
            </w:r>
            <w:r>
              <w:rPr>
                <w:rFonts w:hint="eastAsia" w:ascii="宋体" w:hAnsi="宋体" w:cs="宋体"/>
                <w:color w:val="auto"/>
                <w:szCs w:val="21"/>
                <w:highlight w:val="none"/>
                <w:u w:val="none"/>
                <w:lang w:val="en-US" w:eastAsia="zh-CN" w:bidi="ar"/>
              </w:rPr>
              <w:t>需出具承诺函，格式自拟</w:t>
            </w:r>
            <w:r>
              <w:rPr>
                <w:rFonts w:hint="eastAsia" w:ascii="宋体" w:hAnsi="宋体" w:cs="宋体"/>
                <w:color w:val="auto"/>
                <w:szCs w:val="21"/>
                <w:highlight w:val="none"/>
                <w:u w:val="none"/>
                <w:lang w:eastAsia="zh-CN" w:bidi="ar"/>
              </w:rPr>
              <w:t>）</w:t>
            </w:r>
            <w:r>
              <w:rPr>
                <w:rFonts w:hint="eastAsia" w:ascii="宋体" w:hAnsi="宋体" w:cs="宋体"/>
                <w:color w:val="auto"/>
                <w:szCs w:val="21"/>
                <w:highlight w:val="none"/>
                <w:u w:val="none"/>
                <w:lang w:bidi="ar"/>
              </w:rPr>
              <w:t>，提供的安全文明施工管理体系、安全文明施工保证措施，措施科学有效、合理、有针对各类安全隐患的防范措施，得</w:t>
            </w:r>
            <w:r>
              <w:rPr>
                <w:rFonts w:hint="eastAsia" w:ascii="宋体" w:hAnsi="宋体" w:cs="宋体"/>
                <w:color w:val="auto"/>
                <w:szCs w:val="21"/>
                <w:highlight w:val="none"/>
                <w:u w:val="none"/>
                <w:lang w:val="en-US" w:eastAsia="zh-CN" w:bidi="ar"/>
              </w:rPr>
              <w:t>8</w:t>
            </w:r>
            <w:r>
              <w:rPr>
                <w:rFonts w:hint="eastAsia" w:ascii="宋体" w:hAnsi="宋体" w:cs="宋体"/>
                <w:color w:val="auto"/>
                <w:szCs w:val="21"/>
                <w:highlight w:val="none"/>
                <w:u w:val="none"/>
                <w:lang w:bidi="ar"/>
              </w:rPr>
              <w:t>分；</w:t>
            </w:r>
          </w:p>
          <w:p w14:paraId="4653F267">
            <w:pPr>
              <w:shd w:val="clear" w:color="auto" w:fill="auto"/>
              <w:jc w:val="left"/>
              <w:rPr>
                <w:rFonts w:hint="eastAsia" w:ascii="宋体" w:hAnsi="宋体" w:cs="宋体"/>
                <w:color w:val="auto"/>
                <w:szCs w:val="21"/>
                <w:highlight w:val="none"/>
                <w:u w:val="none"/>
              </w:rPr>
            </w:pPr>
            <w:r>
              <w:rPr>
                <w:rFonts w:hint="eastAsia" w:ascii="宋体" w:hAnsi="宋体"/>
                <w:b/>
                <w:bCs/>
                <w:color w:val="auto"/>
                <w:szCs w:val="21"/>
                <w:highlight w:val="none"/>
                <w:u w:val="none"/>
              </w:rPr>
              <w:t>[良]</w:t>
            </w:r>
            <w:r>
              <w:rPr>
                <w:rFonts w:hint="eastAsia" w:ascii="宋体" w:hAnsi="宋体" w:cs="宋体"/>
                <w:color w:val="auto"/>
                <w:szCs w:val="21"/>
                <w:highlight w:val="none"/>
                <w:u w:val="none"/>
                <w:lang w:bidi="ar"/>
              </w:rPr>
              <w:t>确保不发生等级安全事故</w:t>
            </w:r>
            <w:r>
              <w:rPr>
                <w:rFonts w:hint="eastAsia" w:ascii="宋体" w:hAnsi="宋体" w:cs="宋体"/>
                <w:color w:val="auto"/>
                <w:szCs w:val="21"/>
                <w:highlight w:val="none"/>
                <w:u w:val="none"/>
                <w:lang w:eastAsia="zh-CN" w:bidi="ar"/>
              </w:rPr>
              <w:t>（</w:t>
            </w:r>
            <w:r>
              <w:rPr>
                <w:rFonts w:hint="eastAsia" w:ascii="宋体" w:hAnsi="宋体" w:cs="宋体"/>
                <w:color w:val="auto"/>
                <w:szCs w:val="21"/>
                <w:highlight w:val="none"/>
                <w:u w:val="none"/>
                <w:lang w:val="en-US" w:eastAsia="zh-CN" w:bidi="ar"/>
              </w:rPr>
              <w:t>需出具承诺函，格式自拟</w:t>
            </w:r>
            <w:r>
              <w:rPr>
                <w:rFonts w:hint="eastAsia" w:ascii="宋体" w:hAnsi="宋体" w:cs="宋体"/>
                <w:color w:val="auto"/>
                <w:szCs w:val="21"/>
                <w:highlight w:val="none"/>
                <w:u w:val="none"/>
                <w:lang w:eastAsia="zh-CN" w:bidi="ar"/>
              </w:rPr>
              <w:t>）</w:t>
            </w:r>
            <w:r>
              <w:rPr>
                <w:rFonts w:hint="eastAsia" w:ascii="宋体" w:hAnsi="宋体" w:cs="宋体"/>
                <w:color w:val="auto"/>
                <w:szCs w:val="21"/>
                <w:highlight w:val="none"/>
                <w:u w:val="none"/>
                <w:lang w:bidi="ar"/>
              </w:rPr>
              <w:t>，提供的安全文明施工管理体系、安全文明施工保证措施，措施较为科学有效、合理、有针对各类安全隐患的防范措施，得</w:t>
            </w:r>
            <w:r>
              <w:rPr>
                <w:rFonts w:hint="eastAsia" w:ascii="宋体" w:hAnsi="宋体" w:cs="宋体"/>
                <w:color w:val="auto"/>
                <w:szCs w:val="21"/>
                <w:highlight w:val="none"/>
                <w:u w:val="none"/>
                <w:lang w:val="en-US" w:eastAsia="zh-CN" w:bidi="ar"/>
              </w:rPr>
              <w:t>6</w:t>
            </w:r>
            <w:r>
              <w:rPr>
                <w:rFonts w:hint="eastAsia" w:ascii="宋体" w:hAnsi="宋体" w:cs="宋体"/>
                <w:color w:val="auto"/>
                <w:szCs w:val="21"/>
                <w:highlight w:val="none"/>
                <w:u w:val="none"/>
                <w:lang w:bidi="ar"/>
              </w:rPr>
              <w:t>分；</w:t>
            </w:r>
          </w:p>
          <w:p w14:paraId="46F9A616">
            <w:pPr>
              <w:shd w:val="clear" w:color="auto" w:fill="auto"/>
              <w:jc w:val="left"/>
              <w:rPr>
                <w:rFonts w:hint="eastAsia" w:ascii="宋体" w:hAnsi="宋体" w:cs="宋体"/>
                <w:color w:val="auto"/>
                <w:szCs w:val="21"/>
                <w:highlight w:val="none"/>
                <w:u w:val="none"/>
              </w:rPr>
            </w:pPr>
            <w:r>
              <w:rPr>
                <w:rFonts w:hint="eastAsia" w:ascii="宋体" w:hAnsi="宋体"/>
                <w:b/>
                <w:bCs/>
                <w:color w:val="auto"/>
                <w:szCs w:val="21"/>
                <w:highlight w:val="none"/>
                <w:u w:val="none"/>
              </w:rPr>
              <w:t>[中]</w:t>
            </w:r>
            <w:r>
              <w:rPr>
                <w:rFonts w:hint="eastAsia" w:ascii="宋体" w:hAnsi="宋体" w:cs="宋体"/>
                <w:color w:val="auto"/>
                <w:szCs w:val="21"/>
                <w:highlight w:val="none"/>
                <w:u w:val="none"/>
                <w:lang w:bidi="ar"/>
              </w:rPr>
              <w:t>确保不发生等级安全事故</w:t>
            </w:r>
            <w:r>
              <w:rPr>
                <w:rFonts w:hint="eastAsia" w:ascii="宋体" w:hAnsi="宋体" w:cs="宋体"/>
                <w:color w:val="auto"/>
                <w:szCs w:val="21"/>
                <w:highlight w:val="none"/>
                <w:u w:val="none"/>
                <w:lang w:eastAsia="zh-CN" w:bidi="ar"/>
              </w:rPr>
              <w:t>（</w:t>
            </w:r>
            <w:r>
              <w:rPr>
                <w:rFonts w:hint="eastAsia" w:ascii="宋体" w:hAnsi="宋体" w:cs="宋体"/>
                <w:color w:val="auto"/>
                <w:szCs w:val="21"/>
                <w:highlight w:val="none"/>
                <w:u w:val="none"/>
                <w:lang w:val="en-US" w:eastAsia="zh-CN" w:bidi="ar"/>
              </w:rPr>
              <w:t>需出具承诺函，格式自拟</w:t>
            </w:r>
            <w:r>
              <w:rPr>
                <w:rFonts w:hint="eastAsia" w:ascii="宋体" w:hAnsi="宋体" w:cs="宋体"/>
                <w:color w:val="auto"/>
                <w:szCs w:val="21"/>
                <w:highlight w:val="none"/>
                <w:u w:val="none"/>
                <w:lang w:eastAsia="zh-CN" w:bidi="ar"/>
              </w:rPr>
              <w:t>）</w:t>
            </w:r>
            <w:r>
              <w:rPr>
                <w:rFonts w:hint="eastAsia" w:ascii="宋体" w:hAnsi="宋体" w:cs="宋体"/>
                <w:color w:val="auto"/>
                <w:szCs w:val="21"/>
                <w:highlight w:val="none"/>
                <w:u w:val="none"/>
                <w:lang w:bidi="ar"/>
              </w:rPr>
              <w:t>，提供的安全文明施工管理体系、安全文明施工保证措施，措施</w:t>
            </w:r>
            <w:r>
              <w:rPr>
                <w:rFonts w:hint="eastAsia" w:ascii="宋体" w:hAnsi="宋体" w:cs="宋体"/>
                <w:color w:val="auto"/>
                <w:szCs w:val="21"/>
                <w:highlight w:val="none"/>
                <w:u w:val="none"/>
                <w:lang w:val="en-US" w:eastAsia="zh-CN" w:bidi="ar"/>
              </w:rPr>
              <w:t>不够</w:t>
            </w:r>
            <w:r>
              <w:rPr>
                <w:rFonts w:hint="eastAsia" w:ascii="宋体" w:hAnsi="宋体" w:cs="宋体"/>
                <w:color w:val="auto"/>
                <w:szCs w:val="21"/>
                <w:highlight w:val="none"/>
                <w:u w:val="none"/>
                <w:lang w:bidi="ar"/>
              </w:rPr>
              <w:t>科学有效、合理，得</w:t>
            </w:r>
            <w:r>
              <w:rPr>
                <w:rFonts w:hint="eastAsia" w:ascii="宋体" w:hAnsi="宋体" w:cs="宋体"/>
                <w:color w:val="auto"/>
                <w:szCs w:val="21"/>
                <w:highlight w:val="none"/>
                <w:u w:val="none"/>
                <w:lang w:val="en-US" w:eastAsia="zh-CN" w:bidi="ar"/>
              </w:rPr>
              <w:t>4</w:t>
            </w:r>
            <w:r>
              <w:rPr>
                <w:rFonts w:hint="eastAsia" w:ascii="宋体" w:hAnsi="宋体" w:cs="宋体"/>
                <w:color w:val="auto"/>
                <w:szCs w:val="21"/>
                <w:highlight w:val="none"/>
                <w:u w:val="none"/>
                <w:lang w:bidi="ar"/>
              </w:rPr>
              <w:t>分；</w:t>
            </w:r>
          </w:p>
          <w:p w14:paraId="015D19D9">
            <w:pPr>
              <w:snapToGrid w:val="0"/>
              <w:ind w:right="-53" w:rightChars="-25"/>
              <w:rPr>
                <w:rFonts w:hint="eastAsia" w:ascii="宋体" w:hAnsi="宋体" w:cs="宋体"/>
                <w:color w:val="auto"/>
                <w:highlight w:val="none"/>
              </w:rPr>
            </w:pPr>
            <w:r>
              <w:rPr>
                <w:rFonts w:hint="eastAsia" w:ascii="宋体" w:hAnsi="宋体"/>
                <w:b/>
                <w:bCs/>
                <w:color w:val="auto"/>
                <w:szCs w:val="21"/>
                <w:highlight w:val="none"/>
                <w:u w:val="none"/>
              </w:rPr>
              <w:t>[差]</w:t>
            </w:r>
            <w:r>
              <w:rPr>
                <w:rFonts w:hint="eastAsia" w:ascii="宋体" w:hAnsi="宋体" w:cs="宋体"/>
                <w:color w:val="auto"/>
                <w:szCs w:val="21"/>
                <w:highlight w:val="none"/>
                <w:u w:val="none"/>
                <w:lang w:bidi="ar"/>
              </w:rPr>
              <w:t>不满足前述要求者，得0分。</w:t>
            </w:r>
          </w:p>
        </w:tc>
      </w:tr>
      <w:tr w14:paraId="11B48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7E710349">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7E1CDB4F">
            <w:pPr>
              <w:snapToGrid w:val="0"/>
              <w:ind w:left="-53" w:leftChars="-25" w:right="-53" w:rightChars="-25"/>
              <w:jc w:val="center"/>
              <w:rPr>
                <w:rFonts w:hint="eastAsia" w:ascii="宋体" w:hAnsi="宋体" w:cs="宋体"/>
                <w:color w:val="auto"/>
                <w:highlight w:val="none"/>
              </w:rPr>
            </w:pPr>
          </w:p>
        </w:tc>
        <w:tc>
          <w:tcPr>
            <w:tcW w:w="909" w:type="dxa"/>
            <w:vMerge w:val="continue"/>
            <w:tcBorders>
              <w:left w:val="single" w:color="auto" w:sz="4" w:space="0"/>
              <w:right w:val="single" w:color="auto" w:sz="4" w:space="0"/>
            </w:tcBorders>
            <w:noWrap w:val="0"/>
            <w:vAlign w:val="center"/>
          </w:tcPr>
          <w:p w14:paraId="216C548B">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bottom w:val="single" w:color="auto" w:sz="4" w:space="0"/>
              <w:right w:val="single" w:color="auto" w:sz="4" w:space="0"/>
            </w:tcBorders>
            <w:noWrap w:val="0"/>
            <w:vAlign w:val="center"/>
          </w:tcPr>
          <w:p w14:paraId="5B4D9148">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质量控制措施</w:t>
            </w:r>
          </w:p>
          <w:p w14:paraId="2E003D2B">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（8分）</w:t>
            </w:r>
          </w:p>
        </w:tc>
        <w:tc>
          <w:tcPr>
            <w:tcW w:w="6545" w:type="dxa"/>
            <w:gridSpan w:val="2"/>
            <w:tcBorders>
              <w:top w:val="single" w:color="auto" w:sz="4" w:space="0"/>
              <w:left w:val="single" w:color="auto" w:sz="4" w:space="0"/>
              <w:bottom w:val="single" w:color="auto" w:sz="4" w:space="0"/>
              <w:right w:val="single" w:color="auto" w:sz="4" w:space="0"/>
            </w:tcBorders>
            <w:noWrap w:val="0"/>
            <w:vAlign w:val="center"/>
          </w:tcPr>
          <w:p w14:paraId="5E7397C9">
            <w:pPr>
              <w:snapToGrid w:val="0"/>
              <w:ind w:right="-53" w:rightChars="-25"/>
              <w:rPr>
                <w:rFonts w:hint="eastAsia" w:ascii="宋体" w:hAnsi="宋体" w:cs="宋体"/>
                <w:color w:val="auto"/>
                <w:highlight w:val="none"/>
              </w:rPr>
            </w:pPr>
            <w:r>
              <w:rPr>
                <w:rFonts w:hint="eastAsia" w:ascii="宋体" w:hAnsi="宋体" w:cs="宋体"/>
                <w:color w:val="auto"/>
                <w:spacing w:val="-3"/>
                <w:highlight w:val="none"/>
              </w:rPr>
              <w:t>针对本项目特点，制定了相应的质量控制措施。</w:t>
            </w:r>
          </w:p>
          <w:p w14:paraId="7358E100">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[优]</w:t>
            </w:r>
            <w:r>
              <w:rPr>
                <w:rFonts w:hint="eastAsia" w:ascii="宋体" w:hAnsi="宋体" w:cs="宋体"/>
                <w:color w:val="auto"/>
                <w:highlight w:val="none"/>
              </w:rPr>
              <w:t xml:space="preserve"> 质量目标符合招标文件要求，提供了医用净化系统施工保证措施，质量保证体系完善且质量保证措施可靠，得8分；</w:t>
            </w:r>
          </w:p>
          <w:p w14:paraId="5C1B41A5">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[良]</w:t>
            </w:r>
            <w:r>
              <w:rPr>
                <w:rFonts w:hint="eastAsia" w:ascii="宋体" w:hAnsi="宋体" w:cs="宋体"/>
                <w:color w:val="auto"/>
                <w:highlight w:val="none"/>
              </w:rPr>
              <w:t xml:space="preserve"> 质量目标符合招标文件要求，提供了医疗净化系统施工保证措施，质量保证措施可行，得6分；</w:t>
            </w:r>
          </w:p>
          <w:p w14:paraId="269D0948">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[中]</w:t>
            </w:r>
            <w:r>
              <w:rPr>
                <w:rFonts w:hint="eastAsia" w:ascii="宋体" w:hAnsi="宋体" w:cs="宋体"/>
                <w:color w:val="auto"/>
                <w:highlight w:val="none"/>
              </w:rPr>
              <w:t xml:space="preserve"> 质量目标符合招标文件要求，提供了医疗净化系统施工保证措施，且保证措施内容一般，得4分；</w:t>
            </w:r>
          </w:p>
          <w:p w14:paraId="6820CDC9">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[差]</w:t>
            </w:r>
            <w:r>
              <w:rPr>
                <w:rFonts w:hint="eastAsia" w:ascii="宋体" w:hAnsi="宋体" w:cs="宋体"/>
                <w:color w:val="auto"/>
                <w:highlight w:val="none"/>
              </w:rPr>
              <w:t>没有提供上述内容的，得0分。</w:t>
            </w:r>
          </w:p>
        </w:tc>
      </w:tr>
      <w:tr w14:paraId="5F522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0F1E825A">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12FE1D59">
            <w:pPr>
              <w:snapToGrid w:val="0"/>
              <w:ind w:left="-53" w:leftChars="-25" w:right="-53" w:rightChars="-25"/>
              <w:jc w:val="center"/>
              <w:rPr>
                <w:rFonts w:hint="eastAsia" w:ascii="宋体" w:hAnsi="宋体" w:cs="宋体"/>
                <w:color w:val="auto"/>
                <w:highlight w:val="none"/>
              </w:rPr>
            </w:pPr>
          </w:p>
        </w:tc>
        <w:tc>
          <w:tcPr>
            <w:tcW w:w="909" w:type="dxa"/>
            <w:vMerge w:val="continue"/>
            <w:tcBorders>
              <w:left w:val="single" w:color="auto" w:sz="4" w:space="0"/>
              <w:right w:val="single" w:color="auto" w:sz="4" w:space="0"/>
            </w:tcBorders>
            <w:noWrap w:val="0"/>
            <w:vAlign w:val="center"/>
          </w:tcPr>
          <w:p w14:paraId="27C12F9B">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bottom w:val="single" w:color="auto" w:sz="4" w:space="0"/>
              <w:right w:val="single" w:color="auto" w:sz="4" w:space="0"/>
            </w:tcBorders>
            <w:noWrap w:val="0"/>
            <w:vAlign w:val="center"/>
          </w:tcPr>
          <w:p w14:paraId="558877DE">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进度控制措施（6分）</w:t>
            </w:r>
          </w:p>
        </w:tc>
        <w:tc>
          <w:tcPr>
            <w:tcW w:w="6545" w:type="dxa"/>
            <w:gridSpan w:val="2"/>
            <w:tcBorders>
              <w:top w:val="single" w:color="auto" w:sz="4" w:space="0"/>
              <w:left w:val="single" w:color="auto" w:sz="4" w:space="0"/>
              <w:bottom w:val="single" w:color="auto" w:sz="4" w:space="0"/>
              <w:right w:val="single" w:color="auto" w:sz="4" w:space="0"/>
            </w:tcBorders>
            <w:noWrap w:val="0"/>
            <w:vAlign w:val="center"/>
          </w:tcPr>
          <w:p w14:paraId="2F5D489E">
            <w:pPr>
              <w:snapToGrid w:val="0"/>
              <w:ind w:right="-53" w:rightChars="-25"/>
              <w:rPr>
                <w:rFonts w:hint="eastAsia" w:ascii="宋体" w:hAnsi="宋体" w:cs="宋体"/>
                <w:color w:val="auto"/>
                <w:highlight w:val="none"/>
              </w:rPr>
            </w:pPr>
            <w:r>
              <w:rPr>
                <w:rFonts w:hint="eastAsia" w:ascii="宋体" w:hAnsi="宋体" w:cs="宋体"/>
                <w:color w:val="auto"/>
                <w:highlight w:val="none"/>
              </w:rPr>
              <w:t>针对本项目特点，制定了相应的施工进度计划和保证措施的。</w:t>
            </w:r>
          </w:p>
          <w:p w14:paraId="5EC5502E">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[优]</w:t>
            </w:r>
            <w:r>
              <w:rPr>
                <w:rFonts w:hint="eastAsia" w:ascii="宋体" w:hAnsi="宋体" w:cs="宋体"/>
                <w:color w:val="auto"/>
                <w:highlight w:val="none"/>
              </w:rPr>
              <w:t>提供工期目标、施工进度计划横道图、进度保证措施，逻辑性强、可行、合理，保证措施明确具体，得6分；</w:t>
            </w:r>
          </w:p>
          <w:p w14:paraId="4E5BEF34">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[良]</w:t>
            </w:r>
            <w:r>
              <w:rPr>
                <w:rFonts w:hint="eastAsia" w:ascii="宋体" w:hAnsi="宋体" w:cs="宋体"/>
                <w:color w:val="auto"/>
                <w:highlight w:val="none"/>
              </w:rPr>
              <w:t>提供工期目标、施工进度计划横道图，逻辑性较强、可行、较合理，有保证措施，得4分；</w:t>
            </w:r>
          </w:p>
          <w:p w14:paraId="74E0C18F">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[中]</w:t>
            </w:r>
            <w:r>
              <w:rPr>
                <w:rFonts w:hint="eastAsia" w:ascii="宋体" w:hAnsi="宋体" w:cs="宋体"/>
                <w:color w:val="auto"/>
                <w:highlight w:val="none"/>
              </w:rPr>
              <w:t>提供工期目标、进度保证措施，逻辑性一般、较可行、较合理，得2分；</w:t>
            </w:r>
          </w:p>
          <w:p w14:paraId="4BE1F694">
            <w:pPr>
              <w:snapToGrid w:val="0"/>
              <w:ind w:right="-53" w:rightChars="-25"/>
              <w:rPr>
                <w:rFonts w:hint="eastAsia" w:ascii="宋体" w:hAnsi="宋体" w:cs="宋体"/>
                <w:color w:val="auto"/>
                <w:highlight w:val="none"/>
              </w:rPr>
            </w:pPr>
            <w:r>
              <w:rPr>
                <w:rFonts w:hint="eastAsia" w:ascii="宋体" w:hAnsi="宋体"/>
                <w:b/>
                <w:bCs/>
                <w:color w:val="auto"/>
                <w:szCs w:val="21"/>
                <w:highlight w:val="none"/>
              </w:rPr>
              <w:t>[差]</w:t>
            </w:r>
            <w:r>
              <w:rPr>
                <w:rFonts w:hint="eastAsia" w:ascii="宋体" w:hAnsi="宋体" w:cs="宋体"/>
                <w:color w:val="auto"/>
                <w:highlight w:val="none"/>
              </w:rPr>
              <w:t>不满足前述要求者，得0分。</w:t>
            </w:r>
          </w:p>
        </w:tc>
      </w:tr>
      <w:tr w14:paraId="19492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50E153C2">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07EEC49F">
            <w:pPr>
              <w:snapToGrid w:val="0"/>
              <w:ind w:left="-53" w:leftChars="-25" w:right="-53" w:rightChars="-25"/>
              <w:jc w:val="center"/>
              <w:rPr>
                <w:rFonts w:hint="eastAsia" w:ascii="宋体" w:hAnsi="宋体" w:cs="宋体"/>
                <w:color w:val="auto"/>
                <w:highlight w:val="none"/>
              </w:rPr>
            </w:pPr>
          </w:p>
        </w:tc>
        <w:tc>
          <w:tcPr>
            <w:tcW w:w="909" w:type="dxa"/>
            <w:vMerge w:val="continue"/>
            <w:tcBorders>
              <w:left w:val="single" w:color="auto" w:sz="4" w:space="0"/>
              <w:right w:val="single" w:color="auto" w:sz="4" w:space="0"/>
            </w:tcBorders>
            <w:noWrap w:val="0"/>
            <w:vAlign w:val="center"/>
          </w:tcPr>
          <w:p w14:paraId="36C09D0B">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bottom w:val="single" w:color="auto" w:sz="4" w:space="0"/>
              <w:right w:val="single" w:color="auto" w:sz="4" w:space="0"/>
            </w:tcBorders>
            <w:noWrap w:val="0"/>
            <w:vAlign w:val="center"/>
          </w:tcPr>
          <w:p w14:paraId="3AE2D145">
            <w:pPr>
              <w:snapToGrid w:val="0"/>
              <w:ind w:left="-53" w:leftChars="-25" w:right="-53" w:rightChars="-25"/>
              <w:jc w:val="center"/>
              <w:rPr>
                <w:rFonts w:hint="eastAsia" w:ascii="宋体" w:hAnsi="宋体" w:cs="宋体"/>
                <w:color w:val="auto"/>
                <w:highlight w:val="none"/>
              </w:rPr>
            </w:pPr>
            <w:r>
              <w:rPr>
                <w:rFonts w:hint="eastAsia" w:ascii="宋体" w:hAnsi="宋体"/>
                <w:color w:val="auto"/>
                <w:kern w:val="0"/>
                <w:szCs w:val="21"/>
                <w:highlight w:val="none"/>
              </w:rPr>
              <w:t>资源投入计划及保证措施</w:t>
            </w:r>
          </w:p>
          <w:p w14:paraId="6F60493D">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（8分）</w:t>
            </w:r>
          </w:p>
        </w:tc>
        <w:tc>
          <w:tcPr>
            <w:tcW w:w="6545" w:type="dxa"/>
            <w:gridSpan w:val="2"/>
            <w:tcBorders>
              <w:top w:val="single" w:color="auto" w:sz="4" w:space="0"/>
              <w:left w:val="single" w:color="auto" w:sz="4" w:space="0"/>
              <w:bottom w:val="single" w:color="auto" w:sz="4" w:space="0"/>
              <w:right w:val="single" w:color="auto" w:sz="4" w:space="0"/>
            </w:tcBorders>
            <w:noWrap w:val="0"/>
            <w:vAlign w:val="center"/>
          </w:tcPr>
          <w:p w14:paraId="550DC740">
            <w:pPr>
              <w:snapToGrid w:val="0"/>
              <w:ind w:right="-53" w:rightChars="-25"/>
              <w:rPr>
                <w:rFonts w:hint="eastAsia" w:ascii="宋体" w:hAnsi="宋体" w:cs="宋体"/>
                <w:color w:val="auto"/>
                <w:highlight w:val="none"/>
              </w:rPr>
            </w:pPr>
            <w:r>
              <w:rPr>
                <w:rFonts w:hint="eastAsia" w:ascii="宋体" w:hAnsi="宋体" w:cs="宋体"/>
                <w:color w:val="auto"/>
                <w:highlight w:val="none"/>
              </w:rPr>
              <w:t>根据本工程特点，制定了相应的劳动力、机械设备投入计划和保证措施。</w:t>
            </w:r>
          </w:p>
          <w:p w14:paraId="65458235">
            <w:pPr>
              <w:snapToGrid w:val="0"/>
              <w:ind w:right="-53" w:rightChars="-25"/>
              <w:rPr>
                <w:rFonts w:hint="eastAsia" w:ascii="宋体" w:hAnsi="宋体" w:cs="宋体"/>
                <w:color w:val="auto"/>
                <w:highlight w:val="none"/>
              </w:rPr>
            </w:pPr>
            <w:r>
              <w:rPr>
                <w:rFonts w:hint="eastAsia" w:ascii="宋体" w:hAnsi="宋体" w:cs="宋体"/>
                <w:color w:val="auto"/>
                <w:highlight w:val="none"/>
              </w:rPr>
              <w:t>[优] 措施有效、合理、可操作性强的，得8分。</w:t>
            </w:r>
          </w:p>
          <w:p w14:paraId="010FADDD">
            <w:pPr>
              <w:snapToGrid w:val="0"/>
              <w:ind w:right="-53" w:rightChars="-25"/>
              <w:rPr>
                <w:rFonts w:hint="eastAsia" w:ascii="宋体" w:hAnsi="宋体" w:cs="宋体"/>
                <w:color w:val="auto"/>
                <w:highlight w:val="none"/>
              </w:rPr>
            </w:pPr>
            <w:r>
              <w:rPr>
                <w:rFonts w:hint="eastAsia" w:ascii="宋体" w:hAnsi="宋体" w:cs="宋体"/>
                <w:color w:val="auto"/>
                <w:highlight w:val="none"/>
              </w:rPr>
              <w:t>[良] 措施效果一般，现场可操作性一般的，得6分。</w:t>
            </w:r>
          </w:p>
          <w:p w14:paraId="41EBC31C">
            <w:pPr>
              <w:snapToGrid w:val="0"/>
              <w:ind w:right="-53" w:rightChars="-25"/>
              <w:rPr>
                <w:rFonts w:hint="eastAsia" w:ascii="宋体" w:hAnsi="宋体" w:cs="宋体"/>
                <w:color w:val="auto"/>
                <w:highlight w:val="none"/>
              </w:rPr>
            </w:pPr>
            <w:r>
              <w:rPr>
                <w:rFonts w:hint="eastAsia" w:ascii="宋体" w:hAnsi="宋体" w:cs="宋体"/>
                <w:color w:val="auto"/>
                <w:highlight w:val="none"/>
              </w:rPr>
              <w:t>[中] 措施效果较差，现场可操作性较差的，得2分。</w:t>
            </w:r>
          </w:p>
          <w:p w14:paraId="662D4FF2">
            <w:pPr>
              <w:snapToGrid w:val="0"/>
              <w:ind w:right="-53" w:rightChars="-25"/>
              <w:rPr>
                <w:rFonts w:hint="eastAsia" w:ascii="宋体" w:hAnsi="宋体"/>
                <w:b/>
                <w:bCs/>
                <w:color w:val="auto"/>
                <w:szCs w:val="21"/>
                <w:highlight w:val="none"/>
              </w:rPr>
            </w:pPr>
            <w:r>
              <w:rPr>
                <w:rFonts w:hint="eastAsia" w:ascii="宋体" w:hAnsi="宋体" w:cs="宋体"/>
                <w:color w:val="auto"/>
                <w:highlight w:val="none"/>
              </w:rPr>
              <w:t>[差] 没有提供上述内容的，得0分。</w:t>
            </w:r>
          </w:p>
        </w:tc>
      </w:tr>
      <w:tr w14:paraId="5A1C5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5A428D92">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18EBDFAE">
            <w:pPr>
              <w:snapToGrid w:val="0"/>
              <w:ind w:left="-53" w:leftChars="-25" w:right="-53" w:rightChars="-25"/>
              <w:jc w:val="center"/>
              <w:rPr>
                <w:rFonts w:hint="eastAsia" w:ascii="宋体" w:hAnsi="宋体" w:cs="宋体"/>
                <w:color w:val="auto"/>
                <w:highlight w:val="none"/>
              </w:rPr>
            </w:pPr>
          </w:p>
        </w:tc>
        <w:tc>
          <w:tcPr>
            <w:tcW w:w="909" w:type="dxa"/>
            <w:vMerge w:val="continue"/>
            <w:tcBorders>
              <w:left w:val="single" w:color="auto" w:sz="4" w:space="0"/>
              <w:right w:val="single" w:color="auto" w:sz="4" w:space="0"/>
            </w:tcBorders>
            <w:noWrap w:val="0"/>
            <w:vAlign w:val="center"/>
          </w:tcPr>
          <w:p w14:paraId="19DDF52B">
            <w:pPr>
              <w:snapToGrid w:val="0"/>
              <w:jc w:val="center"/>
              <w:rPr>
                <w:rFonts w:hint="eastAsia" w:ascii="宋体" w:hAnsi="宋体" w:cs="宋体"/>
                <w:color w:val="auto"/>
                <w:highlight w:val="none"/>
              </w:rPr>
            </w:pPr>
          </w:p>
        </w:tc>
        <w:tc>
          <w:tcPr>
            <w:tcW w:w="735" w:type="dxa"/>
            <w:gridSpan w:val="2"/>
            <w:tcBorders>
              <w:top w:val="single" w:color="auto" w:sz="4" w:space="0"/>
              <w:left w:val="single" w:color="auto" w:sz="4" w:space="0"/>
              <w:bottom w:val="single" w:color="auto" w:sz="4" w:space="0"/>
              <w:right w:val="single" w:color="auto" w:sz="4" w:space="0"/>
            </w:tcBorders>
            <w:noWrap w:val="0"/>
            <w:vAlign w:val="center"/>
          </w:tcPr>
          <w:p w14:paraId="69396F27">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项目管理机构答辩（20分）</w:t>
            </w:r>
          </w:p>
        </w:tc>
        <w:tc>
          <w:tcPr>
            <w:tcW w:w="6545" w:type="dxa"/>
            <w:gridSpan w:val="2"/>
            <w:tcBorders>
              <w:top w:val="single" w:color="auto" w:sz="4" w:space="0"/>
              <w:left w:val="single" w:color="auto" w:sz="4" w:space="0"/>
              <w:bottom w:val="single" w:color="auto" w:sz="4" w:space="0"/>
              <w:right w:val="single" w:color="auto" w:sz="4" w:space="0"/>
            </w:tcBorders>
            <w:noWrap w:val="0"/>
            <w:vAlign w:val="center"/>
          </w:tcPr>
          <w:p w14:paraId="74D82CA4">
            <w:pPr>
              <w:rPr>
                <w:rFonts w:hint="eastAsia" w:ascii="宋体" w:hAnsi="宋体" w:cs="宋体"/>
                <w:color w:val="auto"/>
                <w:szCs w:val="21"/>
                <w:highlight w:val="none"/>
              </w:rPr>
            </w:pPr>
            <w:r>
              <w:rPr>
                <w:rFonts w:hint="eastAsia" w:ascii="宋体" w:hAnsi="宋体" w:cs="宋体"/>
                <w:color w:val="auto"/>
                <w:szCs w:val="21"/>
                <w:highlight w:val="none"/>
                <w:lang w:bidi="ar"/>
              </w:rPr>
              <w:t>拟派项目负责人或技术负责人答辩（项目负责人和技术负责人可同时参加，每个投标人答辩时间不超过20分钟）。</w:t>
            </w:r>
          </w:p>
          <w:p w14:paraId="4B33C4E4">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1.结合本工程实际情况，阐述要点包括但不限于对本项目履约能力和履约水平的介绍，对本项目施工安全、工期及质量管理以及施工重点和难点的分析和应对措施阐述，从工程施工安全、工期及质量管理、制剂室等功能区域关键施工工艺措施、改造重建方案关键施工工艺措施及针对本项目向招标单位提供合理化建议等方面，表述本项目施工方案及措施：</w:t>
            </w:r>
          </w:p>
          <w:p w14:paraId="1CEEFF6E">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1）对本项目的工程施工安全措施、工期及质量管理措施详尽有效、制剂室等功能区域关键施工工艺措施、改造重建方案关键施工工艺措施考虑周全完整可行、针对本项目的合理化建议表达清楚科学有效，综合各方面整体情况能完全满足或优于，得8-12分；</w:t>
            </w:r>
          </w:p>
          <w:p w14:paraId="77D8ABDD">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2）对本项目的工程施工安全措施满足项目要求、制剂室等功能区域关键施工工艺措施、改造重建方案关键施工工艺措施考虑符合项目要求、针对本项目的合理化建议符合项目要求，综合各方面整体情况一般，得5-7分；</w:t>
            </w:r>
          </w:p>
          <w:p w14:paraId="57201AF2">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3）对本项目的工程施工安全措施基本符合项目要求、制剂室等功能区域关键施工工艺措施、改造重建方案关键施工工艺措施基本符合项目要求、针对本项目的合理化建议基本符合项目要求，综合各方面整体情况较差，得0-4分；</w:t>
            </w:r>
          </w:p>
          <w:p w14:paraId="29ED3E15">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（4）本项最高得12分。</w:t>
            </w:r>
          </w:p>
          <w:p w14:paraId="18F41E77">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2.根据评标委员会的提问进行答复：</w:t>
            </w:r>
          </w:p>
          <w:p w14:paraId="5414A40C">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（1）对评标委员会的提问有清晰的理解和认知，答辩流畅、思路清晰，答复能全面概括包含的内容、有效、全面、完整、可行，整体情况最优，得6-8分；</w:t>
            </w:r>
          </w:p>
          <w:p w14:paraId="0C0811BB">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（2）对评标委员会的提问能理解，答辩较流畅、思路较清晰，答复基本能包含问题的内容，基本满足答辩要求，整体情况一般，得3-5分；</w:t>
            </w:r>
          </w:p>
          <w:p w14:paraId="17A2BE5B">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（3）对评标委员会的提问理解程度较差，不能有效回复问题的内容，答复的内容完整程度差或不完整，整体情况较差，得0-2分；</w:t>
            </w:r>
          </w:p>
          <w:p w14:paraId="284792F7">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（4）本项最高得8分。</w:t>
            </w:r>
          </w:p>
          <w:p w14:paraId="7975C41B">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备注：（1）投标单位的项目负责人或技术负责人须携带本人身份证原件参加答辩，预计答辩时间和地点以招标人（招标代理）开标当天通知为准。</w:t>
            </w:r>
          </w:p>
          <w:p w14:paraId="020DB45A">
            <w:pPr>
              <w:snapToGrid w:val="0"/>
              <w:ind w:right="-53" w:rightChars="-25"/>
              <w:rPr>
                <w:rFonts w:hint="eastAsia" w:ascii="宋体" w:hAnsi="宋体" w:cs="宋体"/>
                <w:color w:val="auto"/>
                <w:szCs w:val="21"/>
                <w:highlight w:val="none"/>
              </w:rPr>
            </w:pPr>
            <w:r>
              <w:rPr>
                <w:rFonts w:hint="eastAsia" w:ascii="宋体" w:hAnsi="宋体" w:cs="宋体"/>
                <w:color w:val="auto"/>
                <w:szCs w:val="21"/>
                <w:highlight w:val="none"/>
                <w:lang w:bidi="ar"/>
              </w:rPr>
              <w:t>（2）评标委员会在完成初步评审后可开始答辩，具体答辩开始时间以评标委员会通知为准。未通过初步评审的投标单位无需再参与答辩。</w:t>
            </w:r>
          </w:p>
          <w:p w14:paraId="45B5F1D1">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（3）投标单位项目负责人及技术负责人均没有参加现场答辩的，得0分。</w:t>
            </w:r>
          </w:p>
          <w:p w14:paraId="04140B7F">
            <w:pPr>
              <w:widowControl/>
              <w:jc w:val="left"/>
              <w:rPr>
                <w:rFonts w:hint="eastAsia" w:ascii="宋体" w:hAnsi="宋体" w:cs="宋体"/>
                <w:color w:val="auto"/>
                <w:highlight w:val="none"/>
              </w:rPr>
            </w:pPr>
            <w:r>
              <w:rPr>
                <w:rFonts w:hint="eastAsia" w:ascii="宋体" w:hAnsi="宋体" w:cs="宋体"/>
                <w:b/>
                <w:bCs/>
                <w:color w:val="auto"/>
                <w:szCs w:val="21"/>
                <w:highlight w:val="none"/>
                <w:u w:val="single"/>
                <w:lang w:bidi="ar"/>
              </w:rPr>
              <w:t>（4）答辩顺序：按《开标记录表》中显示的先后顺序代表相应投标人的现场答辩的顺序号。由参与答辩的人员出示身份证原件，核对确认身份后签到</w:t>
            </w:r>
            <w:r>
              <w:rPr>
                <w:rFonts w:hint="eastAsia" w:ascii="宋体" w:hAnsi="宋体" w:cs="宋体"/>
                <w:b/>
                <w:bCs/>
                <w:color w:val="auto"/>
                <w:szCs w:val="21"/>
                <w:highlight w:val="none"/>
                <w:u w:val="single"/>
                <w:lang w:eastAsia="zh-CN" w:bidi="ar"/>
              </w:rPr>
              <w:t>，</w:t>
            </w:r>
            <w:r>
              <w:rPr>
                <w:rFonts w:hint="eastAsia" w:ascii="宋体" w:hAnsi="宋体" w:cs="宋体"/>
                <w:b/>
                <w:bCs/>
                <w:color w:val="auto"/>
                <w:szCs w:val="21"/>
                <w:highlight w:val="none"/>
                <w:u w:val="single"/>
                <w:lang w:val="en-US" w:eastAsia="zh-CN" w:bidi="ar"/>
              </w:rPr>
              <w:t>再参与答辩</w:t>
            </w:r>
            <w:r>
              <w:rPr>
                <w:rFonts w:hint="eastAsia" w:ascii="宋体" w:hAnsi="宋体" w:cs="宋体"/>
                <w:b/>
                <w:bCs/>
                <w:color w:val="auto"/>
                <w:szCs w:val="21"/>
                <w:highlight w:val="none"/>
                <w:u w:val="single"/>
                <w:lang w:bidi="ar"/>
              </w:rPr>
              <w:t>。如因投标人原因造成逾期到达广州公共资源交易中心指定区域的，视为自动放弃答辩资格，则答辩顺序由后面的序号依次替补而顺延。未通过资格审查的投标单位无需再参与答辩。</w:t>
            </w:r>
          </w:p>
        </w:tc>
      </w:tr>
      <w:tr w14:paraId="362EAC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40" w:type="dxa"/>
            <w:left w:w="85" w:type="dxa"/>
            <w:bottom w:w="34" w:type="dxa"/>
            <w:right w:w="85" w:type="dxa"/>
          </w:tblCellMar>
        </w:tblPrEx>
        <w:trPr>
          <w:gridAfter w:val="1"/>
          <w:wAfter w:w="43" w:type="dxa"/>
          <w:trHeight w:val="284"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14:paraId="6C4B3A85">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2.2.4（3）</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0B134B8">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投标报价评分标准</w:t>
            </w:r>
          </w:p>
        </w:tc>
        <w:tc>
          <w:tcPr>
            <w:tcW w:w="1269" w:type="dxa"/>
            <w:gridSpan w:val="2"/>
            <w:tcBorders>
              <w:top w:val="single" w:color="auto" w:sz="4" w:space="0"/>
              <w:left w:val="single" w:color="auto" w:sz="4" w:space="0"/>
              <w:bottom w:val="single" w:color="auto" w:sz="4" w:space="0"/>
              <w:right w:val="single" w:color="auto" w:sz="4" w:space="0"/>
            </w:tcBorders>
            <w:noWrap w:val="0"/>
            <w:vAlign w:val="center"/>
          </w:tcPr>
          <w:p w14:paraId="10228A61">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报价得分</w:t>
            </w:r>
          </w:p>
          <w:p w14:paraId="7B7A091B">
            <w:pPr>
              <w:widowControl/>
              <w:snapToGrid w:val="0"/>
              <w:jc w:val="center"/>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100</w:t>
            </w:r>
            <w:r>
              <w:rPr>
                <w:rFonts w:hint="eastAsia" w:ascii="宋体" w:hAnsi="宋体"/>
                <w:color w:val="auto"/>
                <w:highlight w:val="none"/>
              </w:rPr>
              <w:t>分）</w:t>
            </w:r>
          </w:p>
        </w:tc>
        <w:tc>
          <w:tcPr>
            <w:tcW w:w="6877" w:type="dxa"/>
            <w:gridSpan w:val="2"/>
            <w:tcBorders>
              <w:top w:val="single" w:color="auto" w:sz="4" w:space="0"/>
              <w:left w:val="single" w:color="auto" w:sz="4" w:space="0"/>
              <w:bottom w:val="single" w:color="auto" w:sz="4" w:space="0"/>
              <w:right w:val="single" w:color="auto" w:sz="4" w:space="0"/>
            </w:tcBorders>
            <w:noWrap w:val="0"/>
            <w:vAlign w:val="center"/>
          </w:tcPr>
          <w:p w14:paraId="0E6DDB2D">
            <w:pPr>
              <w:snapToGrid w:val="0"/>
              <w:jc w:val="left"/>
              <w:rPr>
                <w:rFonts w:hint="eastAsia" w:ascii="宋体" w:hAnsi="宋体" w:cs="宋体"/>
                <w:color w:val="auto"/>
                <w:szCs w:val="21"/>
                <w:highlight w:val="none"/>
              </w:rPr>
            </w:pPr>
            <w:r>
              <w:rPr>
                <w:rFonts w:hint="eastAsia" w:ascii="宋体" w:hAnsi="宋体" w:cs="宋体"/>
                <w:color w:val="auto"/>
                <w:highlight w:val="none"/>
                <w:lang w:bidi="zh-TW"/>
              </w:rPr>
              <w:t>当经算术校核的建安工程费投标报价等于评标基准价时得100分，报价每高于评标基准价1%，扣1.5分，每低于评标基准价1%，扣1分，扣至0分为止，得出投标报价得分，精确到小数点后两位。</w:t>
            </w:r>
          </w:p>
        </w:tc>
      </w:tr>
    </w:tbl>
    <w:p w14:paraId="6B391F20">
      <w:pPr>
        <w:spacing w:line="320" w:lineRule="exact"/>
        <w:ind w:left="-321" w:leftChars="-153"/>
        <w:rPr>
          <w:rFonts w:hint="eastAsia" w:ascii="宋体" w:hAnsi="宋体"/>
          <w:b/>
          <w:color w:val="auto"/>
          <w:highlight w:val="none"/>
        </w:rPr>
      </w:pPr>
      <w:r>
        <w:rPr>
          <w:rFonts w:hint="eastAsia" w:ascii="宋体" w:hAnsi="宋体"/>
          <w:b/>
          <w:color w:val="auto"/>
          <w:highlight w:val="none"/>
        </w:rPr>
        <w:t>备注：</w:t>
      </w:r>
    </w:p>
    <w:p w14:paraId="325DD4FE">
      <w:pPr>
        <w:spacing w:line="320" w:lineRule="exact"/>
        <w:ind w:firstLine="316" w:firstLineChars="150"/>
        <w:rPr>
          <w:rFonts w:hint="eastAsia" w:ascii="宋体" w:hAnsi="宋体"/>
          <w:b/>
          <w:color w:val="auto"/>
          <w:highlight w:val="none"/>
        </w:rPr>
      </w:pPr>
      <w:r>
        <w:rPr>
          <w:rFonts w:hint="eastAsia" w:ascii="宋体" w:hAnsi="宋体"/>
          <w:b/>
          <w:color w:val="auto"/>
          <w:highlight w:val="none"/>
        </w:rPr>
        <w:t>1、【企业业绩】：</w:t>
      </w:r>
    </w:p>
    <w:p w14:paraId="4C6770B5">
      <w:pPr>
        <w:spacing w:line="320" w:lineRule="exact"/>
        <w:ind w:firstLine="316" w:firstLineChars="150"/>
        <w:rPr>
          <w:rFonts w:hint="eastAsia" w:ascii="宋体" w:hAnsi="宋体"/>
          <w:color w:val="auto"/>
          <w:highlight w:val="none"/>
        </w:rPr>
      </w:pPr>
      <w:r>
        <w:rPr>
          <w:rFonts w:hint="eastAsia" w:ascii="宋体" w:hAnsi="宋体"/>
          <w:b/>
          <w:color w:val="auto"/>
          <w:highlight w:val="none"/>
        </w:rPr>
        <w:t>1.1 施工业绩：</w:t>
      </w:r>
      <w:r>
        <w:rPr>
          <w:rFonts w:hint="eastAsia" w:ascii="宋体" w:hAnsi="宋体"/>
          <w:bCs/>
          <w:color w:val="auto"/>
          <w:highlight w:val="none"/>
        </w:rPr>
        <w:t>类似项目是指单项指合同金额700万元及以上的建筑工程施工总承包业绩，或施工部分合同金额700万元及以上的工程总承包业绩（工程总承包业绩包括勘察设计施工总承包或设计施工总承包或设计采购施工总承包或勘察设计采购施工总承包业绩）。</w:t>
      </w:r>
      <w:r>
        <w:rPr>
          <w:rFonts w:hint="eastAsia" w:ascii="宋体" w:hAnsi="宋体"/>
          <w:b/>
          <w:bCs/>
          <w:color w:val="auto"/>
          <w:highlight w:val="none"/>
          <w:u w:val="single"/>
        </w:rPr>
        <w:t>业绩取自广州市住建行业信用管理平台。</w:t>
      </w:r>
      <w:r>
        <w:rPr>
          <w:rFonts w:hint="eastAsia" w:ascii="宋体" w:hAnsi="宋体"/>
          <w:color w:val="auto"/>
          <w:highlight w:val="none"/>
        </w:rPr>
        <w:t>投标人须提供类似项目业绩的项目名称及业绩在广州市住建行业信用管理平台中项目编号、相应业绩在广州市住建行业信用管理平台的网页信息截图（截图须包含广州市住建行业信用管理平台中的“项目基本信息”、“工程规模”、“验收材料”、“工程对应的企业资质”栏）。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557371A9">
      <w:pPr>
        <w:spacing w:line="320" w:lineRule="exact"/>
        <w:ind w:firstLine="315" w:firstLineChars="150"/>
        <w:rPr>
          <w:rFonts w:hint="eastAsia" w:ascii="宋体" w:hAnsi="宋体"/>
          <w:color w:val="auto"/>
          <w:szCs w:val="21"/>
          <w:highlight w:val="none"/>
        </w:rPr>
      </w:pPr>
      <w:r>
        <w:rPr>
          <w:rFonts w:hint="eastAsia" w:ascii="宋体" w:hAnsi="宋体"/>
          <w:color w:val="auto"/>
          <w:highlight w:val="none"/>
        </w:rPr>
        <w:t>（1）用于本项目投标的类似业绩，在平台中“工程对应的企业资质”栏中须登记有与本项目要求相对应的</w:t>
      </w:r>
      <w:r>
        <w:rPr>
          <w:rFonts w:hint="eastAsia" w:ascii="宋体" w:hAnsi="宋体"/>
          <w:color w:val="auto"/>
          <w:szCs w:val="21"/>
          <w:highlight w:val="none"/>
        </w:rPr>
        <w:t>资质（具体资质要求：</w:t>
      </w:r>
      <w:r>
        <w:rPr>
          <w:rFonts w:hint="eastAsia" w:ascii="宋体" w:hAnsi="宋体"/>
          <w:bCs/>
          <w:color w:val="auto"/>
          <w:highlight w:val="none"/>
        </w:rPr>
        <w:t>类似业绩</w:t>
      </w:r>
      <w:r>
        <w:rPr>
          <w:rFonts w:hint="eastAsia" w:ascii="宋体" w:hAnsi="宋体"/>
          <w:color w:val="auto"/>
          <w:highlight w:val="none"/>
        </w:rPr>
        <w:t>对应“建筑工程施工总承包（原房屋建筑工程施工总承包）”</w:t>
      </w:r>
      <w:r>
        <w:rPr>
          <w:rFonts w:hint="eastAsia" w:ascii="宋体" w:hAnsi="宋体"/>
          <w:color w:val="auto"/>
          <w:szCs w:val="21"/>
          <w:highlight w:val="none"/>
        </w:rPr>
        <w:t>资质</w:t>
      </w:r>
      <w:r>
        <w:rPr>
          <w:rFonts w:hint="eastAsia" w:ascii="宋体" w:hAnsi="宋体"/>
          <w:color w:val="auto"/>
          <w:highlight w:val="none"/>
        </w:rPr>
        <w:t>。</w:t>
      </w:r>
      <w:r>
        <w:rPr>
          <w:rFonts w:hint="eastAsia" w:ascii="宋体" w:hAnsi="宋体"/>
          <w:color w:val="auto"/>
          <w:szCs w:val="21"/>
          <w:highlight w:val="none"/>
        </w:rPr>
        <w:t>）</w:t>
      </w:r>
    </w:p>
    <w:p w14:paraId="42A1B677">
      <w:pPr>
        <w:spacing w:line="320" w:lineRule="exact"/>
        <w:ind w:firstLine="315" w:firstLineChars="150"/>
        <w:rPr>
          <w:rFonts w:hint="eastAsia" w:ascii="宋体" w:hAnsi="宋体"/>
          <w:color w:val="auto"/>
          <w:highlight w:val="none"/>
        </w:rPr>
      </w:pPr>
      <w:r>
        <w:rPr>
          <w:rFonts w:hint="eastAsia" w:ascii="宋体" w:hAnsi="宋体"/>
          <w:color w:val="auto"/>
          <w:highlight w:val="none"/>
        </w:rPr>
        <w:t>（2）①施工总承包项目业绩的金额以中标通知书为准，中标通知书上没有金额或免招标的，以施工合同（不含补充合同）为准。②</w:t>
      </w:r>
      <w:r>
        <w:rPr>
          <w:rFonts w:hint="eastAsia" w:ascii="宋体" w:hAnsi="宋体"/>
          <w:bCs/>
          <w:color w:val="auto"/>
          <w:highlight w:val="none"/>
        </w:rPr>
        <w:t>工程总承包项目</w:t>
      </w:r>
      <w:r>
        <w:rPr>
          <w:rFonts w:hint="eastAsia" w:ascii="宋体" w:hAnsi="宋体"/>
          <w:color w:val="auto"/>
          <w:highlight w:val="none"/>
        </w:rPr>
        <w:t>业绩的金额以中标通知书中施工费用为准，中标通知书上没有施工金额或免招标的，以合同中施工费用（不含补充合同）为准。</w:t>
      </w:r>
    </w:p>
    <w:p w14:paraId="55BE0B6F">
      <w:pPr>
        <w:spacing w:line="320" w:lineRule="exact"/>
        <w:ind w:firstLine="315" w:firstLineChars="150"/>
        <w:rPr>
          <w:rFonts w:hint="eastAsia" w:ascii="宋体" w:hAnsi="宋体"/>
          <w:color w:val="auto"/>
          <w:highlight w:val="none"/>
        </w:rPr>
      </w:pPr>
      <w:r>
        <w:rPr>
          <w:rFonts w:hint="eastAsia" w:ascii="宋体" w:hAnsi="宋体"/>
          <w:color w:val="auto"/>
          <w:highlight w:val="none"/>
        </w:rPr>
        <w:t>（3）业绩完成时间以竣工验收文件为准。验收文件至少具有建设单位、设计、施工和监理单位盖章。</w:t>
      </w:r>
    </w:p>
    <w:p w14:paraId="7B6D01D3">
      <w:pPr>
        <w:spacing w:line="320" w:lineRule="exact"/>
        <w:ind w:firstLine="315" w:firstLineChars="150"/>
        <w:rPr>
          <w:rFonts w:hint="eastAsia" w:ascii="宋体" w:hAnsi="宋体"/>
          <w:color w:val="auto"/>
          <w:highlight w:val="none"/>
        </w:rPr>
      </w:pPr>
      <w:r>
        <w:rPr>
          <w:rFonts w:hint="eastAsia" w:ascii="宋体" w:hAnsi="宋体"/>
          <w:color w:val="auto"/>
          <w:highlight w:val="none"/>
        </w:rPr>
        <w:t>（4）平台内业绩上传件不符合上述要求的或登记的工程资质内容与施工合同等业绩证明资料不相符的，该项业绩不予认定。</w:t>
      </w:r>
    </w:p>
    <w:p w14:paraId="7AAB6BA8">
      <w:pPr>
        <w:spacing w:line="320" w:lineRule="exact"/>
        <w:ind w:firstLine="316" w:firstLineChars="150"/>
        <w:rPr>
          <w:rFonts w:hint="eastAsia" w:ascii="宋体" w:hAnsi="宋体"/>
          <w:color w:val="auto"/>
          <w:highlight w:val="none"/>
        </w:rPr>
      </w:pPr>
      <w:r>
        <w:rPr>
          <w:rFonts w:hint="eastAsia" w:ascii="宋体" w:hAnsi="宋体"/>
          <w:b/>
          <w:color w:val="auto"/>
          <w:highlight w:val="none"/>
        </w:rPr>
        <w:t>1.2 设计业绩：</w:t>
      </w:r>
      <w:r>
        <w:rPr>
          <w:rFonts w:hint="eastAsia" w:ascii="宋体" w:hAnsi="宋体"/>
          <w:color w:val="auto"/>
          <w:highlight w:val="none"/>
        </w:rPr>
        <w:t>①需同时提供设计合同关键页、中标通知书或免招标的证明、施工图审查证明文件。②业绩时间以签订合同（不含补充合同）的时间为准；③同一项目业绩不重复计算得分。④不符合上述条件或未提供相关证明材料的不得分。</w:t>
      </w:r>
    </w:p>
    <w:p w14:paraId="09BD3B65">
      <w:pPr>
        <w:rPr>
          <w:rFonts w:hint="eastAsia"/>
          <w:color w:val="auto"/>
        </w:rPr>
      </w:pPr>
      <w:r>
        <w:rPr>
          <w:rFonts w:hint="eastAsia" w:ascii="宋体" w:hAnsi="宋体"/>
          <w:b/>
          <w:color w:val="auto"/>
          <w:highlight w:val="none"/>
        </w:rPr>
        <w:t>2、【工程获奖】：</w:t>
      </w:r>
      <w:bookmarkStart w:id="610" w:name="_GoBack"/>
      <w:r>
        <w:rPr>
          <w:rFonts w:hint="eastAsia" w:ascii="宋体" w:hAnsi="宋体"/>
          <w:color w:val="auto"/>
          <w:highlight w:val="none"/>
        </w:rPr>
        <w:t>工程奖项可取自广州市住建行业信用管理平台或提供获奖证书原件扫描件。①国家级奖项指的是中国建设工程鲁班奖、中国土木工程詹天佑奖、国家优质工程金奖、国家优质工程奖</w:t>
      </w:r>
      <w:r>
        <w:rPr>
          <w:rFonts w:hint="eastAsia" w:ascii="宋体" w:hAnsi="宋体"/>
          <w:color w:val="auto"/>
          <w:highlight w:val="none"/>
          <w:lang w:eastAsia="zh-CN"/>
        </w:rPr>
        <w:t>、中国（全国）建筑工程装饰奖（不含设计和幕墙类获奖）</w:t>
      </w:r>
      <w:r>
        <w:rPr>
          <w:rFonts w:hint="eastAsia" w:ascii="宋体" w:hAnsi="宋体"/>
          <w:color w:val="auto"/>
          <w:highlight w:val="none"/>
        </w:rPr>
        <w:t>；省级或市级奖项指由建设行政主管部门或经民政部门备案成立的建筑相关行业协会或学会(含其所属专业分会)颁发的质量奖项，不含安全文明、绿色施工、钢结构、机电安装、技术创新、QC成果、科技进步及技术应用类等奖项。②只计算房建类工程获得质量奖项，其他非房建类项目（如：机电、市政、路桥、铁路、水利、电力、化工、冶金等奖项）不参与计分。③同一项目获得多个奖项的，该项目获奖只按其中一个奖项所在最高级别计算一次分数，不得重复计算。④时间以获奖证书颁发时间为准</w:t>
      </w:r>
      <w:bookmarkEnd w:id="610"/>
      <w:r>
        <w:rPr>
          <w:rFonts w:hint="eastAsia" w:ascii="宋体" w:hAnsi="宋体"/>
          <w:color w:val="auto"/>
          <w:highlight w:val="none"/>
        </w:rPr>
        <w:t>。</w:t>
      </w:r>
    </w:p>
    <w:p w14:paraId="6BAD08DD">
      <w:pPr>
        <w:spacing w:line="320" w:lineRule="exact"/>
        <w:ind w:firstLine="315" w:firstLineChars="150"/>
        <w:rPr>
          <w:rFonts w:hint="eastAsia" w:ascii="宋体" w:hAnsi="宋体"/>
          <w:color w:val="auto"/>
          <w:highlight w:val="none"/>
        </w:rPr>
      </w:pPr>
      <w:r>
        <w:rPr>
          <w:rFonts w:hint="eastAsia" w:ascii="宋体" w:hAnsi="宋体"/>
          <w:color w:val="auto"/>
          <w:highlight w:val="none"/>
        </w:rPr>
        <w:t>（1）投标人须提交获奖证书扫描件或广州市住建行业信用管理平台的网页信息截图（网页信息截图须能清晰显示带有“住建行业信用管理平台”名称，并至少包含“项目基本信息”、“奖项信息”等信息）及获奖证书上传件，时间以获奖证书颁发时间为准，并加盖投标人电子印章，不符合上述条件的不予评审。</w:t>
      </w:r>
    </w:p>
    <w:p w14:paraId="3AF8AFB1">
      <w:pPr>
        <w:spacing w:line="320" w:lineRule="exact"/>
        <w:ind w:firstLine="315" w:firstLineChars="150"/>
        <w:rPr>
          <w:rFonts w:hint="eastAsia" w:ascii="宋体" w:hAnsi="宋体"/>
          <w:color w:val="auto"/>
          <w:highlight w:val="none"/>
        </w:rPr>
      </w:pPr>
      <w:r>
        <w:rPr>
          <w:rFonts w:hint="eastAsia" w:ascii="宋体" w:hAnsi="宋体"/>
          <w:color w:val="auto"/>
          <w:highlight w:val="none"/>
        </w:rPr>
        <w:t>（2）奖项提供获奖证书原件扫描件的，投标人须提供获奖证书原件扫描件及该获奖工程在“全国建筑市场监管公共服务平台”的网页信息截图并加盖投标人企业电子印章。不符合上述条件或上述资料相关信息不一致或提供的资料不齐全的获奖业绩不予评审。评标委员会对获奖业绩的评审以投标人提供的完整的证明资料为依据。</w:t>
      </w:r>
    </w:p>
    <w:p w14:paraId="0598D921">
      <w:pPr>
        <w:spacing w:line="320" w:lineRule="exact"/>
        <w:ind w:firstLine="316" w:firstLineChars="150"/>
        <w:rPr>
          <w:rFonts w:hint="eastAsia" w:ascii="宋体" w:hAnsi="宋体"/>
          <w:color w:val="auto"/>
          <w:highlight w:val="none"/>
        </w:rPr>
      </w:pPr>
      <w:r>
        <w:rPr>
          <w:rFonts w:hint="eastAsia" w:ascii="宋体" w:hAnsi="宋体"/>
          <w:b/>
          <w:color w:val="auto"/>
          <w:highlight w:val="none"/>
        </w:rPr>
        <w:t>3、【工程研发能力】：投标人须提供由建设行政主管部门或行业协会（行业协会须在民政管理部门登记备案）或其他工法主管部门颁发的工法证书原件扫描件，时间以获奖证书上的时间为准。不提供上述证明文件该工法不能计算有效工法。同一工法按最高级别奖项只计一次得分，未提供不计分。</w:t>
      </w:r>
    </w:p>
    <w:p w14:paraId="746B17C2">
      <w:pPr>
        <w:spacing w:line="320" w:lineRule="exact"/>
        <w:ind w:firstLine="316" w:firstLineChars="150"/>
        <w:rPr>
          <w:rFonts w:hint="eastAsia" w:ascii="宋体" w:hAnsi="宋体"/>
          <w:bCs/>
          <w:color w:val="auto"/>
          <w:highlight w:val="none"/>
        </w:rPr>
      </w:pPr>
      <w:r>
        <w:rPr>
          <w:rFonts w:hint="eastAsia" w:ascii="宋体" w:hAnsi="宋体"/>
          <w:b/>
          <w:color w:val="auto"/>
          <w:highlight w:val="none"/>
        </w:rPr>
        <w:t>4、【第三方评价】：</w:t>
      </w:r>
      <w:r>
        <w:rPr>
          <w:rFonts w:hint="eastAsia" w:ascii="宋体" w:hAnsi="宋体"/>
          <w:bCs/>
          <w:color w:val="auto"/>
          <w:highlight w:val="none"/>
        </w:rPr>
        <w:t>（1）投标人需同时提供体系证书原件扫描件及在国家认证认可监督管理委员会（网址：</w:t>
      </w:r>
      <w:r>
        <w:rPr>
          <w:color w:val="auto"/>
          <w:highlight w:val="none"/>
        </w:rPr>
        <w:fldChar w:fldCharType="begin"/>
      </w:r>
      <w:r>
        <w:rPr>
          <w:color w:val="auto"/>
          <w:highlight w:val="none"/>
        </w:rPr>
        <w:instrText xml:space="preserve">HYPERLINK "http://www.cnca.gov.cn/%EF%BC%89%E7%BD%91%E7%AB%99%E6%9F%A5%E8%AF%A2%E7%BB%93%E6%9E%9C%E6%88%AA%E5%9B%BE%E5%B9%B6%E5%8A%A0%E7%9B%96%E6%8A%95%E6%A0%87%E5%8D%95%E4%BD%8D%E7%94%B5%E5%AD%90%E5%8D%B0%E7%AB%A0%EF%BC%8C%E5%8F%AA%E8%AE%A1%E7%AE%97%E6%8A%95%E6%A0%87%E4%BA%BA%E8%87%AA%E8%BA%AB%EF%BC%88%E4%B8%8D%E5%90%AB%E6%8A%95%E6%A0%87%E4%BA%BA%E7%9A%84%E5%AD%90%E3%80%81%E5%88%86%E5%85%AC%E5%8F%B8%E6%88%96%E5%8C%BA%E5%9F%9F%E5%85%AC%E5%8F%B8%EF%BC%89%EF%BC%8C%E5%B7%B2%E5%A4%B1%E6%95%88%E6%88%96%E6%92%A4%E9%94%80%E6%88%96%E6%97%A0%E6%8F%90%E4%BE%9B%E7%9A%84%E4%B8%8D%E5%BE%97%E5%88%86%E3%80%82%E4%B8%8D%E7%AC%A6%E5%90%88%E4%B8%8A%E8%BF%B0%E6%9D%A1%E4%BB%B6%E6%88%96%E6%9C%AA%E6%8F%90%E4%BE%9B%E4%B8%8A%E8%BF%B0%E8%B5%84%E6%96%99%E7%9A%84%E4%B8%8D%E5%BE%97%E5%88%86%E3%80%82"</w:instrText>
      </w:r>
      <w:r>
        <w:rPr>
          <w:color w:val="auto"/>
          <w:highlight w:val="none"/>
        </w:rPr>
        <w:fldChar w:fldCharType="separate"/>
      </w:r>
      <w:r>
        <w:rPr>
          <w:rFonts w:hint="eastAsia" w:ascii="宋体" w:hAnsi="宋体"/>
          <w:bCs/>
          <w:color w:val="auto"/>
          <w:highlight w:val="none"/>
        </w:rPr>
        <w:t>http://www.cnca.gov.cn/）网站查询结果截图并加盖投标人电子印章，只计算投标人自身（不含投标人的子、分公司或区域公司），已失效或撤销或无提供的不得分。不符合上述条件或未提供上述资料的不得分。</w:t>
      </w:r>
      <w:r>
        <w:rPr>
          <w:color w:val="auto"/>
          <w:highlight w:val="none"/>
        </w:rPr>
        <w:fldChar w:fldCharType="end"/>
      </w:r>
    </w:p>
    <w:p w14:paraId="778D4035">
      <w:pPr>
        <w:spacing w:line="320" w:lineRule="exact"/>
        <w:ind w:firstLine="316" w:firstLineChars="150"/>
        <w:rPr>
          <w:rFonts w:hint="eastAsia" w:ascii="宋体" w:hAnsi="宋体"/>
          <w:b/>
          <w:color w:val="auto"/>
          <w:highlight w:val="none"/>
        </w:rPr>
      </w:pPr>
      <w:r>
        <w:rPr>
          <w:rFonts w:hint="eastAsia" w:ascii="宋体" w:hAnsi="宋体"/>
          <w:b/>
          <w:color w:val="auto"/>
          <w:highlight w:val="none"/>
        </w:rPr>
        <w:t>5、【施工团队与设计团队】：</w:t>
      </w:r>
    </w:p>
    <w:p w14:paraId="1E4E2FC5">
      <w:pPr>
        <w:spacing w:line="320" w:lineRule="exact"/>
        <w:ind w:firstLine="315" w:firstLineChars="150"/>
        <w:rPr>
          <w:rFonts w:hint="eastAsia" w:ascii="宋体" w:hAnsi="宋体"/>
          <w:color w:val="auto"/>
          <w:highlight w:val="none"/>
        </w:rPr>
      </w:pPr>
      <w:r>
        <w:rPr>
          <w:rFonts w:hint="eastAsia" w:ascii="宋体" w:hAnsi="宋体"/>
          <w:color w:val="auto"/>
          <w:highlight w:val="none"/>
        </w:rPr>
        <w:t>（1）人员岗位不能相互兼任。</w:t>
      </w:r>
    </w:p>
    <w:p w14:paraId="75E7AF1E">
      <w:pPr>
        <w:spacing w:line="320" w:lineRule="exact"/>
        <w:ind w:firstLine="315" w:firstLineChars="150"/>
        <w:rPr>
          <w:rFonts w:hint="eastAsia" w:ascii="宋体" w:hAnsi="宋体"/>
          <w:color w:val="auto"/>
          <w:highlight w:val="none"/>
        </w:rPr>
      </w:pPr>
      <w:r>
        <w:rPr>
          <w:rFonts w:hint="eastAsia" w:ascii="宋体" w:hAnsi="宋体"/>
          <w:color w:val="auto"/>
          <w:highlight w:val="none"/>
        </w:rPr>
        <w:t>（2）拟派的所有人员须提供相关证明资料和近一个月（2025年</w:t>
      </w:r>
      <w:r>
        <w:rPr>
          <w:rFonts w:hint="eastAsia" w:ascii="宋体" w:hAnsi="宋体"/>
          <w:color w:val="auto"/>
          <w:highlight w:val="none"/>
          <w:lang w:val="en-US" w:eastAsia="zh-CN"/>
        </w:rPr>
        <w:t>9</w:t>
      </w:r>
      <w:r>
        <w:rPr>
          <w:rFonts w:hint="eastAsia" w:ascii="宋体" w:hAnsi="宋体"/>
          <w:color w:val="auto"/>
          <w:highlight w:val="none"/>
        </w:rPr>
        <w:t>月或以后）在投标单位缴纳社保的证明材料扫描件并加盖投标人企业电子印章。未提供或所提供的证明资料不符合要求的，则该评分节点不予评审。</w:t>
      </w:r>
    </w:p>
    <w:p w14:paraId="6EB8B56E">
      <w:pPr>
        <w:spacing w:line="320" w:lineRule="exact"/>
        <w:ind w:firstLine="315" w:firstLineChars="150"/>
        <w:rPr>
          <w:rFonts w:hint="eastAsia" w:ascii="宋体" w:hAnsi="宋体"/>
          <w:color w:val="auto"/>
          <w:highlight w:val="none"/>
        </w:rPr>
      </w:pPr>
      <w:r>
        <w:rPr>
          <w:rFonts w:hint="eastAsia" w:ascii="宋体" w:hAnsi="宋体"/>
          <w:color w:val="auto"/>
          <w:highlight w:val="none"/>
        </w:rPr>
        <w:t>（3）取得职称证的年限以发证时间开始计算（如证书未体现发证时间的，以评审通过时间开始计算）；高级职称证书以人社部门核发为准，若非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p>
    <w:p w14:paraId="56F87D27">
      <w:pPr>
        <w:spacing w:line="320" w:lineRule="exact"/>
        <w:ind w:firstLine="315" w:firstLineChars="150"/>
        <w:rPr>
          <w:rFonts w:hint="eastAsia" w:ascii="宋体" w:hAnsi="宋体"/>
          <w:color w:val="auto"/>
          <w:highlight w:val="none"/>
        </w:rPr>
      </w:pPr>
      <w:r>
        <w:rPr>
          <w:rFonts w:hint="eastAsia" w:ascii="宋体" w:hAnsi="宋体"/>
          <w:color w:val="auto"/>
          <w:highlight w:val="none"/>
        </w:rPr>
        <w:t>（4）项目负责人类似业绩：类似项目业绩是指</w:t>
      </w:r>
      <w:r>
        <w:rPr>
          <w:rFonts w:hint="eastAsia" w:ascii="宋体" w:hAnsi="宋体"/>
          <w:bCs/>
          <w:color w:val="auto"/>
          <w:highlight w:val="none"/>
        </w:rPr>
        <w:t>合同金额700万元及以上的建筑工程施工总承包业绩，或施工部分合同金额700万元及以上的工程总承包业绩（工程总承包业绩包括勘察设计施工总承包或设计施工总承包或设计采购施工总承包或勘察设计采购施工总承包业绩）</w:t>
      </w:r>
      <w:r>
        <w:rPr>
          <w:rFonts w:hint="eastAsia" w:ascii="宋体" w:hAnsi="宋体"/>
          <w:color w:val="auto"/>
          <w:highlight w:val="none"/>
        </w:rPr>
        <w:t>。需同时提供施工合同关键页、中标通知书或免招标的证明、竣工验收文件。</w:t>
      </w:r>
    </w:p>
    <w:p w14:paraId="75301FDE">
      <w:pPr>
        <w:spacing w:line="320" w:lineRule="exact"/>
        <w:ind w:firstLine="315" w:firstLineChars="150"/>
        <w:rPr>
          <w:rFonts w:hint="eastAsia" w:ascii="宋体" w:hAnsi="宋体"/>
          <w:color w:val="auto"/>
          <w:highlight w:val="none"/>
        </w:rPr>
      </w:pPr>
      <w:r>
        <w:rPr>
          <w:rFonts w:hint="eastAsia" w:ascii="宋体" w:hAnsi="宋体"/>
          <w:color w:val="auto"/>
          <w:highlight w:val="none"/>
        </w:rPr>
        <w:t>①施工总承包项目业绩的金额以中标通知书为准，中标通知书上没有金额或免招标的，以施工合同（不含补充合同）为准。</w:t>
      </w:r>
    </w:p>
    <w:p w14:paraId="503EDE29">
      <w:pPr>
        <w:spacing w:line="320" w:lineRule="exact"/>
        <w:ind w:firstLine="315" w:firstLineChars="150"/>
        <w:rPr>
          <w:rFonts w:hint="eastAsia" w:ascii="宋体" w:hAnsi="宋体"/>
          <w:color w:val="auto"/>
          <w:highlight w:val="none"/>
        </w:rPr>
      </w:pPr>
      <w:r>
        <w:rPr>
          <w:rFonts w:hint="eastAsia" w:ascii="宋体" w:hAnsi="宋体"/>
          <w:color w:val="auto"/>
          <w:highlight w:val="none"/>
        </w:rPr>
        <w:t>②</w:t>
      </w:r>
      <w:r>
        <w:rPr>
          <w:rFonts w:hint="eastAsia" w:ascii="宋体" w:hAnsi="宋体"/>
          <w:bCs/>
          <w:color w:val="auto"/>
          <w:highlight w:val="none"/>
        </w:rPr>
        <w:t>工程总承包项目</w:t>
      </w:r>
      <w:r>
        <w:rPr>
          <w:rFonts w:hint="eastAsia" w:ascii="宋体" w:hAnsi="宋体"/>
          <w:color w:val="auto"/>
          <w:highlight w:val="none"/>
        </w:rPr>
        <w:t>业绩的金额以中标通知书中施工费用为准，中标通知书上没有施工金额或免招标的，以合同中施工费用（不含补充合同）为准。</w:t>
      </w:r>
    </w:p>
    <w:p w14:paraId="523B120D">
      <w:pPr>
        <w:spacing w:line="320" w:lineRule="exact"/>
        <w:ind w:firstLine="315" w:firstLineChars="150"/>
        <w:rPr>
          <w:rFonts w:hint="eastAsia" w:ascii="宋体" w:hAnsi="宋体"/>
          <w:color w:val="auto"/>
          <w:highlight w:val="none"/>
        </w:rPr>
      </w:pPr>
      <w:r>
        <w:rPr>
          <w:rFonts w:hint="eastAsia" w:ascii="宋体" w:hAnsi="宋体"/>
          <w:color w:val="auto"/>
          <w:highlight w:val="none"/>
        </w:rPr>
        <w:t>③验收文件至少具有建设单位、设计、施工和监理单位盖章。若竣工验收文件无法体现项目负责人的，则须提供其他相关证明材料（如业主证明材料等）。</w:t>
      </w:r>
    </w:p>
    <w:p w14:paraId="54020EAD">
      <w:pPr>
        <w:spacing w:line="320" w:lineRule="exact"/>
        <w:ind w:firstLine="315" w:firstLineChars="150"/>
        <w:rPr>
          <w:rFonts w:hint="eastAsia" w:ascii="宋体" w:hAnsi="宋体"/>
          <w:color w:val="auto"/>
          <w:highlight w:val="none"/>
        </w:rPr>
      </w:pPr>
      <w:r>
        <w:rPr>
          <w:rFonts w:hint="eastAsia" w:ascii="宋体" w:hAnsi="宋体"/>
          <w:color w:val="auto"/>
          <w:highlight w:val="none"/>
        </w:rPr>
        <w:t>（5）设计负责人类似业绩：类似项目业绩是指房屋建筑类工程项目</w:t>
      </w:r>
      <w:r>
        <w:rPr>
          <w:rFonts w:hint="eastAsia" w:ascii="宋体" w:hAnsi="宋体"/>
          <w:color w:val="auto"/>
          <w:szCs w:val="21"/>
          <w:highlight w:val="none"/>
        </w:rPr>
        <w:t>设计业绩</w:t>
      </w:r>
      <w:r>
        <w:rPr>
          <w:rFonts w:hint="eastAsia" w:ascii="宋体" w:hAnsi="宋体"/>
          <w:color w:val="auto"/>
          <w:highlight w:val="none"/>
        </w:rPr>
        <w:t>（设计业绩可以是单独的设计业绩，或勘察设计的设计部分业绩或工程总承包项目（包括勘察设计施工总承包或设计施工总承包或设计采购施工总承包或勘察设计采购施工总承包等）中的设计部分业绩）。</w:t>
      </w:r>
    </w:p>
    <w:p w14:paraId="6B605C9D">
      <w:pPr>
        <w:spacing w:line="320" w:lineRule="exact"/>
        <w:ind w:firstLine="315" w:firstLineChars="150"/>
        <w:rPr>
          <w:rFonts w:hint="eastAsia" w:ascii="宋体" w:hAnsi="宋体"/>
          <w:color w:val="auto"/>
          <w:highlight w:val="none"/>
        </w:rPr>
      </w:pPr>
      <w:r>
        <w:rPr>
          <w:rFonts w:hint="eastAsia" w:ascii="宋体" w:hAnsi="宋体"/>
          <w:color w:val="auto"/>
          <w:highlight w:val="none"/>
        </w:rPr>
        <w:t>①需同时提供设计合同关键页、中标通知书或免招标的证明、施工图审查证明文件。</w:t>
      </w:r>
    </w:p>
    <w:p w14:paraId="6B633CD6">
      <w:pPr>
        <w:spacing w:line="320" w:lineRule="exact"/>
        <w:ind w:firstLine="315" w:firstLineChars="150"/>
        <w:rPr>
          <w:rFonts w:hint="eastAsia" w:ascii="宋体" w:hAnsi="宋体"/>
          <w:color w:val="auto"/>
          <w:highlight w:val="none"/>
        </w:rPr>
      </w:pPr>
      <w:r>
        <w:rPr>
          <w:rFonts w:hint="eastAsia" w:ascii="宋体" w:hAnsi="宋体"/>
          <w:color w:val="auto"/>
          <w:highlight w:val="none"/>
        </w:rPr>
        <w:t>②若施工图审查证明文件无法体现设计负责人的，则须提供其他相关证明材料（如业主证明材料等）。</w:t>
      </w:r>
    </w:p>
    <w:p w14:paraId="1EBBD40A">
      <w:pPr>
        <w:spacing w:line="320" w:lineRule="exact"/>
        <w:ind w:firstLine="315" w:firstLineChars="150"/>
        <w:rPr>
          <w:rFonts w:hint="eastAsia" w:ascii="宋体" w:hAnsi="宋体"/>
          <w:color w:val="auto"/>
          <w:highlight w:val="none"/>
        </w:rPr>
      </w:pPr>
      <w:r>
        <w:rPr>
          <w:rFonts w:hint="eastAsia" w:ascii="宋体" w:hAnsi="宋体"/>
          <w:color w:val="auto"/>
          <w:highlight w:val="none"/>
        </w:rPr>
        <w:t>（6）联合体投标的，项目团队中的设计团队人员应为联合体设计方人员，其他施工管理人员均要求为联合体主办方人员。</w:t>
      </w:r>
    </w:p>
    <w:p w14:paraId="1323F9AF">
      <w:pPr>
        <w:spacing w:line="320" w:lineRule="exact"/>
        <w:ind w:firstLine="315" w:firstLineChars="150"/>
        <w:rPr>
          <w:rFonts w:hint="eastAsia" w:ascii="宋体" w:hAnsi="宋体"/>
          <w:color w:val="auto"/>
          <w:highlight w:val="none"/>
        </w:rPr>
      </w:pPr>
      <w:r>
        <w:rPr>
          <w:rFonts w:hint="eastAsia" w:ascii="宋体" w:hAnsi="宋体"/>
          <w:color w:val="auto"/>
          <w:highlight w:val="none"/>
        </w:rPr>
        <w:t>6、本表按百分制评分，所有评委总分汇总后的算术平均值为投标人的最终得分。分数出现小数点，保留小数点后二位小数，三位小数四舍五入。</w:t>
      </w:r>
      <w:bookmarkEnd w:id="464"/>
    </w:p>
    <w:p w14:paraId="7137DA43">
      <w:pPr>
        <w:rPr>
          <w:rFonts w:hint="eastAsia"/>
          <w:color w:val="auto"/>
          <w:highlight w:val="none"/>
        </w:rPr>
      </w:pPr>
      <w:r>
        <w:rPr>
          <w:rFonts w:hint="eastAsia"/>
          <w:color w:val="auto"/>
          <w:highlight w:val="none"/>
        </w:rPr>
        <w:br w:type="page"/>
      </w:r>
    </w:p>
    <w:p w14:paraId="45F0FF88">
      <w:pPr>
        <w:pStyle w:val="3"/>
        <w:rPr>
          <w:color w:val="auto"/>
          <w:highlight w:val="none"/>
        </w:rPr>
      </w:pPr>
      <w:r>
        <w:rPr>
          <w:rFonts w:hint="eastAsia"/>
          <w:color w:val="auto"/>
          <w:highlight w:val="none"/>
        </w:rPr>
        <w:t>1. 评标方法</w:t>
      </w:r>
      <w:bookmarkEnd w:id="465"/>
      <w:bookmarkEnd w:id="466"/>
      <w:bookmarkEnd w:id="467"/>
      <w:bookmarkEnd w:id="468"/>
      <w:bookmarkEnd w:id="469"/>
      <w:bookmarkEnd w:id="470"/>
      <w:bookmarkEnd w:id="471"/>
    </w:p>
    <w:p w14:paraId="01D4914C">
      <w:pPr>
        <w:spacing w:line="360" w:lineRule="auto"/>
        <w:ind w:firstLine="404" w:firstLineChars="200"/>
        <w:rPr>
          <w:rFonts w:hint="eastAsia" w:ascii="宋体" w:hAnsi="宋体" w:cs="宋体"/>
          <w:color w:val="auto"/>
          <w:highlight w:val="none"/>
          <w:u w:val="single"/>
        </w:rPr>
      </w:pPr>
      <w:bookmarkStart w:id="478" w:name="_Toc152045601"/>
      <w:bookmarkStart w:id="479" w:name="_Toc144974568"/>
      <w:bookmarkStart w:id="480" w:name="_Toc247527626"/>
      <w:bookmarkStart w:id="481" w:name="_Toc152042378"/>
      <w:bookmarkStart w:id="482" w:name="_Toc29422"/>
      <w:bookmarkStart w:id="483" w:name="_Toc247514025"/>
      <w:r>
        <w:rPr>
          <w:rFonts w:hint="eastAsia" w:ascii="宋体" w:hAnsi="宋体" w:cs="宋体"/>
          <w:color w:val="auto"/>
          <w:spacing w:val="-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r>
        <w:rPr>
          <w:rFonts w:hint="eastAsia" w:ascii="宋体" w:hAnsi="宋体" w:cs="宋体"/>
          <w:color w:val="auto"/>
          <w:highlight w:val="none"/>
          <w:u w:val="single"/>
        </w:rPr>
        <w:t>总分相同的，以工程总承包实施方案评审得分较高的排前；总分与工程总承包实施方案评审得分均相同的投标文件，以投标报价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color w:val="auto"/>
          <w:highlight w:val="none"/>
        </w:rPr>
        <w:t>。</w:t>
      </w:r>
    </w:p>
    <w:p w14:paraId="69E5C5D2">
      <w:pPr>
        <w:pStyle w:val="3"/>
        <w:rPr>
          <w:color w:val="auto"/>
          <w:highlight w:val="none"/>
        </w:rPr>
      </w:pPr>
      <w:bookmarkStart w:id="484" w:name="_Toc27247"/>
      <w:bookmarkStart w:id="485" w:name="_Toc134304579"/>
      <w:r>
        <w:rPr>
          <w:rFonts w:hint="eastAsia"/>
          <w:color w:val="auto"/>
          <w:highlight w:val="none"/>
        </w:rPr>
        <w:t>2. 评审标准</w:t>
      </w:r>
      <w:bookmarkEnd w:id="478"/>
      <w:bookmarkEnd w:id="479"/>
      <w:bookmarkEnd w:id="480"/>
      <w:bookmarkEnd w:id="481"/>
      <w:bookmarkEnd w:id="482"/>
      <w:bookmarkEnd w:id="483"/>
      <w:bookmarkEnd w:id="484"/>
      <w:bookmarkEnd w:id="485"/>
    </w:p>
    <w:p w14:paraId="0C5ABD5B">
      <w:pPr>
        <w:pStyle w:val="4"/>
        <w:rPr>
          <w:rFonts w:hint="eastAsia"/>
          <w:color w:val="auto"/>
          <w:highlight w:val="none"/>
        </w:rPr>
      </w:pPr>
      <w:bookmarkStart w:id="486" w:name="_Toc152045602"/>
      <w:bookmarkStart w:id="487" w:name="_Toc134304580"/>
      <w:bookmarkStart w:id="488" w:name="_Toc20046"/>
      <w:bookmarkStart w:id="489" w:name="_Toc247527627"/>
      <w:bookmarkStart w:id="490" w:name="_Toc152042379"/>
      <w:bookmarkStart w:id="491" w:name="_Toc3043"/>
      <w:bookmarkStart w:id="492" w:name="_Toc87238948"/>
      <w:bookmarkStart w:id="493" w:name="_Toc20319"/>
      <w:bookmarkStart w:id="494" w:name="_Toc247514026"/>
      <w:bookmarkStart w:id="495" w:name="_Toc144974569"/>
      <w:r>
        <w:rPr>
          <w:rFonts w:hint="eastAsia"/>
          <w:color w:val="auto"/>
          <w:highlight w:val="none"/>
        </w:rPr>
        <w:t>2.1 初步评审标准</w:t>
      </w:r>
      <w:bookmarkEnd w:id="486"/>
      <w:bookmarkEnd w:id="487"/>
      <w:bookmarkEnd w:id="488"/>
      <w:bookmarkEnd w:id="489"/>
      <w:bookmarkEnd w:id="490"/>
      <w:bookmarkEnd w:id="491"/>
      <w:bookmarkEnd w:id="492"/>
      <w:bookmarkEnd w:id="493"/>
      <w:bookmarkEnd w:id="494"/>
      <w:bookmarkEnd w:id="495"/>
    </w:p>
    <w:p w14:paraId="4F76ADC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2.1.1 形式评审标准：见评标办法前附表。</w:t>
      </w:r>
    </w:p>
    <w:p w14:paraId="4BA4761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2.1.2 设计方案响应性评审标准：见评标办法前附表。</w:t>
      </w:r>
    </w:p>
    <w:p w14:paraId="6365D9F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2.1.3 资格评审标准：见评标办法前附表。</w:t>
      </w:r>
    </w:p>
    <w:p w14:paraId="1CF7DCDE">
      <w:pPr>
        <w:spacing w:line="360" w:lineRule="auto"/>
        <w:ind w:firstLine="420" w:firstLineChars="200"/>
        <w:rPr>
          <w:rFonts w:hint="eastAsia" w:ascii="新宋体" w:hAnsi="新宋体" w:eastAsia="新宋体" w:cs="新宋体"/>
          <w:color w:val="auto"/>
          <w:highlight w:val="none"/>
        </w:rPr>
      </w:pPr>
      <w:bookmarkStart w:id="496" w:name="_Toc15561"/>
      <w:bookmarkStart w:id="497" w:name="_Toc247527628"/>
      <w:bookmarkStart w:id="498" w:name="_Toc144974570"/>
      <w:bookmarkStart w:id="499" w:name="_Toc10133"/>
      <w:bookmarkStart w:id="500" w:name="_Toc152045603"/>
      <w:bookmarkStart w:id="501" w:name="_Toc152042380"/>
      <w:bookmarkStart w:id="502" w:name="_Toc247514027"/>
      <w:bookmarkStart w:id="503" w:name="_Toc12471"/>
      <w:r>
        <w:rPr>
          <w:rFonts w:hint="eastAsia" w:ascii="新宋体" w:hAnsi="新宋体" w:eastAsia="新宋体" w:cs="新宋体"/>
          <w:color w:val="auto"/>
          <w:highlight w:val="none"/>
        </w:rPr>
        <w:t xml:space="preserve">2.1.4 </w:t>
      </w:r>
      <w:r>
        <w:rPr>
          <w:rFonts w:hint="eastAsia" w:ascii="宋体" w:hAnsi="宋体" w:cs="宋体"/>
          <w:color w:val="auto"/>
          <w:szCs w:val="21"/>
          <w:highlight w:val="none"/>
          <w:u w:val="single"/>
        </w:rPr>
        <w:t>工程总承包实施方案</w:t>
      </w:r>
      <w:r>
        <w:rPr>
          <w:rFonts w:hint="eastAsia" w:ascii="新宋体" w:hAnsi="新宋体" w:eastAsia="新宋体" w:cs="新宋体"/>
          <w:color w:val="auto"/>
          <w:highlight w:val="none"/>
          <w:u w:val="single"/>
        </w:rPr>
        <w:t>响应性评审标标准：见评标办法前附表</w:t>
      </w:r>
      <w:r>
        <w:rPr>
          <w:rFonts w:hint="eastAsia" w:ascii="新宋体" w:hAnsi="新宋体" w:eastAsia="新宋体" w:cs="新宋体"/>
          <w:color w:val="auto"/>
          <w:highlight w:val="none"/>
        </w:rPr>
        <w:t>。</w:t>
      </w:r>
    </w:p>
    <w:p w14:paraId="7212DCED">
      <w:pPr>
        <w:pStyle w:val="4"/>
        <w:rPr>
          <w:rFonts w:hint="eastAsia"/>
          <w:color w:val="auto"/>
          <w:highlight w:val="none"/>
        </w:rPr>
      </w:pPr>
      <w:bookmarkStart w:id="504" w:name="_Toc134304581"/>
      <w:bookmarkStart w:id="505" w:name="_Toc87238949"/>
      <w:r>
        <w:rPr>
          <w:rFonts w:hint="eastAsia"/>
          <w:color w:val="auto"/>
          <w:highlight w:val="none"/>
        </w:rPr>
        <w:t>2.2 分值构成与评分标准</w:t>
      </w:r>
      <w:bookmarkEnd w:id="496"/>
      <w:bookmarkEnd w:id="497"/>
      <w:bookmarkEnd w:id="498"/>
      <w:bookmarkEnd w:id="499"/>
      <w:bookmarkEnd w:id="500"/>
      <w:bookmarkEnd w:id="501"/>
      <w:bookmarkEnd w:id="502"/>
      <w:bookmarkEnd w:id="503"/>
      <w:bookmarkEnd w:id="504"/>
      <w:bookmarkEnd w:id="505"/>
    </w:p>
    <w:p w14:paraId="586D390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2.2.1 分值构成</w:t>
      </w:r>
    </w:p>
    <w:p w14:paraId="1AD1B844">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（1）设计方案：见评标办法前附表；</w:t>
      </w:r>
    </w:p>
    <w:p w14:paraId="3A596CD7">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（2）工程总承包实施方案：见评标办法前附表；</w:t>
      </w:r>
    </w:p>
    <w:p w14:paraId="75ED2E07">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（3）投标报价：见评标办法前附表。</w:t>
      </w:r>
    </w:p>
    <w:p w14:paraId="297EE03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2.2.2 评标基准价计算</w:t>
      </w:r>
    </w:p>
    <w:p w14:paraId="01F2A94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评标基准价计算方法：见评标办法前附表。</w:t>
      </w:r>
    </w:p>
    <w:p w14:paraId="6F257A3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2.2.3 投标报价的偏差率计算</w:t>
      </w:r>
    </w:p>
    <w:p w14:paraId="5724818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投标报价的偏差率计算公式：见评标办法前附表。</w:t>
      </w:r>
    </w:p>
    <w:p w14:paraId="7BDBDE5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2.2.4 评分标准</w:t>
      </w:r>
    </w:p>
    <w:p w14:paraId="2B884102">
      <w:pPr>
        <w:spacing w:line="360" w:lineRule="auto"/>
        <w:ind w:firstLine="420" w:firstLineChars="200"/>
        <w:rPr>
          <w:rFonts w:hint="eastAsia" w:ascii="宋体" w:hAnsi="宋体" w:cs="宋体"/>
          <w:color w:val="auto"/>
          <w:highlight w:val="none"/>
          <w:u w:val="single"/>
        </w:rPr>
      </w:pPr>
      <w:bookmarkStart w:id="506" w:name="_Toc247527629"/>
      <w:bookmarkStart w:id="507" w:name="_Toc152042381"/>
      <w:bookmarkStart w:id="508" w:name="_Toc152045604"/>
      <w:bookmarkStart w:id="509" w:name="_Toc20112"/>
      <w:bookmarkStart w:id="510" w:name="_Toc247514028"/>
      <w:bookmarkStart w:id="511" w:name="_Toc144974571"/>
      <w:bookmarkStart w:id="512" w:name="_Toc18562"/>
      <w:r>
        <w:rPr>
          <w:rFonts w:hint="eastAsia" w:ascii="宋体" w:hAnsi="宋体" w:cs="宋体"/>
          <w:color w:val="auto"/>
          <w:highlight w:val="none"/>
          <w:u w:val="single"/>
        </w:rPr>
        <w:t>（1）设计方案评分标准：见评标办法前附表；</w:t>
      </w:r>
    </w:p>
    <w:p w14:paraId="07AC50C8">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（2）工程总承包实施方案评分标准：见评标办法前附表；</w:t>
      </w:r>
    </w:p>
    <w:p w14:paraId="75BB19C4">
      <w:pPr>
        <w:spacing w:line="360" w:lineRule="auto"/>
        <w:ind w:firstLine="420" w:firstLineChars="200"/>
        <w:rPr>
          <w:color w:val="auto"/>
          <w:highlight w:val="none"/>
        </w:rPr>
      </w:pPr>
      <w:r>
        <w:rPr>
          <w:rFonts w:hint="eastAsia" w:ascii="宋体" w:hAnsi="宋体" w:cs="宋体"/>
          <w:color w:val="auto"/>
          <w:highlight w:val="none"/>
          <w:u w:val="single"/>
        </w:rPr>
        <w:t>（3）投标报价评分标准：见评标办法前附表</w:t>
      </w:r>
    </w:p>
    <w:p w14:paraId="7B87CE5F">
      <w:pPr>
        <w:pStyle w:val="3"/>
        <w:rPr>
          <w:color w:val="auto"/>
          <w:highlight w:val="none"/>
        </w:rPr>
      </w:pPr>
      <w:bookmarkStart w:id="513" w:name="_Toc134304582"/>
      <w:r>
        <w:rPr>
          <w:rFonts w:hint="eastAsia"/>
          <w:color w:val="auto"/>
          <w:highlight w:val="none"/>
        </w:rPr>
        <w:t>3. 评标程序</w:t>
      </w:r>
      <w:bookmarkEnd w:id="506"/>
      <w:bookmarkEnd w:id="507"/>
      <w:bookmarkEnd w:id="508"/>
      <w:bookmarkEnd w:id="509"/>
      <w:bookmarkEnd w:id="510"/>
      <w:bookmarkEnd w:id="511"/>
      <w:bookmarkEnd w:id="512"/>
      <w:bookmarkEnd w:id="513"/>
    </w:p>
    <w:p w14:paraId="4BB8EDF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本项目采取电子评标。设计方案响应性评审、设计方案由设计评审组负责，形式审查、资格审查（适用于资格后审项目）、工程总承包实施方案和投标报价的评审及评审汇总由施工评审组负责。</w:t>
      </w:r>
    </w:p>
    <w:p w14:paraId="7BD9FE47">
      <w:pPr>
        <w:pStyle w:val="4"/>
        <w:rPr>
          <w:rFonts w:hint="eastAsia"/>
          <w:color w:val="auto"/>
          <w:highlight w:val="none"/>
        </w:rPr>
      </w:pPr>
      <w:bookmarkStart w:id="514" w:name="_Toc33695048"/>
      <w:bookmarkStart w:id="515" w:name="_Toc5650"/>
      <w:bookmarkStart w:id="516" w:name="_Toc3343"/>
      <w:bookmarkStart w:id="517" w:name="_Toc4286"/>
      <w:bookmarkStart w:id="518" w:name="_Toc27541"/>
      <w:bookmarkStart w:id="519" w:name="_Toc87238951"/>
      <w:bookmarkStart w:id="520" w:name="_Toc134304583"/>
      <w:bookmarkStart w:id="521" w:name="_Toc439240660"/>
      <w:bookmarkStart w:id="522" w:name="_Toc439246059"/>
      <w:r>
        <w:rPr>
          <w:rFonts w:hint="eastAsia"/>
          <w:color w:val="auto"/>
          <w:highlight w:val="none"/>
        </w:rPr>
        <w:t>3.1 形式审查及资格审查（由施工评审组负责）</w:t>
      </w:r>
      <w:bookmarkEnd w:id="514"/>
      <w:bookmarkEnd w:id="515"/>
      <w:bookmarkEnd w:id="516"/>
      <w:bookmarkEnd w:id="517"/>
      <w:bookmarkEnd w:id="518"/>
      <w:bookmarkEnd w:id="519"/>
      <w:bookmarkEnd w:id="520"/>
    </w:p>
    <w:p w14:paraId="7E43472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3.1.1 形式审查中全部符合形式评审标准（详见前附表）中规定情形的，为形式审查合格。否则为形式审查不合格，经</w:t>
      </w:r>
      <w:r>
        <w:rPr>
          <w:rFonts w:hint="eastAsia" w:ascii="宋体" w:hAnsi="宋体" w:cs="宋体"/>
          <w:color w:val="auto"/>
          <w:highlight w:val="none"/>
          <w:u w:val="single"/>
        </w:rPr>
        <w:t>施工评审组评委共同</w:t>
      </w:r>
      <w:r>
        <w:rPr>
          <w:rFonts w:hint="eastAsia" w:ascii="宋体" w:hAnsi="宋体" w:cs="宋体"/>
          <w:color w:val="auto"/>
          <w:szCs w:val="21"/>
          <w:highlight w:val="none"/>
          <w:u w:val="single"/>
        </w:rPr>
        <w:t>认定后，其投标文件将被拒绝。如</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过半数成员的意见作为</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对该情形的认定结论。</w:t>
      </w:r>
    </w:p>
    <w:p w14:paraId="3BC344C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3.1.2 投标人有以下情形之一的，评标委员会应当否决其投标：</w:t>
      </w:r>
    </w:p>
    <w:p w14:paraId="59D9321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（1）第二章“投标人须知”第1.4.3项、第1.4.4项规定的任何一种情形的；</w:t>
      </w:r>
    </w:p>
    <w:p w14:paraId="5876BCB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（2）串通投标或弄虚作假或有其他违法行为的；</w:t>
      </w:r>
    </w:p>
    <w:p w14:paraId="5A4D8C7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（3）不按评标委员会要求澄清、说明或补正的。</w:t>
      </w:r>
    </w:p>
    <w:p w14:paraId="68EC290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3.1.3 汇总形式审查情况，只有通过形式审查的投标人方可进入下一阶段的评审。形式审查合格的投标人少于3名的，则本项目招标失败。</w:t>
      </w:r>
    </w:p>
    <w:p w14:paraId="16CD711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3.1.4 </w:t>
      </w:r>
      <w:r>
        <w:rPr>
          <w:rFonts w:hint="eastAsia" w:ascii="宋体" w:hAnsi="宋体" w:cs="宋体"/>
          <w:color w:val="auto"/>
          <w:highlight w:val="none"/>
          <w:u w:val="single"/>
        </w:rPr>
        <w:t>施工评审组评委</w:t>
      </w:r>
      <w:r>
        <w:rPr>
          <w:rFonts w:hint="eastAsia" w:ascii="宋体" w:hAnsi="宋体" w:cs="宋体"/>
          <w:color w:val="auto"/>
          <w:szCs w:val="21"/>
          <w:highlight w:val="none"/>
          <w:u w:val="single"/>
        </w:rPr>
        <w:t>对所有通过形式审查的投标人进行资格审查。资格审查文件中全部符合</w:t>
      </w:r>
      <w:r>
        <w:rPr>
          <w:rFonts w:hint="eastAsia" w:ascii="宋体" w:hAnsi="宋体" w:cs="宋体"/>
          <w:color w:val="auto"/>
          <w:highlight w:val="none"/>
          <w:u w:val="single"/>
        </w:rPr>
        <w:t>资格评审标准（详见前附表）</w:t>
      </w:r>
      <w:r>
        <w:rPr>
          <w:rFonts w:hint="eastAsia" w:ascii="宋体" w:hAnsi="宋体" w:cs="宋体"/>
          <w:color w:val="auto"/>
          <w:szCs w:val="21"/>
          <w:highlight w:val="none"/>
          <w:u w:val="single"/>
        </w:rPr>
        <w:t>中规定情形的，为资格审查合格。否则为资格审查不合格，经</w:t>
      </w:r>
      <w:r>
        <w:rPr>
          <w:rFonts w:hint="eastAsia" w:ascii="宋体" w:hAnsi="宋体" w:cs="宋体"/>
          <w:color w:val="auto"/>
          <w:highlight w:val="none"/>
          <w:u w:val="single"/>
        </w:rPr>
        <w:t>施工评审组评委共同</w:t>
      </w:r>
      <w:r>
        <w:rPr>
          <w:rFonts w:hint="eastAsia" w:ascii="宋体" w:hAnsi="宋体" w:cs="宋体"/>
          <w:color w:val="auto"/>
          <w:szCs w:val="21"/>
          <w:highlight w:val="none"/>
          <w:u w:val="single"/>
        </w:rPr>
        <w:t>认定后，其投标将被拒绝。如</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过半数成员的意见作为评标委员会对该情形的认定结论。只有通过资格审查的投标人方可进入下一阶段的评审。</w:t>
      </w:r>
    </w:p>
    <w:p w14:paraId="1E020BD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3.1.5 汇总资格审查情况，编写资格审查报告。资格审查合格的投标人少于3名的，则本项目招标失败。</w:t>
      </w:r>
    </w:p>
    <w:p w14:paraId="78AA47B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3.1.6 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2E7988DD">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特别声明：资审合格后，投标人的资格发生变化而不满足投标人合格条件，在发出中标通知书前，资格问题仍未解决的，招标人将取消其中标资格。</w:t>
      </w:r>
      <w:bookmarkEnd w:id="521"/>
      <w:bookmarkEnd w:id="522"/>
    </w:p>
    <w:p w14:paraId="717A8EFE">
      <w:pPr>
        <w:pStyle w:val="4"/>
        <w:rPr>
          <w:rFonts w:hint="eastAsia"/>
          <w:color w:val="auto"/>
          <w:szCs w:val="21"/>
          <w:highlight w:val="none"/>
        </w:rPr>
      </w:pPr>
      <w:bookmarkStart w:id="523" w:name="_Toc109114720"/>
      <w:bookmarkStart w:id="524" w:name="_Toc134304584"/>
      <w:bookmarkStart w:id="525" w:name="_Toc439246060"/>
      <w:bookmarkStart w:id="526" w:name="_Toc439240661"/>
      <w:bookmarkStart w:id="527" w:name="_Toc28052"/>
      <w:bookmarkStart w:id="528" w:name="_Toc414"/>
      <w:bookmarkStart w:id="529" w:name="_Toc87238952"/>
      <w:bookmarkStart w:id="530" w:name="_Toc29953"/>
      <w:bookmarkStart w:id="531" w:name="_Toc33695050"/>
      <w:bookmarkStart w:id="532" w:name="_Toc28376"/>
      <w:r>
        <w:rPr>
          <w:rFonts w:hint="eastAsia"/>
          <w:color w:val="auto"/>
          <w:highlight w:val="none"/>
        </w:rPr>
        <w:t>3.2 设计方案评审（暗标评审，由设计评审组负责）</w:t>
      </w:r>
      <w:bookmarkEnd w:id="523"/>
      <w:bookmarkEnd w:id="524"/>
    </w:p>
    <w:p w14:paraId="531C010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3.2.1 设计方案的响应性审查：通过资格审查的投标文件中没有任一种列于设计方案响应性评审标准（详见前附表）中情形的，为有效标书。否则为无效标书，经设计</w:t>
      </w:r>
      <w:r>
        <w:rPr>
          <w:rFonts w:hint="eastAsia" w:ascii="宋体" w:hAnsi="宋体" w:cs="宋体"/>
          <w:color w:val="auto"/>
          <w:highlight w:val="none"/>
          <w:u w:val="single"/>
        </w:rPr>
        <w:t>评审组</w:t>
      </w:r>
      <w:r>
        <w:rPr>
          <w:rFonts w:hint="eastAsia" w:ascii="宋体" w:hAnsi="宋体" w:cs="宋体"/>
          <w:color w:val="auto"/>
          <w:szCs w:val="21"/>
          <w:highlight w:val="none"/>
          <w:u w:val="single"/>
        </w:rPr>
        <w:t>评委共同认定后，其投标文件将被拒绝。如设计</w:t>
      </w:r>
      <w:r>
        <w:rPr>
          <w:rFonts w:hint="eastAsia" w:ascii="宋体" w:hAnsi="宋体" w:cs="宋体"/>
          <w:color w:val="auto"/>
          <w:highlight w:val="none"/>
          <w:u w:val="single"/>
        </w:rPr>
        <w:t>评审组</w:t>
      </w:r>
      <w:r>
        <w:rPr>
          <w:rFonts w:hint="eastAsia" w:ascii="宋体" w:hAnsi="宋体" w:cs="宋体"/>
          <w:color w:val="auto"/>
          <w:szCs w:val="21"/>
          <w:highlight w:val="none"/>
          <w:u w:val="single"/>
        </w:rPr>
        <w:t>评委的评审意见不一致时，以设计</w:t>
      </w:r>
      <w:r>
        <w:rPr>
          <w:rFonts w:hint="eastAsia" w:ascii="宋体" w:hAnsi="宋体" w:cs="宋体"/>
          <w:color w:val="auto"/>
          <w:highlight w:val="none"/>
          <w:u w:val="single"/>
        </w:rPr>
        <w:t>评审组</w:t>
      </w:r>
      <w:r>
        <w:rPr>
          <w:rFonts w:hint="eastAsia" w:ascii="宋体" w:hAnsi="宋体" w:cs="宋体"/>
          <w:color w:val="auto"/>
          <w:szCs w:val="21"/>
          <w:highlight w:val="none"/>
          <w:u w:val="single"/>
        </w:rPr>
        <w:t>评委过半数成员的意见作为评标委员会对该情形的认定结论。</w:t>
      </w:r>
    </w:p>
    <w:p w14:paraId="0435EC0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3.2.2设计方案投标文件详细审查评分：评标委员会按照设计方案评分标准（详见前附表），对通过有效性审查的投标文件进行详细审查评分，评出设计方案得分（投标人的得分为各评委评分汇总后的算术平均值，若分数出现小数点时，保留小数点后二位，第三位小数四舍五入）。</w:t>
      </w:r>
    </w:p>
    <w:p w14:paraId="61E547E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3.2.3 评委揭晓投标人身份，并公布设计方案投标文件评审结果。设计组评标委员会取消未通过设计方案投标文件有效性审查的投标人的得分。</w:t>
      </w:r>
    </w:p>
    <w:p w14:paraId="79B943D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3.2.4 设计组评标委员会编写、签署评标报告。评标报告由评标委员会全体成员签字，对评标结论持有异议的评标委员会成员可以书面方式阐述其不同意见和理由。</w:t>
      </w:r>
    </w:p>
    <w:p w14:paraId="1AA6B04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3.2.5 设计组评标委员会向招标人提交书面评标报告后即告解散，评标过程中使用的文件、表格以及其他资料应当即时归还招标人（招标代理机构）。</w:t>
      </w:r>
    </w:p>
    <w:p w14:paraId="3DB91274">
      <w:pPr>
        <w:pStyle w:val="4"/>
        <w:rPr>
          <w:rFonts w:hint="eastAsia"/>
          <w:color w:val="auto"/>
          <w:szCs w:val="21"/>
          <w:highlight w:val="none"/>
        </w:rPr>
      </w:pPr>
      <w:bookmarkStart w:id="533" w:name="_Toc134304585"/>
      <w:r>
        <w:rPr>
          <w:rFonts w:hint="eastAsia"/>
          <w:color w:val="auto"/>
          <w:highlight w:val="none"/>
        </w:rPr>
        <w:t>3.3 工程总承包实施方案评审</w:t>
      </w:r>
      <w:bookmarkEnd w:id="525"/>
      <w:bookmarkEnd w:id="526"/>
      <w:r>
        <w:rPr>
          <w:rFonts w:hint="eastAsia"/>
          <w:color w:val="auto"/>
          <w:highlight w:val="none"/>
        </w:rPr>
        <w:t>（由施工评审组负责）</w:t>
      </w:r>
      <w:bookmarkEnd w:id="527"/>
      <w:bookmarkEnd w:id="528"/>
      <w:bookmarkEnd w:id="529"/>
      <w:bookmarkEnd w:id="530"/>
      <w:bookmarkEnd w:id="531"/>
      <w:bookmarkEnd w:id="532"/>
      <w:bookmarkEnd w:id="533"/>
    </w:p>
    <w:p w14:paraId="7824616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3.3.1 工程总承包实施方案的响应性审查：通过资格审查的投标文件中没有任一种列于工程总承包实施方案响应性评审标准（详见前附表）中情形的，为有效标书。否则为无效标书，经</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评委共同认定后，其投标文件将被拒绝。如</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评委过半数成员的意见作为评标委员会对该情形的认定结论。</w:t>
      </w:r>
    </w:p>
    <w:p w14:paraId="4DE6864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3.3.2 工程总承包实施方案详细审查：</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评委按照工程总承包实施方案评分标准（详见前附表），对通过响应性审查的投标文件进行详细审查，评分。</w:t>
      </w:r>
    </w:p>
    <w:p w14:paraId="5A13E6B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3.3.3 各投标人工程总承包实施方案得分为各评委评分的算术平均值，</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评委按此汇总每个投标人工程总承包实施方案详细审查得分，分数出现小数点，保留小数点后二位，第三位小数四舍五入。</w:t>
      </w:r>
    </w:p>
    <w:p w14:paraId="6FE05F24">
      <w:pPr>
        <w:pStyle w:val="4"/>
        <w:rPr>
          <w:rFonts w:hint="eastAsia"/>
          <w:color w:val="auto"/>
          <w:highlight w:val="none"/>
        </w:rPr>
      </w:pPr>
      <w:bookmarkStart w:id="534" w:name="_Toc134304586"/>
      <w:bookmarkStart w:id="535" w:name="_Toc87238953"/>
      <w:r>
        <w:rPr>
          <w:rFonts w:hint="eastAsia"/>
          <w:color w:val="auto"/>
          <w:highlight w:val="none"/>
        </w:rPr>
        <w:t>34 投标报价得分（由施工评审组评委负责）</w:t>
      </w:r>
      <w:bookmarkEnd w:id="534"/>
      <w:bookmarkEnd w:id="535"/>
    </w:p>
    <w:p w14:paraId="5CC3444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3.4.1 施工评审组评委汇总工程总承包实施方案响应性评审结果，未通过工程总承包实施方案响应性评审的投标人的投标报价，不再进行投标报价评审，也不参与评标基准价的计算。</w:t>
      </w:r>
    </w:p>
    <w:p w14:paraId="0E834EE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3.4.2 投标报价的算术校核。</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评委对通过工程总承包实施方案响应性审查的投标文件的投标报进行算术校核，具体标准如下：</w:t>
      </w:r>
    </w:p>
    <w:p w14:paraId="5314D55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（1）如果投标报价与最高投标限价计算的下浮率不等于投标下浮率时，以计算下浮率为准修正投标下浮率；</w:t>
      </w:r>
    </w:p>
    <w:p w14:paraId="46BEEFA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（2）如果分项报价累加不等总价的，以分项报价累加为准，修正总价；</w:t>
      </w:r>
    </w:p>
    <w:p w14:paraId="6A575F7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（3）投标文件存在其他计算性错误的，按就低不就高计算并修正；</w:t>
      </w:r>
    </w:p>
    <w:p w14:paraId="038364C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（4）若修正后的投标报价超过最高投标限价的，作否决投标处理；</w:t>
      </w:r>
    </w:p>
    <w:p w14:paraId="0416470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（5）按上述修正错误的原则及方法调整或修正投标文件的投标报价，调整后的投标报价对投标人起约束作用。如果投标人不接受修正后的报价，则取消其投标资格或中标资格。</w:t>
      </w:r>
    </w:p>
    <w:p w14:paraId="3BA8BBD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3.4.3 投标报价评分</w:t>
      </w:r>
    </w:p>
    <w:p w14:paraId="11C650E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（1）计算评标参考价：</w:t>
      </w:r>
    </w:p>
    <w:p w14:paraId="532496E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区间抽取法</w:t>
      </w:r>
    </w:p>
    <w:p w14:paraId="3A99DB1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设立入围合格分数线（设计方案得分×权重(30%)+工程总承包实施方案得分×权重(35%)=45.5分），通过初步评审且达到或超过及格线的投标人的建安工程费报价方能参与评标参考价的计算。将达到或超过及格分数线的建安工程费投标报价由低至高进行排列，按以下公式计算评标参考价，计算公式如下：</w:t>
      </w:r>
    </w:p>
    <w:p w14:paraId="7EA459B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评标参考价＝（Q高-Q低）/100*Ｘ+Q低</w:t>
      </w:r>
    </w:p>
    <w:p w14:paraId="4EFA02B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Q低：为达到或超过入围合格分数线的投标人建安工程费的最低报价与建安工程费成本警示价两者中的较高值；如投标人均没有达到入围合格分数线的，则Q低为建安工程费成本警示价。</w:t>
      </w:r>
    </w:p>
    <w:p w14:paraId="5532140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Q高：为建安工程费最高投标限价</w:t>
      </w:r>
    </w:p>
    <w:p w14:paraId="3B8B2D6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X：为等分值点，由招标人或招标代理机构在开标前从[0,100] 的整数中随机抽取确定。</w:t>
      </w:r>
    </w:p>
    <w:p w14:paraId="61451B20">
      <w:pPr>
        <w:spacing w:line="360" w:lineRule="auto"/>
        <w:ind w:firstLine="210" w:firstLineChars="100"/>
        <w:rPr>
          <w:rFonts w:hint="eastAsia" w:ascii="宋体" w:hAnsi="宋体" w:cs="宋体"/>
          <w:b/>
          <w:color w:val="auto"/>
          <w:kern w:val="1"/>
          <w:sz w:val="24"/>
          <w:highlight w:val="none"/>
          <w:lang w:val="zh-CN"/>
        </w:rPr>
      </w:pPr>
      <w:r>
        <w:rPr>
          <w:rFonts w:hint="eastAsia" w:ascii="宋体" w:hAnsi="宋体" w:cs="宋体"/>
          <w:color w:val="auto"/>
          <w:szCs w:val="21"/>
          <w:highlight w:val="none"/>
          <w:u w:val="single"/>
        </w:rPr>
        <w:t>（2）当建安工程费投标报价等于评标参考价时得100分，投标报价每高于评标参考价1%，扣1.5分，每低于评标参考价1%，扣1分，扣至0分为止，得出经济分，精确到小数点后两位。</w:t>
      </w:r>
    </w:p>
    <w:p w14:paraId="59CDAFDB">
      <w:pPr>
        <w:pStyle w:val="4"/>
        <w:rPr>
          <w:rFonts w:hint="eastAsia"/>
          <w:color w:val="auto"/>
          <w:highlight w:val="none"/>
        </w:rPr>
      </w:pPr>
      <w:bookmarkStart w:id="536" w:name="_Toc2675447"/>
      <w:bookmarkStart w:id="537" w:name="_Toc8695"/>
      <w:bookmarkStart w:id="538" w:name="_Toc12088"/>
      <w:bookmarkStart w:id="539" w:name="_Toc31412"/>
      <w:bookmarkStart w:id="540" w:name="_Toc24469"/>
      <w:bookmarkStart w:id="541" w:name="_Toc87238954"/>
      <w:bookmarkStart w:id="542" w:name="_Toc134304587"/>
      <w:bookmarkStart w:id="543" w:name="_Toc33695052"/>
      <w:r>
        <w:rPr>
          <w:rFonts w:hint="eastAsia"/>
          <w:color w:val="auto"/>
          <w:highlight w:val="none"/>
        </w:rPr>
        <w:t>3.</w:t>
      </w:r>
      <w:bookmarkEnd w:id="536"/>
      <w:bookmarkStart w:id="544" w:name="_Toc2675448"/>
      <w:r>
        <w:rPr>
          <w:rFonts w:hint="eastAsia"/>
          <w:color w:val="auto"/>
          <w:highlight w:val="none"/>
        </w:rPr>
        <w:t>4 评审汇总（由施工评审组评委负责）</w:t>
      </w:r>
      <w:bookmarkEnd w:id="537"/>
      <w:bookmarkEnd w:id="538"/>
      <w:bookmarkEnd w:id="539"/>
      <w:bookmarkEnd w:id="540"/>
      <w:bookmarkEnd w:id="541"/>
      <w:bookmarkEnd w:id="542"/>
      <w:bookmarkEnd w:id="543"/>
    </w:p>
    <w:p w14:paraId="2ACF918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3.4.1 投标人总得分满分为100分，各部分分值分配详见评标办法前附表。</w:t>
      </w:r>
    </w:p>
    <w:p w14:paraId="14F35CE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3.4.2 </w:t>
      </w:r>
      <w:r>
        <w:rPr>
          <w:rFonts w:hint="eastAsia" w:ascii="宋体" w:hAnsi="宋体" w:cs="宋体"/>
          <w:color w:val="auto"/>
          <w:highlight w:val="none"/>
          <w:u w:val="single"/>
        </w:rPr>
        <w:t>施工评审组</w:t>
      </w:r>
      <w:r>
        <w:rPr>
          <w:rFonts w:hint="eastAsia" w:ascii="宋体" w:hAnsi="宋体" w:cs="宋体"/>
          <w:color w:val="auto"/>
          <w:szCs w:val="21"/>
          <w:highlight w:val="none"/>
          <w:u w:val="single"/>
        </w:rPr>
        <w:t>汇总各有效投标文件的总分，并按照总分从高到低排列先后次序，只有通过形式审查、资格审查、设计方案的响应性</w:t>
      </w:r>
      <w:r>
        <w:rPr>
          <w:rFonts w:hint="eastAsia" w:ascii="宋体" w:hAnsi="宋体" w:cs="宋体"/>
          <w:color w:val="auto"/>
          <w:highlight w:val="none"/>
          <w:u w:val="single"/>
        </w:rPr>
        <w:t>审查和</w:t>
      </w:r>
      <w:r>
        <w:rPr>
          <w:rFonts w:hint="eastAsia" w:ascii="宋体" w:hAnsi="宋体" w:cs="宋体"/>
          <w:color w:val="auto"/>
          <w:szCs w:val="21"/>
          <w:highlight w:val="none"/>
          <w:u w:val="single"/>
        </w:rPr>
        <w:t>工程总承包实施方案</w:t>
      </w:r>
      <w:r>
        <w:rPr>
          <w:rFonts w:hint="eastAsia" w:ascii="宋体" w:hAnsi="宋体" w:cs="宋体"/>
          <w:color w:val="auto"/>
          <w:highlight w:val="none"/>
          <w:u w:val="single"/>
        </w:rPr>
        <w:t>响应性审查</w:t>
      </w:r>
      <w:r>
        <w:rPr>
          <w:rFonts w:hint="eastAsia" w:ascii="宋体" w:hAnsi="宋体" w:cs="宋体"/>
          <w:color w:val="auto"/>
          <w:szCs w:val="21"/>
          <w:highlight w:val="none"/>
          <w:u w:val="single"/>
        </w:rPr>
        <w:t>的投标文件方可计算总分。</w:t>
      </w:r>
      <w:r>
        <w:rPr>
          <w:rFonts w:hint="eastAsia" w:ascii="宋体" w:hAnsi="宋体" w:cs="宋体"/>
          <w:color w:val="auto"/>
          <w:highlight w:val="none"/>
          <w:u w:val="single"/>
        </w:rPr>
        <w:t>总分相同的，以工程总承包实施方案评审得分较高的排前；总分与工程总承包实施方案评审得分均相同的投标文件，以投标报价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color w:val="auto"/>
          <w:szCs w:val="21"/>
          <w:highlight w:val="none"/>
          <w:u w:val="single"/>
        </w:rPr>
        <w:t>。</w:t>
      </w:r>
    </w:p>
    <w:p w14:paraId="47C5526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3.4.3 有效投标单位不足三家，应当依法重新组织招标。</w:t>
      </w:r>
    </w:p>
    <w:p w14:paraId="23B840FE">
      <w:pPr>
        <w:pStyle w:val="4"/>
        <w:rPr>
          <w:rFonts w:hint="eastAsia"/>
          <w:color w:val="auto"/>
          <w:highlight w:val="none"/>
        </w:rPr>
      </w:pPr>
      <w:bookmarkStart w:id="545" w:name="_Toc33695053"/>
      <w:bookmarkStart w:id="546" w:name="_Toc31614"/>
      <w:bookmarkStart w:id="547" w:name="_Toc87238955"/>
      <w:bookmarkStart w:id="548" w:name="_Toc26291"/>
      <w:bookmarkStart w:id="549" w:name="_Toc134304588"/>
      <w:bookmarkStart w:id="550" w:name="_Toc28792"/>
      <w:bookmarkStart w:id="551" w:name="_Toc28206"/>
      <w:r>
        <w:rPr>
          <w:rFonts w:hint="eastAsia"/>
          <w:color w:val="auto"/>
          <w:highlight w:val="none"/>
        </w:rPr>
        <w:t>3.5 投标文件的澄清和补正</w:t>
      </w:r>
      <w:bookmarkEnd w:id="544"/>
      <w:bookmarkEnd w:id="545"/>
      <w:bookmarkEnd w:id="546"/>
      <w:bookmarkEnd w:id="547"/>
      <w:bookmarkEnd w:id="548"/>
      <w:bookmarkEnd w:id="549"/>
      <w:bookmarkEnd w:id="550"/>
      <w:bookmarkEnd w:id="551"/>
    </w:p>
    <w:p w14:paraId="415235AF">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3.5.1 为有助于投标文件的审查、评价和比较，评标期间，经评标委员会中两人以上（含两人）的成员以书面形式提出动议，评标委员会应当书面发出澄清通知，要求投标人对投标文件含义不明确的内容作出澄清。</w:t>
      </w:r>
    </w:p>
    <w:p w14:paraId="0D3C65BA">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410BE0FA">
      <w:pPr>
        <w:spacing w:line="360" w:lineRule="auto"/>
        <w:ind w:firstLine="396" w:firstLineChars="200"/>
        <w:rPr>
          <w:rFonts w:hint="eastAsia" w:ascii="宋体" w:hAnsi="宋体" w:cs="宋体"/>
          <w:color w:val="auto"/>
          <w:spacing w:val="-6"/>
          <w:highlight w:val="none"/>
          <w:u w:val="single"/>
        </w:rPr>
      </w:pPr>
      <w:r>
        <w:rPr>
          <w:rFonts w:hint="eastAsia" w:ascii="宋体" w:hAnsi="宋体" w:cs="宋体"/>
          <w:color w:val="auto"/>
          <w:spacing w:val="-6"/>
          <w:highlight w:val="none"/>
          <w:u w:val="single"/>
        </w:rPr>
        <w:t>3.5.3 评标委员会成员均应当阅读投标人的澄清，但应独立参考澄清对投标文件进行评审。</w:t>
      </w:r>
    </w:p>
    <w:p w14:paraId="6C515BBE">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3.5.4 如果投标文件实质上不响应招标文件的各项要求，评标委员会相应评审将按照响应性审查标准予以拒绝，不接受投标人通过修改或撤销其不符合要求的差异或保留，使之成为具有响应性的投标。</w:t>
      </w:r>
    </w:p>
    <w:p w14:paraId="136D42D5">
      <w:pPr>
        <w:pStyle w:val="4"/>
        <w:rPr>
          <w:rFonts w:hint="eastAsia"/>
          <w:color w:val="auto"/>
          <w:highlight w:val="none"/>
        </w:rPr>
      </w:pPr>
      <w:bookmarkStart w:id="552" w:name="_Toc134304589"/>
      <w:bookmarkStart w:id="553" w:name="_Toc13739"/>
      <w:bookmarkStart w:id="554" w:name="_Toc2675449"/>
      <w:bookmarkStart w:id="555" w:name="_Toc27953"/>
      <w:bookmarkStart w:id="556" w:name="_Toc19558"/>
      <w:bookmarkStart w:id="557" w:name="_Toc15798"/>
      <w:bookmarkStart w:id="558" w:name="_Toc33695054"/>
      <w:bookmarkStart w:id="559" w:name="_Toc87238956"/>
      <w:r>
        <w:rPr>
          <w:rFonts w:hint="eastAsia"/>
          <w:color w:val="auto"/>
          <w:highlight w:val="none"/>
        </w:rPr>
        <w:t>3.6 评标结果</w:t>
      </w:r>
      <w:bookmarkEnd w:id="552"/>
      <w:bookmarkEnd w:id="553"/>
      <w:bookmarkEnd w:id="554"/>
      <w:bookmarkEnd w:id="555"/>
      <w:bookmarkEnd w:id="556"/>
      <w:bookmarkEnd w:id="557"/>
      <w:bookmarkEnd w:id="558"/>
      <w:bookmarkEnd w:id="559"/>
    </w:p>
    <w:p w14:paraId="08F26201">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3.6.1 除第二章“投标人须知”前附表授权直接确定中标人外，评标委员会按照得分由高到低的顺序推荐中标候选人。</w:t>
      </w:r>
    </w:p>
    <w:p w14:paraId="7BACDB58">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3.6.2 评标委员会完成评标后，应当向招标人提交书面评标报告。</w:t>
      </w:r>
    </w:p>
    <w:p w14:paraId="125312C9">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3.6.3 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2CF1278A">
      <w:pPr>
        <w:spacing w:line="360" w:lineRule="auto"/>
        <w:ind w:firstLine="420" w:firstLineChars="200"/>
        <w:rPr>
          <w:color w:val="auto"/>
          <w:highlight w:val="none"/>
        </w:rPr>
      </w:pPr>
    </w:p>
    <w:p w14:paraId="1B1BB6CE">
      <w:pPr>
        <w:pStyle w:val="68"/>
        <w:rPr>
          <w:color w:val="auto"/>
          <w:highlight w:val="none"/>
        </w:rPr>
      </w:pPr>
    </w:p>
    <w:p w14:paraId="6732BFBC">
      <w:pPr>
        <w:pStyle w:val="68"/>
        <w:rPr>
          <w:color w:val="auto"/>
          <w:highlight w:val="none"/>
        </w:rPr>
      </w:pPr>
    </w:p>
    <w:p w14:paraId="4B49EC3B">
      <w:pPr>
        <w:rPr>
          <w:color w:val="auto"/>
          <w:highlight w:val="none"/>
        </w:rPr>
      </w:pPr>
      <w:bookmarkStart w:id="560" w:name="_Toc134304590"/>
      <w:r>
        <w:rPr>
          <w:rFonts w:hint="eastAsia"/>
          <w:color w:val="auto"/>
          <w:highlight w:val="none"/>
        </w:rPr>
        <w:br w:type="page"/>
      </w:r>
    </w:p>
    <w:p w14:paraId="2833A72C">
      <w:pPr>
        <w:pStyle w:val="2"/>
        <w:rPr>
          <w:color w:val="auto"/>
          <w:highlight w:val="none"/>
        </w:rPr>
      </w:pPr>
      <w:r>
        <w:rPr>
          <w:rFonts w:hint="eastAsia"/>
          <w:color w:val="auto"/>
          <w:highlight w:val="none"/>
        </w:rPr>
        <w:t>第四章 合同条款及格式</w:t>
      </w:r>
      <w:bookmarkEnd w:id="472"/>
      <w:bookmarkEnd w:id="473"/>
      <w:bookmarkEnd w:id="474"/>
      <w:bookmarkEnd w:id="475"/>
      <w:bookmarkEnd w:id="476"/>
      <w:bookmarkEnd w:id="477"/>
      <w:bookmarkEnd w:id="560"/>
      <w:bookmarkStart w:id="561" w:name="_Toc247527635"/>
      <w:bookmarkStart w:id="562" w:name="_Toc247514034"/>
      <w:bookmarkStart w:id="563" w:name="_Toc152045610"/>
      <w:bookmarkStart w:id="564" w:name="_Toc144974578"/>
      <w:bookmarkStart w:id="565" w:name="_Toc152042388"/>
      <w:bookmarkStart w:id="566" w:name="_Toc184635097"/>
    </w:p>
    <w:p w14:paraId="0CCF1672">
      <w:pPr>
        <w:topLinePunct/>
        <w:spacing w:line="440" w:lineRule="exact"/>
        <w:ind w:firstLine="420"/>
        <w:jc w:val="center"/>
        <w:rPr>
          <w:rFonts w:hint="eastAsia" w:ascii="宋体" w:hAnsi="宋体" w:cs="宋体"/>
          <w:color w:val="auto"/>
          <w:highlight w:val="none"/>
        </w:rPr>
      </w:pPr>
    </w:p>
    <w:p w14:paraId="7EB6DA60">
      <w:pPr>
        <w:topLinePunct/>
        <w:spacing w:line="440" w:lineRule="exact"/>
        <w:ind w:firstLine="420"/>
        <w:jc w:val="center"/>
        <w:rPr>
          <w:rFonts w:hint="eastAsia" w:ascii="宋体" w:hAnsi="宋体" w:cs="宋体"/>
          <w:b/>
          <w:bCs/>
          <w:color w:val="auto"/>
          <w:sz w:val="44"/>
          <w:szCs w:val="52"/>
          <w:highlight w:val="none"/>
        </w:rPr>
      </w:pPr>
      <w:r>
        <w:rPr>
          <w:rFonts w:hint="eastAsia" w:ascii="宋体" w:hAnsi="宋体" w:cs="宋体"/>
          <w:b/>
          <w:bCs/>
          <w:color w:val="auto"/>
          <w:sz w:val="44"/>
          <w:szCs w:val="52"/>
          <w:highlight w:val="none"/>
        </w:rPr>
        <w:t>另册</w:t>
      </w:r>
    </w:p>
    <w:p w14:paraId="67A1E2B8">
      <w:pPr>
        <w:topLinePunct/>
        <w:spacing w:line="440" w:lineRule="exact"/>
        <w:ind w:firstLine="420"/>
        <w:jc w:val="center"/>
        <w:rPr>
          <w:rFonts w:hint="eastAsia" w:ascii="宋体" w:hAnsi="宋体" w:cs="宋体"/>
          <w:color w:val="auto"/>
          <w:highlight w:val="none"/>
        </w:rPr>
      </w:pPr>
    </w:p>
    <w:p w14:paraId="07538821">
      <w:pPr>
        <w:keepNext/>
        <w:keepLines/>
        <w:spacing w:line="576" w:lineRule="auto"/>
        <w:outlineLvl w:val="0"/>
        <w:rPr>
          <w:b/>
          <w:color w:val="auto"/>
          <w:sz w:val="28"/>
          <w:szCs w:val="28"/>
          <w:highlight w:val="none"/>
        </w:rPr>
      </w:pPr>
      <w:bookmarkStart w:id="567" w:name="_Toc5793"/>
    </w:p>
    <w:p w14:paraId="2EAAC720">
      <w:pPr>
        <w:keepNext/>
        <w:keepLines/>
        <w:spacing w:line="576" w:lineRule="auto"/>
        <w:outlineLvl w:val="0"/>
        <w:rPr>
          <w:b/>
          <w:color w:val="auto"/>
          <w:sz w:val="28"/>
          <w:szCs w:val="28"/>
          <w:highlight w:val="none"/>
        </w:rPr>
      </w:pPr>
    </w:p>
    <w:bookmarkEnd w:id="567"/>
    <w:p w14:paraId="7410B60E">
      <w:pPr>
        <w:topLinePunct/>
        <w:spacing w:line="440" w:lineRule="exact"/>
        <w:ind w:firstLine="420"/>
        <w:jc w:val="center"/>
        <w:rPr>
          <w:rFonts w:hint="eastAsia" w:ascii="宋体" w:hAnsi="宋体" w:cs="宋体"/>
          <w:color w:val="auto"/>
          <w:highlight w:val="none"/>
        </w:rPr>
      </w:pPr>
    </w:p>
    <w:p w14:paraId="367B8FF4">
      <w:pPr>
        <w:topLinePunct/>
        <w:spacing w:line="440" w:lineRule="exact"/>
        <w:ind w:firstLine="420"/>
        <w:jc w:val="center"/>
        <w:rPr>
          <w:rFonts w:hint="eastAsia" w:ascii="宋体" w:hAnsi="宋体" w:cs="宋体"/>
          <w:color w:val="auto"/>
          <w:highlight w:val="none"/>
        </w:rPr>
      </w:pPr>
    </w:p>
    <w:p w14:paraId="57D4FA70">
      <w:pPr>
        <w:pStyle w:val="68"/>
        <w:rPr>
          <w:color w:val="auto"/>
          <w:highlight w:val="none"/>
        </w:rPr>
      </w:pPr>
    </w:p>
    <w:bookmarkEnd w:id="561"/>
    <w:bookmarkEnd w:id="562"/>
    <w:bookmarkEnd w:id="563"/>
    <w:bookmarkEnd w:id="564"/>
    <w:bookmarkEnd w:id="565"/>
    <w:bookmarkEnd w:id="566"/>
    <w:p w14:paraId="47BDF466">
      <w:pPr>
        <w:topLinePunct/>
        <w:spacing w:line="440" w:lineRule="exact"/>
        <w:ind w:firstLine="420"/>
        <w:jc w:val="center"/>
        <w:rPr>
          <w:color w:val="auto"/>
          <w:highlight w:val="none"/>
        </w:rPr>
      </w:pPr>
      <w:r>
        <w:rPr>
          <w:rFonts w:hint="eastAsia" w:ascii="宋体" w:hAnsi="宋体" w:cs="宋体"/>
          <w:color w:val="auto"/>
          <w:highlight w:val="none"/>
        </w:rPr>
        <w:br w:type="page"/>
      </w:r>
    </w:p>
    <w:p w14:paraId="2D5AAB21">
      <w:pPr>
        <w:spacing w:line="400" w:lineRule="exact"/>
        <w:ind w:firstLine="420"/>
        <w:rPr>
          <w:rFonts w:hint="eastAsia" w:ascii="宋体" w:hAnsi="宋体" w:cs="宋体"/>
          <w:color w:val="auto"/>
          <w:highlight w:val="none"/>
        </w:rPr>
      </w:pPr>
    </w:p>
    <w:p w14:paraId="238EAEEE">
      <w:pPr>
        <w:spacing w:line="400" w:lineRule="exact"/>
        <w:ind w:firstLine="420"/>
        <w:rPr>
          <w:rFonts w:hint="eastAsia" w:ascii="宋体" w:hAnsi="宋体" w:cs="宋体"/>
          <w:color w:val="auto"/>
          <w:highlight w:val="none"/>
        </w:rPr>
      </w:pPr>
    </w:p>
    <w:p w14:paraId="09E41618">
      <w:pPr>
        <w:pStyle w:val="2"/>
        <w:rPr>
          <w:color w:val="auto"/>
          <w:highlight w:val="none"/>
        </w:rPr>
      </w:pPr>
      <w:bookmarkStart w:id="568" w:name="_Toc247527819"/>
      <w:bookmarkStart w:id="569" w:name="_Toc247514232"/>
      <w:bookmarkStart w:id="570" w:name="_Toc134304591"/>
      <w:bookmarkStart w:id="571" w:name="_Toc25556"/>
      <w:r>
        <w:rPr>
          <w:rFonts w:hint="eastAsia"/>
          <w:color w:val="auto"/>
          <w:highlight w:val="none"/>
        </w:rPr>
        <w:t>第二卷</w:t>
      </w:r>
      <w:bookmarkEnd w:id="568"/>
      <w:bookmarkEnd w:id="569"/>
      <w:bookmarkEnd w:id="570"/>
    </w:p>
    <w:p w14:paraId="090DB339">
      <w:pPr>
        <w:spacing w:line="400" w:lineRule="exact"/>
        <w:ind w:firstLine="420"/>
        <w:rPr>
          <w:rFonts w:hint="eastAsia" w:ascii="宋体" w:hAnsi="宋体" w:cs="宋体"/>
          <w:color w:val="auto"/>
          <w:highlight w:val="none"/>
        </w:rPr>
      </w:pPr>
    </w:p>
    <w:p w14:paraId="49455F01">
      <w:pPr>
        <w:spacing w:line="400" w:lineRule="exact"/>
        <w:ind w:firstLine="420"/>
        <w:rPr>
          <w:rFonts w:hint="eastAsia" w:ascii="宋体" w:hAnsi="宋体" w:cs="宋体"/>
          <w:color w:val="auto"/>
          <w:highlight w:val="none"/>
        </w:rPr>
      </w:pPr>
    </w:p>
    <w:p w14:paraId="74DEA621">
      <w:pPr>
        <w:spacing w:line="400" w:lineRule="exact"/>
        <w:ind w:firstLine="420"/>
        <w:rPr>
          <w:color w:val="auto"/>
          <w:szCs w:val="20"/>
          <w:highlight w:val="none"/>
        </w:rPr>
      </w:pPr>
      <w:r>
        <w:rPr>
          <w:rFonts w:hint="eastAsia" w:ascii="宋体" w:hAnsi="宋体" w:cs="宋体"/>
          <w:color w:val="auto"/>
          <w:highlight w:val="none"/>
        </w:rPr>
        <w:br w:type="page"/>
      </w:r>
      <w:bookmarkEnd w:id="571"/>
    </w:p>
    <w:p w14:paraId="1472CADB">
      <w:pPr>
        <w:pStyle w:val="2"/>
        <w:rPr>
          <w:color w:val="auto"/>
          <w:highlight w:val="none"/>
        </w:rPr>
      </w:pPr>
      <w:bookmarkStart w:id="572" w:name="_Toc152042571"/>
      <w:bookmarkStart w:id="573" w:name="_Toc247527820"/>
      <w:bookmarkStart w:id="574" w:name="_Toc144974851"/>
      <w:bookmarkStart w:id="575" w:name="_Toc152045782"/>
      <w:bookmarkStart w:id="576" w:name="_Toc247514233"/>
      <w:bookmarkStart w:id="577" w:name="_Toc134304592"/>
      <w:bookmarkStart w:id="578" w:name="_Toc16616"/>
      <w:r>
        <w:rPr>
          <w:rFonts w:hint="eastAsia"/>
          <w:color w:val="auto"/>
          <w:highlight w:val="none"/>
        </w:rPr>
        <w:t xml:space="preserve">第五章  </w:t>
      </w:r>
      <w:bookmarkEnd w:id="572"/>
      <w:bookmarkEnd w:id="573"/>
      <w:bookmarkEnd w:id="574"/>
      <w:bookmarkEnd w:id="575"/>
      <w:bookmarkEnd w:id="576"/>
      <w:r>
        <w:rPr>
          <w:rFonts w:hint="eastAsia"/>
          <w:color w:val="auto"/>
          <w:highlight w:val="none"/>
        </w:rPr>
        <w:t>招标人要求</w:t>
      </w:r>
      <w:bookmarkEnd w:id="577"/>
      <w:bookmarkEnd w:id="578"/>
    </w:p>
    <w:p w14:paraId="253ED381">
      <w:pPr>
        <w:spacing w:line="360" w:lineRule="auto"/>
        <w:ind w:firstLine="420"/>
        <w:rPr>
          <w:rFonts w:hint="eastAsia" w:ascii="宋体" w:hAnsi="宋体" w:cs="宋体"/>
          <w:color w:val="auto"/>
          <w:highlight w:val="none"/>
        </w:rPr>
      </w:pPr>
    </w:p>
    <w:p w14:paraId="3CE2D457">
      <w:pPr>
        <w:spacing w:line="360" w:lineRule="auto"/>
        <w:ind w:firstLine="420"/>
        <w:rPr>
          <w:rFonts w:hint="eastAsia" w:ascii="宋体" w:hAnsi="宋体" w:cs="宋体"/>
          <w:color w:val="auto"/>
          <w:highlight w:val="none"/>
        </w:rPr>
      </w:pPr>
    </w:p>
    <w:p w14:paraId="09008A2E">
      <w:pPr>
        <w:spacing w:line="360" w:lineRule="auto"/>
        <w:ind w:firstLine="420"/>
        <w:rPr>
          <w:rFonts w:hint="eastAsia" w:ascii="宋体" w:hAnsi="宋体" w:cs="宋体"/>
          <w:color w:val="auto"/>
          <w:highlight w:val="none"/>
        </w:rPr>
      </w:pPr>
    </w:p>
    <w:p w14:paraId="452ECAF4">
      <w:pPr>
        <w:spacing w:before="62" w:beforeLines="20" w:after="62" w:afterLines="20" w:line="276" w:lineRule="auto"/>
        <w:jc w:val="center"/>
        <w:rPr>
          <w:rFonts w:ascii="Arial" w:hAnsi="Arial" w:cs="Arial"/>
          <w:b/>
          <w:color w:val="auto"/>
          <w:sz w:val="32"/>
          <w:szCs w:val="32"/>
          <w:highlight w:val="none"/>
        </w:rPr>
      </w:pPr>
      <w:r>
        <w:rPr>
          <w:rFonts w:hint="eastAsia" w:ascii="Arial" w:hAnsi="Arial" w:cs="Arial"/>
          <w:b/>
          <w:color w:val="auto"/>
          <w:sz w:val="32"/>
          <w:szCs w:val="32"/>
          <w:highlight w:val="none"/>
        </w:rPr>
        <w:t>中山大学中山眼科中心药学部制剂室搬迁重建设计施工一体化项目</w:t>
      </w:r>
      <w:r>
        <w:rPr>
          <w:rFonts w:ascii="Arial" w:hAnsi="Arial" w:cs="Arial"/>
          <w:b/>
          <w:color w:val="auto"/>
          <w:sz w:val="32"/>
          <w:szCs w:val="32"/>
          <w:highlight w:val="none"/>
        </w:rPr>
        <w:t>用户需求书( U R S )</w:t>
      </w:r>
    </w:p>
    <w:tbl>
      <w:tblPr>
        <w:tblStyle w:val="37"/>
        <w:tblW w:w="9569" w:type="dxa"/>
        <w:jc w:val="center"/>
        <w:tblLayout w:type="fixed"/>
        <w:tblCellMar>
          <w:top w:w="0" w:type="dxa"/>
          <w:left w:w="108" w:type="dxa"/>
          <w:bottom w:w="0" w:type="dxa"/>
          <w:right w:w="108" w:type="dxa"/>
        </w:tblCellMar>
      </w:tblPr>
      <w:tblGrid>
        <w:gridCol w:w="9569"/>
      </w:tblGrid>
      <w:tr w14:paraId="0591BEA6">
        <w:tblPrEx>
          <w:tblCellMar>
            <w:top w:w="0" w:type="dxa"/>
            <w:left w:w="108" w:type="dxa"/>
            <w:bottom w:w="0" w:type="dxa"/>
            <w:right w:w="108" w:type="dxa"/>
          </w:tblCellMar>
        </w:tblPrEx>
        <w:trPr>
          <w:trHeight w:val="1280" w:hRule="atLeast"/>
          <w:jc w:val="center"/>
        </w:trPr>
        <w:tc>
          <w:tcPr>
            <w:tcW w:w="9569" w:type="dxa"/>
            <w:tcBorders>
              <w:top w:val="nil"/>
              <w:left w:val="nil"/>
              <w:bottom w:val="nil"/>
              <w:right w:val="nil"/>
            </w:tcBorders>
            <w:vAlign w:val="center"/>
          </w:tcPr>
          <w:p w14:paraId="4EC7A00E">
            <w:pPr>
              <w:spacing w:before="62" w:beforeLines="20" w:after="62" w:afterLines="20" w:line="276" w:lineRule="auto"/>
              <w:jc w:val="left"/>
              <w:rPr>
                <w:rFonts w:ascii="Arial" w:hAnsi="Arial" w:cs="Arial"/>
                <w:color w:val="auto"/>
                <w:sz w:val="24"/>
                <w:highlight w:val="none"/>
              </w:rPr>
            </w:pPr>
          </w:p>
        </w:tc>
      </w:tr>
    </w:tbl>
    <w:p w14:paraId="14C0A9B0">
      <w:pPr>
        <w:spacing w:before="62" w:beforeLines="20" w:after="62" w:afterLines="20" w:line="360" w:lineRule="auto"/>
        <w:jc w:val="center"/>
        <w:rPr>
          <w:rFonts w:ascii="Arial" w:hAnsi="Arial" w:cs="Arial"/>
          <w:b/>
          <w:color w:val="auto"/>
          <w:sz w:val="44"/>
          <w:szCs w:val="44"/>
          <w:highlight w:val="none"/>
        </w:rPr>
      </w:pPr>
      <w:r>
        <w:rPr>
          <w:rFonts w:hint="eastAsia" w:ascii="Arial" w:hAnsi="Arial" w:cs="Arial"/>
          <w:b/>
          <w:color w:val="auto"/>
          <w:sz w:val="44"/>
          <w:szCs w:val="44"/>
          <w:highlight w:val="none"/>
        </w:rPr>
        <w:t>目录</w:t>
      </w:r>
    </w:p>
    <w:p w14:paraId="261D7C69">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一．项目概况</w:t>
      </w:r>
    </w:p>
    <w:p w14:paraId="37F2978C">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二、范围</w:t>
      </w:r>
    </w:p>
    <w:p w14:paraId="24945C66">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三、说明</w:t>
      </w:r>
    </w:p>
    <w:p w14:paraId="5C5DDEB4">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四、总则</w:t>
      </w:r>
    </w:p>
    <w:p w14:paraId="3EBB349F">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五、综合要求</w:t>
      </w:r>
    </w:p>
    <w:p w14:paraId="01110E19">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六、</w:t>
      </w:r>
      <w:r>
        <w:rPr>
          <w:rFonts w:hint="eastAsia" w:ascii="Arial" w:hAnsi="Arial" w:cs="Arial"/>
          <w:b/>
          <w:color w:val="auto"/>
          <w:sz w:val="24"/>
          <w:highlight w:val="none"/>
        </w:rPr>
        <w:t>装修要求</w:t>
      </w:r>
    </w:p>
    <w:p w14:paraId="041B0451">
      <w:pPr>
        <w:spacing w:before="62" w:beforeLines="20" w:after="62" w:afterLines="20" w:line="360" w:lineRule="auto"/>
        <w:jc w:val="left"/>
        <w:rPr>
          <w:rFonts w:ascii="Arial" w:hAnsi="Arial" w:cs="Arial"/>
          <w:b/>
          <w:color w:val="auto"/>
          <w:sz w:val="24"/>
          <w:highlight w:val="none"/>
        </w:rPr>
      </w:pPr>
      <w:r>
        <w:rPr>
          <w:rFonts w:ascii="Arial" w:hAnsi="Arial" w:cs="Arial"/>
          <w:b/>
          <w:color w:val="auto"/>
          <w:sz w:val="24"/>
          <w:highlight w:val="none"/>
        </w:rPr>
        <w:t>七、</w:t>
      </w:r>
      <w:r>
        <w:rPr>
          <w:rFonts w:hint="eastAsia" w:ascii="Arial" w:hAnsi="Arial" w:cs="Arial"/>
          <w:b/>
          <w:color w:val="auto"/>
          <w:sz w:val="24"/>
          <w:highlight w:val="none"/>
        </w:rPr>
        <w:t>工艺管道专业要求</w:t>
      </w:r>
    </w:p>
    <w:p w14:paraId="20E944ED">
      <w:pPr>
        <w:spacing w:before="62" w:beforeLines="20" w:after="62" w:afterLines="20" w:line="360" w:lineRule="auto"/>
        <w:jc w:val="left"/>
        <w:rPr>
          <w:rFonts w:ascii="Arial" w:hAnsi="Arial" w:cs="Arial"/>
          <w:b/>
          <w:color w:val="auto"/>
          <w:sz w:val="24"/>
          <w:highlight w:val="none"/>
        </w:rPr>
      </w:pPr>
      <w:r>
        <w:rPr>
          <w:rFonts w:hint="eastAsia" w:ascii="Arial" w:hAnsi="Arial" w:cs="Arial"/>
          <w:b/>
          <w:color w:val="auto"/>
          <w:sz w:val="24"/>
          <w:highlight w:val="none"/>
        </w:rPr>
        <w:t>八、电气专业要求</w:t>
      </w:r>
    </w:p>
    <w:p w14:paraId="1D3BC4B0">
      <w:pPr>
        <w:spacing w:before="62" w:beforeLines="20" w:after="62" w:afterLines="20" w:line="360" w:lineRule="auto"/>
        <w:jc w:val="left"/>
        <w:rPr>
          <w:rFonts w:ascii="Arial" w:hAnsi="Arial" w:cs="Arial"/>
          <w:b/>
          <w:color w:val="auto"/>
          <w:sz w:val="24"/>
          <w:highlight w:val="none"/>
        </w:rPr>
      </w:pPr>
      <w:r>
        <w:rPr>
          <w:rFonts w:hint="eastAsia" w:ascii="Arial" w:hAnsi="Arial" w:cs="Arial"/>
          <w:b/>
          <w:color w:val="auto"/>
          <w:sz w:val="24"/>
          <w:highlight w:val="none"/>
        </w:rPr>
        <w:t>九、给排水专业要求</w:t>
      </w:r>
    </w:p>
    <w:p w14:paraId="498A9E7A">
      <w:pPr>
        <w:spacing w:before="62" w:beforeLines="20" w:after="62" w:afterLines="20" w:line="360" w:lineRule="auto"/>
        <w:jc w:val="left"/>
        <w:rPr>
          <w:rFonts w:ascii="Arial" w:hAnsi="Arial" w:cs="Arial"/>
          <w:b/>
          <w:color w:val="auto"/>
          <w:sz w:val="24"/>
          <w:highlight w:val="none"/>
        </w:rPr>
      </w:pPr>
      <w:r>
        <w:rPr>
          <w:rFonts w:hint="eastAsia" w:ascii="Arial" w:hAnsi="Arial" w:cs="Arial"/>
          <w:b/>
          <w:color w:val="auto"/>
          <w:sz w:val="24"/>
          <w:highlight w:val="none"/>
        </w:rPr>
        <w:t>十、</w:t>
      </w:r>
      <w:r>
        <w:rPr>
          <w:rFonts w:ascii="Arial" w:hAnsi="Arial" w:cs="Arial"/>
          <w:b/>
          <w:color w:val="auto"/>
          <w:sz w:val="24"/>
          <w:highlight w:val="none"/>
        </w:rPr>
        <w:t>空调与通风安装工程</w:t>
      </w:r>
    </w:p>
    <w:p w14:paraId="0C02723E">
      <w:pPr>
        <w:spacing w:before="62" w:beforeLines="20" w:after="62" w:afterLines="20" w:line="360" w:lineRule="auto"/>
        <w:jc w:val="left"/>
        <w:rPr>
          <w:rFonts w:ascii="Arial" w:hAnsi="Arial" w:cs="Arial"/>
          <w:b/>
          <w:color w:val="auto"/>
          <w:sz w:val="24"/>
          <w:highlight w:val="none"/>
        </w:rPr>
      </w:pPr>
      <w:r>
        <w:rPr>
          <w:rFonts w:hint="eastAsia" w:ascii="Arial" w:hAnsi="Arial" w:cs="Arial"/>
          <w:b/>
          <w:color w:val="auto"/>
          <w:sz w:val="24"/>
          <w:highlight w:val="none"/>
        </w:rPr>
        <w:t>十一、</w:t>
      </w:r>
      <w:r>
        <w:rPr>
          <w:rFonts w:ascii="Arial" w:hAnsi="Arial" w:cs="Arial"/>
          <w:b/>
          <w:color w:val="auto"/>
          <w:sz w:val="24"/>
          <w:highlight w:val="none"/>
        </w:rPr>
        <w:t>洁净区恒温恒湿组合空调机组</w:t>
      </w:r>
    </w:p>
    <w:p w14:paraId="382990EF">
      <w:pPr>
        <w:pStyle w:val="11"/>
        <w:spacing w:line="360" w:lineRule="auto"/>
        <w:ind w:firstLine="0" w:firstLineChars="0"/>
      </w:pPr>
      <w:r>
        <w:rPr>
          <w:rFonts w:hint="eastAsia" w:ascii="Arial" w:hAnsi="Arial" w:cs="Arial"/>
          <w:b/>
          <w:color w:val="auto"/>
          <w:sz w:val="24"/>
          <w:highlight w:val="none"/>
          <w:lang w:val="en-US" w:eastAsia="zh-CN"/>
        </w:rPr>
        <w:t>十二、施工现场建筑垃圾源头减量的具体要求和建筑垃圾综合利用品的使用要求</w:t>
      </w:r>
    </w:p>
    <w:p w14:paraId="6872B176">
      <w:pPr>
        <w:spacing w:before="62" w:beforeLines="20" w:after="62" w:afterLines="20" w:line="276" w:lineRule="auto"/>
        <w:jc w:val="left"/>
        <w:rPr>
          <w:rFonts w:hint="eastAsia" w:ascii="宋体" w:hAnsi="宋体" w:cs="Arial"/>
          <w:b/>
          <w:color w:val="auto"/>
          <w:sz w:val="24"/>
          <w:highlight w:val="none"/>
        </w:rPr>
      </w:pPr>
    </w:p>
    <w:p w14:paraId="5503C73A">
      <w:pPr>
        <w:jc w:val="left"/>
        <w:rPr>
          <w:rFonts w:ascii="Arial" w:hAnsi="Arial" w:cs="Arial"/>
          <w:b/>
          <w:color w:val="auto"/>
          <w:sz w:val="32"/>
          <w:szCs w:val="32"/>
          <w:highlight w:val="none"/>
        </w:rPr>
      </w:pPr>
      <w:r>
        <w:rPr>
          <w:rFonts w:hint="eastAsia" w:ascii="Arial" w:hAnsi="Arial" w:cs="Arial"/>
          <w:b/>
          <w:color w:val="auto"/>
          <w:sz w:val="32"/>
          <w:szCs w:val="32"/>
          <w:highlight w:val="none"/>
        </w:rPr>
        <w:br w:type="page"/>
      </w:r>
    </w:p>
    <w:p w14:paraId="49BBC865">
      <w:pPr>
        <w:spacing w:before="62" w:beforeLines="20" w:after="62" w:afterLines="20" w:line="276" w:lineRule="auto"/>
        <w:jc w:val="center"/>
        <w:rPr>
          <w:rFonts w:ascii="Arial" w:hAnsi="Arial" w:cs="Arial"/>
          <w:b/>
          <w:color w:val="auto"/>
          <w:sz w:val="32"/>
          <w:szCs w:val="32"/>
          <w:highlight w:val="none"/>
        </w:rPr>
      </w:pPr>
      <w:r>
        <w:rPr>
          <w:rFonts w:hint="eastAsia" w:ascii="Arial" w:hAnsi="Arial" w:cs="Arial"/>
          <w:b/>
          <w:color w:val="auto"/>
          <w:sz w:val="32"/>
          <w:szCs w:val="32"/>
          <w:highlight w:val="none"/>
        </w:rPr>
        <w:t>中山大学中山眼科中心药学部制剂室搬迁重建设计施工一体化项目</w:t>
      </w:r>
      <w:r>
        <w:rPr>
          <w:rFonts w:ascii="Arial" w:hAnsi="Arial" w:cs="Arial"/>
          <w:b/>
          <w:color w:val="auto"/>
          <w:sz w:val="32"/>
          <w:szCs w:val="32"/>
          <w:highlight w:val="none"/>
        </w:rPr>
        <w:t>用户需求</w:t>
      </w:r>
    </w:p>
    <w:p w14:paraId="602A2AE2">
      <w:pPr>
        <w:spacing w:before="62" w:beforeLines="20" w:after="62" w:afterLines="20" w:line="276" w:lineRule="auto"/>
        <w:jc w:val="left"/>
        <w:rPr>
          <w:rFonts w:ascii="Arial" w:hAnsi="Arial" w:cs="Arial"/>
          <w:b/>
          <w:color w:val="auto"/>
          <w:sz w:val="24"/>
          <w:highlight w:val="none"/>
        </w:rPr>
      </w:pPr>
      <w:r>
        <w:rPr>
          <w:rFonts w:ascii="Arial" w:hAnsi="Arial" w:cs="Arial"/>
          <w:b/>
          <w:color w:val="auto"/>
          <w:sz w:val="24"/>
          <w:highlight w:val="none"/>
        </w:rPr>
        <w:t>一．项目概况</w:t>
      </w:r>
    </w:p>
    <w:p w14:paraId="33B970DF">
      <w:pPr>
        <w:spacing w:before="62" w:beforeLines="20" w:after="62" w:afterLines="20" w:line="276" w:lineRule="auto"/>
        <w:ind w:firstLine="480" w:firstLineChars="200"/>
        <w:jc w:val="left"/>
        <w:rPr>
          <w:rFonts w:ascii="Arial" w:hAnsi="Arial" w:cs="Arial"/>
          <w:color w:val="auto"/>
          <w:sz w:val="24"/>
          <w:highlight w:val="none"/>
        </w:rPr>
      </w:pPr>
      <w:r>
        <w:rPr>
          <w:rFonts w:ascii="Arial" w:hAnsi="Arial" w:cs="Arial"/>
          <w:color w:val="auto"/>
          <w:sz w:val="24"/>
          <w:highlight w:val="none"/>
        </w:rPr>
        <w:t>本工程为</w:t>
      </w:r>
      <w:r>
        <w:rPr>
          <w:rFonts w:hint="eastAsia" w:ascii="Arial" w:hAnsi="Arial" w:cs="Arial"/>
          <w:color w:val="auto"/>
          <w:sz w:val="24"/>
          <w:highlight w:val="none"/>
        </w:rPr>
        <w:t>中山眼科中心制剂室搬迁重建工程</w:t>
      </w:r>
      <w:r>
        <w:rPr>
          <w:rFonts w:ascii="Arial" w:hAnsi="Arial" w:cs="Arial"/>
          <w:color w:val="auto"/>
          <w:sz w:val="24"/>
          <w:highlight w:val="none"/>
        </w:rPr>
        <w:t>，项目装修工程及设备采购安装内容包括：装修工程、通风与空调安装工程、给排水安装工程、电气安装工程、</w:t>
      </w:r>
      <w:r>
        <w:rPr>
          <w:rFonts w:hint="eastAsia" w:ascii="Arial" w:hAnsi="Arial" w:cs="Arial"/>
          <w:color w:val="auto"/>
          <w:sz w:val="24"/>
          <w:highlight w:val="none"/>
        </w:rPr>
        <w:t>弱电</w:t>
      </w:r>
      <w:r>
        <w:rPr>
          <w:rFonts w:ascii="Arial" w:hAnsi="Arial" w:cs="Arial"/>
          <w:color w:val="auto"/>
          <w:sz w:val="24"/>
          <w:highlight w:val="none"/>
        </w:rPr>
        <w:t>安装工程、工艺管道安装工程</w:t>
      </w:r>
      <w:r>
        <w:rPr>
          <w:rFonts w:hint="eastAsia" w:ascii="Arial" w:hAnsi="Arial" w:cs="Arial"/>
          <w:color w:val="auto"/>
          <w:sz w:val="24"/>
          <w:highlight w:val="none"/>
        </w:rPr>
        <w:t>、</w:t>
      </w:r>
      <w:r>
        <w:rPr>
          <w:rFonts w:hint="eastAsia" w:ascii="Arial" w:hAnsi="Arial" w:cs="Arial"/>
          <w:color w:val="auto"/>
          <w:sz w:val="24"/>
          <w:highlight w:val="none"/>
          <w:lang w:eastAsia="zh-CN"/>
        </w:rPr>
        <w:t>消防工程、</w:t>
      </w:r>
      <w:r>
        <w:rPr>
          <w:rFonts w:hint="eastAsia" w:ascii="Arial" w:hAnsi="Arial" w:cs="Arial"/>
          <w:color w:val="auto"/>
          <w:sz w:val="24"/>
          <w:highlight w:val="none"/>
        </w:rPr>
        <w:t>防水工程、原有生产设备搬运及安装等</w:t>
      </w:r>
      <w:r>
        <w:rPr>
          <w:rFonts w:ascii="Arial" w:hAnsi="Arial" w:cs="Arial"/>
          <w:color w:val="auto"/>
          <w:sz w:val="24"/>
          <w:highlight w:val="none"/>
        </w:rPr>
        <w:t>。承包从材料供货、</w:t>
      </w:r>
      <w:r>
        <w:rPr>
          <w:rFonts w:hint="eastAsia" w:ascii="Arial" w:hAnsi="Arial" w:cs="Arial"/>
          <w:color w:val="auto"/>
          <w:sz w:val="24"/>
          <w:highlight w:val="none"/>
        </w:rPr>
        <w:t>施工、</w:t>
      </w:r>
      <w:r>
        <w:rPr>
          <w:rFonts w:ascii="Arial" w:hAnsi="Arial" w:cs="Arial"/>
          <w:color w:val="auto"/>
          <w:sz w:val="24"/>
          <w:highlight w:val="none"/>
        </w:rPr>
        <w:t>安装调试、验收、质保期内售后服务（维修、保养等）等全过程工作内容。</w:t>
      </w:r>
    </w:p>
    <w:p w14:paraId="0640E3B5">
      <w:pPr>
        <w:spacing w:before="62" w:beforeLines="20" w:after="62" w:afterLines="20" w:line="276" w:lineRule="auto"/>
        <w:jc w:val="left"/>
        <w:rPr>
          <w:rFonts w:ascii="Arial" w:hAnsi="Arial" w:cs="Arial"/>
          <w:color w:val="auto"/>
          <w:sz w:val="24"/>
          <w:highlight w:val="none"/>
        </w:rPr>
      </w:pPr>
    </w:p>
    <w:p w14:paraId="48F91472">
      <w:pPr>
        <w:spacing w:before="62" w:beforeLines="20" w:after="62" w:afterLines="20" w:line="276" w:lineRule="auto"/>
        <w:jc w:val="left"/>
        <w:rPr>
          <w:rFonts w:ascii="Arial" w:hAnsi="Arial" w:cs="Arial"/>
          <w:b/>
          <w:color w:val="auto"/>
          <w:sz w:val="24"/>
          <w:highlight w:val="none"/>
        </w:rPr>
      </w:pPr>
      <w:r>
        <w:rPr>
          <w:rFonts w:ascii="Arial" w:hAnsi="Arial" w:cs="Arial"/>
          <w:b/>
          <w:color w:val="auto"/>
          <w:sz w:val="24"/>
          <w:highlight w:val="none"/>
        </w:rPr>
        <w:t>二、范围</w:t>
      </w:r>
    </w:p>
    <w:p w14:paraId="3492828B">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见建筑、电气、暖通、工艺及给排水各专业施工图纸范围，最后实施范围及内容以发包人意见为准，</w:t>
      </w:r>
      <w:r>
        <w:rPr>
          <w:rFonts w:ascii="宋体" w:hAnsi="宋体"/>
          <w:color w:val="auto"/>
          <w:sz w:val="24"/>
          <w:highlight w:val="none"/>
          <w:u w:val="single"/>
        </w:rPr>
        <w:t>工程实施过程中发包人有权对承包内容和范围进行调整，如实际工程量相对施工图纸及施工合同工程量发生变化，</w:t>
      </w:r>
      <w:r>
        <w:rPr>
          <w:rFonts w:hint="eastAsia" w:ascii="宋体" w:hAnsi="宋体" w:cs="宋体"/>
          <w:color w:val="auto"/>
          <w:sz w:val="24"/>
          <w:highlight w:val="none"/>
          <w:u w:val="single"/>
        </w:rPr>
        <w:t>承包人</w:t>
      </w:r>
      <w:r>
        <w:rPr>
          <w:rFonts w:ascii="宋体" w:hAnsi="宋体"/>
          <w:color w:val="auto"/>
          <w:sz w:val="24"/>
          <w:highlight w:val="none"/>
          <w:u w:val="single"/>
        </w:rPr>
        <w:t>不得有任何异议，且</w:t>
      </w:r>
      <w:r>
        <w:rPr>
          <w:rFonts w:hint="eastAsia" w:ascii="宋体" w:hAnsi="宋体" w:cs="宋体"/>
          <w:color w:val="auto"/>
          <w:sz w:val="24"/>
          <w:highlight w:val="none"/>
          <w:u w:val="single"/>
        </w:rPr>
        <w:t>承包人</w:t>
      </w:r>
      <w:r>
        <w:rPr>
          <w:rFonts w:ascii="宋体" w:hAnsi="宋体"/>
          <w:color w:val="auto"/>
          <w:sz w:val="24"/>
          <w:highlight w:val="none"/>
          <w:u w:val="single"/>
        </w:rPr>
        <w:t>不得以任何理由要求发包人补偿任何费用（</w:t>
      </w:r>
      <w:r>
        <w:rPr>
          <w:rFonts w:hint="eastAsia" w:ascii="宋体" w:hAnsi="宋体" w:cs="宋体"/>
          <w:color w:val="auto"/>
          <w:sz w:val="24"/>
          <w:highlight w:val="none"/>
          <w:u w:val="single"/>
        </w:rPr>
        <w:t>承包人</w:t>
      </w:r>
      <w:r>
        <w:rPr>
          <w:rFonts w:ascii="宋体" w:hAnsi="宋体"/>
          <w:color w:val="auto"/>
          <w:sz w:val="24"/>
          <w:highlight w:val="none"/>
          <w:u w:val="single"/>
        </w:rPr>
        <w:t>要充分考虑最不利因素影响）</w:t>
      </w:r>
      <w:r>
        <w:rPr>
          <w:rFonts w:hint="eastAsia" w:ascii="Arial" w:hAnsi="Arial" w:cs="Arial"/>
          <w:color w:val="auto"/>
          <w:sz w:val="24"/>
          <w:highlight w:val="none"/>
        </w:rPr>
        <w:t>。</w:t>
      </w:r>
    </w:p>
    <w:p w14:paraId="069A2F15">
      <w:pPr>
        <w:spacing w:before="62" w:beforeLines="20" w:after="62" w:afterLines="20" w:line="276" w:lineRule="auto"/>
        <w:jc w:val="left"/>
        <w:rPr>
          <w:rFonts w:ascii="Arial" w:hAnsi="Arial" w:cs="Arial"/>
          <w:b/>
          <w:color w:val="auto"/>
          <w:sz w:val="24"/>
          <w:highlight w:val="none"/>
        </w:rPr>
      </w:pPr>
      <w:r>
        <w:rPr>
          <w:rFonts w:ascii="Arial" w:hAnsi="Arial" w:cs="Arial"/>
          <w:b/>
          <w:color w:val="auto"/>
          <w:sz w:val="24"/>
          <w:highlight w:val="none"/>
        </w:rPr>
        <w:t>三、说明</w:t>
      </w:r>
    </w:p>
    <w:p w14:paraId="7CABD4B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3.1、带“▲”符号的，意为重点技术项目，验收时作为重点技术要求，不可偏离项。</w:t>
      </w:r>
    </w:p>
    <w:p w14:paraId="70FFFE5E">
      <w:pPr>
        <w:spacing w:before="62" w:beforeLines="20" w:after="62" w:afterLines="20" w:line="276" w:lineRule="auto"/>
        <w:ind w:left="566" w:hanging="566" w:hangingChars="236"/>
        <w:jc w:val="left"/>
        <w:rPr>
          <w:rFonts w:ascii="Arial" w:hAnsi="Arial" w:cs="Arial"/>
          <w:color w:val="auto"/>
          <w:sz w:val="24"/>
          <w:highlight w:val="none"/>
        </w:rPr>
      </w:pPr>
      <w:r>
        <w:rPr>
          <w:rFonts w:ascii="Arial" w:hAnsi="Arial" w:cs="Arial"/>
          <w:color w:val="auto"/>
          <w:sz w:val="24"/>
          <w:highlight w:val="none"/>
        </w:rPr>
        <w:t>3.2、未带“▲”符号的项目，</w:t>
      </w:r>
      <w:r>
        <w:rPr>
          <w:rFonts w:hint="eastAsia" w:ascii="Arial" w:hAnsi="Arial" w:cs="Arial"/>
          <w:color w:val="auto"/>
          <w:sz w:val="24"/>
          <w:highlight w:val="none"/>
        </w:rPr>
        <w:t>有偏离的，在投标文件注明注明偏离说明，后由</w:t>
      </w:r>
      <w:r>
        <w:rPr>
          <w:rFonts w:ascii="Arial" w:hAnsi="Arial" w:cs="Arial"/>
          <w:color w:val="auto"/>
          <w:sz w:val="24"/>
          <w:highlight w:val="none"/>
        </w:rPr>
        <w:t>使用方评估而定，若</w:t>
      </w:r>
      <w:r>
        <w:rPr>
          <w:rFonts w:hint="eastAsia" w:ascii="Arial" w:hAnsi="Arial" w:cs="Arial"/>
          <w:color w:val="auto"/>
          <w:sz w:val="24"/>
          <w:highlight w:val="none"/>
        </w:rPr>
        <w:t>使用方</w:t>
      </w:r>
      <w:r>
        <w:rPr>
          <w:rFonts w:ascii="Arial" w:hAnsi="Arial" w:cs="Arial"/>
          <w:color w:val="auto"/>
          <w:sz w:val="24"/>
          <w:highlight w:val="none"/>
        </w:rPr>
        <w:t>最终判定不能接受，则视为不符合要求</w:t>
      </w:r>
      <w:r>
        <w:rPr>
          <w:rFonts w:hint="eastAsia" w:ascii="Arial" w:hAnsi="Arial" w:cs="Arial"/>
          <w:color w:val="auto"/>
          <w:sz w:val="24"/>
          <w:highlight w:val="none"/>
        </w:rPr>
        <w:t>（投标单位须再做补充说明达到使用方要求）</w:t>
      </w:r>
      <w:r>
        <w:rPr>
          <w:rFonts w:ascii="Arial" w:hAnsi="Arial" w:cs="Arial"/>
          <w:color w:val="auto"/>
          <w:sz w:val="24"/>
          <w:highlight w:val="none"/>
        </w:rPr>
        <w:t>。</w:t>
      </w:r>
    </w:p>
    <w:p w14:paraId="7A843BB1">
      <w:pPr>
        <w:spacing w:before="62" w:beforeLines="20" w:after="62" w:afterLines="20" w:line="276" w:lineRule="auto"/>
        <w:ind w:left="566" w:hanging="566" w:hangingChars="236"/>
        <w:jc w:val="left"/>
        <w:rPr>
          <w:rFonts w:ascii="Arial" w:hAnsi="Arial" w:cs="Arial"/>
          <w:color w:val="auto"/>
          <w:sz w:val="24"/>
          <w:highlight w:val="none"/>
        </w:rPr>
      </w:pPr>
      <w:r>
        <w:rPr>
          <w:rFonts w:ascii="Arial" w:hAnsi="Arial" w:cs="Arial"/>
          <w:color w:val="auto"/>
          <w:sz w:val="24"/>
          <w:highlight w:val="none"/>
        </w:rPr>
        <w:t>3.3、供应商在设备购买合同签订前，</w:t>
      </w:r>
      <w:r>
        <w:rPr>
          <w:rFonts w:hint="eastAsia" w:ascii="Arial" w:hAnsi="Arial" w:cs="Arial"/>
          <w:color w:val="auto"/>
          <w:sz w:val="24"/>
          <w:highlight w:val="none"/>
        </w:rPr>
        <w:t>需</w:t>
      </w:r>
      <w:r>
        <w:rPr>
          <w:rFonts w:ascii="Arial" w:hAnsi="Arial" w:cs="Arial"/>
          <w:color w:val="auto"/>
          <w:sz w:val="24"/>
          <w:highlight w:val="none"/>
        </w:rPr>
        <w:t>经过甲方评估</w:t>
      </w:r>
      <w:r>
        <w:rPr>
          <w:rFonts w:hint="eastAsia" w:ascii="Arial" w:hAnsi="Arial" w:cs="Arial"/>
          <w:color w:val="auto"/>
          <w:sz w:val="24"/>
          <w:highlight w:val="none"/>
        </w:rPr>
        <w:t>同意。</w:t>
      </w:r>
    </w:p>
    <w:p w14:paraId="1E76E398">
      <w:pPr>
        <w:spacing w:before="62" w:beforeLines="20" w:after="62" w:afterLines="20" w:line="276" w:lineRule="auto"/>
        <w:ind w:left="566" w:hanging="566" w:hangingChars="236"/>
        <w:jc w:val="left"/>
        <w:rPr>
          <w:rFonts w:ascii="Arial" w:hAnsi="Arial" w:cs="Arial"/>
          <w:color w:val="auto"/>
          <w:sz w:val="24"/>
          <w:highlight w:val="none"/>
        </w:rPr>
      </w:pPr>
      <w:r>
        <w:rPr>
          <w:rFonts w:ascii="Arial" w:hAnsi="Arial" w:cs="Arial"/>
          <w:color w:val="auto"/>
          <w:sz w:val="24"/>
          <w:highlight w:val="none"/>
        </w:rPr>
        <w:t>3.4、合同签订前，供应商需针对厂房装修用户需求各项目予以回复，并将偏离项汇总转发至甲方，经过甲方评估确认，否则视为供应商全部能符合各条款要求。</w:t>
      </w:r>
    </w:p>
    <w:p w14:paraId="05BC9448">
      <w:pPr>
        <w:spacing w:before="62" w:beforeLines="20" w:after="62" w:afterLines="20" w:line="276" w:lineRule="auto"/>
        <w:ind w:left="566" w:hanging="566" w:hangingChars="236"/>
        <w:jc w:val="left"/>
        <w:rPr>
          <w:rFonts w:ascii="Arial" w:hAnsi="Arial" w:cs="Arial"/>
          <w:color w:val="auto"/>
          <w:sz w:val="24"/>
          <w:highlight w:val="none"/>
        </w:rPr>
      </w:pPr>
      <w:r>
        <w:rPr>
          <w:rFonts w:ascii="Arial" w:hAnsi="Arial" w:cs="Arial"/>
          <w:color w:val="auto"/>
          <w:sz w:val="24"/>
          <w:highlight w:val="none"/>
        </w:rPr>
        <w:t>3.5、在需求项目条款中，甲方的需求是“期望”，若供应商回复响应的，则视为最终按必须要求予以验收</w:t>
      </w:r>
      <w:r>
        <w:rPr>
          <w:rFonts w:hint="eastAsia" w:ascii="Arial" w:hAnsi="Arial" w:cs="Arial"/>
          <w:color w:val="auto"/>
          <w:sz w:val="24"/>
          <w:highlight w:val="none"/>
        </w:rPr>
        <w:t>。</w:t>
      </w:r>
    </w:p>
    <w:p w14:paraId="7D595FC4">
      <w:pPr>
        <w:spacing w:before="62" w:beforeLines="20" w:after="62" w:afterLines="20" w:line="276" w:lineRule="auto"/>
        <w:jc w:val="left"/>
        <w:rPr>
          <w:rFonts w:ascii="Arial" w:hAnsi="Arial" w:cs="Arial"/>
          <w:b/>
          <w:color w:val="auto"/>
          <w:sz w:val="24"/>
          <w:highlight w:val="none"/>
        </w:rPr>
      </w:pPr>
      <w:r>
        <w:rPr>
          <w:rFonts w:ascii="Arial" w:hAnsi="Arial" w:cs="Arial"/>
          <w:b/>
          <w:color w:val="auto"/>
          <w:sz w:val="24"/>
          <w:highlight w:val="none"/>
        </w:rPr>
        <w:t>四、总则</w:t>
      </w:r>
    </w:p>
    <w:p w14:paraId="25C8EA05">
      <w:pPr>
        <w:spacing w:before="62" w:beforeLines="20" w:after="62" w:afterLines="20" w:line="276" w:lineRule="auto"/>
        <w:ind w:left="425" w:hanging="424" w:hangingChars="177"/>
        <w:jc w:val="left"/>
        <w:rPr>
          <w:rFonts w:ascii="Arial" w:hAnsi="Arial" w:cs="Arial"/>
          <w:color w:val="auto"/>
          <w:sz w:val="24"/>
          <w:highlight w:val="none"/>
        </w:rPr>
      </w:pPr>
      <w:r>
        <w:rPr>
          <w:rFonts w:ascii="Arial" w:hAnsi="Arial" w:cs="Arial"/>
          <w:color w:val="auto"/>
          <w:sz w:val="24"/>
          <w:highlight w:val="none"/>
        </w:rPr>
        <w:t>4.1</w:t>
      </w:r>
      <w:r>
        <w:rPr>
          <w:rFonts w:hint="eastAsia" w:ascii="Arial" w:hAnsi="Arial" w:cs="Arial"/>
          <w:color w:val="auto"/>
          <w:sz w:val="24"/>
          <w:highlight w:val="none"/>
        </w:rPr>
        <w:t>、</w:t>
      </w:r>
      <w:r>
        <w:rPr>
          <w:rFonts w:ascii="Arial" w:hAnsi="Arial" w:cs="Arial"/>
          <w:color w:val="auto"/>
          <w:sz w:val="24"/>
          <w:highlight w:val="none"/>
        </w:rPr>
        <w:t>本</w:t>
      </w:r>
      <w:r>
        <w:rPr>
          <w:rFonts w:hint="eastAsia" w:ascii="Arial" w:hAnsi="Arial" w:cs="Arial"/>
          <w:color w:val="auto"/>
          <w:sz w:val="24"/>
          <w:highlight w:val="none"/>
        </w:rPr>
        <w:t>项目</w:t>
      </w:r>
      <w:r>
        <w:rPr>
          <w:rFonts w:ascii="Arial" w:hAnsi="Arial" w:cs="Arial"/>
          <w:color w:val="auto"/>
          <w:sz w:val="24"/>
          <w:highlight w:val="none"/>
        </w:rPr>
        <w:t>车间</w:t>
      </w:r>
      <w:r>
        <w:rPr>
          <w:rFonts w:hint="eastAsia" w:ascii="Arial" w:hAnsi="Arial" w:cs="Arial"/>
          <w:color w:val="auto"/>
          <w:sz w:val="24"/>
          <w:highlight w:val="none"/>
        </w:rPr>
        <w:t>材料、安装</w:t>
      </w:r>
      <w:r>
        <w:rPr>
          <w:rFonts w:ascii="Arial" w:hAnsi="Arial" w:cs="Arial"/>
          <w:color w:val="auto"/>
          <w:sz w:val="24"/>
          <w:highlight w:val="none"/>
        </w:rPr>
        <w:t>和装修要求体现当前国际先进流程设计理念，体现健康、安全、环保和节能的理念，降低生产运行成本。</w:t>
      </w:r>
    </w:p>
    <w:p w14:paraId="09739E0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4.2</w:t>
      </w:r>
      <w:r>
        <w:rPr>
          <w:rFonts w:hint="eastAsia" w:ascii="Arial" w:hAnsi="Arial" w:cs="Arial"/>
          <w:color w:val="auto"/>
          <w:sz w:val="24"/>
          <w:highlight w:val="none"/>
        </w:rPr>
        <w:t>、制剂室整体工程应</w:t>
      </w:r>
      <w:r>
        <w:rPr>
          <w:rFonts w:ascii="Arial" w:hAnsi="Arial" w:cs="Arial"/>
          <w:color w:val="auto"/>
          <w:sz w:val="24"/>
          <w:highlight w:val="none"/>
        </w:rPr>
        <w:t>符合中国</w:t>
      </w:r>
      <w:r>
        <w:rPr>
          <w:rFonts w:hint="eastAsia" w:ascii="Arial" w:hAnsi="Arial" w:cs="Arial"/>
          <w:color w:val="auto"/>
          <w:sz w:val="24"/>
          <w:highlight w:val="none"/>
        </w:rPr>
        <w:t>《药品生产质量管理规范》（</w:t>
      </w:r>
      <w:r>
        <w:rPr>
          <w:rFonts w:ascii="Arial" w:hAnsi="Arial" w:cs="Arial"/>
          <w:color w:val="auto"/>
          <w:sz w:val="24"/>
          <w:highlight w:val="none"/>
        </w:rPr>
        <w:t>GMP</w:t>
      </w:r>
      <w:r>
        <w:rPr>
          <w:rFonts w:hint="eastAsia" w:ascii="Arial" w:hAnsi="Arial" w:cs="Arial"/>
          <w:color w:val="auto"/>
          <w:sz w:val="24"/>
          <w:highlight w:val="none"/>
        </w:rPr>
        <w:t>，</w:t>
      </w:r>
      <w:r>
        <w:rPr>
          <w:rFonts w:ascii="Arial" w:hAnsi="Arial" w:cs="Arial"/>
          <w:color w:val="auto"/>
          <w:sz w:val="24"/>
          <w:highlight w:val="none"/>
        </w:rPr>
        <w:t>2010版</w:t>
      </w:r>
      <w:r>
        <w:rPr>
          <w:rFonts w:hint="eastAsia" w:ascii="Arial" w:hAnsi="Arial" w:cs="Arial"/>
          <w:color w:val="auto"/>
          <w:sz w:val="24"/>
          <w:highlight w:val="none"/>
        </w:rPr>
        <w:t>）</w:t>
      </w:r>
      <w:r>
        <w:rPr>
          <w:rFonts w:ascii="Arial" w:hAnsi="Arial" w:cs="Arial"/>
          <w:color w:val="auto"/>
          <w:sz w:val="24"/>
          <w:highlight w:val="none"/>
        </w:rPr>
        <w:t>及</w:t>
      </w:r>
      <w:r>
        <w:rPr>
          <w:rFonts w:hint="eastAsia" w:ascii="Arial" w:hAnsi="Arial" w:cs="Arial"/>
          <w:color w:val="auto"/>
          <w:sz w:val="24"/>
          <w:highlight w:val="none"/>
        </w:rPr>
        <w:t>《医疗机构制剂配制质量管理规范》的</w:t>
      </w:r>
      <w:r>
        <w:rPr>
          <w:rFonts w:ascii="Arial" w:hAnsi="Arial" w:cs="Arial"/>
          <w:color w:val="auto"/>
          <w:sz w:val="24"/>
          <w:highlight w:val="none"/>
        </w:rPr>
        <w:t>要求</w:t>
      </w:r>
      <w:r>
        <w:rPr>
          <w:rFonts w:hint="eastAsia" w:ascii="Arial" w:hAnsi="Arial" w:cs="Arial"/>
          <w:color w:val="auto"/>
          <w:sz w:val="24"/>
          <w:highlight w:val="none"/>
        </w:rPr>
        <w:t>，承包方应确保制剂室洁净车间、相关质检实验室、微生物室等所有室间的工程设施能</w:t>
      </w:r>
      <w:r>
        <w:rPr>
          <w:rFonts w:ascii="Arial" w:hAnsi="Arial" w:cs="Arial"/>
          <w:color w:val="auto"/>
          <w:sz w:val="24"/>
          <w:highlight w:val="none"/>
        </w:rPr>
        <w:t>通过药监部门的评审验收</w:t>
      </w:r>
      <w:r>
        <w:rPr>
          <w:rFonts w:hint="eastAsia" w:ascii="Arial" w:hAnsi="Arial" w:cs="Arial"/>
          <w:color w:val="auto"/>
          <w:sz w:val="24"/>
          <w:highlight w:val="none"/>
        </w:rPr>
        <w:t>，并最终取得《医疗机构制剂许可证》</w:t>
      </w:r>
      <w:r>
        <w:rPr>
          <w:rFonts w:ascii="Arial" w:hAnsi="Arial" w:cs="Arial"/>
          <w:color w:val="auto"/>
          <w:sz w:val="24"/>
          <w:highlight w:val="none"/>
        </w:rPr>
        <w:t>。</w:t>
      </w:r>
    </w:p>
    <w:p w14:paraId="78D4ACF3">
      <w:pPr>
        <w:spacing w:before="62" w:beforeLines="20" w:after="62" w:afterLines="20" w:line="276" w:lineRule="auto"/>
        <w:ind w:left="425" w:hanging="424" w:hangingChars="177"/>
        <w:jc w:val="left"/>
        <w:rPr>
          <w:rFonts w:ascii="Arial" w:hAnsi="Arial" w:cs="Arial"/>
          <w:color w:val="auto"/>
          <w:sz w:val="24"/>
          <w:highlight w:val="none"/>
        </w:rPr>
      </w:pPr>
      <w:r>
        <w:rPr>
          <w:rFonts w:ascii="Arial" w:hAnsi="Arial" w:cs="Arial"/>
          <w:color w:val="auto"/>
          <w:sz w:val="24"/>
          <w:highlight w:val="none"/>
        </w:rPr>
        <w:t>4.3</w:t>
      </w:r>
      <w:r>
        <w:rPr>
          <w:rFonts w:hint="eastAsia" w:ascii="Arial" w:hAnsi="Arial" w:cs="Arial"/>
          <w:color w:val="auto"/>
          <w:sz w:val="24"/>
          <w:highlight w:val="none"/>
        </w:rPr>
        <w:t>、</w:t>
      </w:r>
      <w:r>
        <w:rPr>
          <w:rFonts w:ascii="Arial" w:hAnsi="Arial" w:cs="Arial"/>
          <w:color w:val="auto"/>
          <w:sz w:val="24"/>
          <w:highlight w:val="none"/>
        </w:rPr>
        <w:t>本URS为基本要求，建设时不涉及</w:t>
      </w:r>
      <w:r>
        <w:rPr>
          <w:rFonts w:hint="eastAsia" w:ascii="Arial" w:hAnsi="Arial" w:cs="Arial"/>
          <w:color w:val="auto"/>
          <w:sz w:val="24"/>
          <w:highlight w:val="none"/>
        </w:rPr>
        <w:t>本项目</w:t>
      </w:r>
      <w:r>
        <w:rPr>
          <w:rFonts w:ascii="Arial" w:hAnsi="Arial" w:cs="Arial"/>
          <w:color w:val="auto"/>
          <w:sz w:val="24"/>
          <w:highlight w:val="none"/>
        </w:rPr>
        <w:t>的内容</w:t>
      </w:r>
      <w:r>
        <w:rPr>
          <w:rFonts w:hint="eastAsia" w:ascii="Arial" w:hAnsi="Arial" w:cs="Arial"/>
          <w:color w:val="auto"/>
          <w:sz w:val="24"/>
          <w:highlight w:val="none"/>
        </w:rPr>
        <w:t>有车间工艺设备与工艺设备本体的各类管道、电气及控制线路等连接。</w:t>
      </w:r>
    </w:p>
    <w:p w14:paraId="256AC3EB">
      <w:pPr>
        <w:spacing w:before="62" w:beforeLines="20" w:after="62" w:afterLines="20" w:line="276" w:lineRule="auto"/>
        <w:ind w:left="425" w:hanging="424" w:hangingChars="177"/>
        <w:jc w:val="left"/>
        <w:rPr>
          <w:rFonts w:ascii="Arial" w:hAnsi="Arial" w:cs="Arial"/>
          <w:color w:val="auto"/>
          <w:sz w:val="24"/>
          <w:highlight w:val="none"/>
        </w:rPr>
      </w:pPr>
      <w:r>
        <w:rPr>
          <w:rFonts w:ascii="Arial" w:hAnsi="Arial" w:cs="Arial"/>
          <w:color w:val="auto"/>
          <w:sz w:val="24"/>
          <w:highlight w:val="none"/>
        </w:rPr>
        <w:t>4.4</w:t>
      </w:r>
      <w:r>
        <w:rPr>
          <w:rFonts w:hint="eastAsia" w:ascii="Arial" w:hAnsi="Arial" w:cs="Arial"/>
          <w:color w:val="auto"/>
          <w:sz w:val="24"/>
          <w:highlight w:val="none"/>
        </w:rPr>
        <w:t>、项目</w:t>
      </w:r>
      <w:r>
        <w:rPr>
          <w:rFonts w:ascii="Arial" w:hAnsi="Arial" w:cs="Arial"/>
          <w:color w:val="auto"/>
          <w:sz w:val="24"/>
          <w:highlight w:val="none"/>
        </w:rPr>
        <w:t>车间生产</w:t>
      </w:r>
      <w:r>
        <w:rPr>
          <w:rFonts w:hint="eastAsia" w:ascii="Arial" w:hAnsi="Arial" w:cs="Arial"/>
          <w:color w:val="auto"/>
          <w:sz w:val="24"/>
          <w:highlight w:val="none"/>
        </w:rPr>
        <w:t>自动化设备（不在本招标范围内），</w:t>
      </w:r>
      <w:r>
        <w:rPr>
          <w:rFonts w:ascii="Arial" w:hAnsi="Arial" w:cs="Arial"/>
          <w:color w:val="auto"/>
          <w:sz w:val="24"/>
          <w:highlight w:val="none"/>
        </w:rPr>
        <w:t>运作实现机械化、自动化，工艺设备和物料转运设备具备良好的人机工程设计</w:t>
      </w:r>
      <w:r>
        <w:rPr>
          <w:rFonts w:hint="eastAsia" w:ascii="Arial" w:hAnsi="Arial" w:cs="Arial"/>
          <w:color w:val="auto"/>
          <w:sz w:val="24"/>
          <w:highlight w:val="none"/>
        </w:rPr>
        <w:t>，</w:t>
      </w:r>
      <w:r>
        <w:rPr>
          <w:rFonts w:ascii="Arial" w:hAnsi="Arial" w:cs="Arial"/>
          <w:color w:val="auto"/>
          <w:sz w:val="24"/>
          <w:highlight w:val="none"/>
        </w:rPr>
        <w:t>可有效降低工人劳动强度，实现高效率生产。</w:t>
      </w:r>
    </w:p>
    <w:p w14:paraId="09EE3D8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4.5</w:t>
      </w:r>
      <w:r>
        <w:rPr>
          <w:rFonts w:hint="eastAsia" w:ascii="Arial" w:hAnsi="Arial" w:cs="Arial"/>
          <w:color w:val="auto"/>
          <w:sz w:val="24"/>
          <w:highlight w:val="none"/>
        </w:rPr>
        <w:t>、</w:t>
      </w:r>
      <w:r>
        <w:rPr>
          <w:rFonts w:ascii="Arial" w:hAnsi="Arial" w:cs="Arial"/>
          <w:color w:val="auto"/>
          <w:sz w:val="24"/>
          <w:highlight w:val="none"/>
        </w:rPr>
        <w:t>根据产能规划，生产线按总体规划设计，预留设备安装位置体现经济化低成本运行理念。</w:t>
      </w:r>
    </w:p>
    <w:p w14:paraId="3C257E2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4.6</w:t>
      </w:r>
      <w:r>
        <w:rPr>
          <w:rFonts w:hint="eastAsia" w:ascii="Arial" w:hAnsi="Arial" w:cs="Arial"/>
          <w:color w:val="auto"/>
          <w:sz w:val="24"/>
          <w:highlight w:val="none"/>
        </w:rPr>
        <w:t>、</w:t>
      </w:r>
      <w:r>
        <w:rPr>
          <w:rFonts w:ascii="Arial" w:hAnsi="Arial" w:cs="Arial"/>
          <w:color w:val="auto"/>
          <w:sz w:val="24"/>
          <w:highlight w:val="none"/>
        </w:rPr>
        <w:t>各功能间实操性强，考虑员工操作的舒适度及良好的操作环境。</w:t>
      </w:r>
    </w:p>
    <w:p w14:paraId="0BCEC3F2">
      <w:pPr>
        <w:spacing w:before="62" w:beforeLines="20" w:after="62" w:afterLines="20" w:line="276" w:lineRule="auto"/>
        <w:ind w:left="425" w:hanging="424" w:hangingChars="177"/>
        <w:jc w:val="left"/>
        <w:rPr>
          <w:rFonts w:ascii="Arial" w:hAnsi="Arial" w:cs="Arial"/>
          <w:color w:val="auto"/>
          <w:sz w:val="24"/>
          <w:highlight w:val="none"/>
        </w:rPr>
      </w:pPr>
      <w:r>
        <w:rPr>
          <w:rFonts w:ascii="Arial" w:hAnsi="Arial" w:cs="Arial"/>
          <w:color w:val="auto"/>
          <w:sz w:val="24"/>
          <w:highlight w:val="none"/>
        </w:rPr>
        <w:t>4.7</w:t>
      </w:r>
      <w:r>
        <w:rPr>
          <w:rFonts w:hint="eastAsia" w:ascii="Arial" w:hAnsi="Arial" w:cs="Arial"/>
          <w:color w:val="auto"/>
          <w:sz w:val="24"/>
          <w:highlight w:val="none"/>
        </w:rPr>
        <w:t>、</w:t>
      </w:r>
      <w:r>
        <w:rPr>
          <w:rFonts w:ascii="Arial" w:hAnsi="Arial" w:cs="Arial"/>
          <w:color w:val="auto"/>
          <w:sz w:val="24"/>
          <w:highlight w:val="none"/>
        </w:rPr>
        <w:t>空调、开关及电器的设计采用节能环保的产品，空调系统采用远程控制（办公电脑控制）及节能环保设计。</w:t>
      </w:r>
    </w:p>
    <w:p w14:paraId="49599F55">
      <w:pPr>
        <w:spacing w:before="62" w:beforeLines="20" w:after="62" w:afterLines="20" w:line="276" w:lineRule="auto"/>
        <w:ind w:left="425" w:hanging="424" w:hangingChars="177"/>
        <w:jc w:val="left"/>
        <w:rPr>
          <w:rFonts w:ascii="Arial" w:hAnsi="Arial" w:cs="Arial"/>
          <w:color w:val="auto"/>
          <w:sz w:val="24"/>
          <w:highlight w:val="none"/>
        </w:rPr>
      </w:pPr>
      <w:r>
        <w:rPr>
          <w:rFonts w:ascii="Arial" w:hAnsi="Arial" w:cs="Arial"/>
          <w:color w:val="auto"/>
          <w:sz w:val="24"/>
          <w:highlight w:val="none"/>
        </w:rPr>
        <w:t>4.8</w:t>
      </w:r>
      <w:r>
        <w:rPr>
          <w:rFonts w:hint="eastAsia" w:ascii="Arial" w:hAnsi="Arial" w:cs="Arial"/>
          <w:color w:val="auto"/>
          <w:sz w:val="24"/>
          <w:highlight w:val="none"/>
        </w:rPr>
        <w:t>、</w:t>
      </w:r>
      <w:r>
        <w:rPr>
          <w:rFonts w:ascii="Arial" w:hAnsi="Arial" w:cs="Arial"/>
          <w:color w:val="auto"/>
          <w:sz w:val="24"/>
          <w:highlight w:val="none"/>
        </w:rPr>
        <w:t>整体厂房使用寿命大于10年，</w:t>
      </w:r>
      <w:r>
        <w:rPr>
          <w:rFonts w:hint="eastAsia" w:ascii="Arial" w:hAnsi="Arial" w:cs="Arial"/>
          <w:color w:val="auto"/>
          <w:sz w:val="24"/>
          <w:highlight w:val="none"/>
        </w:rPr>
        <w:t>材料、配件品牌详见附表工艺设备品牌推荐参考表，安装工艺先进性，现场安装要有保护厂房、地面及成品的措施</w:t>
      </w:r>
      <w:r>
        <w:rPr>
          <w:rFonts w:ascii="Arial" w:hAnsi="Arial" w:cs="Arial"/>
          <w:color w:val="auto"/>
          <w:sz w:val="24"/>
          <w:highlight w:val="none"/>
        </w:rPr>
        <w:t>。</w:t>
      </w:r>
    </w:p>
    <w:p w14:paraId="3922DFC4">
      <w:pPr>
        <w:spacing w:before="62" w:beforeLines="20" w:after="62" w:afterLines="20" w:line="276" w:lineRule="auto"/>
        <w:jc w:val="left"/>
        <w:rPr>
          <w:rFonts w:ascii="Arial" w:hAnsi="Arial" w:cs="Arial"/>
          <w:b/>
          <w:color w:val="auto"/>
          <w:sz w:val="24"/>
          <w:highlight w:val="none"/>
        </w:rPr>
      </w:pPr>
      <w:r>
        <w:rPr>
          <w:rFonts w:hint="eastAsia" w:ascii="Arial" w:hAnsi="Arial" w:cs="Arial"/>
          <w:b/>
          <w:color w:val="auto"/>
          <w:sz w:val="24"/>
          <w:highlight w:val="none"/>
        </w:rPr>
        <w:t>五、综合</w:t>
      </w:r>
      <w:r>
        <w:rPr>
          <w:rFonts w:ascii="Arial" w:hAnsi="Arial" w:cs="Arial"/>
          <w:b/>
          <w:color w:val="auto"/>
          <w:sz w:val="24"/>
          <w:highlight w:val="none"/>
        </w:rPr>
        <w:t>要求</w:t>
      </w:r>
    </w:p>
    <w:p w14:paraId="54A9ED4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5.1总体要求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5104"/>
        <w:gridCol w:w="714"/>
        <w:gridCol w:w="1060"/>
      </w:tblGrid>
      <w:tr w14:paraId="0FD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blHeader/>
        </w:trPr>
        <w:tc>
          <w:tcPr>
            <w:tcW w:w="1641" w:type="dxa"/>
            <w:tcBorders>
              <w:bottom w:val="single" w:color="auto" w:sz="4" w:space="0"/>
            </w:tcBorders>
            <w:shd w:val="pct20" w:color="auto" w:fill="FFFFFF"/>
            <w:vAlign w:val="center"/>
          </w:tcPr>
          <w:p w14:paraId="0409AB3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04" w:type="dxa"/>
            <w:tcBorders>
              <w:bottom w:val="single" w:color="auto" w:sz="4" w:space="0"/>
            </w:tcBorders>
            <w:shd w:val="pct20" w:color="auto" w:fill="FFFFFF"/>
            <w:vAlign w:val="center"/>
          </w:tcPr>
          <w:p w14:paraId="2C9BEBF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14" w:type="dxa"/>
            <w:tcBorders>
              <w:bottom w:val="single" w:color="auto" w:sz="4" w:space="0"/>
            </w:tcBorders>
            <w:shd w:val="pct20" w:color="auto" w:fill="FFFFFF"/>
            <w:vAlign w:val="center"/>
          </w:tcPr>
          <w:p w14:paraId="0BDA0A8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060" w:type="dxa"/>
            <w:tcBorders>
              <w:bottom w:val="single" w:color="auto" w:sz="4" w:space="0"/>
            </w:tcBorders>
            <w:shd w:val="pct20" w:color="auto" w:fill="FFFFFF"/>
          </w:tcPr>
          <w:p w14:paraId="468A93A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7D0FC65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51C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41" w:type="dxa"/>
            <w:vAlign w:val="center"/>
          </w:tcPr>
          <w:p w14:paraId="675FC6A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▲URS5.1-01</w:t>
            </w:r>
          </w:p>
        </w:tc>
        <w:tc>
          <w:tcPr>
            <w:tcW w:w="5104" w:type="dxa"/>
            <w:vAlign w:val="center"/>
          </w:tcPr>
          <w:p w14:paraId="2AE5DAA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招标范围：</w:t>
            </w:r>
            <w:r>
              <w:rPr>
                <w:rFonts w:hint="eastAsia" w:ascii="Arial" w:hAnsi="Arial" w:cs="Arial"/>
                <w:color w:val="auto"/>
                <w:sz w:val="24"/>
                <w:highlight w:val="none"/>
              </w:rPr>
              <w:t>中山眼科中心制剂室搬迁重建工程，</w:t>
            </w:r>
            <w:r>
              <w:rPr>
                <w:rFonts w:ascii="Arial" w:hAnsi="Arial" w:cs="Arial"/>
                <w:color w:val="auto"/>
                <w:sz w:val="24"/>
                <w:highlight w:val="none"/>
              </w:rPr>
              <w:t>装修工程、通风与空调安装工程、给排水安装工程、电气安装工程工程、</w:t>
            </w:r>
            <w:r>
              <w:rPr>
                <w:rFonts w:hint="eastAsia" w:ascii="Arial" w:hAnsi="Arial" w:cs="Arial"/>
                <w:color w:val="auto"/>
                <w:sz w:val="24"/>
                <w:highlight w:val="none"/>
              </w:rPr>
              <w:t>弱电</w:t>
            </w:r>
            <w:r>
              <w:rPr>
                <w:rFonts w:ascii="Arial" w:hAnsi="Arial" w:cs="Arial"/>
                <w:color w:val="auto"/>
                <w:sz w:val="24"/>
                <w:highlight w:val="none"/>
              </w:rPr>
              <w:t>安装工程</w:t>
            </w:r>
            <w:r>
              <w:rPr>
                <w:rFonts w:hint="eastAsia" w:ascii="Arial" w:hAnsi="Arial" w:cs="Arial"/>
                <w:color w:val="auto"/>
                <w:sz w:val="24"/>
                <w:highlight w:val="none"/>
              </w:rPr>
              <w:t>及</w:t>
            </w:r>
            <w:r>
              <w:rPr>
                <w:rFonts w:ascii="Arial" w:hAnsi="Arial" w:cs="Arial"/>
                <w:color w:val="auto"/>
                <w:sz w:val="24"/>
                <w:highlight w:val="none"/>
              </w:rPr>
              <w:t>工艺管道安装</w:t>
            </w:r>
            <w:r>
              <w:rPr>
                <w:rFonts w:hint="eastAsia" w:ascii="Arial" w:hAnsi="Arial" w:cs="Arial"/>
                <w:color w:val="auto"/>
                <w:sz w:val="24"/>
                <w:highlight w:val="none"/>
              </w:rPr>
              <w:t>工程、防水工程、原有生产设备搬运及安装、天面设备机房（本项目内的设备）等</w:t>
            </w:r>
            <w:r>
              <w:rPr>
                <w:rFonts w:ascii="Arial" w:hAnsi="Arial" w:cs="Arial"/>
                <w:color w:val="auto"/>
                <w:sz w:val="24"/>
                <w:highlight w:val="none"/>
              </w:rPr>
              <w:t>，工程项目及材料的采购、</w:t>
            </w:r>
            <w:r>
              <w:rPr>
                <w:rFonts w:hint="eastAsia" w:ascii="Arial" w:hAnsi="Arial" w:cs="Arial"/>
                <w:color w:val="auto"/>
                <w:sz w:val="24"/>
                <w:highlight w:val="none"/>
              </w:rPr>
              <w:t>施工、</w:t>
            </w:r>
            <w:r>
              <w:rPr>
                <w:rFonts w:ascii="Arial" w:hAnsi="Arial" w:cs="Arial"/>
                <w:color w:val="auto"/>
                <w:sz w:val="24"/>
                <w:highlight w:val="none"/>
              </w:rPr>
              <w:t>产品制造、运输、安装调试、系统检测、可靠的试运行、系统完善、培训操作和维修人员、提交图纸和资料以及售后服务等。注</w:t>
            </w:r>
            <w:r>
              <w:rPr>
                <w:rFonts w:hint="eastAsia" w:ascii="Arial" w:hAnsi="Arial" w:cs="Arial"/>
                <w:color w:val="auto"/>
                <w:sz w:val="24"/>
                <w:highlight w:val="none"/>
              </w:rPr>
              <w:t>：</w:t>
            </w:r>
            <w:r>
              <w:rPr>
                <w:rFonts w:ascii="Arial" w:hAnsi="Arial" w:cs="Arial"/>
                <w:color w:val="auto"/>
                <w:sz w:val="24"/>
                <w:highlight w:val="none"/>
              </w:rPr>
              <w:t>工艺设计图纸中主要设备一览表中所有工艺设备不纳入本次范围。</w:t>
            </w:r>
          </w:p>
        </w:tc>
        <w:tc>
          <w:tcPr>
            <w:tcW w:w="714" w:type="dxa"/>
            <w:vAlign w:val="center"/>
          </w:tcPr>
          <w:p w14:paraId="67DBBAE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60" w:type="dxa"/>
          </w:tcPr>
          <w:p w14:paraId="63586288">
            <w:pPr>
              <w:spacing w:before="62" w:beforeLines="20" w:after="62" w:afterLines="20" w:line="276" w:lineRule="auto"/>
              <w:jc w:val="left"/>
              <w:rPr>
                <w:rFonts w:ascii="Arial" w:hAnsi="Arial" w:cs="Arial"/>
                <w:color w:val="auto"/>
                <w:sz w:val="24"/>
                <w:highlight w:val="none"/>
              </w:rPr>
            </w:pPr>
          </w:p>
        </w:tc>
      </w:tr>
      <w:tr w14:paraId="0BAA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1" w:type="dxa"/>
            <w:vAlign w:val="center"/>
          </w:tcPr>
          <w:p w14:paraId="1CC92A0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▲URS5.1-02</w:t>
            </w:r>
          </w:p>
        </w:tc>
        <w:tc>
          <w:tcPr>
            <w:tcW w:w="5104" w:type="dxa"/>
            <w:vAlign w:val="center"/>
          </w:tcPr>
          <w:p w14:paraId="179824B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p>
        </w:tc>
        <w:tc>
          <w:tcPr>
            <w:tcW w:w="714" w:type="dxa"/>
            <w:vAlign w:val="center"/>
          </w:tcPr>
          <w:p w14:paraId="7707361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60" w:type="dxa"/>
          </w:tcPr>
          <w:p w14:paraId="6F2E29A2">
            <w:pPr>
              <w:spacing w:before="62" w:beforeLines="20" w:after="62" w:afterLines="20" w:line="276" w:lineRule="auto"/>
              <w:jc w:val="left"/>
              <w:rPr>
                <w:rFonts w:ascii="Arial" w:hAnsi="Arial" w:cs="Arial"/>
                <w:color w:val="auto"/>
                <w:sz w:val="24"/>
                <w:highlight w:val="none"/>
              </w:rPr>
            </w:pPr>
          </w:p>
        </w:tc>
      </w:tr>
      <w:tr w14:paraId="23BB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1" w:type="dxa"/>
            <w:vAlign w:val="center"/>
          </w:tcPr>
          <w:p w14:paraId="146BAD1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▲URS5.1-03</w:t>
            </w:r>
          </w:p>
        </w:tc>
        <w:tc>
          <w:tcPr>
            <w:tcW w:w="5104" w:type="dxa"/>
            <w:vAlign w:val="center"/>
          </w:tcPr>
          <w:p w14:paraId="53C91D5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 xml:space="preserve">    </w:t>
            </w:r>
            <w:r>
              <w:rPr>
                <w:rFonts w:ascii="Arial" w:hAnsi="Arial" w:cs="Arial"/>
                <w:color w:val="auto"/>
                <w:sz w:val="24"/>
                <w:highlight w:val="none"/>
              </w:rPr>
              <w:t>1</w:t>
            </w:r>
            <w:r>
              <w:rPr>
                <w:rFonts w:hint="eastAsia" w:ascii="Arial" w:hAnsi="Arial" w:cs="Arial"/>
                <w:color w:val="auto"/>
                <w:sz w:val="24"/>
                <w:highlight w:val="none"/>
              </w:rPr>
              <w:t>、</w:t>
            </w:r>
            <w:r>
              <w:rPr>
                <w:rFonts w:ascii="Arial" w:hAnsi="Arial" w:cs="Arial"/>
                <w:color w:val="auto"/>
                <w:sz w:val="24"/>
                <w:highlight w:val="none"/>
              </w:rPr>
              <w:t>本项目为按招标人确定的图纸及工程量清单（以图纸为准，工程量清单为</w:t>
            </w:r>
            <w:r>
              <w:rPr>
                <w:rFonts w:hint="eastAsia" w:ascii="Arial" w:hAnsi="Arial" w:cs="Arial"/>
                <w:color w:val="auto"/>
                <w:sz w:val="24"/>
                <w:highlight w:val="none"/>
              </w:rPr>
              <w:t>参考</w:t>
            </w:r>
            <w:r>
              <w:rPr>
                <w:rFonts w:ascii="Arial" w:hAnsi="Arial" w:cs="Arial"/>
                <w:color w:val="auto"/>
                <w:sz w:val="24"/>
                <w:highlight w:val="none"/>
              </w:rPr>
              <w:t>依据），工程改造项目总价包干项目，包深化设计、包设备采购、</w:t>
            </w:r>
            <w:r>
              <w:rPr>
                <w:rFonts w:hint="eastAsia" w:ascii="Arial" w:hAnsi="Arial" w:cs="Arial"/>
                <w:color w:val="auto"/>
                <w:sz w:val="24"/>
                <w:highlight w:val="none"/>
              </w:rPr>
              <w:t>施工、</w:t>
            </w:r>
            <w:r>
              <w:rPr>
                <w:rFonts w:ascii="Arial" w:hAnsi="Arial" w:cs="Arial"/>
                <w:color w:val="auto"/>
                <w:sz w:val="24"/>
                <w:highlight w:val="none"/>
              </w:rPr>
              <w:t>运输、包安装、包调试、包系统试运转及系统性能测试、包验收、包工、包料、包文明施工、</w:t>
            </w:r>
            <w:r>
              <w:rPr>
                <w:rFonts w:hint="eastAsia" w:ascii="Arial" w:hAnsi="Arial" w:cs="Arial"/>
                <w:color w:val="auto"/>
                <w:sz w:val="24"/>
                <w:highlight w:val="none"/>
              </w:rPr>
              <w:t>包通过第三方洁净区检测与药监局</w:t>
            </w:r>
            <w:r>
              <w:rPr>
                <w:rFonts w:ascii="Arial" w:hAnsi="Arial" w:cs="Arial"/>
                <w:color w:val="auto"/>
                <w:sz w:val="24"/>
                <w:highlight w:val="none"/>
              </w:rPr>
              <w:t>验收及一切手续。投标人报价应包括设备采购、运输、安装、</w:t>
            </w:r>
            <w:r>
              <w:rPr>
                <w:rFonts w:hint="eastAsia" w:ascii="Arial" w:hAnsi="Arial" w:cs="Arial"/>
                <w:color w:val="auto"/>
                <w:sz w:val="24"/>
                <w:highlight w:val="none"/>
              </w:rPr>
              <w:t>施工、</w:t>
            </w:r>
            <w:r>
              <w:rPr>
                <w:rFonts w:ascii="Arial" w:hAnsi="Arial" w:cs="Arial"/>
                <w:color w:val="auto"/>
                <w:sz w:val="24"/>
                <w:highlight w:val="none"/>
              </w:rPr>
              <w:t>调试、所有验收及保修期内的维护保养等所有费用</w:t>
            </w:r>
            <w:r>
              <w:rPr>
                <w:rFonts w:hint="eastAsia" w:ascii="Arial" w:hAnsi="Arial" w:cs="Arial"/>
                <w:color w:val="auto"/>
                <w:sz w:val="24"/>
                <w:highlight w:val="none"/>
              </w:rPr>
              <w:t>。</w:t>
            </w:r>
          </w:p>
        </w:tc>
        <w:tc>
          <w:tcPr>
            <w:tcW w:w="714" w:type="dxa"/>
            <w:vAlign w:val="center"/>
          </w:tcPr>
          <w:p w14:paraId="3070E6C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60" w:type="dxa"/>
          </w:tcPr>
          <w:p w14:paraId="26F5A3C9">
            <w:pPr>
              <w:spacing w:before="62" w:beforeLines="20" w:after="62" w:afterLines="20" w:line="276" w:lineRule="auto"/>
              <w:jc w:val="left"/>
              <w:rPr>
                <w:rFonts w:ascii="Arial" w:hAnsi="Arial" w:cs="Arial"/>
                <w:color w:val="auto"/>
                <w:sz w:val="24"/>
                <w:highlight w:val="none"/>
              </w:rPr>
            </w:pPr>
          </w:p>
        </w:tc>
      </w:tr>
      <w:tr w14:paraId="7908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1" w:type="dxa"/>
            <w:vAlign w:val="center"/>
          </w:tcPr>
          <w:p w14:paraId="1728A8E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▲URS5.1-04</w:t>
            </w:r>
          </w:p>
        </w:tc>
        <w:tc>
          <w:tcPr>
            <w:tcW w:w="5104" w:type="dxa"/>
            <w:vAlign w:val="center"/>
          </w:tcPr>
          <w:p w14:paraId="28EF35A2">
            <w:pPr>
              <w:spacing w:before="62" w:beforeLines="20" w:after="62" w:afterLines="20" w:line="276" w:lineRule="auto"/>
              <w:ind w:firstLine="360" w:firstLineChars="150"/>
              <w:jc w:val="left"/>
              <w:rPr>
                <w:rFonts w:ascii="Arial" w:hAnsi="Arial" w:cs="Arial"/>
                <w:color w:val="auto"/>
                <w:sz w:val="24"/>
                <w:highlight w:val="none"/>
              </w:rPr>
            </w:pPr>
            <w:r>
              <w:rPr>
                <w:rFonts w:hint="eastAsia" w:ascii="Arial" w:hAnsi="Arial" w:cs="Arial"/>
                <w:color w:val="auto"/>
                <w:sz w:val="24"/>
                <w:highlight w:val="none"/>
              </w:rPr>
              <w:t>1、</w:t>
            </w:r>
            <w:r>
              <w:rPr>
                <w:rFonts w:ascii="Arial" w:hAnsi="Arial" w:cs="Arial"/>
                <w:color w:val="auto"/>
                <w:sz w:val="24"/>
                <w:highlight w:val="none"/>
              </w:rPr>
              <w:t>投标人应提供项目实施方案，</w:t>
            </w:r>
            <w:r>
              <w:rPr>
                <w:rFonts w:hint="eastAsia" w:ascii="Arial" w:hAnsi="Arial" w:cs="Arial"/>
                <w:color w:val="auto"/>
                <w:sz w:val="24"/>
                <w:highlight w:val="none"/>
              </w:rPr>
              <w:t>投标人应充分考虑图纸的要求、市场环境和生产要素的变化对报价的影响，除招标人要求增加或减少的数量外，结算时项目造价不因市场价格变化、人员工资福利调整以及其他政策性价格调整而调整。</w:t>
            </w:r>
          </w:p>
          <w:p w14:paraId="2984D3BC">
            <w:pPr>
              <w:spacing w:before="62" w:beforeLines="20" w:after="62" w:afterLines="20" w:line="276" w:lineRule="auto"/>
              <w:ind w:firstLine="360" w:firstLineChars="150"/>
              <w:jc w:val="left"/>
              <w:rPr>
                <w:rFonts w:ascii="Arial" w:hAnsi="Arial" w:cs="Arial"/>
                <w:color w:val="auto"/>
                <w:sz w:val="24"/>
                <w:highlight w:val="none"/>
              </w:rPr>
            </w:pPr>
            <w:r>
              <w:rPr>
                <w:rFonts w:hint="eastAsia" w:ascii="Arial" w:hAnsi="Arial" w:cs="Arial"/>
                <w:color w:val="auto"/>
                <w:sz w:val="24"/>
                <w:highlight w:val="none"/>
              </w:rPr>
              <w:t>2、若施工图纸上有清晰表示，清单未体现部分，承包方必须按照图纸施工，不做签证增加费用。因甲方变更增加项目，增加施工部分在结算中增加相关费用。</w:t>
            </w:r>
          </w:p>
        </w:tc>
        <w:tc>
          <w:tcPr>
            <w:tcW w:w="714" w:type="dxa"/>
          </w:tcPr>
          <w:p w14:paraId="2A9FB6E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60" w:type="dxa"/>
          </w:tcPr>
          <w:p w14:paraId="5FA5591C">
            <w:pPr>
              <w:spacing w:before="62" w:beforeLines="20" w:after="62" w:afterLines="20" w:line="276" w:lineRule="auto"/>
              <w:jc w:val="left"/>
              <w:rPr>
                <w:rFonts w:ascii="Arial" w:hAnsi="Arial" w:cs="Arial"/>
                <w:color w:val="auto"/>
                <w:sz w:val="24"/>
                <w:highlight w:val="none"/>
              </w:rPr>
            </w:pPr>
          </w:p>
        </w:tc>
      </w:tr>
      <w:tr w14:paraId="29C7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1" w:type="dxa"/>
            <w:vAlign w:val="center"/>
          </w:tcPr>
          <w:p w14:paraId="11D8BDE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▲URS5.1-05</w:t>
            </w:r>
          </w:p>
        </w:tc>
        <w:tc>
          <w:tcPr>
            <w:tcW w:w="5104" w:type="dxa"/>
            <w:vAlign w:val="center"/>
          </w:tcPr>
          <w:p w14:paraId="6AA4E5B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其中有洁净要求的房间需保证厂房及设施的各项目能按《药品生产质量管理规范（2010年修订）》</w:t>
            </w:r>
            <w:r>
              <w:rPr>
                <w:rFonts w:hint="eastAsia" w:ascii="Arial" w:hAnsi="Arial" w:cs="Arial"/>
                <w:color w:val="auto"/>
                <w:sz w:val="24"/>
                <w:highlight w:val="none"/>
              </w:rPr>
              <w:t>、《生物安全实验室建筑技术规范》GB50346-2011</w:t>
            </w:r>
            <w:r>
              <w:rPr>
                <w:rFonts w:ascii="Arial" w:hAnsi="Arial" w:cs="Arial"/>
                <w:color w:val="auto"/>
                <w:sz w:val="24"/>
                <w:highlight w:val="none"/>
              </w:rPr>
              <w:t>要求进行，并达到设计标准且符合2010版GMP规范。</w:t>
            </w:r>
          </w:p>
        </w:tc>
        <w:tc>
          <w:tcPr>
            <w:tcW w:w="714" w:type="dxa"/>
          </w:tcPr>
          <w:p w14:paraId="5651DE7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60" w:type="dxa"/>
          </w:tcPr>
          <w:p w14:paraId="3491F7E7">
            <w:pPr>
              <w:spacing w:before="62" w:beforeLines="20" w:after="62" w:afterLines="20" w:line="276" w:lineRule="auto"/>
              <w:jc w:val="left"/>
              <w:rPr>
                <w:rFonts w:ascii="Arial" w:hAnsi="Arial" w:cs="Arial"/>
                <w:color w:val="auto"/>
                <w:sz w:val="24"/>
                <w:highlight w:val="none"/>
              </w:rPr>
            </w:pPr>
          </w:p>
        </w:tc>
      </w:tr>
      <w:tr w14:paraId="728A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1" w:type="dxa"/>
            <w:vAlign w:val="center"/>
          </w:tcPr>
          <w:p w14:paraId="6B27137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▲URS5.1-06</w:t>
            </w:r>
          </w:p>
        </w:tc>
        <w:tc>
          <w:tcPr>
            <w:tcW w:w="5104" w:type="dxa"/>
            <w:vAlign w:val="center"/>
          </w:tcPr>
          <w:p w14:paraId="469C324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设备材料基本要求</w:t>
            </w:r>
          </w:p>
          <w:p w14:paraId="1C9F592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1.1 各类设备材质按设计说明及施工图纸为依据。</w:t>
            </w:r>
          </w:p>
          <w:p w14:paraId="0A7FADE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1.2严格按照招标文件要求和工程量清单中的品牌及投标文件中承诺选用设备、材料的生产厂家、型号规格、技术条件进行采购与安装。</w:t>
            </w:r>
          </w:p>
          <w:p w14:paraId="6A9A5E4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1.3投标设备和主要产品应符合国家有关标准和规范及《药品生产质量管理规范（2010年修订）》的规定和要求，投标人如非生产厂家，须提供制造商代理证明。</w:t>
            </w:r>
          </w:p>
          <w:p w14:paraId="7210BD5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1.4投标应按招标文件要求选用国内和国际知名品牌产品。主要产品在投标文件中提供详尽的技术与商务文件。</w:t>
            </w:r>
          </w:p>
        </w:tc>
        <w:tc>
          <w:tcPr>
            <w:tcW w:w="714" w:type="dxa"/>
          </w:tcPr>
          <w:p w14:paraId="5C387C5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60" w:type="dxa"/>
          </w:tcPr>
          <w:p w14:paraId="76CD76B6">
            <w:pPr>
              <w:spacing w:before="62" w:beforeLines="20" w:after="62" w:afterLines="20" w:line="276" w:lineRule="auto"/>
              <w:jc w:val="left"/>
              <w:rPr>
                <w:rFonts w:ascii="Arial" w:hAnsi="Arial" w:cs="Arial"/>
                <w:color w:val="auto"/>
                <w:sz w:val="24"/>
                <w:highlight w:val="none"/>
              </w:rPr>
            </w:pPr>
          </w:p>
        </w:tc>
      </w:tr>
    </w:tbl>
    <w:p w14:paraId="124274A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5.2包装与运输、存放</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256"/>
        <w:gridCol w:w="687"/>
        <w:gridCol w:w="1172"/>
      </w:tblGrid>
      <w:tr w14:paraId="041A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404" w:type="dxa"/>
            <w:tcBorders>
              <w:bottom w:val="single" w:color="auto" w:sz="4" w:space="0"/>
            </w:tcBorders>
            <w:shd w:val="pct20" w:color="auto" w:fill="FFFFFF"/>
            <w:vAlign w:val="center"/>
          </w:tcPr>
          <w:p w14:paraId="2880636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256" w:type="dxa"/>
            <w:tcBorders>
              <w:bottom w:val="single" w:color="auto" w:sz="4" w:space="0"/>
            </w:tcBorders>
            <w:shd w:val="pct20" w:color="auto" w:fill="FFFFFF"/>
            <w:vAlign w:val="center"/>
          </w:tcPr>
          <w:p w14:paraId="3884AB0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7" w:type="dxa"/>
            <w:tcBorders>
              <w:bottom w:val="single" w:color="auto" w:sz="4" w:space="0"/>
            </w:tcBorders>
            <w:shd w:val="pct20" w:color="auto" w:fill="FFFFFF"/>
            <w:vAlign w:val="center"/>
          </w:tcPr>
          <w:p w14:paraId="0418513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72" w:type="dxa"/>
            <w:tcBorders>
              <w:bottom w:val="single" w:color="auto" w:sz="4" w:space="0"/>
            </w:tcBorders>
            <w:shd w:val="pct20" w:color="auto" w:fill="FFFFFF"/>
          </w:tcPr>
          <w:p w14:paraId="553D999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5F6609A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7242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04" w:type="dxa"/>
            <w:vAlign w:val="center"/>
          </w:tcPr>
          <w:p w14:paraId="6BF857D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URS5.2-01</w:t>
            </w:r>
          </w:p>
        </w:tc>
        <w:tc>
          <w:tcPr>
            <w:tcW w:w="5256" w:type="dxa"/>
            <w:vAlign w:val="center"/>
          </w:tcPr>
          <w:p w14:paraId="1113B2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中标单位负责将厂房设施及设备材料的全部运输，包括装卸车、货物现场的搬运。</w:t>
            </w:r>
          </w:p>
        </w:tc>
        <w:tc>
          <w:tcPr>
            <w:tcW w:w="687" w:type="dxa"/>
            <w:vAlign w:val="center"/>
          </w:tcPr>
          <w:p w14:paraId="787C61E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052322C2">
            <w:pPr>
              <w:spacing w:before="62" w:beforeLines="20" w:after="62" w:afterLines="20" w:line="276" w:lineRule="auto"/>
              <w:jc w:val="left"/>
              <w:rPr>
                <w:rFonts w:ascii="Arial" w:hAnsi="Arial" w:cs="Arial"/>
                <w:color w:val="auto"/>
                <w:sz w:val="24"/>
                <w:highlight w:val="none"/>
              </w:rPr>
            </w:pPr>
          </w:p>
        </w:tc>
      </w:tr>
      <w:tr w14:paraId="3220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15C4A70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URS5.2-02</w:t>
            </w:r>
          </w:p>
        </w:tc>
        <w:tc>
          <w:tcPr>
            <w:tcW w:w="5256" w:type="dxa"/>
            <w:vAlign w:val="center"/>
          </w:tcPr>
          <w:p w14:paraId="137BE61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各种厂房设施及设备，应提供装箱清单，按装箱清单验收货物。</w:t>
            </w:r>
          </w:p>
        </w:tc>
        <w:tc>
          <w:tcPr>
            <w:tcW w:w="687" w:type="dxa"/>
            <w:vAlign w:val="center"/>
          </w:tcPr>
          <w:p w14:paraId="0505006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0B76925E">
            <w:pPr>
              <w:spacing w:before="62" w:beforeLines="20" w:after="62" w:afterLines="20" w:line="276" w:lineRule="auto"/>
              <w:jc w:val="left"/>
              <w:rPr>
                <w:rFonts w:ascii="Arial" w:hAnsi="Arial" w:cs="Arial"/>
                <w:color w:val="auto"/>
                <w:sz w:val="24"/>
                <w:highlight w:val="none"/>
              </w:rPr>
            </w:pPr>
          </w:p>
        </w:tc>
      </w:tr>
      <w:tr w14:paraId="3B2F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1C854F5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URS5.2-03</w:t>
            </w:r>
          </w:p>
        </w:tc>
        <w:tc>
          <w:tcPr>
            <w:tcW w:w="5256" w:type="dxa"/>
            <w:vAlign w:val="center"/>
          </w:tcPr>
          <w:p w14:paraId="2856088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货物在现场的保管由中标供应商负责，直至项目安装、验收完毕后，清理所剩材料及装修垃圾。</w:t>
            </w:r>
          </w:p>
        </w:tc>
        <w:tc>
          <w:tcPr>
            <w:tcW w:w="687" w:type="dxa"/>
            <w:vAlign w:val="center"/>
          </w:tcPr>
          <w:p w14:paraId="32569FF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33BF783F">
            <w:pPr>
              <w:spacing w:before="62" w:beforeLines="20" w:after="62" w:afterLines="20" w:line="276" w:lineRule="auto"/>
              <w:jc w:val="left"/>
              <w:rPr>
                <w:rFonts w:ascii="Arial" w:hAnsi="Arial" w:cs="Arial"/>
                <w:color w:val="auto"/>
                <w:sz w:val="24"/>
                <w:highlight w:val="none"/>
              </w:rPr>
            </w:pPr>
          </w:p>
        </w:tc>
      </w:tr>
      <w:tr w14:paraId="3466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1546876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URS5.2-04</w:t>
            </w:r>
          </w:p>
        </w:tc>
        <w:tc>
          <w:tcPr>
            <w:tcW w:w="5256" w:type="dxa"/>
            <w:vAlign w:val="center"/>
          </w:tcPr>
          <w:p w14:paraId="4B4C3FA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货物在安装调试验收合格前的保险由中标单位负责。</w:t>
            </w:r>
          </w:p>
        </w:tc>
        <w:tc>
          <w:tcPr>
            <w:tcW w:w="687" w:type="dxa"/>
            <w:vAlign w:val="center"/>
          </w:tcPr>
          <w:p w14:paraId="6C1D134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52AC7DE0">
            <w:pPr>
              <w:spacing w:before="62" w:beforeLines="20" w:after="62" w:afterLines="20" w:line="276" w:lineRule="auto"/>
              <w:jc w:val="left"/>
              <w:rPr>
                <w:rFonts w:ascii="Arial" w:hAnsi="Arial" w:cs="Arial"/>
                <w:color w:val="auto"/>
                <w:sz w:val="24"/>
                <w:highlight w:val="none"/>
              </w:rPr>
            </w:pPr>
          </w:p>
        </w:tc>
      </w:tr>
    </w:tbl>
    <w:p w14:paraId="55C1DCC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5.3验收</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101"/>
        <w:gridCol w:w="645"/>
        <w:gridCol w:w="1129"/>
      </w:tblGrid>
      <w:tr w14:paraId="6BFD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44" w:type="dxa"/>
            <w:tcBorders>
              <w:bottom w:val="single" w:color="auto" w:sz="4" w:space="0"/>
            </w:tcBorders>
            <w:shd w:val="pct20" w:color="auto" w:fill="FFFFFF"/>
            <w:vAlign w:val="center"/>
          </w:tcPr>
          <w:p w14:paraId="59F348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01" w:type="dxa"/>
            <w:tcBorders>
              <w:bottom w:val="single" w:color="auto" w:sz="4" w:space="0"/>
            </w:tcBorders>
            <w:shd w:val="pct20" w:color="auto" w:fill="FFFFFF"/>
            <w:vAlign w:val="center"/>
          </w:tcPr>
          <w:p w14:paraId="5E4FC3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45" w:type="dxa"/>
            <w:tcBorders>
              <w:bottom w:val="single" w:color="auto" w:sz="4" w:space="0"/>
            </w:tcBorders>
            <w:shd w:val="pct20" w:color="auto" w:fill="FFFFFF"/>
            <w:vAlign w:val="center"/>
          </w:tcPr>
          <w:p w14:paraId="730DC24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29" w:type="dxa"/>
            <w:tcBorders>
              <w:bottom w:val="single" w:color="auto" w:sz="4" w:space="0"/>
            </w:tcBorders>
            <w:shd w:val="pct20" w:color="auto" w:fill="FFFFFF"/>
          </w:tcPr>
          <w:p w14:paraId="531D06F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5C331BC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3140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44" w:type="dxa"/>
            <w:vAlign w:val="center"/>
          </w:tcPr>
          <w:p w14:paraId="4B8B03E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URS5.3-01</w:t>
            </w:r>
          </w:p>
        </w:tc>
        <w:tc>
          <w:tcPr>
            <w:tcW w:w="5101" w:type="dxa"/>
            <w:vAlign w:val="center"/>
          </w:tcPr>
          <w:p w14:paraId="5A9AFE8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投标人应给出项目建设详细的验收方案，包括验收项目材料验收、中间验收、隐蔽工程验收、项目总验收、验收标准，验收实施办法等</w:t>
            </w:r>
            <w:r>
              <w:rPr>
                <w:rFonts w:hint="eastAsia" w:ascii="Arial" w:hAnsi="Arial" w:cs="Arial"/>
                <w:color w:val="auto"/>
                <w:sz w:val="24"/>
                <w:highlight w:val="none"/>
              </w:rPr>
              <w:t>，验收时须按国家规范组织验收与材料报第三方进行质量检测</w:t>
            </w:r>
            <w:r>
              <w:rPr>
                <w:rFonts w:ascii="Arial" w:hAnsi="Arial" w:cs="Arial"/>
                <w:color w:val="auto"/>
                <w:sz w:val="24"/>
                <w:highlight w:val="none"/>
              </w:rPr>
              <w:t>。</w:t>
            </w:r>
          </w:p>
        </w:tc>
        <w:tc>
          <w:tcPr>
            <w:tcW w:w="645" w:type="dxa"/>
            <w:vAlign w:val="center"/>
          </w:tcPr>
          <w:p w14:paraId="04121E0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9" w:type="dxa"/>
            <w:vAlign w:val="center"/>
          </w:tcPr>
          <w:p w14:paraId="54F31454">
            <w:pPr>
              <w:spacing w:before="62" w:beforeLines="20" w:after="62" w:afterLines="20" w:line="276" w:lineRule="auto"/>
              <w:jc w:val="left"/>
              <w:rPr>
                <w:rFonts w:ascii="Arial" w:hAnsi="Arial" w:cs="Arial"/>
                <w:color w:val="auto"/>
                <w:sz w:val="24"/>
                <w:highlight w:val="none"/>
              </w:rPr>
            </w:pPr>
          </w:p>
        </w:tc>
      </w:tr>
      <w:tr w14:paraId="351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vAlign w:val="center"/>
          </w:tcPr>
          <w:p w14:paraId="40B31F6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URS5.3-02</w:t>
            </w:r>
          </w:p>
        </w:tc>
        <w:tc>
          <w:tcPr>
            <w:tcW w:w="5101" w:type="dxa"/>
            <w:vAlign w:val="center"/>
          </w:tcPr>
          <w:p w14:paraId="289EC2D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国家强制性相关产品应有CCC合格证或同等认证证书。</w:t>
            </w:r>
          </w:p>
        </w:tc>
        <w:tc>
          <w:tcPr>
            <w:tcW w:w="645" w:type="dxa"/>
            <w:vAlign w:val="center"/>
          </w:tcPr>
          <w:p w14:paraId="6594DFE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9" w:type="dxa"/>
            <w:vAlign w:val="center"/>
          </w:tcPr>
          <w:p w14:paraId="44145194">
            <w:pPr>
              <w:spacing w:before="62" w:beforeLines="20" w:after="62" w:afterLines="20" w:line="276" w:lineRule="auto"/>
              <w:jc w:val="left"/>
              <w:rPr>
                <w:rFonts w:ascii="Arial" w:hAnsi="Arial" w:cs="Arial"/>
                <w:color w:val="auto"/>
                <w:sz w:val="24"/>
                <w:highlight w:val="none"/>
              </w:rPr>
            </w:pPr>
          </w:p>
        </w:tc>
      </w:tr>
      <w:tr w14:paraId="683E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vAlign w:val="center"/>
          </w:tcPr>
          <w:p w14:paraId="61E62F7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URS5.3-03</w:t>
            </w:r>
          </w:p>
        </w:tc>
        <w:tc>
          <w:tcPr>
            <w:tcW w:w="5101" w:type="dxa"/>
            <w:vAlign w:val="center"/>
          </w:tcPr>
          <w:p w14:paraId="7A4FE19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验收由招标人、中标单位及相关人员依国家有关标准、合同及有关附件要求进行。</w:t>
            </w:r>
            <w:r>
              <w:rPr>
                <w:rFonts w:hint="eastAsia" w:ascii="Arial" w:hAnsi="Arial" w:cs="Arial"/>
                <w:color w:val="auto"/>
                <w:sz w:val="24"/>
                <w:highlight w:val="none"/>
              </w:rPr>
              <w:t>招标人组织对重点设施设备的验收参数进行复验，符合要求后方可完成验收。</w:t>
            </w:r>
          </w:p>
        </w:tc>
        <w:tc>
          <w:tcPr>
            <w:tcW w:w="645" w:type="dxa"/>
            <w:vAlign w:val="center"/>
          </w:tcPr>
          <w:p w14:paraId="3C8BFCD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9" w:type="dxa"/>
            <w:vAlign w:val="center"/>
          </w:tcPr>
          <w:p w14:paraId="33F16A30">
            <w:pPr>
              <w:spacing w:before="62" w:beforeLines="20" w:after="62" w:afterLines="20" w:line="276" w:lineRule="auto"/>
              <w:jc w:val="left"/>
              <w:rPr>
                <w:rFonts w:ascii="Arial" w:hAnsi="Arial" w:cs="Arial"/>
                <w:color w:val="auto"/>
                <w:sz w:val="24"/>
                <w:highlight w:val="none"/>
              </w:rPr>
            </w:pPr>
          </w:p>
        </w:tc>
      </w:tr>
      <w:tr w14:paraId="38B2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vAlign w:val="center"/>
          </w:tcPr>
          <w:p w14:paraId="735726C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URS5.3-04</w:t>
            </w:r>
          </w:p>
        </w:tc>
        <w:tc>
          <w:tcPr>
            <w:tcW w:w="5101" w:type="dxa"/>
            <w:vAlign w:val="center"/>
          </w:tcPr>
          <w:p w14:paraId="3503313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验收完毕由招标人及中标单位在验收报告上签名。</w:t>
            </w:r>
            <w:r>
              <w:rPr>
                <w:rFonts w:hint="eastAsia" w:ascii="Arial" w:hAnsi="Arial" w:cs="Arial"/>
                <w:color w:val="auto"/>
                <w:sz w:val="24"/>
                <w:highlight w:val="none"/>
              </w:rPr>
              <w:t>整体工程竣工后，验收期不得超过取得《医疗机构制剂许可证》后30个日历天。</w:t>
            </w:r>
          </w:p>
        </w:tc>
        <w:tc>
          <w:tcPr>
            <w:tcW w:w="645" w:type="dxa"/>
            <w:vAlign w:val="center"/>
          </w:tcPr>
          <w:p w14:paraId="6E3C3E3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9" w:type="dxa"/>
            <w:vAlign w:val="center"/>
          </w:tcPr>
          <w:p w14:paraId="3457EB7B">
            <w:pPr>
              <w:spacing w:before="62" w:beforeLines="20" w:after="62" w:afterLines="20" w:line="276" w:lineRule="auto"/>
              <w:jc w:val="left"/>
              <w:rPr>
                <w:rFonts w:ascii="Arial" w:hAnsi="Arial" w:cs="Arial"/>
                <w:color w:val="auto"/>
                <w:sz w:val="24"/>
                <w:highlight w:val="none"/>
              </w:rPr>
            </w:pPr>
          </w:p>
        </w:tc>
      </w:tr>
    </w:tbl>
    <w:p w14:paraId="0714A54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5.4费用结算付款方式</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101"/>
        <w:gridCol w:w="645"/>
        <w:gridCol w:w="1129"/>
      </w:tblGrid>
      <w:tr w14:paraId="32A2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44" w:type="dxa"/>
            <w:tcBorders>
              <w:bottom w:val="single" w:color="auto" w:sz="4" w:space="0"/>
            </w:tcBorders>
            <w:shd w:val="pct20" w:color="auto" w:fill="FFFFFF"/>
            <w:vAlign w:val="center"/>
          </w:tcPr>
          <w:p w14:paraId="7238F59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01" w:type="dxa"/>
            <w:tcBorders>
              <w:bottom w:val="single" w:color="auto" w:sz="4" w:space="0"/>
            </w:tcBorders>
            <w:shd w:val="pct20" w:color="auto" w:fill="FFFFFF"/>
            <w:vAlign w:val="center"/>
          </w:tcPr>
          <w:p w14:paraId="45CCB16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45" w:type="dxa"/>
            <w:tcBorders>
              <w:bottom w:val="single" w:color="auto" w:sz="4" w:space="0"/>
            </w:tcBorders>
            <w:shd w:val="pct20" w:color="auto" w:fill="FFFFFF"/>
            <w:vAlign w:val="center"/>
          </w:tcPr>
          <w:p w14:paraId="6A612FE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29" w:type="dxa"/>
            <w:tcBorders>
              <w:bottom w:val="single" w:color="auto" w:sz="4" w:space="0"/>
            </w:tcBorders>
            <w:shd w:val="pct20" w:color="auto" w:fill="FFFFFF"/>
          </w:tcPr>
          <w:p w14:paraId="2253E0B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E06A3E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E8B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44" w:type="dxa"/>
            <w:vAlign w:val="center"/>
          </w:tcPr>
          <w:p w14:paraId="7B68242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URS5.4-01</w:t>
            </w:r>
          </w:p>
        </w:tc>
        <w:tc>
          <w:tcPr>
            <w:tcW w:w="5101" w:type="dxa"/>
            <w:vAlign w:val="center"/>
          </w:tcPr>
          <w:p w14:paraId="2DDBBB8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本项目为按招标人确定的图纸包干项目，包人工、包拆除原装修材料、包材料、包安装、包供货期、包质量、包安全、包验收</w:t>
            </w:r>
            <w:r>
              <w:rPr>
                <w:rFonts w:hint="eastAsia" w:ascii="Arial" w:hAnsi="Arial" w:cs="Arial"/>
                <w:color w:val="auto"/>
                <w:sz w:val="24"/>
                <w:highlight w:val="none"/>
              </w:rPr>
              <w:t>，费用按实结算并不得超出合同价及付款按合同执行。</w:t>
            </w:r>
          </w:p>
        </w:tc>
        <w:tc>
          <w:tcPr>
            <w:tcW w:w="645" w:type="dxa"/>
            <w:vAlign w:val="center"/>
          </w:tcPr>
          <w:p w14:paraId="5CEAA28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9" w:type="dxa"/>
            <w:vAlign w:val="center"/>
          </w:tcPr>
          <w:p w14:paraId="3F762923">
            <w:pPr>
              <w:spacing w:before="62" w:beforeLines="20" w:after="62" w:afterLines="20" w:line="276" w:lineRule="auto"/>
              <w:jc w:val="left"/>
              <w:rPr>
                <w:rFonts w:ascii="Arial" w:hAnsi="Arial" w:cs="Arial"/>
                <w:color w:val="auto"/>
                <w:sz w:val="24"/>
                <w:highlight w:val="none"/>
              </w:rPr>
            </w:pPr>
          </w:p>
        </w:tc>
      </w:tr>
      <w:tr w14:paraId="1376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vAlign w:val="center"/>
          </w:tcPr>
          <w:p w14:paraId="1180F0A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URS5.4-02</w:t>
            </w:r>
          </w:p>
        </w:tc>
        <w:tc>
          <w:tcPr>
            <w:tcW w:w="5101" w:type="dxa"/>
            <w:vAlign w:val="center"/>
          </w:tcPr>
          <w:p w14:paraId="41DDE59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投标人应充分考虑项目的技术要求、市场环境和生产要素的变化对报价的影响除招标人要求增加或减少的数量外，结算时项目造价不因市场价格变化、人员工资福利调整以及其他政策性价格调整而调整。</w:t>
            </w:r>
          </w:p>
        </w:tc>
        <w:tc>
          <w:tcPr>
            <w:tcW w:w="645" w:type="dxa"/>
            <w:vAlign w:val="center"/>
          </w:tcPr>
          <w:p w14:paraId="40F3389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9" w:type="dxa"/>
            <w:vAlign w:val="center"/>
          </w:tcPr>
          <w:p w14:paraId="42C1AD15">
            <w:pPr>
              <w:spacing w:before="62" w:beforeLines="20" w:after="62" w:afterLines="20" w:line="276" w:lineRule="auto"/>
              <w:jc w:val="left"/>
              <w:rPr>
                <w:rFonts w:ascii="Arial" w:hAnsi="Arial" w:cs="Arial"/>
                <w:color w:val="auto"/>
                <w:sz w:val="24"/>
                <w:highlight w:val="none"/>
              </w:rPr>
            </w:pPr>
          </w:p>
        </w:tc>
      </w:tr>
    </w:tbl>
    <w:p w14:paraId="5431893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5.5工程改造、安装、调试地点及工期要求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256"/>
        <w:gridCol w:w="687"/>
        <w:gridCol w:w="1172"/>
      </w:tblGrid>
      <w:tr w14:paraId="2C12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404" w:type="dxa"/>
            <w:tcBorders>
              <w:bottom w:val="single" w:color="auto" w:sz="4" w:space="0"/>
            </w:tcBorders>
            <w:shd w:val="pct20" w:color="auto" w:fill="FFFFFF"/>
            <w:vAlign w:val="center"/>
          </w:tcPr>
          <w:p w14:paraId="12B9B55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256" w:type="dxa"/>
            <w:tcBorders>
              <w:bottom w:val="single" w:color="auto" w:sz="4" w:space="0"/>
            </w:tcBorders>
            <w:shd w:val="pct20" w:color="auto" w:fill="FFFFFF"/>
            <w:vAlign w:val="center"/>
          </w:tcPr>
          <w:p w14:paraId="19426A3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7" w:type="dxa"/>
            <w:tcBorders>
              <w:bottom w:val="single" w:color="auto" w:sz="4" w:space="0"/>
            </w:tcBorders>
            <w:shd w:val="pct20" w:color="auto" w:fill="FFFFFF"/>
            <w:vAlign w:val="center"/>
          </w:tcPr>
          <w:p w14:paraId="5E8D3CB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72" w:type="dxa"/>
            <w:tcBorders>
              <w:bottom w:val="single" w:color="auto" w:sz="4" w:space="0"/>
            </w:tcBorders>
            <w:shd w:val="pct20" w:color="auto" w:fill="FFFFFF"/>
          </w:tcPr>
          <w:p w14:paraId="0C36CC5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FFC31F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404C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04" w:type="dxa"/>
            <w:vAlign w:val="center"/>
          </w:tcPr>
          <w:p w14:paraId="3947B66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URS5.5-01</w:t>
            </w:r>
          </w:p>
        </w:tc>
        <w:tc>
          <w:tcPr>
            <w:tcW w:w="5256" w:type="dxa"/>
            <w:vAlign w:val="center"/>
          </w:tcPr>
          <w:p w14:paraId="7B9743D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交货、安装、调试地点：</w:t>
            </w:r>
            <w:r>
              <w:rPr>
                <w:rFonts w:hint="eastAsia" w:ascii="Arial" w:hAnsi="Arial" w:cs="Arial"/>
                <w:color w:val="auto"/>
                <w:sz w:val="24"/>
                <w:highlight w:val="none"/>
              </w:rPr>
              <w:t>中山眼科中心制剂室</w:t>
            </w:r>
          </w:p>
        </w:tc>
        <w:tc>
          <w:tcPr>
            <w:tcW w:w="687" w:type="dxa"/>
            <w:vAlign w:val="center"/>
          </w:tcPr>
          <w:p w14:paraId="15996A5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56FCD702">
            <w:pPr>
              <w:spacing w:before="62" w:beforeLines="20" w:after="62" w:afterLines="20" w:line="276" w:lineRule="auto"/>
              <w:jc w:val="left"/>
              <w:rPr>
                <w:rFonts w:ascii="Arial" w:hAnsi="Arial" w:cs="Arial"/>
                <w:color w:val="auto"/>
                <w:sz w:val="24"/>
                <w:highlight w:val="none"/>
              </w:rPr>
            </w:pPr>
          </w:p>
        </w:tc>
      </w:tr>
      <w:tr w14:paraId="6F13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684C71C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URS5.5-02</w:t>
            </w:r>
          </w:p>
        </w:tc>
        <w:tc>
          <w:tcPr>
            <w:tcW w:w="5256" w:type="dxa"/>
            <w:vAlign w:val="center"/>
          </w:tcPr>
          <w:p w14:paraId="41C0D2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工期：以合同规定时间执行。不可抗拒条件影响的工期也包含在内。</w:t>
            </w:r>
          </w:p>
        </w:tc>
        <w:tc>
          <w:tcPr>
            <w:tcW w:w="687" w:type="dxa"/>
            <w:vAlign w:val="center"/>
          </w:tcPr>
          <w:p w14:paraId="5EC9552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2C689326">
            <w:pPr>
              <w:spacing w:before="62" w:beforeLines="20" w:after="62" w:afterLines="20" w:line="276" w:lineRule="auto"/>
              <w:jc w:val="left"/>
              <w:rPr>
                <w:rFonts w:ascii="Arial" w:hAnsi="Arial" w:cs="Arial"/>
                <w:color w:val="auto"/>
                <w:sz w:val="24"/>
                <w:highlight w:val="none"/>
              </w:rPr>
            </w:pPr>
          </w:p>
        </w:tc>
      </w:tr>
    </w:tbl>
    <w:p w14:paraId="59801F4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5.6图纸及工程量</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181"/>
        <w:gridCol w:w="725"/>
        <w:gridCol w:w="1209"/>
      </w:tblGrid>
      <w:tr w14:paraId="0B75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404" w:type="dxa"/>
            <w:tcBorders>
              <w:bottom w:val="single" w:color="auto" w:sz="4" w:space="0"/>
            </w:tcBorders>
            <w:shd w:val="pct20" w:color="auto" w:fill="FFFFFF"/>
            <w:vAlign w:val="center"/>
          </w:tcPr>
          <w:p w14:paraId="0BE5B9C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81" w:type="dxa"/>
            <w:tcBorders>
              <w:bottom w:val="single" w:color="auto" w:sz="4" w:space="0"/>
            </w:tcBorders>
            <w:shd w:val="pct20" w:color="auto" w:fill="FFFFFF"/>
            <w:vAlign w:val="center"/>
          </w:tcPr>
          <w:p w14:paraId="1C2918A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25" w:type="dxa"/>
            <w:tcBorders>
              <w:bottom w:val="single" w:color="auto" w:sz="4" w:space="0"/>
            </w:tcBorders>
            <w:shd w:val="pct20" w:color="auto" w:fill="FFFFFF"/>
            <w:vAlign w:val="center"/>
          </w:tcPr>
          <w:p w14:paraId="074DF7A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209" w:type="dxa"/>
            <w:tcBorders>
              <w:bottom w:val="single" w:color="auto" w:sz="4" w:space="0"/>
            </w:tcBorders>
            <w:shd w:val="pct20" w:color="auto" w:fill="FFFFFF"/>
          </w:tcPr>
          <w:p w14:paraId="35BB4A3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3CD4D1F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086F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04" w:type="dxa"/>
            <w:vAlign w:val="center"/>
          </w:tcPr>
          <w:p w14:paraId="07907E4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URS5.6-01</w:t>
            </w:r>
          </w:p>
        </w:tc>
        <w:tc>
          <w:tcPr>
            <w:tcW w:w="5181" w:type="dxa"/>
            <w:vAlign w:val="center"/>
          </w:tcPr>
          <w:p w14:paraId="3E15C6B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此</w:t>
            </w:r>
            <w:r>
              <w:rPr>
                <w:rFonts w:hint="eastAsia" w:ascii="Arial" w:hAnsi="Arial" w:cs="Arial"/>
                <w:color w:val="auto"/>
                <w:sz w:val="24"/>
                <w:highlight w:val="none"/>
              </w:rPr>
              <w:t>平面方案</w:t>
            </w:r>
            <w:r>
              <w:rPr>
                <w:rFonts w:ascii="Arial" w:hAnsi="Arial" w:cs="Arial"/>
                <w:color w:val="auto"/>
                <w:sz w:val="24"/>
                <w:highlight w:val="none"/>
              </w:rPr>
              <w:t>图纸经招标单位确认，请各投标人根据各自的考虑进行投标报价。</w:t>
            </w:r>
          </w:p>
        </w:tc>
        <w:tc>
          <w:tcPr>
            <w:tcW w:w="725" w:type="dxa"/>
            <w:vAlign w:val="center"/>
          </w:tcPr>
          <w:p w14:paraId="75E8907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09" w:type="dxa"/>
            <w:vAlign w:val="center"/>
          </w:tcPr>
          <w:p w14:paraId="28B5F50D">
            <w:pPr>
              <w:spacing w:before="62" w:beforeLines="20" w:after="62" w:afterLines="20" w:line="276" w:lineRule="auto"/>
              <w:jc w:val="left"/>
              <w:rPr>
                <w:rFonts w:ascii="Arial" w:hAnsi="Arial" w:cs="Arial"/>
                <w:color w:val="auto"/>
                <w:sz w:val="24"/>
                <w:highlight w:val="none"/>
              </w:rPr>
            </w:pPr>
          </w:p>
        </w:tc>
      </w:tr>
      <w:tr w14:paraId="5101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3A2366C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URS5.6-02</w:t>
            </w:r>
          </w:p>
        </w:tc>
        <w:tc>
          <w:tcPr>
            <w:tcW w:w="5181" w:type="dxa"/>
            <w:vAlign w:val="center"/>
          </w:tcPr>
          <w:p w14:paraId="5625FBDA">
            <w:pPr>
              <w:spacing w:before="62" w:beforeLines="20" w:after="62" w:afterLines="20" w:line="276" w:lineRule="auto"/>
              <w:jc w:val="left"/>
              <w:rPr>
                <w:rFonts w:ascii="Arial" w:hAnsi="Arial" w:cs="Arial"/>
                <w:color w:val="auto"/>
                <w:sz w:val="24"/>
                <w:highlight w:val="none"/>
              </w:rPr>
            </w:pPr>
          </w:p>
        </w:tc>
        <w:tc>
          <w:tcPr>
            <w:tcW w:w="725" w:type="dxa"/>
            <w:vAlign w:val="center"/>
          </w:tcPr>
          <w:p w14:paraId="5C0A7EC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09" w:type="dxa"/>
            <w:vAlign w:val="center"/>
          </w:tcPr>
          <w:p w14:paraId="5F20832D">
            <w:pPr>
              <w:spacing w:before="62" w:beforeLines="20" w:after="62" w:afterLines="20" w:line="276" w:lineRule="auto"/>
              <w:jc w:val="left"/>
              <w:rPr>
                <w:rFonts w:ascii="Arial" w:hAnsi="Arial" w:cs="Arial"/>
                <w:color w:val="auto"/>
                <w:sz w:val="24"/>
                <w:highlight w:val="none"/>
              </w:rPr>
            </w:pPr>
          </w:p>
        </w:tc>
      </w:tr>
      <w:tr w14:paraId="089E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4EC1C6E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URS5.6-03</w:t>
            </w:r>
          </w:p>
        </w:tc>
        <w:tc>
          <w:tcPr>
            <w:tcW w:w="5181" w:type="dxa"/>
            <w:vAlign w:val="center"/>
          </w:tcPr>
          <w:p w14:paraId="1507BFF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投标方需对项目技术文件作充分了解，工程中若不了解项目而导致偏离的，不接受施工方提出的变更申请。若由建设方提出变更内容的，按施工管理相关制度程序办理，考虑对项目建设周期的影响评估，否则按合同约定时间商务条款执行。</w:t>
            </w:r>
          </w:p>
        </w:tc>
        <w:tc>
          <w:tcPr>
            <w:tcW w:w="725" w:type="dxa"/>
            <w:vAlign w:val="center"/>
          </w:tcPr>
          <w:p w14:paraId="6A64E4F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09" w:type="dxa"/>
            <w:vAlign w:val="center"/>
          </w:tcPr>
          <w:p w14:paraId="065BF953">
            <w:pPr>
              <w:spacing w:before="62" w:beforeLines="20" w:after="62" w:afterLines="20" w:line="276" w:lineRule="auto"/>
              <w:jc w:val="left"/>
              <w:rPr>
                <w:rFonts w:ascii="Arial" w:hAnsi="Arial" w:cs="Arial"/>
                <w:color w:val="auto"/>
                <w:sz w:val="24"/>
                <w:highlight w:val="none"/>
              </w:rPr>
            </w:pPr>
          </w:p>
        </w:tc>
      </w:tr>
    </w:tbl>
    <w:p w14:paraId="505D0EE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5.7竣工资料的需求：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256"/>
        <w:gridCol w:w="687"/>
        <w:gridCol w:w="1172"/>
      </w:tblGrid>
      <w:tr w14:paraId="0502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404" w:type="dxa"/>
            <w:tcBorders>
              <w:bottom w:val="single" w:color="auto" w:sz="4" w:space="0"/>
            </w:tcBorders>
            <w:shd w:val="pct20" w:color="auto" w:fill="FFFFFF"/>
            <w:vAlign w:val="center"/>
          </w:tcPr>
          <w:p w14:paraId="44C8D7C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256" w:type="dxa"/>
            <w:tcBorders>
              <w:bottom w:val="single" w:color="auto" w:sz="4" w:space="0"/>
            </w:tcBorders>
            <w:shd w:val="pct20" w:color="auto" w:fill="FFFFFF"/>
            <w:vAlign w:val="center"/>
          </w:tcPr>
          <w:p w14:paraId="271A742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7" w:type="dxa"/>
            <w:tcBorders>
              <w:bottom w:val="single" w:color="auto" w:sz="4" w:space="0"/>
            </w:tcBorders>
            <w:shd w:val="pct20" w:color="auto" w:fill="FFFFFF"/>
            <w:vAlign w:val="center"/>
          </w:tcPr>
          <w:p w14:paraId="77CBEA4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72" w:type="dxa"/>
            <w:tcBorders>
              <w:bottom w:val="single" w:color="auto" w:sz="4" w:space="0"/>
            </w:tcBorders>
            <w:shd w:val="pct20" w:color="auto" w:fill="FFFFFF"/>
          </w:tcPr>
          <w:p w14:paraId="20CBE1C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2F06562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3C76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04" w:type="dxa"/>
            <w:vAlign w:val="center"/>
          </w:tcPr>
          <w:p w14:paraId="7AEDF80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URS5.7-01</w:t>
            </w:r>
          </w:p>
        </w:tc>
        <w:tc>
          <w:tcPr>
            <w:tcW w:w="5256" w:type="dxa"/>
            <w:vAlign w:val="center"/>
          </w:tcPr>
          <w:p w14:paraId="17E00A2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需提供产品（含各类洁净空调、各类风柜、各类过滤器、管材、装修材料等）合格证书、材料的质量保证书、商检证（进口材料应提供）、高效过滤器完整性测试证书、空调系统调试报告、仪器校正证书、厂房设施设备清单、配备专用工具与附件、厂房设施设备使用说明书、操作规程、清洁规程、维护保养规程</w:t>
            </w:r>
            <w:r>
              <w:rPr>
                <w:rFonts w:hint="eastAsia" w:ascii="Arial" w:hAnsi="Arial" w:cs="Arial"/>
                <w:color w:val="auto"/>
                <w:sz w:val="24"/>
                <w:highlight w:val="none"/>
              </w:rPr>
              <w:t>、洁净区第三方检测合格报告书及各类验收资料</w:t>
            </w:r>
            <w:r>
              <w:rPr>
                <w:rFonts w:ascii="Arial" w:hAnsi="Arial" w:cs="Arial"/>
                <w:color w:val="auto"/>
                <w:sz w:val="24"/>
                <w:highlight w:val="none"/>
              </w:rPr>
              <w:t>。</w:t>
            </w:r>
          </w:p>
        </w:tc>
        <w:tc>
          <w:tcPr>
            <w:tcW w:w="687" w:type="dxa"/>
            <w:vAlign w:val="center"/>
          </w:tcPr>
          <w:p w14:paraId="681A070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1195DEF0">
            <w:pPr>
              <w:spacing w:before="62" w:beforeLines="20" w:after="62" w:afterLines="20" w:line="276" w:lineRule="auto"/>
              <w:jc w:val="left"/>
              <w:rPr>
                <w:rFonts w:ascii="Arial" w:hAnsi="Arial" w:cs="Arial"/>
                <w:color w:val="auto"/>
                <w:sz w:val="24"/>
                <w:highlight w:val="none"/>
              </w:rPr>
            </w:pPr>
          </w:p>
        </w:tc>
      </w:tr>
      <w:tr w14:paraId="5BAC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18518EB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URS5.7-02</w:t>
            </w:r>
          </w:p>
        </w:tc>
        <w:tc>
          <w:tcPr>
            <w:tcW w:w="5256" w:type="dxa"/>
            <w:vAlign w:val="center"/>
          </w:tcPr>
          <w:p w14:paraId="728F8FE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洁净厂房施工完成后按《药品生产质量管理规范（</w:t>
            </w:r>
            <w:r>
              <w:rPr>
                <w:rFonts w:ascii="Arial" w:hAnsi="Arial" w:cs="Arial"/>
                <w:color w:val="auto"/>
                <w:sz w:val="24"/>
                <w:highlight w:val="none"/>
              </w:rPr>
              <w:t>2010</w:t>
            </w:r>
            <w:r>
              <w:rPr>
                <w:rFonts w:hint="eastAsia" w:ascii="Arial" w:hAnsi="Arial" w:cs="Arial"/>
                <w:color w:val="auto"/>
                <w:sz w:val="24"/>
                <w:highlight w:val="none"/>
              </w:rPr>
              <w:t>年修订）》、《生物安全实验室建筑技术规范》</w:t>
            </w:r>
            <w:r>
              <w:rPr>
                <w:rFonts w:ascii="Arial" w:hAnsi="Arial" w:cs="Arial"/>
                <w:color w:val="auto"/>
                <w:sz w:val="24"/>
                <w:highlight w:val="none"/>
              </w:rPr>
              <w:t>GB50346-2011</w:t>
            </w:r>
            <w:r>
              <w:rPr>
                <w:rFonts w:hint="eastAsia" w:ascii="Arial" w:hAnsi="Arial" w:cs="Arial"/>
                <w:color w:val="auto"/>
                <w:sz w:val="24"/>
                <w:highlight w:val="none"/>
              </w:rPr>
              <w:t>与医药工业洁净室（区）的测试方法及要求由承包单位进行检测，并应符合施工图纸要求。招标单位有权对监测结果进行复检，复检不合规的由承包方负责整改，直至合格为止。</w:t>
            </w:r>
          </w:p>
        </w:tc>
        <w:tc>
          <w:tcPr>
            <w:tcW w:w="687" w:type="dxa"/>
            <w:vAlign w:val="center"/>
          </w:tcPr>
          <w:p w14:paraId="7B87515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79C8D6EB">
            <w:pPr>
              <w:spacing w:before="62" w:beforeLines="20" w:after="62" w:afterLines="20" w:line="276" w:lineRule="auto"/>
              <w:jc w:val="left"/>
              <w:rPr>
                <w:rFonts w:ascii="Arial" w:hAnsi="Arial" w:cs="Arial"/>
                <w:color w:val="auto"/>
                <w:sz w:val="24"/>
                <w:highlight w:val="none"/>
              </w:rPr>
            </w:pPr>
          </w:p>
        </w:tc>
      </w:tr>
      <w:tr w14:paraId="36DF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3A73A5F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URS5.7-03</w:t>
            </w:r>
          </w:p>
        </w:tc>
        <w:tc>
          <w:tcPr>
            <w:tcW w:w="5256" w:type="dxa"/>
            <w:vAlign w:val="center"/>
          </w:tcPr>
          <w:p w14:paraId="20D8A10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装修施工后的竣工图纸不少于3套给建设方存档。</w:t>
            </w:r>
          </w:p>
        </w:tc>
        <w:tc>
          <w:tcPr>
            <w:tcW w:w="687" w:type="dxa"/>
            <w:vAlign w:val="center"/>
          </w:tcPr>
          <w:p w14:paraId="769BE1F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067ED68C">
            <w:pPr>
              <w:spacing w:before="62" w:beforeLines="20" w:after="62" w:afterLines="20" w:line="276" w:lineRule="auto"/>
              <w:jc w:val="left"/>
              <w:rPr>
                <w:rFonts w:ascii="Arial" w:hAnsi="Arial" w:cs="Arial"/>
                <w:color w:val="auto"/>
                <w:sz w:val="24"/>
                <w:highlight w:val="none"/>
              </w:rPr>
            </w:pPr>
          </w:p>
        </w:tc>
      </w:tr>
    </w:tbl>
    <w:p w14:paraId="6A6FFD8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5.8项目装修及验收依据</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256"/>
        <w:gridCol w:w="687"/>
        <w:gridCol w:w="1172"/>
      </w:tblGrid>
      <w:tr w14:paraId="515F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404" w:type="dxa"/>
            <w:tcBorders>
              <w:bottom w:val="single" w:color="auto" w:sz="4" w:space="0"/>
            </w:tcBorders>
            <w:shd w:val="pct20" w:color="auto" w:fill="FFFFFF"/>
            <w:vAlign w:val="center"/>
          </w:tcPr>
          <w:p w14:paraId="5D40EF9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256" w:type="dxa"/>
            <w:tcBorders>
              <w:bottom w:val="single" w:color="auto" w:sz="4" w:space="0"/>
            </w:tcBorders>
            <w:shd w:val="pct20" w:color="auto" w:fill="FFFFFF"/>
            <w:vAlign w:val="center"/>
          </w:tcPr>
          <w:p w14:paraId="5B88660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7" w:type="dxa"/>
            <w:tcBorders>
              <w:bottom w:val="single" w:color="auto" w:sz="4" w:space="0"/>
            </w:tcBorders>
            <w:shd w:val="pct20" w:color="auto" w:fill="FFFFFF"/>
            <w:vAlign w:val="center"/>
          </w:tcPr>
          <w:p w14:paraId="6D9D4E6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72" w:type="dxa"/>
            <w:tcBorders>
              <w:bottom w:val="single" w:color="auto" w:sz="4" w:space="0"/>
            </w:tcBorders>
            <w:shd w:val="pct20" w:color="auto" w:fill="FFFFFF"/>
          </w:tcPr>
          <w:p w14:paraId="5820A65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80E991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448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04" w:type="dxa"/>
            <w:vAlign w:val="center"/>
          </w:tcPr>
          <w:p w14:paraId="4C0F330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URS5.8-01</w:t>
            </w:r>
          </w:p>
        </w:tc>
        <w:tc>
          <w:tcPr>
            <w:tcW w:w="5256" w:type="dxa"/>
            <w:vAlign w:val="center"/>
          </w:tcPr>
          <w:p w14:paraId="294ACA0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装修及其安装需严格以设计说明与施工图纸为依据。</w:t>
            </w:r>
          </w:p>
        </w:tc>
        <w:tc>
          <w:tcPr>
            <w:tcW w:w="687" w:type="dxa"/>
            <w:vAlign w:val="center"/>
          </w:tcPr>
          <w:p w14:paraId="2C31FB5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0D26929C">
            <w:pPr>
              <w:spacing w:before="62" w:beforeLines="20" w:after="62" w:afterLines="20" w:line="276" w:lineRule="auto"/>
              <w:jc w:val="left"/>
              <w:rPr>
                <w:rFonts w:ascii="Arial" w:hAnsi="Arial" w:cs="Arial"/>
                <w:color w:val="auto"/>
                <w:sz w:val="24"/>
                <w:highlight w:val="none"/>
              </w:rPr>
            </w:pPr>
          </w:p>
        </w:tc>
      </w:tr>
      <w:tr w14:paraId="768F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2DA6FF9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URS5.8-02</w:t>
            </w:r>
          </w:p>
        </w:tc>
        <w:tc>
          <w:tcPr>
            <w:tcW w:w="5256" w:type="dxa"/>
            <w:vAlign w:val="center"/>
          </w:tcPr>
          <w:p w14:paraId="50C64F2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装修及验收依据，</w:t>
            </w:r>
          </w:p>
          <w:p w14:paraId="427DFF3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1、药品生产质量管理规范(GMP)2010版，中华人民共和国药品管理法实施条例，</w:t>
            </w:r>
          </w:p>
          <w:p w14:paraId="3F049D4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2、《洁净厂房施工及验收规范》，</w:t>
            </w:r>
          </w:p>
          <w:p w14:paraId="5B68BB1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3、《建筑设计防火规范》GB50016-2014，</w:t>
            </w:r>
          </w:p>
          <w:p w14:paraId="693B19B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4、《医药工业洁净厂房设计规范》GB50457-2008，</w:t>
            </w:r>
          </w:p>
          <w:p w14:paraId="0AA04AE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5、GB/T13384-1992机电产品包装通用技术条件，</w:t>
            </w:r>
          </w:p>
          <w:p w14:paraId="631FF1D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6、GB5226.1-2002 / IEC60204-1《机械安全机械电气设备第1部分：通用技术条件》，</w:t>
            </w:r>
          </w:p>
          <w:p w14:paraId="2FDB4B1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7、民用建筑电气设计规范JGJ-16-2008，</w:t>
            </w:r>
          </w:p>
          <w:p w14:paraId="6D016B2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8、建筑照明设计标准GB50034-2013，</w:t>
            </w:r>
          </w:p>
          <w:p w14:paraId="1ABB51C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9、工业自动化仪表工程施工验收规范 GBJ—93—86，</w:t>
            </w:r>
          </w:p>
          <w:p w14:paraId="7F6D268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10、建筑电气安装工程质量检验评定标准 GBJ303—88，</w:t>
            </w:r>
          </w:p>
          <w:p w14:paraId="4641ED6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11、电气装置安装工程低压电器施工质量验收规范GB50245-2014，</w:t>
            </w:r>
          </w:p>
          <w:p w14:paraId="01A323A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12、电气装置安装工程电气照明装置施工及验收规范根本GB50259-96 ，</w:t>
            </w:r>
          </w:p>
          <w:p w14:paraId="559FA37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13、《消防给水及消火栓系统技术规范》  GB50974-2014，</w:t>
            </w:r>
          </w:p>
          <w:p w14:paraId="132ABFE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14、《建筑给水排水设计规范》  GB50015-2003 （2009年版），15、国家现行相关行业标准及规范。</w:t>
            </w:r>
          </w:p>
          <w:p w14:paraId="3D88D6D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16、《生物安全实验室建筑技术规范》GB50346-2011</w:t>
            </w:r>
          </w:p>
          <w:p w14:paraId="3D853F2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17、《病原微生物实验室生物安全通用准则》WS233-2017</w:t>
            </w:r>
          </w:p>
          <w:p w14:paraId="0EB7479A">
            <w:pPr>
              <w:spacing w:before="62" w:beforeLines="20" w:after="62" w:afterLines="20" w:line="276" w:lineRule="auto"/>
              <w:jc w:val="left"/>
              <w:rPr>
                <w:rFonts w:ascii="Arial" w:hAnsi="Arial" w:cs="Arial"/>
                <w:color w:val="auto"/>
                <w:sz w:val="24"/>
                <w:highlight w:val="none"/>
              </w:rPr>
            </w:pPr>
          </w:p>
        </w:tc>
        <w:tc>
          <w:tcPr>
            <w:tcW w:w="687" w:type="dxa"/>
            <w:vAlign w:val="center"/>
          </w:tcPr>
          <w:p w14:paraId="0935E3D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15FEDF34">
            <w:pPr>
              <w:spacing w:before="62" w:beforeLines="20" w:after="62" w:afterLines="20" w:line="276" w:lineRule="auto"/>
              <w:jc w:val="left"/>
              <w:rPr>
                <w:rFonts w:ascii="Arial" w:hAnsi="Arial" w:cs="Arial"/>
                <w:color w:val="auto"/>
                <w:sz w:val="24"/>
                <w:highlight w:val="none"/>
              </w:rPr>
            </w:pPr>
          </w:p>
        </w:tc>
      </w:tr>
    </w:tbl>
    <w:p w14:paraId="164521B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5.9质保及售后服务</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256"/>
        <w:gridCol w:w="687"/>
        <w:gridCol w:w="1172"/>
      </w:tblGrid>
      <w:tr w14:paraId="19B2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1404" w:type="dxa"/>
            <w:tcBorders>
              <w:bottom w:val="single" w:color="auto" w:sz="4" w:space="0"/>
            </w:tcBorders>
            <w:shd w:val="pct20" w:color="auto" w:fill="FFFFFF"/>
            <w:vAlign w:val="center"/>
          </w:tcPr>
          <w:p w14:paraId="38624C0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256" w:type="dxa"/>
            <w:tcBorders>
              <w:bottom w:val="single" w:color="auto" w:sz="4" w:space="0"/>
            </w:tcBorders>
            <w:shd w:val="pct20" w:color="auto" w:fill="FFFFFF"/>
            <w:vAlign w:val="center"/>
          </w:tcPr>
          <w:p w14:paraId="387CD78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7" w:type="dxa"/>
            <w:tcBorders>
              <w:bottom w:val="single" w:color="auto" w:sz="4" w:space="0"/>
            </w:tcBorders>
            <w:shd w:val="pct20" w:color="auto" w:fill="FFFFFF"/>
            <w:vAlign w:val="center"/>
          </w:tcPr>
          <w:p w14:paraId="2224268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72" w:type="dxa"/>
            <w:tcBorders>
              <w:bottom w:val="single" w:color="auto" w:sz="4" w:space="0"/>
            </w:tcBorders>
            <w:shd w:val="pct20" w:color="auto" w:fill="FFFFFF"/>
          </w:tcPr>
          <w:p w14:paraId="1A9485F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DD4F03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431D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04" w:type="dxa"/>
            <w:vAlign w:val="center"/>
          </w:tcPr>
          <w:p w14:paraId="5D57B94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URS5.9-01</w:t>
            </w:r>
          </w:p>
        </w:tc>
        <w:tc>
          <w:tcPr>
            <w:tcW w:w="5256" w:type="dxa"/>
            <w:vAlign w:val="center"/>
          </w:tcPr>
          <w:p w14:paraId="15163EF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质量要求为：合格。质量不符合经确认图纸和投标文件，以及技术质量和品牌经招标人现场人员核定质量不合格者，招标人可要求中标供应商退货，一切费用由中标供应商承担。</w:t>
            </w:r>
          </w:p>
        </w:tc>
        <w:tc>
          <w:tcPr>
            <w:tcW w:w="687" w:type="dxa"/>
            <w:vAlign w:val="center"/>
          </w:tcPr>
          <w:p w14:paraId="0AD4713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52237052">
            <w:pPr>
              <w:spacing w:before="62" w:beforeLines="20" w:after="62" w:afterLines="20" w:line="276" w:lineRule="auto"/>
              <w:jc w:val="left"/>
              <w:rPr>
                <w:rFonts w:ascii="Arial" w:hAnsi="Arial" w:cs="Arial"/>
                <w:color w:val="auto"/>
                <w:sz w:val="24"/>
                <w:highlight w:val="none"/>
              </w:rPr>
            </w:pPr>
          </w:p>
        </w:tc>
      </w:tr>
      <w:tr w14:paraId="5C03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7319C9A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URS5.9-02</w:t>
            </w:r>
          </w:p>
        </w:tc>
        <w:tc>
          <w:tcPr>
            <w:tcW w:w="5256" w:type="dxa"/>
            <w:vAlign w:val="center"/>
          </w:tcPr>
          <w:p w14:paraId="1267256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质量保障：</w:t>
            </w:r>
          </w:p>
          <w:p w14:paraId="49CAEB5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投标人应提供已注册品牌制造商原装、全新的、符合国家及招标文件中规定的有关质量标准的货物。投标人应对国家强制性相关产品提供3C认证证书。国内产品或合资厂的产品应具备出厂合格证和原厂保修卡，进口产品须提供合法渠道证明文件；</w:t>
            </w:r>
          </w:p>
          <w:p w14:paraId="68398DD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（2）货物制造质量出现问题，投标人负责提供三包（包修、包换、包退）服务。</w:t>
            </w:r>
          </w:p>
          <w:p w14:paraId="451F14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（3）所有货物，质量稳定，基本无磕、碰、划伤、锈蚀、毛刺等现象。</w:t>
            </w:r>
          </w:p>
        </w:tc>
        <w:tc>
          <w:tcPr>
            <w:tcW w:w="687" w:type="dxa"/>
            <w:vAlign w:val="center"/>
          </w:tcPr>
          <w:p w14:paraId="26715CD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72" w:type="dxa"/>
            <w:vAlign w:val="center"/>
          </w:tcPr>
          <w:p w14:paraId="0965BD4F">
            <w:pPr>
              <w:spacing w:before="62" w:beforeLines="20" w:after="62" w:afterLines="20" w:line="276" w:lineRule="auto"/>
              <w:jc w:val="left"/>
              <w:rPr>
                <w:rFonts w:ascii="Arial" w:hAnsi="Arial" w:cs="Arial"/>
                <w:color w:val="auto"/>
                <w:sz w:val="24"/>
                <w:highlight w:val="none"/>
              </w:rPr>
            </w:pPr>
          </w:p>
        </w:tc>
      </w:tr>
      <w:tr w14:paraId="75FB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vAlign w:val="center"/>
          </w:tcPr>
          <w:p w14:paraId="77F75D1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URS5.9-03</w:t>
            </w:r>
          </w:p>
        </w:tc>
        <w:tc>
          <w:tcPr>
            <w:tcW w:w="5256" w:type="dxa"/>
            <w:vAlign w:val="center"/>
          </w:tcPr>
          <w:p w14:paraId="7F7F982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保修及售后服务</w:t>
            </w:r>
          </w:p>
          <w:p w14:paraId="1AD1885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1）货物保修服务按厂家标准执行，中标单位免费提供至少</w:t>
            </w:r>
            <w:r>
              <w:rPr>
                <w:rFonts w:hint="eastAsia" w:ascii="Arial" w:hAnsi="Arial" w:cs="Arial"/>
                <w:color w:val="auto"/>
                <w:sz w:val="24"/>
                <w:highlight w:val="none"/>
              </w:rPr>
              <w:t>三</w:t>
            </w:r>
            <w:r>
              <w:rPr>
                <w:rFonts w:ascii="Arial" w:hAnsi="Arial" w:cs="Arial"/>
                <w:color w:val="auto"/>
                <w:sz w:val="24"/>
                <w:highlight w:val="none"/>
              </w:rPr>
              <w:t>年免费上门保修服务的标准。保修期自验收合格，中标单位和招标人在验收单上签字之日起计算。</w:t>
            </w:r>
          </w:p>
          <w:p w14:paraId="263FC77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2）自验收签字之日起所改造的工程免费保修（包括非人为损坏的质量问题引致发生的材料费用）</w:t>
            </w:r>
            <w:r>
              <w:rPr>
                <w:rFonts w:hint="eastAsia" w:ascii="Arial" w:hAnsi="Arial" w:cs="Arial"/>
                <w:color w:val="auto"/>
                <w:sz w:val="24"/>
                <w:highlight w:val="none"/>
              </w:rPr>
              <w:t>36</w:t>
            </w:r>
            <w:r>
              <w:rPr>
                <w:rFonts w:ascii="Arial" w:hAnsi="Arial" w:cs="Arial"/>
                <w:color w:val="auto"/>
                <w:sz w:val="24"/>
                <w:highlight w:val="none"/>
              </w:rPr>
              <w:t>个月（</w:t>
            </w:r>
            <w:r>
              <w:rPr>
                <w:rFonts w:hint="eastAsia" w:ascii="Arial" w:hAnsi="Arial" w:cs="Arial"/>
                <w:color w:val="auto"/>
                <w:sz w:val="24"/>
                <w:highlight w:val="none"/>
              </w:rPr>
              <w:t>三</w:t>
            </w:r>
            <w:r>
              <w:rPr>
                <w:rFonts w:ascii="Arial" w:hAnsi="Arial" w:cs="Arial"/>
                <w:color w:val="auto"/>
                <w:sz w:val="24"/>
                <w:highlight w:val="none"/>
              </w:rPr>
              <w:t>年）。</w:t>
            </w:r>
          </w:p>
          <w:p w14:paraId="7913A1A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2）投标人应有长期售后维修服务机构或稳定的维修服务合作伙伴（须提供人员名单或场地证明文件），有完善的售后服务，对工程提供终身维修服务。用户使用中出现故障应在接到通知后1小时响应，4小时内派工程技术人员到达现场维修。</w:t>
            </w:r>
          </w:p>
        </w:tc>
        <w:tc>
          <w:tcPr>
            <w:tcW w:w="687" w:type="dxa"/>
            <w:vAlign w:val="center"/>
          </w:tcPr>
          <w:p w14:paraId="5F87B10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必须</w:t>
            </w:r>
          </w:p>
        </w:tc>
        <w:tc>
          <w:tcPr>
            <w:tcW w:w="1172" w:type="dxa"/>
            <w:vAlign w:val="center"/>
          </w:tcPr>
          <w:p w14:paraId="5F678A2D">
            <w:pPr>
              <w:spacing w:before="62" w:beforeLines="20" w:after="62" w:afterLines="20" w:line="276" w:lineRule="auto"/>
              <w:jc w:val="left"/>
              <w:rPr>
                <w:rFonts w:ascii="Arial" w:hAnsi="Arial" w:cs="Arial"/>
                <w:color w:val="auto"/>
                <w:sz w:val="24"/>
                <w:highlight w:val="none"/>
              </w:rPr>
            </w:pPr>
          </w:p>
        </w:tc>
      </w:tr>
    </w:tbl>
    <w:p w14:paraId="2716A7E8">
      <w:pPr>
        <w:spacing w:before="62" w:beforeLines="20" w:after="62" w:afterLines="20" w:line="276" w:lineRule="auto"/>
        <w:jc w:val="left"/>
        <w:rPr>
          <w:rFonts w:ascii="Arial" w:hAnsi="Arial" w:cs="Arial"/>
          <w:color w:val="auto"/>
          <w:sz w:val="24"/>
          <w:highlight w:val="none"/>
        </w:rPr>
      </w:pPr>
    </w:p>
    <w:p w14:paraId="487025AC">
      <w:pPr>
        <w:spacing w:before="62" w:beforeLines="20" w:after="62" w:afterLines="20" w:line="276" w:lineRule="auto"/>
        <w:jc w:val="left"/>
        <w:rPr>
          <w:rFonts w:ascii="Arial" w:hAnsi="Arial" w:cs="Arial"/>
          <w:b/>
          <w:color w:val="auto"/>
          <w:sz w:val="24"/>
          <w:highlight w:val="none"/>
        </w:rPr>
      </w:pPr>
      <w:r>
        <w:rPr>
          <w:rFonts w:hint="eastAsia" w:ascii="Arial" w:hAnsi="Arial" w:cs="Arial"/>
          <w:b/>
          <w:color w:val="auto"/>
          <w:sz w:val="24"/>
          <w:highlight w:val="none"/>
        </w:rPr>
        <w:t>六</w:t>
      </w:r>
      <w:r>
        <w:rPr>
          <w:rFonts w:ascii="Arial" w:hAnsi="Arial" w:cs="Arial"/>
          <w:b/>
          <w:color w:val="auto"/>
          <w:sz w:val="24"/>
          <w:highlight w:val="none"/>
        </w:rPr>
        <w:t>、</w:t>
      </w:r>
      <w:r>
        <w:rPr>
          <w:rFonts w:hint="eastAsia" w:ascii="Arial" w:hAnsi="Arial" w:cs="Arial"/>
          <w:b/>
          <w:color w:val="auto"/>
          <w:sz w:val="24"/>
          <w:highlight w:val="none"/>
        </w:rPr>
        <w:t>厂房/实验室/微生物室装修要求（建筑专业）</w:t>
      </w:r>
    </w:p>
    <w:p w14:paraId="09A993C0">
      <w:pPr>
        <w:spacing w:before="62" w:beforeLines="20" w:after="62" w:afterLines="20" w:line="276" w:lineRule="auto"/>
        <w:jc w:val="left"/>
        <w:rPr>
          <w:rFonts w:ascii="Arial" w:hAnsi="Arial" w:cs="Arial"/>
          <w:color w:val="auto"/>
          <w:sz w:val="24"/>
          <w:highlight w:val="none"/>
        </w:rPr>
      </w:pPr>
      <w:bookmarkStart w:id="579" w:name="_Hlk141599881"/>
      <w:r>
        <w:rPr>
          <w:rFonts w:hint="eastAsia" w:ascii="Arial" w:hAnsi="Arial" w:cs="Arial"/>
          <w:color w:val="auto"/>
          <w:sz w:val="24"/>
          <w:highlight w:val="none"/>
        </w:rPr>
        <w:t>总体要求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5068"/>
        <w:gridCol w:w="725"/>
        <w:gridCol w:w="1209"/>
      </w:tblGrid>
      <w:tr w14:paraId="65B6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517" w:type="dxa"/>
            <w:tcBorders>
              <w:bottom w:val="single" w:color="auto" w:sz="4" w:space="0"/>
            </w:tcBorders>
            <w:shd w:val="pct20" w:color="auto" w:fill="FFFFFF"/>
            <w:vAlign w:val="center"/>
          </w:tcPr>
          <w:p w14:paraId="5B1BDCD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68" w:type="dxa"/>
            <w:tcBorders>
              <w:bottom w:val="single" w:color="auto" w:sz="4" w:space="0"/>
            </w:tcBorders>
            <w:shd w:val="pct20" w:color="auto" w:fill="FFFFFF"/>
            <w:vAlign w:val="center"/>
          </w:tcPr>
          <w:p w14:paraId="550695A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25" w:type="dxa"/>
            <w:tcBorders>
              <w:bottom w:val="single" w:color="auto" w:sz="4" w:space="0"/>
            </w:tcBorders>
            <w:shd w:val="pct20" w:color="auto" w:fill="FFFFFF"/>
            <w:vAlign w:val="center"/>
          </w:tcPr>
          <w:p w14:paraId="2BF1FED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209" w:type="dxa"/>
            <w:tcBorders>
              <w:bottom w:val="single" w:color="auto" w:sz="4" w:space="0"/>
            </w:tcBorders>
            <w:shd w:val="pct20" w:color="auto" w:fill="FFFFFF"/>
          </w:tcPr>
          <w:p w14:paraId="0EEEE79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81382C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E7C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517" w:type="dxa"/>
            <w:vAlign w:val="center"/>
          </w:tcPr>
          <w:p w14:paraId="1EEB89FC">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p>
        </w:tc>
        <w:tc>
          <w:tcPr>
            <w:tcW w:w="5068" w:type="dxa"/>
            <w:vAlign w:val="center"/>
          </w:tcPr>
          <w:p w14:paraId="72BCB18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总体要求(按图纸施工，以图纸为准)：（厂房洁净区域墙面、天花要求材质抗过氧化氢腐蚀）</w:t>
            </w:r>
          </w:p>
          <w:p w14:paraId="264D1948">
            <w:pPr>
              <w:numPr>
                <w:ilvl w:val="0"/>
                <w:numId w:val="1"/>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净化生产区域/实验室/微生物室区域采用硫氧镁隔墙及吊顶装配而成需由安装施工单位与业主单位确定板材的排列及门窗的最终定位等工作。要求生产部位房间内光滑平整墙面与地面和天棚墙面与墙面之间的阴角均做圆弧处理且需按设计要求采用净化车间专用的门窗及净化地漏等建筑配件，安装时工艺、水、电、空调等专业要密切配合，以免造成遗漏和返工。隔墙、吊顶、回风夹道开孔位置及大小详见空调专业图纸。净化生产区内的柱子与砌体墙面均应采用彩钢硫氧镁板贴面（抗过氧化氢腐蚀材质）。</w:t>
            </w:r>
          </w:p>
          <w:p w14:paraId="01AB24D8">
            <w:pPr>
              <w:numPr>
                <w:ilvl w:val="0"/>
                <w:numId w:val="1"/>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洁净区的门窗、墙壁、顶棚、地面的构造和施工缝隙，应采用密闭措施（抗过氧化氢腐蚀材质）。</w:t>
            </w:r>
          </w:p>
          <w:p w14:paraId="611E26C1">
            <w:pPr>
              <w:numPr>
                <w:ilvl w:val="0"/>
                <w:numId w:val="1"/>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洁净室的门宜朝空气洁净度高的房间开启，并加设闭门器。</w:t>
            </w:r>
          </w:p>
          <w:p w14:paraId="47DE4436">
            <w:pPr>
              <w:numPr>
                <w:ilvl w:val="0"/>
                <w:numId w:val="1"/>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彩钢板隔墙上暗装消火栓等设备时，背部用彩钢板封平。洁净区与非洁净区之间墙耐火极限应≥1小时，疏散走道两侧隔断及顶棚耐火极限应≥1小时，疏散走道上隔墙上洁净窗的耐火时间≥1小时，其余区域洁净窗的耐火时间≥0.6小时。</w:t>
            </w:r>
          </w:p>
          <w:p w14:paraId="0E4C1D82">
            <w:pPr>
              <w:numPr>
                <w:ilvl w:val="0"/>
                <w:numId w:val="1"/>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彩钢板墙的回风口、顶棚送风口及灯槽的位置见暖风专业图及电气专业图。</w:t>
            </w:r>
          </w:p>
        </w:tc>
        <w:tc>
          <w:tcPr>
            <w:tcW w:w="725" w:type="dxa"/>
            <w:vAlign w:val="center"/>
          </w:tcPr>
          <w:p w14:paraId="786B541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09" w:type="dxa"/>
            <w:vAlign w:val="center"/>
          </w:tcPr>
          <w:p w14:paraId="0E02F484">
            <w:pPr>
              <w:spacing w:before="62" w:beforeLines="20" w:after="62" w:afterLines="20" w:line="276" w:lineRule="auto"/>
              <w:jc w:val="left"/>
              <w:rPr>
                <w:rFonts w:ascii="Arial" w:hAnsi="Arial" w:cs="Arial"/>
                <w:color w:val="auto"/>
                <w:sz w:val="24"/>
                <w:highlight w:val="none"/>
              </w:rPr>
            </w:pPr>
          </w:p>
        </w:tc>
      </w:tr>
      <w:bookmarkEnd w:id="579"/>
    </w:tbl>
    <w:p w14:paraId="459B27C8">
      <w:pPr>
        <w:spacing w:before="62" w:beforeLines="20" w:after="62" w:afterLines="20" w:line="276" w:lineRule="auto"/>
        <w:jc w:val="left"/>
        <w:rPr>
          <w:rFonts w:ascii="Arial" w:hAnsi="Arial" w:cs="Arial"/>
          <w:color w:val="auto"/>
          <w:sz w:val="24"/>
          <w:highlight w:val="none"/>
        </w:rPr>
      </w:pPr>
    </w:p>
    <w:p w14:paraId="7ACD986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6.1墙板</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026"/>
        <w:gridCol w:w="682"/>
        <w:gridCol w:w="1167"/>
      </w:tblGrid>
      <w:tr w14:paraId="3207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44" w:type="dxa"/>
            <w:tcBorders>
              <w:bottom w:val="single" w:color="auto" w:sz="4" w:space="0"/>
            </w:tcBorders>
            <w:shd w:val="pct20" w:color="auto" w:fill="FFFFFF"/>
            <w:vAlign w:val="center"/>
          </w:tcPr>
          <w:p w14:paraId="38016E8F">
            <w:pPr>
              <w:spacing w:before="62" w:beforeLines="20" w:after="62" w:afterLines="20" w:line="276" w:lineRule="auto"/>
              <w:jc w:val="left"/>
              <w:rPr>
                <w:rFonts w:ascii="Arial" w:hAnsi="Arial" w:cs="Arial"/>
                <w:color w:val="auto"/>
                <w:sz w:val="24"/>
                <w:highlight w:val="none"/>
              </w:rPr>
            </w:pPr>
            <w:bookmarkStart w:id="580" w:name="_Hlk141599635"/>
            <w:r>
              <w:rPr>
                <w:rFonts w:ascii="Arial" w:hAnsi="Arial" w:cs="Arial"/>
                <w:color w:val="auto"/>
                <w:sz w:val="24"/>
                <w:highlight w:val="none"/>
              </w:rPr>
              <w:t>序号</w:t>
            </w:r>
          </w:p>
        </w:tc>
        <w:tc>
          <w:tcPr>
            <w:tcW w:w="5026" w:type="dxa"/>
            <w:tcBorders>
              <w:bottom w:val="single" w:color="auto" w:sz="4" w:space="0"/>
            </w:tcBorders>
            <w:shd w:val="pct20" w:color="auto" w:fill="FFFFFF"/>
            <w:vAlign w:val="center"/>
          </w:tcPr>
          <w:p w14:paraId="23BC352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2" w:type="dxa"/>
            <w:tcBorders>
              <w:bottom w:val="single" w:color="auto" w:sz="4" w:space="0"/>
            </w:tcBorders>
            <w:shd w:val="pct20" w:color="auto" w:fill="FFFFFF"/>
            <w:vAlign w:val="center"/>
          </w:tcPr>
          <w:p w14:paraId="61B776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7" w:type="dxa"/>
            <w:tcBorders>
              <w:bottom w:val="single" w:color="auto" w:sz="4" w:space="0"/>
            </w:tcBorders>
            <w:shd w:val="pct20" w:color="auto" w:fill="FFFFFF"/>
          </w:tcPr>
          <w:p w14:paraId="4C3FCFB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07CCF78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3EA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644" w:type="dxa"/>
            <w:vAlign w:val="center"/>
          </w:tcPr>
          <w:p w14:paraId="034190A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URS6.1-01</w:t>
            </w:r>
          </w:p>
        </w:tc>
        <w:tc>
          <w:tcPr>
            <w:tcW w:w="5026" w:type="dxa"/>
            <w:vAlign w:val="center"/>
          </w:tcPr>
          <w:p w14:paraId="1BAA40F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墙板采用50mm厚的</w:t>
            </w:r>
            <w:r>
              <w:rPr>
                <w:rFonts w:hint="eastAsia" w:ascii="Arial" w:hAnsi="Arial" w:cs="Arial"/>
                <w:color w:val="auto"/>
                <w:sz w:val="24"/>
                <w:highlight w:val="none"/>
              </w:rPr>
              <w:t>机制硫氧镁</w:t>
            </w:r>
            <w:r>
              <w:rPr>
                <w:rFonts w:ascii="Arial" w:hAnsi="Arial" w:cs="Arial"/>
                <w:color w:val="auto"/>
                <w:sz w:val="24"/>
                <w:highlight w:val="none"/>
              </w:rPr>
              <w:t>彩钢板。基板为0.4</w:t>
            </w:r>
            <w:r>
              <w:rPr>
                <w:rFonts w:hint="eastAsia" w:ascii="Arial" w:hAnsi="Arial" w:cs="Arial"/>
                <w:color w:val="auto"/>
                <w:sz w:val="24"/>
                <w:highlight w:val="none"/>
              </w:rPr>
              <w:t>2</w:t>
            </w:r>
            <w:r>
              <w:rPr>
                <w:rFonts w:ascii="Arial" w:hAnsi="Arial" w:cs="Arial"/>
                <w:color w:val="auto"/>
                <w:sz w:val="24"/>
                <w:highlight w:val="none"/>
              </w:rPr>
              <w:t>6mm厚白灰色的华美钢板（颜色由招标人确认），表面覆上塑料保护膜 (0.05mm) ，以防运输或安装过程中，表面刮花颜色。墙板表面不吸尘不产尘易清洁，并能耐受清洗消毒</w:t>
            </w:r>
            <w:r>
              <w:rPr>
                <w:rFonts w:hint="eastAsia" w:ascii="Arial" w:hAnsi="Arial" w:cs="Arial"/>
                <w:color w:val="auto"/>
                <w:sz w:val="24"/>
                <w:highlight w:val="none"/>
              </w:rPr>
              <w:t>（应能抗过氧化氢腐蚀）</w:t>
            </w:r>
            <w:r>
              <w:rPr>
                <w:rFonts w:ascii="Arial" w:hAnsi="Arial" w:cs="Arial"/>
                <w:color w:val="auto"/>
                <w:sz w:val="24"/>
                <w:highlight w:val="none"/>
              </w:rPr>
              <w:t>。</w:t>
            </w:r>
          </w:p>
        </w:tc>
        <w:tc>
          <w:tcPr>
            <w:tcW w:w="682" w:type="dxa"/>
            <w:vAlign w:val="center"/>
          </w:tcPr>
          <w:p w14:paraId="6466BFF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95C5011">
            <w:pPr>
              <w:spacing w:before="62" w:beforeLines="20" w:after="62" w:afterLines="20" w:line="276" w:lineRule="auto"/>
              <w:jc w:val="left"/>
              <w:rPr>
                <w:rFonts w:ascii="Arial" w:hAnsi="Arial" w:cs="Arial"/>
                <w:color w:val="auto"/>
                <w:sz w:val="24"/>
                <w:highlight w:val="none"/>
              </w:rPr>
            </w:pPr>
          </w:p>
        </w:tc>
      </w:tr>
      <w:tr w14:paraId="53FF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4516617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URS6.1-02</w:t>
            </w:r>
          </w:p>
        </w:tc>
        <w:tc>
          <w:tcPr>
            <w:tcW w:w="5026" w:type="dxa"/>
            <w:vAlign w:val="center"/>
          </w:tcPr>
          <w:p w14:paraId="03250B7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墙体材料满足消防规范的要求，满足防火时间和人员疏散等的需要。提供彩钢板耐火性的证明文件。（提供墙板及相关辅材的材质、厚度、规格、连接方式及测试报告等）</w:t>
            </w:r>
          </w:p>
        </w:tc>
        <w:tc>
          <w:tcPr>
            <w:tcW w:w="682" w:type="dxa"/>
            <w:vAlign w:val="center"/>
          </w:tcPr>
          <w:p w14:paraId="241C940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71B2E3BE">
            <w:pPr>
              <w:spacing w:before="62" w:beforeLines="20" w:after="62" w:afterLines="20" w:line="276" w:lineRule="auto"/>
              <w:jc w:val="left"/>
              <w:rPr>
                <w:rFonts w:ascii="Arial" w:hAnsi="Arial" w:cs="Arial"/>
                <w:color w:val="auto"/>
                <w:sz w:val="24"/>
                <w:highlight w:val="none"/>
              </w:rPr>
            </w:pPr>
          </w:p>
        </w:tc>
      </w:tr>
      <w:bookmarkEnd w:id="580"/>
      <w:tr w14:paraId="029B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83A442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URS6.1-03</w:t>
            </w:r>
          </w:p>
        </w:tc>
        <w:tc>
          <w:tcPr>
            <w:tcW w:w="5026" w:type="dxa"/>
            <w:vAlign w:val="center"/>
          </w:tcPr>
          <w:p w14:paraId="1BD9249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工程期间建设方随机抽检彩板或下脚料。</w:t>
            </w:r>
          </w:p>
        </w:tc>
        <w:tc>
          <w:tcPr>
            <w:tcW w:w="682" w:type="dxa"/>
            <w:vAlign w:val="center"/>
          </w:tcPr>
          <w:p w14:paraId="7519536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1F7A0BB1">
            <w:pPr>
              <w:spacing w:before="62" w:beforeLines="20" w:after="62" w:afterLines="20" w:line="276" w:lineRule="auto"/>
              <w:jc w:val="left"/>
              <w:rPr>
                <w:rFonts w:ascii="Arial" w:hAnsi="Arial" w:cs="Arial"/>
                <w:color w:val="auto"/>
                <w:sz w:val="24"/>
                <w:highlight w:val="none"/>
              </w:rPr>
            </w:pPr>
          </w:p>
        </w:tc>
      </w:tr>
      <w:tr w14:paraId="52AA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8C0EEB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URS6.1-04</w:t>
            </w:r>
          </w:p>
        </w:tc>
        <w:tc>
          <w:tcPr>
            <w:tcW w:w="5026" w:type="dxa"/>
            <w:vAlign w:val="center"/>
          </w:tcPr>
          <w:p w14:paraId="397073E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整个工程所有彩钢板建议用同一批号，以利于缩小色差。</w:t>
            </w:r>
          </w:p>
        </w:tc>
        <w:tc>
          <w:tcPr>
            <w:tcW w:w="682" w:type="dxa"/>
            <w:vAlign w:val="center"/>
          </w:tcPr>
          <w:p w14:paraId="76145A2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6A6C49C6">
            <w:pPr>
              <w:spacing w:before="62" w:beforeLines="20" w:after="62" w:afterLines="20" w:line="276" w:lineRule="auto"/>
              <w:jc w:val="left"/>
              <w:rPr>
                <w:rFonts w:ascii="Arial" w:hAnsi="Arial" w:cs="Arial"/>
                <w:color w:val="auto"/>
                <w:sz w:val="24"/>
                <w:highlight w:val="none"/>
              </w:rPr>
            </w:pPr>
          </w:p>
        </w:tc>
      </w:tr>
      <w:tr w14:paraId="3C0A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40E5ED2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URS6.1.1-05</w:t>
            </w:r>
          </w:p>
        </w:tc>
        <w:tc>
          <w:tcPr>
            <w:tcW w:w="5026" w:type="dxa"/>
            <w:vAlign w:val="center"/>
          </w:tcPr>
          <w:p w14:paraId="1717586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彩钢板必须有质量检测报告。</w:t>
            </w:r>
          </w:p>
        </w:tc>
        <w:tc>
          <w:tcPr>
            <w:tcW w:w="682" w:type="dxa"/>
            <w:vAlign w:val="center"/>
          </w:tcPr>
          <w:p w14:paraId="13131A0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77C1E7E4">
            <w:pPr>
              <w:spacing w:before="62" w:beforeLines="20" w:after="62" w:afterLines="20" w:line="276" w:lineRule="auto"/>
              <w:jc w:val="left"/>
              <w:rPr>
                <w:rFonts w:ascii="Arial" w:hAnsi="Arial" w:cs="Arial"/>
                <w:color w:val="auto"/>
                <w:sz w:val="24"/>
                <w:highlight w:val="none"/>
              </w:rPr>
            </w:pPr>
          </w:p>
        </w:tc>
      </w:tr>
      <w:tr w14:paraId="2A5F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634A129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URS6.1.1-06</w:t>
            </w:r>
          </w:p>
        </w:tc>
        <w:tc>
          <w:tcPr>
            <w:tcW w:w="5026" w:type="dxa"/>
            <w:vAlign w:val="center"/>
          </w:tcPr>
          <w:p w14:paraId="485047C8">
            <w:pPr>
              <w:spacing w:before="62" w:beforeLines="20" w:after="62" w:afterLines="20" w:line="276" w:lineRule="auto"/>
              <w:jc w:val="left"/>
              <w:rPr>
                <w:rFonts w:ascii="Arial" w:hAnsi="Arial" w:cs="Arial"/>
                <w:color w:val="auto"/>
                <w:sz w:val="24"/>
                <w:highlight w:val="none"/>
              </w:rPr>
            </w:pPr>
            <w:r>
              <w:rPr>
                <w:rFonts w:hint="eastAsia" w:ascii="宋体" w:hAnsi="宋体"/>
                <w:bCs/>
                <w:color w:val="auto"/>
                <w:highlight w:val="none"/>
              </w:rPr>
              <w:t>彩钢夹芯板双面复膜，施工工程中复膜层必须保持完好，在主体工程完工后，地板完工后方可清除。</w:t>
            </w:r>
          </w:p>
        </w:tc>
        <w:tc>
          <w:tcPr>
            <w:tcW w:w="682" w:type="dxa"/>
            <w:vAlign w:val="center"/>
          </w:tcPr>
          <w:p w14:paraId="1CBB4F4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62B79946">
            <w:pPr>
              <w:spacing w:before="62" w:beforeLines="20" w:after="62" w:afterLines="20" w:line="276" w:lineRule="auto"/>
              <w:jc w:val="left"/>
              <w:rPr>
                <w:rFonts w:ascii="Arial" w:hAnsi="Arial" w:cs="Arial"/>
                <w:color w:val="auto"/>
                <w:sz w:val="24"/>
                <w:highlight w:val="none"/>
              </w:rPr>
            </w:pPr>
          </w:p>
        </w:tc>
      </w:tr>
    </w:tbl>
    <w:p w14:paraId="31F2A58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6.2顶板</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026"/>
        <w:gridCol w:w="682"/>
        <w:gridCol w:w="1167"/>
      </w:tblGrid>
      <w:tr w14:paraId="0E75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44" w:type="dxa"/>
            <w:tcBorders>
              <w:bottom w:val="single" w:color="auto" w:sz="4" w:space="0"/>
            </w:tcBorders>
            <w:shd w:val="pct20" w:color="auto" w:fill="FFFFFF"/>
            <w:vAlign w:val="center"/>
          </w:tcPr>
          <w:p w14:paraId="2062612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26" w:type="dxa"/>
            <w:tcBorders>
              <w:bottom w:val="single" w:color="auto" w:sz="4" w:space="0"/>
            </w:tcBorders>
            <w:shd w:val="pct20" w:color="auto" w:fill="FFFFFF"/>
            <w:vAlign w:val="center"/>
          </w:tcPr>
          <w:p w14:paraId="66F8C22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2" w:type="dxa"/>
            <w:tcBorders>
              <w:bottom w:val="single" w:color="auto" w:sz="4" w:space="0"/>
            </w:tcBorders>
            <w:shd w:val="pct20" w:color="auto" w:fill="FFFFFF"/>
            <w:vAlign w:val="center"/>
          </w:tcPr>
          <w:p w14:paraId="70DE749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7" w:type="dxa"/>
            <w:tcBorders>
              <w:bottom w:val="single" w:color="auto" w:sz="4" w:space="0"/>
            </w:tcBorders>
            <w:shd w:val="pct20" w:color="auto" w:fill="FFFFFF"/>
          </w:tcPr>
          <w:p w14:paraId="6AF29F5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23F9B6D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7BA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44" w:type="dxa"/>
            <w:vAlign w:val="center"/>
          </w:tcPr>
          <w:p w14:paraId="4BC52B9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URS6.2-01</w:t>
            </w:r>
          </w:p>
        </w:tc>
        <w:tc>
          <w:tcPr>
            <w:tcW w:w="5026" w:type="dxa"/>
            <w:vAlign w:val="center"/>
          </w:tcPr>
          <w:p w14:paraId="7C70AE8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顶板采用50mm厚的</w:t>
            </w:r>
            <w:r>
              <w:rPr>
                <w:rFonts w:hint="eastAsia" w:ascii="Arial" w:hAnsi="Arial" w:cs="Arial"/>
                <w:color w:val="auto"/>
                <w:sz w:val="24"/>
                <w:highlight w:val="none"/>
              </w:rPr>
              <w:t>手工硫氧镁</w:t>
            </w:r>
            <w:r>
              <w:rPr>
                <w:rFonts w:ascii="Arial" w:hAnsi="Arial" w:cs="Arial"/>
                <w:color w:val="auto"/>
                <w:sz w:val="24"/>
                <w:highlight w:val="none"/>
              </w:rPr>
              <w:t>彩钢板（颜色由招标人确认）。基板为0.4</w:t>
            </w:r>
            <w:r>
              <w:rPr>
                <w:rFonts w:hint="eastAsia" w:ascii="Arial" w:hAnsi="Arial" w:cs="Arial"/>
                <w:color w:val="auto"/>
                <w:sz w:val="24"/>
                <w:highlight w:val="none"/>
              </w:rPr>
              <w:t>2</w:t>
            </w:r>
            <w:r>
              <w:rPr>
                <w:rFonts w:ascii="Arial" w:hAnsi="Arial" w:cs="Arial"/>
                <w:color w:val="auto"/>
                <w:sz w:val="24"/>
                <w:highlight w:val="none"/>
              </w:rPr>
              <w:t>6mm厚白灰色的华美钢板，表面覆上塑料保护膜 (0.05mm) ，以防运输或安装过程中，表面刮花颜色。墙板表面不吸尘不产尘易清洁，并能耐受清洗消毒</w:t>
            </w:r>
            <w:r>
              <w:rPr>
                <w:rFonts w:hint="eastAsia" w:ascii="Arial" w:hAnsi="Arial" w:cs="Arial"/>
                <w:color w:val="auto"/>
                <w:sz w:val="24"/>
                <w:highlight w:val="none"/>
              </w:rPr>
              <w:t>（应能抗过氧化氢腐蚀）</w:t>
            </w:r>
            <w:r>
              <w:rPr>
                <w:rFonts w:ascii="Arial" w:hAnsi="Arial" w:cs="Arial"/>
                <w:color w:val="auto"/>
                <w:sz w:val="24"/>
                <w:highlight w:val="none"/>
              </w:rPr>
              <w:t>。</w:t>
            </w:r>
          </w:p>
        </w:tc>
        <w:tc>
          <w:tcPr>
            <w:tcW w:w="682" w:type="dxa"/>
            <w:vAlign w:val="center"/>
          </w:tcPr>
          <w:p w14:paraId="54569A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5BC0B345">
            <w:pPr>
              <w:spacing w:before="62" w:beforeLines="20" w:after="62" w:afterLines="20" w:line="276" w:lineRule="auto"/>
              <w:jc w:val="left"/>
              <w:rPr>
                <w:rFonts w:ascii="Arial" w:hAnsi="Arial" w:cs="Arial"/>
                <w:color w:val="auto"/>
                <w:sz w:val="24"/>
                <w:highlight w:val="none"/>
              </w:rPr>
            </w:pPr>
          </w:p>
        </w:tc>
      </w:tr>
      <w:tr w14:paraId="614E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3496362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URS6.2-02</w:t>
            </w:r>
          </w:p>
        </w:tc>
        <w:tc>
          <w:tcPr>
            <w:tcW w:w="5026" w:type="dxa"/>
            <w:vAlign w:val="center"/>
          </w:tcPr>
          <w:p w14:paraId="79445C72">
            <w:pPr>
              <w:spacing w:before="62" w:beforeLines="20" w:after="62" w:afterLines="20" w:line="276" w:lineRule="auto"/>
              <w:jc w:val="left"/>
              <w:rPr>
                <w:rFonts w:ascii="Arial" w:hAnsi="Arial" w:cs="Arial"/>
                <w:color w:val="auto"/>
                <w:sz w:val="24"/>
                <w:highlight w:val="none"/>
                <w:lang w:eastAsia="zh"/>
              </w:rPr>
            </w:pPr>
            <w:r>
              <w:rPr>
                <w:rFonts w:ascii="Arial" w:hAnsi="Arial" w:cs="Arial"/>
                <w:color w:val="auto"/>
                <w:sz w:val="24"/>
                <w:highlight w:val="none"/>
              </w:rPr>
              <w:t>承包方必须提供吊顶及相关辅材的材质、厚度、规格、连接方式及测试报告等</w:t>
            </w:r>
            <w:r>
              <w:rPr>
                <w:rFonts w:hint="eastAsia" w:ascii="宋体" w:hAnsi="宋体"/>
                <w:bCs/>
                <w:color w:val="auto"/>
                <w:highlight w:val="none"/>
              </w:rPr>
              <w:t>。</w:t>
            </w:r>
          </w:p>
        </w:tc>
        <w:tc>
          <w:tcPr>
            <w:tcW w:w="682" w:type="dxa"/>
            <w:vAlign w:val="center"/>
          </w:tcPr>
          <w:p w14:paraId="643DC01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1D5FF20F">
            <w:pPr>
              <w:spacing w:before="62" w:beforeLines="20" w:after="62" w:afterLines="20" w:line="276" w:lineRule="auto"/>
              <w:jc w:val="left"/>
              <w:rPr>
                <w:rFonts w:ascii="Arial" w:hAnsi="Arial" w:cs="Arial"/>
                <w:color w:val="auto"/>
                <w:sz w:val="24"/>
                <w:highlight w:val="none"/>
              </w:rPr>
            </w:pPr>
          </w:p>
        </w:tc>
      </w:tr>
      <w:tr w14:paraId="292F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164A70B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URS6.2-03</w:t>
            </w:r>
          </w:p>
        </w:tc>
        <w:tc>
          <w:tcPr>
            <w:tcW w:w="5026" w:type="dxa"/>
            <w:vAlign w:val="center"/>
          </w:tcPr>
          <w:p w14:paraId="34823A9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工程期间业主方随机抽检彩板或下脚料</w:t>
            </w:r>
          </w:p>
        </w:tc>
        <w:tc>
          <w:tcPr>
            <w:tcW w:w="682" w:type="dxa"/>
            <w:vAlign w:val="center"/>
          </w:tcPr>
          <w:p w14:paraId="2C80D97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25928D00">
            <w:pPr>
              <w:spacing w:before="62" w:beforeLines="20" w:after="62" w:afterLines="20" w:line="276" w:lineRule="auto"/>
              <w:jc w:val="left"/>
              <w:rPr>
                <w:rFonts w:ascii="Arial" w:hAnsi="Arial" w:cs="Arial"/>
                <w:color w:val="auto"/>
                <w:sz w:val="24"/>
                <w:highlight w:val="none"/>
              </w:rPr>
            </w:pPr>
          </w:p>
        </w:tc>
      </w:tr>
      <w:tr w14:paraId="4ADF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6D594BB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URS6.2-0</w:t>
            </w:r>
            <w:r>
              <w:rPr>
                <w:rFonts w:hint="eastAsia" w:ascii="Arial" w:hAnsi="Arial" w:cs="Arial"/>
                <w:color w:val="auto"/>
                <w:sz w:val="24"/>
                <w:highlight w:val="none"/>
              </w:rPr>
              <w:t>4</w:t>
            </w:r>
          </w:p>
        </w:tc>
        <w:tc>
          <w:tcPr>
            <w:tcW w:w="5026" w:type="dxa"/>
            <w:vAlign w:val="center"/>
          </w:tcPr>
          <w:p w14:paraId="44D74DC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整个工程所有彩钢板建议用同一批号，以利于缩小色差。</w:t>
            </w:r>
          </w:p>
        </w:tc>
        <w:tc>
          <w:tcPr>
            <w:tcW w:w="682" w:type="dxa"/>
            <w:vAlign w:val="center"/>
          </w:tcPr>
          <w:p w14:paraId="3CC7F8D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19ADF59C">
            <w:pPr>
              <w:spacing w:before="62" w:beforeLines="20" w:after="62" w:afterLines="20" w:line="276" w:lineRule="auto"/>
              <w:jc w:val="left"/>
              <w:rPr>
                <w:rFonts w:ascii="Arial" w:hAnsi="Arial" w:cs="Arial"/>
                <w:color w:val="auto"/>
                <w:sz w:val="24"/>
                <w:highlight w:val="none"/>
              </w:rPr>
            </w:pPr>
          </w:p>
        </w:tc>
      </w:tr>
      <w:tr w14:paraId="74CA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B3F298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URS6.2-0</w:t>
            </w:r>
            <w:r>
              <w:rPr>
                <w:rFonts w:hint="eastAsia" w:ascii="Arial" w:hAnsi="Arial" w:cs="Arial"/>
                <w:color w:val="auto"/>
                <w:sz w:val="24"/>
                <w:highlight w:val="none"/>
              </w:rPr>
              <w:t>5</w:t>
            </w:r>
          </w:p>
        </w:tc>
        <w:tc>
          <w:tcPr>
            <w:tcW w:w="5026" w:type="dxa"/>
            <w:vAlign w:val="center"/>
          </w:tcPr>
          <w:p w14:paraId="42F4581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彩钢板必须有质量检测报告。</w:t>
            </w:r>
          </w:p>
        </w:tc>
        <w:tc>
          <w:tcPr>
            <w:tcW w:w="682" w:type="dxa"/>
            <w:vAlign w:val="center"/>
          </w:tcPr>
          <w:p w14:paraId="6E4FB32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2F57ECA3">
            <w:pPr>
              <w:spacing w:before="62" w:beforeLines="20" w:after="62" w:afterLines="20" w:line="276" w:lineRule="auto"/>
              <w:jc w:val="left"/>
              <w:rPr>
                <w:rFonts w:ascii="Arial" w:hAnsi="Arial" w:cs="Arial"/>
                <w:color w:val="auto"/>
                <w:sz w:val="24"/>
                <w:highlight w:val="none"/>
              </w:rPr>
            </w:pPr>
          </w:p>
        </w:tc>
      </w:tr>
      <w:tr w14:paraId="07C8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03264EA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URS6.2-0</w:t>
            </w:r>
            <w:r>
              <w:rPr>
                <w:rFonts w:hint="eastAsia" w:ascii="Arial" w:hAnsi="Arial" w:cs="Arial"/>
                <w:color w:val="auto"/>
                <w:sz w:val="24"/>
                <w:highlight w:val="none"/>
              </w:rPr>
              <w:t>6</w:t>
            </w:r>
          </w:p>
        </w:tc>
        <w:tc>
          <w:tcPr>
            <w:tcW w:w="5026" w:type="dxa"/>
            <w:vAlign w:val="center"/>
          </w:tcPr>
          <w:p w14:paraId="51236544">
            <w:pPr>
              <w:spacing w:before="62" w:beforeLines="20" w:after="62" w:afterLines="20" w:line="276" w:lineRule="auto"/>
              <w:jc w:val="left"/>
              <w:rPr>
                <w:rFonts w:ascii="Arial" w:hAnsi="Arial" w:cs="Arial"/>
                <w:color w:val="auto"/>
                <w:sz w:val="24"/>
                <w:highlight w:val="none"/>
              </w:rPr>
            </w:pPr>
            <w:r>
              <w:rPr>
                <w:rFonts w:hint="eastAsia" w:ascii="宋体" w:hAnsi="宋体"/>
                <w:bCs/>
                <w:color w:val="auto"/>
                <w:highlight w:val="none"/>
              </w:rPr>
              <w:t>彩钢夹芯板双面复膜，施工工程中复膜层必须保持完好，在主体工程完工后，地板完工后方可清除。</w:t>
            </w:r>
          </w:p>
        </w:tc>
        <w:tc>
          <w:tcPr>
            <w:tcW w:w="682" w:type="dxa"/>
            <w:vAlign w:val="center"/>
          </w:tcPr>
          <w:p w14:paraId="111AD02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54553BFA">
            <w:pPr>
              <w:spacing w:before="62" w:beforeLines="20" w:after="62" w:afterLines="20" w:line="276" w:lineRule="auto"/>
              <w:jc w:val="left"/>
              <w:rPr>
                <w:rFonts w:ascii="Arial" w:hAnsi="Arial" w:cs="Arial"/>
                <w:color w:val="auto"/>
                <w:sz w:val="24"/>
                <w:highlight w:val="none"/>
              </w:rPr>
            </w:pPr>
          </w:p>
        </w:tc>
      </w:tr>
    </w:tbl>
    <w:p w14:paraId="4675DED2">
      <w:pPr>
        <w:spacing w:before="62" w:beforeLines="20" w:after="62" w:afterLines="20" w:line="276" w:lineRule="auto"/>
        <w:jc w:val="left"/>
        <w:rPr>
          <w:rFonts w:ascii="Arial" w:hAnsi="Arial" w:cs="Arial"/>
          <w:color w:val="auto"/>
          <w:sz w:val="24"/>
          <w:highlight w:val="none"/>
        </w:rPr>
      </w:pPr>
    </w:p>
    <w:p w14:paraId="42ED134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w:t>
      </w:r>
      <w:r>
        <w:rPr>
          <w:rFonts w:ascii="Arial" w:hAnsi="Arial" w:cs="Arial"/>
          <w:color w:val="auto"/>
          <w:sz w:val="24"/>
          <w:highlight w:val="none"/>
        </w:rPr>
        <w:t>.</w:t>
      </w:r>
      <w:r>
        <w:rPr>
          <w:rFonts w:hint="eastAsia" w:ascii="Arial" w:hAnsi="Arial" w:cs="Arial"/>
          <w:color w:val="auto"/>
          <w:sz w:val="24"/>
          <w:highlight w:val="none"/>
        </w:rPr>
        <w:t>3</w:t>
      </w:r>
      <w:r>
        <w:rPr>
          <w:rFonts w:ascii="Arial" w:hAnsi="Arial" w:cs="Arial"/>
          <w:color w:val="auto"/>
          <w:sz w:val="24"/>
          <w:highlight w:val="none"/>
        </w:rPr>
        <w:t>吊顶施工</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226"/>
        <w:gridCol w:w="723"/>
        <w:gridCol w:w="1166"/>
      </w:tblGrid>
      <w:tr w14:paraId="01C2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04" w:type="dxa"/>
            <w:tcBorders>
              <w:bottom w:val="single" w:color="auto" w:sz="4" w:space="0"/>
            </w:tcBorders>
            <w:shd w:val="pct20" w:color="auto" w:fill="FFFFFF"/>
            <w:vAlign w:val="center"/>
          </w:tcPr>
          <w:p w14:paraId="1182BA6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226" w:type="dxa"/>
            <w:tcBorders>
              <w:bottom w:val="single" w:color="auto" w:sz="4" w:space="0"/>
            </w:tcBorders>
            <w:shd w:val="pct20" w:color="auto" w:fill="FFFFFF"/>
            <w:vAlign w:val="center"/>
          </w:tcPr>
          <w:p w14:paraId="335EC99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23" w:type="dxa"/>
            <w:tcBorders>
              <w:bottom w:val="single" w:color="auto" w:sz="4" w:space="0"/>
            </w:tcBorders>
            <w:shd w:val="pct20" w:color="auto" w:fill="FFFFFF"/>
            <w:vAlign w:val="center"/>
          </w:tcPr>
          <w:p w14:paraId="1E7B6D4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6" w:type="dxa"/>
            <w:tcBorders>
              <w:bottom w:val="single" w:color="auto" w:sz="4" w:space="0"/>
            </w:tcBorders>
            <w:shd w:val="pct20" w:color="auto" w:fill="FFFFFF"/>
          </w:tcPr>
          <w:p w14:paraId="39256C7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CFDA11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C9F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vAlign w:val="center"/>
          </w:tcPr>
          <w:p w14:paraId="567B9C9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URS6.3-01</w:t>
            </w:r>
          </w:p>
        </w:tc>
        <w:tc>
          <w:tcPr>
            <w:tcW w:w="5226" w:type="dxa"/>
            <w:vAlign w:val="center"/>
          </w:tcPr>
          <w:p w14:paraId="7263096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吊筋尺寸及布点距离必须满足行业标准，丝杆和龙骨必须做防锈和耐火处理。</w:t>
            </w:r>
          </w:p>
        </w:tc>
        <w:tc>
          <w:tcPr>
            <w:tcW w:w="723" w:type="dxa"/>
            <w:vAlign w:val="center"/>
          </w:tcPr>
          <w:p w14:paraId="3921276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0735092A">
            <w:pPr>
              <w:spacing w:before="62" w:beforeLines="20" w:after="62" w:afterLines="20" w:line="276" w:lineRule="auto"/>
              <w:jc w:val="left"/>
              <w:rPr>
                <w:rFonts w:ascii="Arial" w:hAnsi="Arial" w:cs="Arial"/>
                <w:color w:val="auto"/>
                <w:sz w:val="24"/>
                <w:highlight w:val="none"/>
              </w:rPr>
            </w:pPr>
          </w:p>
        </w:tc>
      </w:tr>
      <w:tr w14:paraId="355D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0809992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URS6.3-02</w:t>
            </w:r>
          </w:p>
        </w:tc>
        <w:tc>
          <w:tcPr>
            <w:tcW w:w="5226" w:type="dxa"/>
            <w:vAlign w:val="center"/>
          </w:tcPr>
          <w:p w14:paraId="5FA3AEF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吊顶</w:t>
            </w:r>
            <w:r>
              <w:rPr>
                <w:rFonts w:hint="eastAsia" w:ascii="Arial" w:hAnsi="Arial" w:cs="Arial"/>
                <w:color w:val="auto"/>
                <w:sz w:val="24"/>
                <w:highlight w:val="none"/>
              </w:rPr>
              <w:t>板</w:t>
            </w:r>
            <w:r>
              <w:rPr>
                <w:rFonts w:ascii="Arial" w:hAnsi="Arial" w:cs="Arial"/>
                <w:color w:val="auto"/>
                <w:sz w:val="24"/>
                <w:highlight w:val="none"/>
              </w:rPr>
              <w:t>作密封处理，防止来自上方空间的污染。板材两端面必须密封，当因尺寸需要，或者灯具安装，风口安装而切割、打孔板材的，所露出来的孔必须充填发泡胶，杜绝空气进入板材内部，形成冷凝水腐蚀板材。</w:t>
            </w:r>
          </w:p>
        </w:tc>
        <w:tc>
          <w:tcPr>
            <w:tcW w:w="723" w:type="dxa"/>
            <w:vAlign w:val="center"/>
          </w:tcPr>
          <w:p w14:paraId="5F5A126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1C9440A4">
            <w:pPr>
              <w:spacing w:before="62" w:beforeLines="20" w:after="62" w:afterLines="20" w:line="276" w:lineRule="auto"/>
              <w:jc w:val="left"/>
              <w:rPr>
                <w:rFonts w:ascii="Arial" w:hAnsi="Arial" w:cs="Arial"/>
                <w:color w:val="auto"/>
                <w:sz w:val="24"/>
                <w:highlight w:val="none"/>
              </w:rPr>
            </w:pPr>
          </w:p>
        </w:tc>
      </w:tr>
      <w:tr w14:paraId="6A5B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7D3B436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URS6.3-03</w:t>
            </w:r>
          </w:p>
        </w:tc>
        <w:tc>
          <w:tcPr>
            <w:tcW w:w="5226" w:type="dxa"/>
            <w:vAlign w:val="center"/>
          </w:tcPr>
          <w:p w14:paraId="29420A9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顶板之间采用凹凸联接联接。吊顶板排版布局按照房间独立排布，保证布局美观。</w:t>
            </w:r>
          </w:p>
        </w:tc>
        <w:tc>
          <w:tcPr>
            <w:tcW w:w="723" w:type="dxa"/>
            <w:vAlign w:val="center"/>
          </w:tcPr>
          <w:p w14:paraId="13F2FA0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2EB7B545">
            <w:pPr>
              <w:spacing w:before="62" w:beforeLines="20" w:after="62" w:afterLines="20" w:line="276" w:lineRule="auto"/>
              <w:jc w:val="left"/>
              <w:rPr>
                <w:rFonts w:ascii="Arial" w:hAnsi="Arial" w:cs="Arial"/>
                <w:color w:val="auto"/>
                <w:sz w:val="24"/>
                <w:highlight w:val="none"/>
              </w:rPr>
            </w:pPr>
          </w:p>
        </w:tc>
      </w:tr>
      <w:tr w14:paraId="280A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03574D9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URS6.3-04</w:t>
            </w:r>
          </w:p>
        </w:tc>
        <w:tc>
          <w:tcPr>
            <w:tcW w:w="5226" w:type="dxa"/>
            <w:vAlign w:val="center"/>
          </w:tcPr>
          <w:p w14:paraId="4D9F8CC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应妥善保管待安装的彩板，对于已安装的彩板应进行围挡保护。安装过程中应不得撕下壁板表面塑料保护膜，禁止撞击和踩踏板面。对于安装后发现表面损坏的彩板，须及时进行更换。</w:t>
            </w:r>
          </w:p>
        </w:tc>
        <w:tc>
          <w:tcPr>
            <w:tcW w:w="723" w:type="dxa"/>
            <w:vAlign w:val="center"/>
          </w:tcPr>
          <w:p w14:paraId="45C0185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3172A385">
            <w:pPr>
              <w:spacing w:before="62" w:beforeLines="20" w:after="62" w:afterLines="20" w:line="276" w:lineRule="auto"/>
              <w:jc w:val="left"/>
              <w:rPr>
                <w:rFonts w:ascii="Arial" w:hAnsi="Arial" w:cs="Arial"/>
                <w:color w:val="auto"/>
                <w:sz w:val="24"/>
                <w:highlight w:val="none"/>
              </w:rPr>
            </w:pPr>
          </w:p>
        </w:tc>
      </w:tr>
      <w:tr w14:paraId="69DF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1107F36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URS6.3-05</w:t>
            </w:r>
          </w:p>
        </w:tc>
        <w:tc>
          <w:tcPr>
            <w:tcW w:w="5226" w:type="dxa"/>
            <w:vAlign w:val="center"/>
          </w:tcPr>
          <w:p w14:paraId="275A3E9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顶板吊装时，按照独立房间吊顶面积施工，不覆盖其它房间。吊顶与墙面之间采用光滑圆弧连接，并用硅胶密封。吊顶开口须根据灯具和风口位置开孔，并在孔四周用角钢加固，保证上人强度。</w:t>
            </w:r>
          </w:p>
        </w:tc>
        <w:tc>
          <w:tcPr>
            <w:tcW w:w="723" w:type="dxa"/>
            <w:vAlign w:val="center"/>
          </w:tcPr>
          <w:p w14:paraId="4D4EE66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216B551A">
            <w:pPr>
              <w:spacing w:before="62" w:beforeLines="20" w:after="62" w:afterLines="20" w:line="276" w:lineRule="auto"/>
              <w:jc w:val="left"/>
              <w:rPr>
                <w:rFonts w:ascii="Arial" w:hAnsi="Arial" w:cs="Arial"/>
                <w:color w:val="auto"/>
                <w:sz w:val="24"/>
                <w:highlight w:val="none"/>
              </w:rPr>
            </w:pPr>
          </w:p>
        </w:tc>
      </w:tr>
      <w:tr w14:paraId="55BE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0D92CA4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URS6.3-06</w:t>
            </w:r>
          </w:p>
        </w:tc>
        <w:tc>
          <w:tcPr>
            <w:tcW w:w="5226" w:type="dxa"/>
            <w:vAlign w:val="center"/>
          </w:tcPr>
          <w:p w14:paraId="00FE0D2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整面吊顶平整，板材连接部位不得出现高低。</w:t>
            </w:r>
          </w:p>
        </w:tc>
        <w:tc>
          <w:tcPr>
            <w:tcW w:w="723" w:type="dxa"/>
            <w:vAlign w:val="center"/>
          </w:tcPr>
          <w:p w14:paraId="45AE3BA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5DA0BE83">
            <w:pPr>
              <w:spacing w:before="62" w:beforeLines="20" w:after="62" w:afterLines="20" w:line="276" w:lineRule="auto"/>
              <w:jc w:val="left"/>
              <w:rPr>
                <w:rFonts w:ascii="Arial" w:hAnsi="Arial" w:cs="Arial"/>
                <w:color w:val="auto"/>
                <w:sz w:val="24"/>
                <w:highlight w:val="none"/>
              </w:rPr>
            </w:pPr>
          </w:p>
        </w:tc>
      </w:tr>
      <w:tr w14:paraId="1237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1C764BF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URS6.3-07</w:t>
            </w:r>
          </w:p>
        </w:tc>
        <w:tc>
          <w:tcPr>
            <w:tcW w:w="5226" w:type="dxa"/>
            <w:vAlign w:val="center"/>
          </w:tcPr>
          <w:p w14:paraId="5808F49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吊顶拉杆螺丝必须打入楼板体，长度适中，螺丝紧固。顶板吊筋杆采用镀锌通长丝杆，配高度调节装置。吊筋应与龙骨联接，不得直接固定顶板的面板上。</w:t>
            </w:r>
          </w:p>
        </w:tc>
        <w:tc>
          <w:tcPr>
            <w:tcW w:w="723" w:type="dxa"/>
            <w:vAlign w:val="center"/>
          </w:tcPr>
          <w:p w14:paraId="37C3BFF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2239E149">
            <w:pPr>
              <w:spacing w:before="62" w:beforeLines="20" w:after="62" w:afterLines="20" w:line="276" w:lineRule="auto"/>
              <w:jc w:val="left"/>
              <w:rPr>
                <w:rFonts w:ascii="Arial" w:hAnsi="Arial" w:cs="Arial"/>
                <w:color w:val="auto"/>
                <w:sz w:val="24"/>
                <w:highlight w:val="none"/>
              </w:rPr>
            </w:pPr>
          </w:p>
        </w:tc>
      </w:tr>
      <w:tr w14:paraId="314D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544F57F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URS6.3-08</w:t>
            </w:r>
          </w:p>
        </w:tc>
        <w:tc>
          <w:tcPr>
            <w:tcW w:w="5226" w:type="dxa"/>
            <w:vAlign w:val="center"/>
          </w:tcPr>
          <w:p w14:paraId="113DBFC8">
            <w:pPr>
              <w:spacing w:line="340" w:lineRule="exact"/>
              <w:jc w:val="left"/>
              <w:rPr>
                <w:rFonts w:hint="eastAsia" w:ascii="宋体" w:hAnsi="宋体"/>
                <w:bCs/>
                <w:color w:val="auto"/>
                <w:sz w:val="24"/>
                <w:highlight w:val="none"/>
              </w:rPr>
            </w:pPr>
            <w:r>
              <w:rPr>
                <w:rFonts w:hint="eastAsia" w:ascii="宋体" w:hAnsi="宋体"/>
                <w:bCs/>
                <w:color w:val="auto"/>
                <w:sz w:val="24"/>
                <w:highlight w:val="none"/>
              </w:rPr>
              <w:t>吊顶采用彩钢板专用铝合金暗吊梁以及Φ8mm钢筋，必须做除锈和两遍防腐漆处理。</w:t>
            </w:r>
          </w:p>
        </w:tc>
        <w:tc>
          <w:tcPr>
            <w:tcW w:w="723" w:type="dxa"/>
            <w:vAlign w:val="center"/>
          </w:tcPr>
          <w:p w14:paraId="1A74A1A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428F8E0B">
            <w:pPr>
              <w:spacing w:before="62" w:beforeLines="20" w:after="62" w:afterLines="20" w:line="276" w:lineRule="auto"/>
              <w:jc w:val="left"/>
              <w:rPr>
                <w:rFonts w:ascii="Arial" w:hAnsi="Arial" w:cs="Arial"/>
                <w:color w:val="auto"/>
                <w:sz w:val="24"/>
                <w:highlight w:val="none"/>
              </w:rPr>
            </w:pPr>
          </w:p>
        </w:tc>
      </w:tr>
      <w:tr w14:paraId="3DE6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2B844AB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URS6.3-09</w:t>
            </w:r>
          </w:p>
        </w:tc>
        <w:tc>
          <w:tcPr>
            <w:tcW w:w="5226" w:type="dxa"/>
          </w:tcPr>
          <w:p w14:paraId="06BDDA40">
            <w:pPr>
              <w:spacing w:line="340" w:lineRule="exact"/>
              <w:rPr>
                <w:rFonts w:hint="eastAsia" w:ascii="宋体" w:hAnsi="宋体"/>
                <w:bCs/>
                <w:color w:val="auto"/>
                <w:sz w:val="24"/>
                <w:highlight w:val="none"/>
              </w:rPr>
            </w:pPr>
            <w:r>
              <w:rPr>
                <w:rFonts w:hint="eastAsia" w:ascii="宋体" w:hAnsi="宋体"/>
                <w:bCs/>
                <w:color w:val="auto"/>
                <w:sz w:val="24"/>
                <w:highlight w:val="none"/>
              </w:rPr>
              <w:t>吊顶工程应在吊顶内各项隐蔽工程验收、交接后施工。</w:t>
            </w:r>
          </w:p>
        </w:tc>
        <w:tc>
          <w:tcPr>
            <w:tcW w:w="723" w:type="dxa"/>
            <w:vAlign w:val="center"/>
          </w:tcPr>
          <w:p w14:paraId="52B299A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65D7E6AF">
            <w:pPr>
              <w:spacing w:before="62" w:beforeLines="20" w:after="62" w:afterLines="20" w:line="276" w:lineRule="auto"/>
              <w:jc w:val="left"/>
              <w:rPr>
                <w:rFonts w:ascii="Arial" w:hAnsi="Arial" w:cs="Arial"/>
                <w:color w:val="auto"/>
                <w:sz w:val="24"/>
                <w:highlight w:val="none"/>
              </w:rPr>
            </w:pPr>
          </w:p>
        </w:tc>
      </w:tr>
      <w:tr w14:paraId="7827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4A6450C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URS6.3-10</w:t>
            </w:r>
          </w:p>
        </w:tc>
        <w:tc>
          <w:tcPr>
            <w:tcW w:w="5226" w:type="dxa"/>
          </w:tcPr>
          <w:p w14:paraId="66AFC906">
            <w:pPr>
              <w:spacing w:line="340" w:lineRule="exact"/>
              <w:rPr>
                <w:rFonts w:hint="eastAsia" w:ascii="宋体" w:hAnsi="宋体"/>
                <w:bCs/>
                <w:color w:val="auto"/>
                <w:sz w:val="24"/>
                <w:highlight w:val="none"/>
              </w:rPr>
            </w:pPr>
            <w:r>
              <w:rPr>
                <w:rFonts w:hint="eastAsia" w:ascii="宋体" w:hAnsi="宋体"/>
                <w:bCs/>
                <w:color w:val="auto"/>
                <w:sz w:val="24"/>
                <w:highlight w:val="none"/>
              </w:rPr>
              <w:t>吊顶内各种金属件应进行防腐、防锈处理，预埋件和墙体、楼面衔接处均应作密封处理。</w:t>
            </w:r>
          </w:p>
        </w:tc>
        <w:tc>
          <w:tcPr>
            <w:tcW w:w="723" w:type="dxa"/>
            <w:vAlign w:val="center"/>
          </w:tcPr>
          <w:p w14:paraId="2896A76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46998305">
            <w:pPr>
              <w:spacing w:before="62" w:beforeLines="20" w:after="62" w:afterLines="20" w:line="276" w:lineRule="auto"/>
              <w:jc w:val="left"/>
              <w:rPr>
                <w:rFonts w:ascii="Arial" w:hAnsi="Arial" w:cs="Arial"/>
                <w:color w:val="auto"/>
                <w:sz w:val="24"/>
                <w:highlight w:val="none"/>
              </w:rPr>
            </w:pPr>
          </w:p>
        </w:tc>
      </w:tr>
      <w:tr w14:paraId="0AD1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6508C32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URS6.3-11</w:t>
            </w:r>
          </w:p>
        </w:tc>
        <w:tc>
          <w:tcPr>
            <w:tcW w:w="5226" w:type="dxa"/>
          </w:tcPr>
          <w:p w14:paraId="213887F4">
            <w:pPr>
              <w:spacing w:line="340" w:lineRule="exact"/>
              <w:rPr>
                <w:rFonts w:hint="eastAsia" w:ascii="宋体" w:hAnsi="宋体"/>
                <w:bCs/>
                <w:color w:val="auto"/>
                <w:sz w:val="24"/>
                <w:highlight w:val="none"/>
              </w:rPr>
            </w:pPr>
            <w:r>
              <w:rPr>
                <w:rFonts w:hint="eastAsia" w:ascii="宋体" w:hAnsi="宋体"/>
                <w:bCs/>
                <w:color w:val="auto"/>
                <w:sz w:val="24"/>
                <w:highlight w:val="none"/>
              </w:rPr>
              <w:t>吊顶的吊挂件不得作为管线或设备的吊架，管线和设备的吊架不得吊挂吊顶。</w:t>
            </w:r>
          </w:p>
        </w:tc>
        <w:tc>
          <w:tcPr>
            <w:tcW w:w="723" w:type="dxa"/>
            <w:vAlign w:val="center"/>
          </w:tcPr>
          <w:p w14:paraId="6BEB023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299A3D0B">
            <w:pPr>
              <w:spacing w:before="62" w:beforeLines="20" w:after="62" w:afterLines="20" w:line="276" w:lineRule="auto"/>
              <w:jc w:val="left"/>
              <w:rPr>
                <w:rFonts w:ascii="Arial" w:hAnsi="Arial" w:cs="Arial"/>
                <w:color w:val="auto"/>
                <w:sz w:val="24"/>
                <w:highlight w:val="none"/>
              </w:rPr>
            </w:pPr>
          </w:p>
        </w:tc>
      </w:tr>
      <w:tr w14:paraId="59D8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63EE39F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URS6.3-12</w:t>
            </w:r>
          </w:p>
        </w:tc>
        <w:tc>
          <w:tcPr>
            <w:tcW w:w="5226" w:type="dxa"/>
          </w:tcPr>
          <w:p w14:paraId="1157B890">
            <w:pPr>
              <w:spacing w:line="340" w:lineRule="exact"/>
              <w:rPr>
                <w:rFonts w:hint="eastAsia" w:ascii="宋体" w:hAnsi="宋体"/>
                <w:bCs/>
                <w:color w:val="auto"/>
                <w:sz w:val="24"/>
                <w:highlight w:val="none"/>
              </w:rPr>
            </w:pPr>
            <w:r>
              <w:rPr>
                <w:rFonts w:hint="eastAsia" w:ascii="宋体" w:hAnsi="宋体"/>
                <w:bCs/>
                <w:color w:val="auto"/>
                <w:sz w:val="24"/>
                <w:highlight w:val="none"/>
              </w:rPr>
              <w:t>吊顶饰面板板面缝隙允许偏差不大于0.5mm，并应用密封胶密封。</w:t>
            </w:r>
          </w:p>
        </w:tc>
        <w:tc>
          <w:tcPr>
            <w:tcW w:w="723" w:type="dxa"/>
            <w:vAlign w:val="center"/>
          </w:tcPr>
          <w:p w14:paraId="27F9B39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456F1CDE">
            <w:pPr>
              <w:spacing w:before="62" w:beforeLines="20" w:after="62" w:afterLines="20" w:line="276" w:lineRule="auto"/>
              <w:jc w:val="left"/>
              <w:rPr>
                <w:rFonts w:ascii="Arial" w:hAnsi="Arial" w:cs="Arial"/>
                <w:color w:val="auto"/>
                <w:sz w:val="24"/>
                <w:highlight w:val="none"/>
              </w:rPr>
            </w:pPr>
          </w:p>
        </w:tc>
      </w:tr>
      <w:tr w14:paraId="53D8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1D764DB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URS6.3-13</w:t>
            </w:r>
          </w:p>
        </w:tc>
        <w:tc>
          <w:tcPr>
            <w:tcW w:w="5226" w:type="dxa"/>
          </w:tcPr>
          <w:p w14:paraId="094D0CAB">
            <w:pPr>
              <w:spacing w:line="340" w:lineRule="exact"/>
              <w:rPr>
                <w:rFonts w:hint="eastAsia" w:ascii="宋体" w:hAnsi="宋体"/>
                <w:bCs/>
                <w:color w:val="auto"/>
                <w:sz w:val="24"/>
                <w:highlight w:val="none"/>
              </w:rPr>
            </w:pPr>
            <w:r>
              <w:rPr>
                <w:rFonts w:hint="eastAsia" w:ascii="宋体" w:hAnsi="宋体"/>
                <w:bCs/>
                <w:color w:val="auto"/>
                <w:sz w:val="24"/>
                <w:highlight w:val="none"/>
              </w:rPr>
              <w:t>吊装应牢固，能满足检修人员行走强度。</w:t>
            </w:r>
          </w:p>
        </w:tc>
        <w:tc>
          <w:tcPr>
            <w:tcW w:w="723" w:type="dxa"/>
            <w:vAlign w:val="center"/>
          </w:tcPr>
          <w:p w14:paraId="22FF621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132963EA">
            <w:pPr>
              <w:spacing w:before="62" w:beforeLines="20" w:after="62" w:afterLines="20" w:line="276" w:lineRule="auto"/>
              <w:jc w:val="left"/>
              <w:rPr>
                <w:rFonts w:ascii="Arial" w:hAnsi="Arial" w:cs="Arial"/>
                <w:color w:val="auto"/>
                <w:sz w:val="24"/>
                <w:highlight w:val="none"/>
              </w:rPr>
            </w:pPr>
          </w:p>
        </w:tc>
      </w:tr>
    </w:tbl>
    <w:p w14:paraId="11F656E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6.4</w:t>
      </w:r>
      <w:r>
        <w:rPr>
          <w:rFonts w:ascii="Arial" w:hAnsi="Arial" w:cs="Arial"/>
          <w:color w:val="auto"/>
          <w:sz w:val="24"/>
          <w:highlight w:val="none"/>
        </w:rPr>
        <w:t>墙面施工</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146"/>
        <w:gridCol w:w="643"/>
        <w:gridCol w:w="1086"/>
      </w:tblGrid>
      <w:tr w14:paraId="36F3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44" w:type="dxa"/>
            <w:tcBorders>
              <w:bottom w:val="single" w:color="auto" w:sz="4" w:space="0"/>
            </w:tcBorders>
            <w:shd w:val="pct20" w:color="auto" w:fill="FFFFFF"/>
            <w:vAlign w:val="center"/>
          </w:tcPr>
          <w:p w14:paraId="03BB2EC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46" w:type="dxa"/>
            <w:tcBorders>
              <w:bottom w:val="single" w:color="auto" w:sz="4" w:space="0"/>
            </w:tcBorders>
            <w:shd w:val="pct20" w:color="auto" w:fill="FFFFFF"/>
            <w:vAlign w:val="center"/>
          </w:tcPr>
          <w:p w14:paraId="58CB547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43" w:type="dxa"/>
            <w:tcBorders>
              <w:bottom w:val="single" w:color="auto" w:sz="4" w:space="0"/>
            </w:tcBorders>
            <w:shd w:val="pct20" w:color="auto" w:fill="FFFFFF"/>
            <w:vAlign w:val="center"/>
          </w:tcPr>
          <w:p w14:paraId="10145CF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086" w:type="dxa"/>
            <w:tcBorders>
              <w:bottom w:val="single" w:color="auto" w:sz="4" w:space="0"/>
            </w:tcBorders>
            <w:shd w:val="pct20" w:color="auto" w:fill="FFFFFF"/>
          </w:tcPr>
          <w:p w14:paraId="6E3C1E4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0F944C0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D84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6EA3881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▲URS6.4-01</w:t>
            </w:r>
          </w:p>
        </w:tc>
        <w:tc>
          <w:tcPr>
            <w:tcW w:w="5146" w:type="dxa"/>
            <w:vAlign w:val="center"/>
          </w:tcPr>
          <w:p w14:paraId="2894118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厂房的地面及洁净区的内表面（墙壁、地面、天棚）应当平整光滑、无裂缝、接口严密、无渗水、无颗粒物脱落，避免积尘，板间连接间隙≤2mm。竖拼接缝要铅垂，墙面饰材高度方向上不允许拼接。墙板安装前必须放线，墙角应垂直交接，防止累计误差造成壁板倾斜扭曲，壁板的垂直度偏差不应大于0.2%。</w:t>
            </w:r>
          </w:p>
        </w:tc>
        <w:tc>
          <w:tcPr>
            <w:tcW w:w="643" w:type="dxa"/>
            <w:vAlign w:val="center"/>
          </w:tcPr>
          <w:p w14:paraId="502353F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63049701">
            <w:pPr>
              <w:spacing w:before="62" w:beforeLines="20" w:after="62" w:afterLines="20" w:line="276" w:lineRule="auto"/>
              <w:jc w:val="left"/>
              <w:rPr>
                <w:rFonts w:ascii="Arial" w:hAnsi="Arial" w:cs="Arial"/>
                <w:color w:val="auto"/>
                <w:sz w:val="24"/>
                <w:highlight w:val="none"/>
              </w:rPr>
            </w:pPr>
          </w:p>
        </w:tc>
      </w:tr>
      <w:tr w14:paraId="354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4CC35567">
            <w:pPr>
              <w:rPr>
                <w:color w:val="auto"/>
                <w:highlight w:val="none"/>
              </w:rPr>
            </w:pPr>
            <w:r>
              <w:rPr>
                <w:rFonts w:hint="eastAsia" w:ascii="Arial" w:hAnsi="Arial" w:cs="Arial"/>
                <w:color w:val="auto"/>
                <w:sz w:val="24"/>
                <w:highlight w:val="none"/>
              </w:rPr>
              <w:t>URS6.4-02</w:t>
            </w:r>
          </w:p>
        </w:tc>
        <w:tc>
          <w:tcPr>
            <w:tcW w:w="5146" w:type="dxa"/>
            <w:vAlign w:val="center"/>
          </w:tcPr>
          <w:p w14:paraId="6D1CD05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墙面与吊顶、墙面与门框、墙面与窗之间连接处硅胶密封，保证密闭无泄漏。墙面与吊顶，采用光滑连体槽铝圆弧连接。墙面与地面，采用与地面材质相同的圆弧连接（或中标单位提供的招标人认可的二次设计方案），防水密封性良好，不得有渗水的现象。墙面与门框、门板、铰链,壁板与窗户要平滑连接，没有凹凸。</w:t>
            </w:r>
          </w:p>
        </w:tc>
        <w:tc>
          <w:tcPr>
            <w:tcW w:w="643" w:type="dxa"/>
            <w:vAlign w:val="center"/>
          </w:tcPr>
          <w:p w14:paraId="4B1E56C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02081090">
            <w:pPr>
              <w:spacing w:before="62" w:beforeLines="20" w:after="62" w:afterLines="20" w:line="276" w:lineRule="auto"/>
              <w:jc w:val="left"/>
              <w:rPr>
                <w:rFonts w:ascii="Arial" w:hAnsi="Arial" w:cs="Arial"/>
                <w:color w:val="auto"/>
                <w:sz w:val="24"/>
                <w:highlight w:val="none"/>
              </w:rPr>
            </w:pPr>
          </w:p>
        </w:tc>
      </w:tr>
      <w:tr w14:paraId="391B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3039DC3F">
            <w:pPr>
              <w:rPr>
                <w:color w:val="auto"/>
                <w:highlight w:val="none"/>
              </w:rPr>
            </w:pPr>
            <w:r>
              <w:rPr>
                <w:rFonts w:hint="eastAsia" w:ascii="Arial" w:hAnsi="Arial" w:cs="Arial"/>
                <w:color w:val="auto"/>
                <w:sz w:val="24"/>
                <w:highlight w:val="none"/>
              </w:rPr>
              <w:t>URS6.4-03</w:t>
            </w:r>
          </w:p>
        </w:tc>
        <w:tc>
          <w:tcPr>
            <w:tcW w:w="5146" w:type="dxa"/>
            <w:vAlign w:val="center"/>
          </w:tcPr>
          <w:p w14:paraId="7D937DC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工程期间业主方随机抽检彩板或下脚料。抽检不合格可要求暂停施工及退货，所有损失由施工方负责。</w:t>
            </w:r>
          </w:p>
        </w:tc>
        <w:tc>
          <w:tcPr>
            <w:tcW w:w="643" w:type="dxa"/>
            <w:vAlign w:val="center"/>
          </w:tcPr>
          <w:p w14:paraId="3D839AF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5441A6BD">
            <w:pPr>
              <w:spacing w:before="62" w:beforeLines="20" w:after="62" w:afterLines="20" w:line="276" w:lineRule="auto"/>
              <w:jc w:val="left"/>
              <w:rPr>
                <w:rFonts w:ascii="Arial" w:hAnsi="Arial" w:cs="Arial"/>
                <w:color w:val="auto"/>
                <w:sz w:val="24"/>
                <w:highlight w:val="none"/>
              </w:rPr>
            </w:pPr>
          </w:p>
        </w:tc>
      </w:tr>
      <w:tr w14:paraId="0FE9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4E7483ED">
            <w:pPr>
              <w:rPr>
                <w:color w:val="auto"/>
                <w:highlight w:val="none"/>
              </w:rPr>
            </w:pPr>
            <w:r>
              <w:rPr>
                <w:rFonts w:hint="eastAsia" w:ascii="Arial" w:hAnsi="Arial" w:cs="Arial"/>
                <w:color w:val="auto"/>
                <w:sz w:val="24"/>
                <w:highlight w:val="none"/>
              </w:rPr>
              <w:t>URS6.4-04</w:t>
            </w:r>
          </w:p>
        </w:tc>
        <w:tc>
          <w:tcPr>
            <w:tcW w:w="5146" w:type="dxa"/>
            <w:vAlign w:val="center"/>
          </w:tcPr>
          <w:p w14:paraId="0A94E8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整个工程所有彩钢板建议用同一批号，以利于缩小色差。</w:t>
            </w:r>
          </w:p>
        </w:tc>
        <w:tc>
          <w:tcPr>
            <w:tcW w:w="643" w:type="dxa"/>
            <w:vAlign w:val="center"/>
          </w:tcPr>
          <w:p w14:paraId="77BCAB6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0FD1DC91">
            <w:pPr>
              <w:spacing w:before="62" w:beforeLines="20" w:after="62" w:afterLines="20" w:line="276" w:lineRule="auto"/>
              <w:jc w:val="left"/>
              <w:rPr>
                <w:rFonts w:ascii="Arial" w:hAnsi="Arial" w:cs="Arial"/>
                <w:color w:val="auto"/>
                <w:sz w:val="24"/>
                <w:highlight w:val="none"/>
              </w:rPr>
            </w:pPr>
          </w:p>
        </w:tc>
      </w:tr>
      <w:tr w14:paraId="42D5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5D2B52DC">
            <w:pPr>
              <w:rPr>
                <w:color w:val="auto"/>
                <w:highlight w:val="none"/>
              </w:rPr>
            </w:pPr>
            <w:r>
              <w:rPr>
                <w:rFonts w:hint="eastAsia" w:ascii="Arial" w:hAnsi="Arial" w:cs="Arial"/>
                <w:color w:val="auto"/>
                <w:sz w:val="24"/>
                <w:highlight w:val="none"/>
              </w:rPr>
              <w:t>URS6.4-05</w:t>
            </w:r>
          </w:p>
        </w:tc>
        <w:tc>
          <w:tcPr>
            <w:tcW w:w="5146" w:type="dxa"/>
            <w:vAlign w:val="center"/>
          </w:tcPr>
          <w:p w14:paraId="1B1BD30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墙板之间采用</w:t>
            </w:r>
            <w:r>
              <w:rPr>
                <w:rFonts w:hint="eastAsia" w:ascii="Arial" w:hAnsi="Arial" w:cs="Arial"/>
                <w:color w:val="auto"/>
                <w:sz w:val="24"/>
                <w:highlight w:val="none"/>
              </w:rPr>
              <w:t>中字铝</w:t>
            </w:r>
            <w:r>
              <w:rPr>
                <w:rFonts w:ascii="Arial" w:hAnsi="Arial" w:cs="Arial"/>
                <w:color w:val="auto"/>
                <w:sz w:val="24"/>
                <w:highlight w:val="none"/>
              </w:rPr>
              <w:t>联接。</w:t>
            </w:r>
            <w:r>
              <w:rPr>
                <w:rFonts w:hint="eastAsia" w:ascii="Arial" w:hAnsi="Arial" w:cs="Arial"/>
                <w:color w:val="auto"/>
                <w:sz w:val="24"/>
                <w:highlight w:val="none"/>
              </w:rPr>
              <w:t>采用80mm高</w:t>
            </w:r>
            <w:r>
              <w:rPr>
                <w:rFonts w:hint="eastAsia" w:ascii="宋体" w:hAnsi="宋体"/>
                <w:bCs/>
                <w:color w:val="auto"/>
                <w:highlight w:val="none"/>
              </w:rPr>
              <w:t>升降式地轨安装。</w:t>
            </w:r>
          </w:p>
        </w:tc>
        <w:tc>
          <w:tcPr>
            <w:tcW w:w="643" w:type="dxa"/>
            <w:vAlign w:val="center"/>
          </w:tcPr>
          <w:p w14:paraId="7620E2E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r>
              <w:rPr>
                <w:rFonts w:hint="eastAsia" w:ascii="Arial" w:hAnsi="Arial" w:cs="Arial"/>
                <w:color w:val="auto"/>
                <w:sz w:val="24"/>
                <w:highlight w:val="none"/>
              </w:rPr>
              <w:t>★</w:t>
            </w:r>
          </w:p>
        </w:tc>
        <w:tc>
          <w:tcPr>
            <w:tcW w:w="1086" w:type="dxa"/>
            <w:vAlign w:val="center"/>
          </w:tcPr>
          <w:p w14:paraId="57836EFF">
            <w:pPr>
              <w:spacing w:before="62" w:beforeLines="20" w:after="62" w:afterLines="20" w:line="276" w:lineRule="auto"/>
              <w:jc w:val="left"/>
              <w:rPr>
                <w:rFonts w:ascii="Arial" w:hAnsi="Arial" w:cs="Arial"/>
                <w:color w:val="auto"/>
                <w:sz w:val="24"/>
                <w:highlight w:val="none"/>
              </w:rPr>
            </w:pPr>
          </w:p>
        </w:tc>
      </w:tr>
      <w:tr w14:paraId="310C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3380A3AC">
            <w:pPr>
              <w:rPr>
                <w:color w:val="auto"/>
                <w:highlight w:val="none"/>
              </w:rPr>
            </w:pPr>
            <w:r>
              <w:rPr>
                <w:rFonts w:hint="eastAsia" w:ascii="Arial" w:hAnsi="Arial" w:cs="Arial"/>
                <w:color w:val="auto"/>
                <w:sz w:val="24"/>
                <w:highlight w:val="none"/>
              </w:rPr>
              <w:t>URS6.4-06</w:t>
            </w:r>
          </w:p>
        </w:tc>
        <w:tc>
          <w:tcPr>
            <w:tcW w:w="5146" w:type="dxa"/>
            <w:vAlign w:val="center"/>
          </w:tcPr>
          <w:p w14:paraId="4FA3CF4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消防要求预留的逃生窗不能用墙板封堵，应安装逃生玻璃窗。</w:t>
            </w:r>
          </w:p>
        </w:tc>
        <w:tc>
          <w:tcPr>
            <w:tcW w:w="643" w:type="dxa"/>
            <w:vAlign w:val="center"/>
          </w:tcPr>
          <w:p w14:paraId="050CF23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6150FE9B">
            <w:pPr>
              <w:spacing w:before="62" w:beforeLines="20" w:after="62" w:afterLines="20" w:line="276" w:lineRule="auto"/>
              <w:jc w:val="left"/>
              <w:rPr>
                <w:rFonts w:ascii="Arial" w:hAnsi="Arial" w:cs="Arial"/>
                <w:color w:val="auto"/>
                <w:sz w:val="24"/>
                <w:highlight w:val="none"/>
              </w:rPr>
            </w:pPr>
          </w:p>
        </w:tc>
      </w:tr>
      <w:tr w14:paraId="103C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324E98F1">
            <w:pPr>
              <w:rPr>
                <w:color w:val="auto"/>
                <w:highlight w:val="none"/>
              </w:rPr>
            </w:pPr>
            <w:r>
              <w:rPr>
                <w:rFonts w:hint="eastAsia" w:ascii="Arial" w:hAnsi="Arial" w:cs="Arial"/>
                <w:color w:val="auto"/>
                <w:sz w:val="24"/>
                <w:highlight w:val="none"/>
              </w:rPr>
              <w:t>URS6.4-07</w:t>
            </w:r>
          </w:p>
        </w:tc>
        <w:tc>
          <w:tcPr>
            <w:tcW w:w="5146" w:type="dxa"/>
            <w:vAlign w:val="center"/>
          </w:tcPr>
          <w:p w14:paraId="5AA9F5A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立板两端板材，本手工板包含孔洞密封，若因切割导致板材内部的孔洞外漏，需填充发泡胶密封，杜绝冷凝水腐蚀墙板。</w:t>
            </w:r>
          </w:p>
        </w:tc>
        <w:tc>
          <w:tcPr>
            <w:tcW w:w="643" w:type="dxa"/>
            <w:vAlign w:val="center"/>
          </w:tcPr>
          <w:p w14:paraId="6B9D589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必须</w:t>
            </w:r>
          </w:p>
        </w:tc>
        <w:tc>
          <w:tcPr>
            <w:tcW w:w="1086" w:type="dxa"/>
            <w:vAlign w:val="center"/>
          </w:tcPr>
          <w:p w14:paraId="1C49AA96">
            <w:pPr>
              <w:spacing w:before="62" w:beforeLines="20" w:after="62" w:afterLines="20" w:line="276" w:lineRule="auto"/>
              <w:jc w:val="left"/>
              <w:rPr>
                <w:rFonts w:ascii="Arial" w:hAnsi="Arial" w:cs="Arial"/>
                <w:color w:val="auto"/>
                <w:sz w:val="24"/>
                <w:highlight w:val="none"/>
              </w:rPr>
            </w:pPr>
          </w:p>
        </w:tc>
      </w:tr>
    </w:tbl>
    <w:p w14:paraId="3D86E062">
      <w:pPr>
        <w:spacing w:before="62" w:beforeLines="20" w:after="62" w:afterLines="20" w:line="276" w:lineRule="auto"/>
        <w:jc w:val="left"/>
        <w:rPr>
          <w:rFonts w:ascii="Arial" w:hAnsi="Arial" w:cs="Arial"/>
          <w:color w:val="auto"/>
          <w:sz w:val="24"/>
          <w:highlight w:val="none"/>
        </w:rPr>
      </w:pPr>
    </w:p>
    <w:p w14:paraId="1C0CECD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w:t>
      </w:r>
      <w:r>
        <w:rPr>
          <w:rFonts w:hint="eastAsia" w:ascii="Arial" w:hAnsi="Arial" w:cs="Arial"/>
          <w:color w:val="auto"/>
          <w:sz w:val="24"/>
          <w:highlight w:val="none"/>
        </w:rPr>
        <w:t>5</w:t>
      </w:r>
      <w:r>
        <w:rPr>
          <w:rFonts w:ascii="Arial" w:hAnsi="Arial" w:cs="Arial"/>
          <w:color w:val="auto"/>
          <w:sz w:val="24"/>
          <w:highlight w:val="none"/>
        </w:rPr>
        <w:t>圆弧、龙骨、板缝、密封胶</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026"/>
        <w:gridCol w:w="682"/>
        <w:gridCol w:w="1167"/>
      </w:tblGrid>
      <w:tr w14:paraId="252A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44" w:type="dxa"/>
            <w:tcBorders>
              <w:bottom w:val="single" w:color="auto" w:sz="4" w:space="0"/>
            </w:tcBorders>
            <w:shd w:val="pct20" w:color="auto" w:fill="FFFFFF"/>
            <w:vAlign w:val="center"/>
          </w:tcPr>
          <w:p w14:paraId="5F62E6F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26" w:type="dxa"/>
            <w:tcBorders>
              <w:bottom w:val="single" w:color="auto" w:sz="4" w:space="0"/>
            </w:tcBorders>
            <w:shd w:val="pct20" w:color="auto" w:fill="FFFFFF"/>
            <w:vAlign w:val="center"/>
          </w:tcPr>
          <w:p w14:paraId="68C9751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2" w:type="dxa"/>
            <w:tcBorders>
              <w:bottom w:val="single" w:color="auto" w:sz="4" w:space="0"/>
            </w:tcBorders>
            <w:shd w:val="pct20" w:color="auto" w:fill="FFFFFF"/>
            <w:vAlign w:val="center"/>
          </w:tcPr>
          <w:p w14:paraId="794FA11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7" w:type="dxa"/>
            <w:tcBorders>
              <w:bottom w:val="single" w:color="auto" w:sz="4" w:space="0"/>
            </w:tcBorders>
            <w:shd w:val="pct20" w:color="auto" w:fill="FFFFFF"/>
          </w:tcPr>
          <w:p w14:paraId="645D43B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378AE35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03F3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44" w:type="dxa"/>
            <w:vAlign w:val="center"/>
          </w:tcPr>
          <w:p w14:paraId="1237C73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5</w:t>
            </w:r>
            <w:r>
              <w:rPr>
                <w:rFonts w:ascii="Arial" w:hAnsi="Arial" w:cs="Arial"/>
                <w:color w:val="auto"/>
                <w:sz w:val="24"/>
                <w:highlight w:val="none"/>
              </w:rPr>
              <w:t>-01</w:t>
            </w:r>
          </w:p>
        </w:tc>
        <w:tc>
          <w:tcPr>
            <w:tcW w:w="5026" w:type="dxa"/>
            <w:vAlign w:val="center"/>
          </w:tcPr>
          <w:p w14:paraId="4ECE207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未特别要求的墙板与地面</w:t>
            </w:r>
            <w:r>
              <w:rPr>
                <w:rFonts w:hint="eastAsia" w:ascii="Arial" w:hAnsi="Arial" w:cs="Arial"/>
                <w:color w:val="auto"/>
                <w:sz w:val="24"/>
                <w:highlight w:val="none"/>
              </w:rPr>
              <w:t>（彩钢板</w:t>
            </w:r>
            <w:r>
              <w:rPr>
                <w:rFonts w:ascii="Arial" w:hAnsi="Arial" w:cs="Arial"/>
                <w:color w:val="auto"/>
                <w:sz w:val="24"/>
                <w:highlight w:val="none"/>
              </w:rPr>
              <w:t>的立面与地面彩砂接触</w:t>
            </w:r>
            <w:r>
              <w:rPr>
                <w:rFonts w:hint="eastAsia" w:ascii="Arial" w:hAnsi="Arial" w:cs="Arial"/>
                <w:color w:val="auto"/>
                <w:sz w:val="24"/>
                <w:highlight w:val="none"/>
              </w:rPr>
              <w:t>或聚氨酯</w:t>
            </w:r>
            <w:r>
              <w:rPr>
                <w:rFonts w:ascii="Arial" w:hAnsi="Arial" w:cs="Arial"/>
                <w:color w:val="auto"/>
                <w:sz w:val="24"/>
                <w:highlight w:val="none"/>
              </w:rPr>
              <w:t>处采用彩砂圆弧</w:t>
            </w:r>
            <w:r>
              <w:rPr>
                <w:rFonts w:hint="eastAsia" w:ascii="Arial" w:hAnsi="Arial" w:cs="Arial"/>
                <w:color w:val="auto"/>
                <w:sz w:val="24"/>
                <w:highlight w:val="none"/>
              </w:rPr>
              <w:t>或聚氨酯圆弧），</w:t>
            </w:r>
            <w:r>
              <w:rPr>
                <w:rFonts w:ascii="Arial" w:hAnsi="Arial" w:cs="Arial"/>
                <w:color w:val="auto"/>
                <w:sz w:val="24"/>
                <w:highlight w:val="none"/>
              </w:rPr>
              <w:t>墙板与顶板连接圆弧采用连体槽铝圆弧,圆弧半径不小于50mm，厚度不小于1.0mm；回风墙与墙板、顶板、地面的连接圆弧能采用连体圆弧的尽可能采用连体圆弧，如确因采用连体圆弧无法施工处可采用分体圆弧连接，分体圆弧半径不小于50mm，厚度不小于1.0mm。铝合金型材采用</w:t>
            </w:r>
            <w:r>
              <w:rPr>
                <w:rFonts w:hint="eastAsia" w:ascii="Arial" w:hAnsi="Arial" w:cs="Arial"/>
                <w:color w:val="auto"/>
                <w:sz w:val="24"/>
                <w:highlight w:val="none"/>
              </w:rPr>
              <w:t>电泳</w:t>
            </w:r>
            <w:r>
              <w:rPr>
                <w:rFonts w:ascii="Arial" w:hAnsi="Arial" w:cs="Arial"/>
                <w:color w:val="auto"/>
                <w:sz w:val="24"/>
                <w:highlight w:val="none"/>
              </w:rPr>
              <w:t>材料（颜色甲方定），材料厚度应满足要求如下：槽铝、角铝≥1.0mm，阴角圆弧≥1.0mm（阴角圆弧采用整体式）。</w:t>
            </w:r>
          </w:p>
        </w:tc>
        <w:tc>
          <w:tcPr>
            <w:tcW w:w="682" w:type="dxa"/>
            <w:vAlign w:val="center"/>
          </w:tcPr>
          <w:p w14:paraId="10C9764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17CD1F2">
            <w:pPr>
              <w:spacing w:before="62" w:beforeLines="20" w:after="62" w:afterLines="20" w:line="276" w:lineRule="auto"/>
              <w:jc w:val="left"/>
              <w:rPr>
                <w:rFonts w:ascii="Arial" w:hAnsi="Arial" w:cs="Arial"/>
                <w:color w:val="auto"/>
                <w:sz w:val="24"/>
                <w:highlight w:val="none"/>
              </w:rPr>
            </w:pPr>
          </w:p>
        </w:tc>
      </w:tr>
      <w:tr w14:paraId="5024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DC7B09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5</w:t>
            </w:r>
            <w:r>
              <w:rPr>
                <w:rFonts w:ascii="Arial" w:hAnsi="Arial" w:cs="Arial"/>
                <w:color w:val="auto"/>
                <w:sz w:val="24"/>
                <w:highlight w:val="none"/>
              </w:rPr>
              <w:t>-0</w:t>
            </w:r>
            <w:r>
              <w:rPr>
                <w:rFonts w:hint="eastAsia" w:ascii="Arial" w:hAnsi="Arial" w:cs="Arial"/>
                <w:color w:val="auto"/>
                <w:sz w:val="24"/>
                <w:highlight w:val="none"/>
              </w:rPr>
              <w:t>2</w:t>
            </w:r>
          </w:p>
        </w:tc>
        <w:tc>
          <w:tcPr>
            <w:tcW w:w="5026" w:type="dxa"/>
            <w:vAlign w:val="center"/>
          </w:tcPr>
          <w:p w14:paraId="5C6E3D7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三维角接头采用铝合金压铸件，且与地面、墙面、圆弧连接要紧密，外表喷塑处理。</w:t>
            </w:r>
          </w:p>
        </w:tc>
        <w:tc>
          <w:tcPr>
            <w:tcW w:w="682" w:type="dxa"/>
            <w:vAlign w:val="center"/>
          </w:tcPr>
          <w:p w14:paraId="7CDAACE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32235236">
            <w:pPr>
              <w:spacing w:before="62" w:beforeLines="20" w:after="62" w:afterLines="20" w:line="276" w:lineRule="auto"/>
              <w:jc w:val="left"/>
              <w:rPr>
                <w:rFonts w:ascii="Arial" w:hAnsi="Arial" w:cs="Arial"/>
                <w:color w:val="auto"/>
                <w:sz w:val="24"/>
                <w:highlight w:val="none"/>
              </w:rPr>
            </w:pPr>
          </w:p>
        </w:tc>
      </w:tr>
      <w:tr w14:paraId="70A3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73B2516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5</w:t>
            </w:r>
            <w:r>
              <w:rPr>
                <w:rFonts w:ascii="Arial" w:hAnsi="Arial" w:cs="Arial"/>
                <w:color w:val="auto"/>
                <w:sz w:val="24"/>
                <w:highlight w:val="none"/>
              </w:rPr>
              <w:t>-0</w:t>
            </w:r>
            <w:r>
              <w:rPr>
                <w:rFonts w:hint="eastAsia" w:ascii="Arial" w:hAnsi="Arial" w:cs="Arial"/>
                <w:color w:val="auto"/>
                <w:sz w:val="24"/>
                <w:highlight w:val="none"/>
              </w:rPr>
              <w:t>3</w:t>
            </w:r>
          </w:p>
        </w:tc>
        <w:tc>
          <w:tcPr>
            <w:tcW w:w="5026" w:type="dxa"/>
            <w:vAlign w:val="center"/>
          </w:tcPr>
          <w:p w14:paraId="08D5944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板缝之间缝隙要均匀一致，板缝理论宽度为2-3mm。</w:t>
            </w:r>
          </w:p>
        </w:tc>
        <w:tc>
          <w:tcPr>
            <w:tcW w:w="682" w:type="dxa"/>
            <w:vAlign w:val="center"/>
          </w:tcPr>
          <w:p w14:paraId="548B56D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75535C1A">
            <w:pPr>
              <w:spacing w:before="62" w:beforeLines="20" w:after="62" w:afterLines="20" w:line="276" w:lineRule="auto"/>
              <w:jc w:val="left"/>
              <w:rPr>
                <w:rFonts w:ascii="Arial" w:hAnsi="Arial" w:cs="Arial"/>
                <w:color w:val="auto"/>
                <w:sz w:val="24"/>
                <w:highlight w:val="none"/>
              </w:rPr>
            </w:pPr>
          </w:p>
        </w:tc>
      </w:tr>
      <w:tr w14:paraId="219E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3E8169A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5</w:t>
            </w:r>
            <w:r>
              <w:rPr>
                <w:rFonts w:ascii="Arial" w:hAnsi="Arial" w:cs="Arial"/>
                <w:color w:val="auto"/>
                <w:sz w:val="24"/>
                <w:highlight w:val="none"/>
              </w:rPr>
              <w:t>-0</w:t>
            </w:r>
            <w:r>
              <w:rPr>
                <w:rFonts w:hint="eastAsia" w:ascii="Arial" w:hAnsi="Arial" w:cs="Arial"/>
                <w:color w:val="auto"/>
                <w:sz w:val="24"/>
                <w:highlight w:val="none"/>
              </w:rPr>
              <w:t>4</w:t>
            </w:r>
          </w:p>
        </w:tc>
        <w:tc>
          <w:tcPr>
            <w:tcW w:w="5026" w:type="dxa"/>
            <w:vAlign w:val="center"/>
          </w:tcPr>
          <w:p w14:paraId="5A2102D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所有外露铝型材外表面均</w:t>
            </w:r>
            <w:r>
              <w:rPr>
                <w:rFonts w:hint="eastAsia" w:ascii="Arial" w:hAnsi="Arial" w:cs="Arial"/>
                <w:color w:val="auto"/>
                <w:sz w:val="24"/>
                <w:highlight w:val="none"/>
              </w:rPr>
              <w:t>电泳</w:t>
            </w:r>
            <w:r>
              <w:rPr>
                <w:rFonts w:ascii="Arial" w:hAnsi="Arial" w:cs="Arial"/>
                <w:color w:val="auto"/>
                <w:sz w:val="24"/>
                <w:highlight w:val="none"/>
              </w:rPr>
              <w:t>处理，相互之间不得有明显的色差。</w:t>
            </w:r>
          </w:p>
        </w:tc>
        <w:tc>
          <w:tcPr>
            <w:tcW w:w="682" w:type="dxa"/>
            <w:vAlign w:val="center"/>
          </w:tcPr>
          <w:p w14:paraId="63660D4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23D610A">
            <w:pPr>
              <w:spacing w:before="62" w:beforeLines="20" w:after="62" w:afterLines="20" w:line="276" w:lineRule="auto"/>
              <w:jc w:val="left"/>
              <w:rPr>
                <w:rFonts w:ascii="Arial" w:hAnsi="Arial" w:cs="Arial"/>
                <w:color w:val="auto"/>
                <w:sz w:val="24"/>
                <w:highlight w:val="none"/>
              </w:rPr>
            </w:pPr>
          </w:p>
        </w:tc>
      </w:tr>
      <w:tr w14:paraId="2796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F2782D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5</w:t>
            </w:r>
            <w:r>
              <w:rPr>
                <w:rFonts w:ascii="Arial" w:hAnsi="Arial" w:cs="Arial"/>
                <w:color w:val="auto"/>
                <w:sz w:val="24"/>
                <w:highlight w:val="none"/>
              </w:rPr>
              <w:t>-0</w:t>
            </w:r>
            <w:r>
              <w:rPr>
                <w:rFonts w:hint="eastAsia" w:ascii="Arial" w:hAnsi="Arial" w:cs="Arial"/>
                <w:color w:val="auto"/>
                <w:sz w:val="24"/>
                <w:highlight w:val="none"/>
              </w:rPr>
              <w:t>5</w:t>
            </w:r>
          </w:p>
        </w:tc>
        <w:tc>
          <w:tcPr>
            <w:tcW w:w="5026" w:type="dxa"/>
            <w:vAlign w:val="center"/>
          </w:tcPr>
          <w:p w14:paraId="04A47DF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用于洁净室嵌缝的弹性密封材料使用白色中性硅酮密封胶，应有出厂日期、储存环境、有效期和施工方法的说明书。不得使用过期产品和未经鉴定的产品。</w:t>
            </w:r>
          </w:p>
          <w:p w14:paraId="405C972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所有洁净室的安装缝隙，必须清洁后用密封胶双面密封。</w:t>
            </w:r>
          </w:p>
        </w:tc>
        <w:tc>
          <w:tcPr>
            <w:tcW w:w="682" w:type="dxa"/>
            <w:vAlign w:val="center"/>
          </w:tcPr>
          <w:p w14:paraId="00EEBA6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22B8F70">
            <w:pPr>
              <w:spacing w:before="62" w:beforeLines="20" w:after="62" w:afterLines="20" w:line="276" w:lineRule="auto"/>
              <w:jc w:val="left"/>
              <w:rPr>
                <w:rFonts w:ascii="Arial" w:hAnsi="Arial" w:cs="Arial"/>
                <w:color w:val="auto"/>
                <w:sz w:val="24"/>
                <w:highlight w:val="none"/>
              </w:rPr>
            </w:pPr>
          </w:p>
        </w:tc>
      </w:tr>
    </w:tbl>
    <w:p w14:paraId="187D580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w:t>
      </w:r>
      <w:r>
        <w:rPr>
          <w:rFonts w:hint="eastAsia" w:ascii="Arial" w:hAnsi="Arial" w:cs="Arial"/>
          <w:color w:val="auto"/>
          <w:sz w:val="24"/>
          <w:highlight w:val="none"/>
        </w:rPr>
        <w:t>6</w:t>
      </w:r>
      <w:r>
        <w:rPr>
          <w:rFonts w:ascii="Arial" w:hAnsi="Arial" w:cs="Arial"/>
          <w:color w:val="auto"/>
          <w:sz w:val="24"/>
          <w:highlight w:val="none"/>
        </w:rPr>
        <w:t>门</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026"/>
        <w:gridCol w:w="682"/>
        <w:gridCol w:w="1167"/>
      </w:tblGrid>
      <w:tr w14:paraId="0D48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44" w:type="dxa"/>
            <w:tcBorders>
              <w:bottom w:val="single" w:color="auto" w:sz="4" w:space="0"/>
            </w:tcBorders>
            <w:shd w:val="pct20" w:color="auto" w:fill="FFFFFF"/>
            <w:vAlign w:val="center"/>
          </w:tcPr>
          <w:p w14:paraId="61F003E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26" w:type="dxa"/>
            <w:tcBorders>
              <w:bottom w:val="single" w:color="auto" w:sz="4" w:space="0"/>
            </w:tcBorders>
            <w:shd w:val="pct20" w:color="auto" w:fill="FFFFFF"/>
            <w:vAlign w:val="center"/>
          </w:tcPr>
          <w:p w14:paraId="116B733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2" w:type="dxa"/>
            <w:tcBorders>
              <w:bottom w:val="single" w:color="auto" w:sz="4" w:space="0"/>
            </w:tcBorders>
            <w:shd w:val="pct20" w:color="auto" w:fill="FFFFFF"/>
            <w:vAlign w:val="center"/>
          </w:tcPr>
          <w:p w14:paraId="2D1268F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7" w:type="dxa"/>
            <w:tcBorders>
              <w:bottom w:val="single" w:color="auto" w:sz="4" w:space="0"/>
            </w:tcBorders>
            <w:shd w:val="pct20" w:color="auto" w:fill="FFFFFF"/>
          </w:tcPr>
          <w:p w14:paraId="18D039C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2B18C1F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3D5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44" w:type="dxa"/>
            <w:vAlign w:val="center"/>
          </w:tcPr>
          <w:p w14:paraId="6B14451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-01</w:t>
            </w:r>
          </w:p>
        </w:tc>
        <w:tc>
          <w:tcPr>
            <w:tcW w:w="5026" w:type="dxa"/>
            <w:vAlign w:val="center"/>
          </w:tcPr>
          <w:p w14:paraId="2DE722C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成品钢制洁净门：（材质需要耐过氧化氢腐蚀）</w:t>
            </w:r>
          </w:p>
          <w:p w14:paraId="382F469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 xml:space="preserve">门框: </w:t>
            </w:r>
            <w:r>
              <w:rPr>
                <w:rFonts w:hint="eastAsia" w:ascii="Arial" w:hAnsi="Arial" w:cs="Arial"/>
                <w:color w:val="auto"/>
                <w:sz w:val="24"/>
                <w:highlight w:val="none"/>
              </w:rPr>
              <w:t>1.5mm厚钢制</w:t>
            </w:r>
            <w:r>
              <w:rPr>
                <w:rFonts w:ascii="Arial" w:hAnsi="Arial" w:cs="Arial"/>
                <w:color w:val="auto"/>
                <w:sz w:val="24"/>
                <w:highlight w:val="none"/>
              </w:rPr>
              <w:t>门框，装有塑胶密封条，提高气密效果</w:t>
            </w:r>
            <w:r>
              <w:rPr>
                <w:rFonts w:hint="eastAsia" w:ascii="Arial" w:hAnsi="Arial" w:cs="Arial"/>
                <w:color w:val="auto"/>
                <w:sz w:val="24"/>
                <w:highlight w:val="none"/>
              </w:rPr>
              <w:t>。</w:t>
            </w:r>
          </w:p>
          <w:p w14:paraId="59591BD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门扇:  50mm厚的成品门，基板为</w:t>
            </w:r>
            <w:r>
              <w:rPr>
                <w:rFonts w:hint="eastAsia" w:ascii="Arial" w:hAnsi="Arial" w:cs="Arial"/>
                <w:color w:val="auto"/>
                <w:sz w:val="24"/>
                <w:highlight w:val="none"/>
              </w:rPr>
              <w:t>1.0钢板</w:t>
            </w:r>
            <w:r>
              <w:rPr>
                <w:rFonts w:ascii="Arial" w:hAnsi="Arial" w:cs="Arial"/>
                <w:color w:val="auto"/>
                <w:sz w:val="24"/>
                <w:highlight w:val="none"/>
              </w:rPr>
              <w:t>mm</w:t>
            </w:r>
            <w:r>
              <w:rPr>
                <w:rFonts w:hint="eastAsia" w:ascii="Arial" w:hAnsi="Arial" w:cs="Arial"/>
                <w:color w:val="auto"/>
                <w:sz w:val="24"/>
                <w:highlight w:val="none"/>
              </w:rPr>
              <w:t>，填充</w:t>
            </w:r>
            <w:r>
              <w:rPr>
                <w:rFonts w:ascii="Arial" w:hAnsi="Arial" w:cs="Arial"/>
                <w:color w:val="auto"/>
                <w:sz w:val="24"/>
                <w:highlight w:val="none"/>
              </w:rPr>
              <w:t>材料为</w:t>
            </w:r>
            <w:r>
              <w:rPr>
                <w:rFonts w:hint="eastAsia" w:ascii="Arial" w:hAnsi="Arial" w:cs="Arial"/>
                <w:color w:val="auto"/>
                <w:sz w:val="24"/>
                <w:highlight w:val="none"/>
              </w:rPr>
              <w:t>纸蜂窝</w:t>
            </w:r>
            <w:r>
              <w:rPr>
                <w:rFonts w:ascii="Arial" w:hAnsi="Arial" w:cs="Arial"/>
                <w:color w:val="auto"/>
                <w:sz w:val="24"/>
                <w:highlight w:val="none"/>
              </w:rPr>
              <w:t>，</w:t>
            </w:r>
            <w:r>
              <w:rPr>
                <w:rFonts w:hint="eastAsia" w:ascii="Arial" w:hAnsi="Arial" w:cs="Arial"/>
                <w:color w:val="auto"/>
                <w:sz w:val="24"/>
                <w:highlight w:val="none"/>
              </w:rPr>
              <w:t>下部采用自动升降底封条，防止与地面磨擦。</w:t>
            </w:r>
            <w:r>
              <w:rPr>
                <w:rFonts w:ascii="Arial" w:hAnsi="Arial" w:cs="Arial"/>
                <w:color w:val="auto"/>
                <w:sz w:val="24"/>
                <w:highlight w:val="none"/>
              </w:rPr>
              <w:t>颜色由招标人确认，各门的颜色不得有肉眼可见的色差。</w:t>
            </w:r>
          </w:p>
        </w:tc>
        <w:tc>
          <w:tcPr>
            <w:tcW w:w="682" w:type="dxa"/>
            <w:vAlign w:val="center"/>
          </w:tcPr>
          <w:p w14:paraId="581506A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05C6A76">
            <w:pPr>
              <w:spacing w:before="62" w:beforeLines="20" w:after="62" w:afterLines="20" w:line="276" w:lineRule="auto"/>
              <w:jc w:val="left"/>
              <w:rPr>
                <w:rFonts w:ascii="Arial" w:hAnsi="Arial" w:cs="Arial"/>
                <w:color w:val="auto"/>
                <w:sz w:val="24"/>
                <w:highlight w:val="none"/>
              </w:rPr>
            </w:pPr>
          </w:p>
        </w:tc>
      </w:tr>
      <w:tr w14:paraId="31E6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6B24C5B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2</w:t>
            </w:r>
          </w:p>
        </w:tc>
        <w:tc>
          <w:tcPr>
            <w:tcW w:w="5026" w:type="dxa"/>
            <w:vAlign w:val="center"/>
          </w:tcPr>
          <w:p w14:paraId="5DCF74B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门不得在现场加工，应为成型门。（订做）</w:t>
            </w:r>
          </w:p>
        </w:tc>
        <w:tc>
          <w:tcPr>
            <w:tcW w:w="682" w:type="dxa"/>
            <w:vAlign w:val="center"/>
          </w:tcPr>
          <w:p w14:paraId="7DEC448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31A79DB">
            <w:pPr>
              <w:spacing w:before="62" w:beforeLines="20" w:after="62" w:afterLines="20" w:line="276" w:lineRule="auto"/>
              <w:jc w:val="left"/>
              <w:rPr>
                <w:rFonts w:ascii="Arial" w:hAnsi="Arial" w:cs="Arial"/>
                <w:color w:val="auto"/>
                <w:sz w:val="24"/>
                <w:highlight w:val="none"/>
              </w:rPr>
            </w:pPr>
          </w:p>
        </w:tc>
      </w:tr>
      <w:tr w14:paraId="1F26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F970AB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3</w:t>
            </w:r>
          </w:p>
        </w:tc>
        <w:tc>
          <w:tcPr>
            <w:tcW w:w="5026" w:type="dxa"/>
            <w:vAlign w:val="center"/>
          </w:tcPr>
          <w:p w14:paraId="67BED34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带固定双层玻璃视窗，边框处硅胶密封，密封胶要求均匀一致,款式同施工图一至。</w:t>
            </w:r>
          </w:p>
        </w:tc>
        <w:tc>
          <w:tcPr>
            <w:tcW w:w="682" w:type="dxa"/>
            <w:vAlign w:val="center"/>
          </w:tcPr>
          <w:p w14:paraId="159B8AB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25897852">
            <w:pPr>
              <w:spacing w:before="62" w:beforeLines="20" w:after="62" w:afterLines="20" w:line="276" w:lineRule="auto"/>
              <w:jc w:val="left"/>
              <w:rPr>
                <w:rFonts w:ascii="Arial" w:hAnsi="Arial" w:cs="Arial"/>
                <w:color w:val="auto"/>
                <w:sz w:val="24"/>
                <w:highlight w:val="none"/>
              </w:rPr>
            </w:pPr>
          </w:p>
        </w:tc>
      </w:tr>
      <w:tr w14:paraId="55CB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642BF83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4</w:t>
            </w:r>
          </w:p>
        </w:tc>
        <w:tc>
          <w:tcPr>
            <w:tcW w:w="5026" w:type="dxa"/>
            <w:vAlign w:val="center"/>
          </w:tcPr>
          <w:p w14:paraId="2B5395B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门上配件:</w:t>
            </w:r>
            <w:r>
              <w:rPr>
                <w:rFonts w:ascii="Arial" w:hAnsi="Arial" w:cs="Arial"/>
                <w:color w:val="auto"/>
                <w:sz w:val="24"/>
                <w:highlight w:val="none"/>
              </w:rPr>
              <w:tab/>
            </w:r>
            <w:r>
              <w:rPr>
                <w:rFonts w:ascii="Arial" w:hAnsi="Arial" w:cs="Arial"/>
                <w:color w:val="auto"/>
                <w:sz w:val="24"/>
                <w:highlight w:val="none"/>
              </w:rPr>
              <w:t>直L型把锁；不锈钢铰链；无任何螺丝外露。锁舌孔内必须密封，不允许空置。</w:t>
            </w:r>
            <w:r>
              <w:rPr>
                <w:rFonts w:hint="eastAsia" w:ascii="Arial" w:hAnsi="Arial" w:cs="Arial"/>
                <w:color w:val="auto"/>
                <w:sz w:val="24"/>
                <w:highlight w:val="none"/>
              </w:rPr>
              <w:t>每樘门配装闭门器。</w:t>
            </w:r>
          </w:p>
          <w:p w14:paraId="6DC0389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门框铰链厚度与墙板相同，保证平滑连接。门周边为硅橡胶密封条或特殊刚性密封结构，保证门有良好的密封。</w:t>
            </w:r>
          </w:p>
        </w:tc>
        <w:tc>
          <w:tcPr>
            <w:tcW w:w="682" w:type="dxa"/>
            <w:vAlign w:val="center"/>
          </w:tcPr>
          <w:p w14:paraId="18F038B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55BFB863">
            <w:pPr>
              <w:spacing w:before="62" w:beforeLines="20" w:after="62" w:afterLines="20" w:line="276" w:lineRule="auto"/>
              <w:jc w:val="left"/>
              <w:rPr>
                <w:rFonts w:ascii="Arial" w:hAnsi="Arial" w:cs="Arial"/>
                <w:color w:val="auto"/>
                <w:sz w:val="24"/>
                <w:highlight w:val="none"/>
              </w:rPr>
            </w:pPr>
          </w:p>
        </w:tc>
      </w:tr>
      <w:tr w14:paraId="2244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21EB5E4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5</w:t>
            </w:r>
          </w:p>
        </w:tc>
        <w:tc>
          <w:tcPr>
            <w:tcW w:w="5026" w:type="dxa"/>
            <w:vAlign w:val="center"/>
          </w:tcPr>
          <w:p w14:paraId="79C0806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尽量减少机械部件（如锁、铰链等）的磨损及门与框、与地面之间的磨损。</w:t>
            </w:r>
          </w:p>
        </w:tc>
        <w:tc>
          <w:tcPr>
            <w:tcW w:w="682" w:type="dxa"/>
            <w:vAlign w:val="center"/>
          </w:tcPr>
          <w:p w14:paraId="22408ED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0B39FF75">
            <w:pPr>
              <w:spacing w:before="62" w:beforeLines="20" w:after="62" w:afterLines="20" w:line="276" w:lineRule="auto"/>
              <w:jc w:val="left"/>
              <w:rPr>
                <w:rFonts w:ascii="Arial" w:hAnsi="Arial" w:cs="Arial"/>
                <w:color w:val="auto"/>
                <w:sz w:val="24"/>
                <w:highlight w:val="none"/>
              </w:rPr>
            </w:pPr>
          </w:p>
        </w:tc>
      </w:tr>
      <w:tr w14:paraId="21B9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2D0F6D6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6</w:t>
            </w:r>
          </w:p>
        </w:tc>
        <w:tc>
          <w:tcPr>
            <w:tcW w:w="5026" w:type="dxa"/>
            <w:vAlign w:val="center"/>
          </w:tcPr>
          <w:p w14:paraId="622440D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缓冲间、气闸等必要的房间的门加互锁装置。</w:t>
            </w:r>
          </w:p>
        </w:tc>
        <w:tc>
          <w:tcPr>
            <w:tcW w:w="682" w:type="dxa"/>
            <w:vAlign w:val="center"/>
          </w:tcPr>
          <w:p w14:paraId="535476E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99A9BB9">
            <w:pPr>
              <w:spacing w:before="62" w:beforeLines="20" w:after="62" w:afterLines="20" w:line="276" w:lineRule="auto"/>
              <w:jc w:val="left"/>
              <w:rPr>
                <w:rFonts w:ascii="Arial" w:hAnsi="Arial" w:cs="Arial"/>
                <w:color w:val="auto"/>
                <w:sz w:val="24"/>
                <w:highlight w:val="none"/>
              </w:rPr>
            </w:pPr>
          </w:p>
        </w:tc>
      </w:tr>
      <w:tr w14:paraId="2C6F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0D6BF69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7</w:t>
            </w:r>
          </w:p>
        </w:tc>
        <w:tc>
          <w:tcPr>
            <w:tcW w:w="5026" w:type="dxa"/>
            <w:vAlign w:val="center"/>
          </w:tcPr>
          <w:p w14:paraId="2495050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门的开向符合压差设计要求，原则上向高压力方向开启。</w:t>
            </w:r>
          </w:p>
        </w:tc>
        <w:tc>
          <w:tcPr>
            <w:tcW w:w="682" w:type="dxa"/>
            <w:vAlign w:val="center"/>
          </w:tcPr>
          <w:p w14:paraId="4E643B0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2A27F67A">
            <w:pPr>
              <w:spacing w:before="62" w:beforeLines="20" w:after="62" w:afterLines="20" w:line="276" w:lineRule="auto"/>
              <w:jc w:val="left"/>
              <w:rPr>
                <w:rFonts w:ascii="Arial" w:hAnsi="Arial" w:cs="Arial"/>
                <w:color w:val="auto"/>
                <w:sz w:val="24"/>
                <w:highlight w:val="none"/>
              </w:rPr>
            </w:pPr>
          </w:p>
        </w:tc>
      </w:tr>
      <w:tr w14:paraId="60E8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39CF898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8</w:t>
            </w:r>
          </w:p>
        </w:tc>
        <w:tc>
          <w:tcPr>
            <w:tcW w:w="5026" w:type="dxa"/>
            <w:vAlign w:val="center"/>
          </w:tcPr>
          <w:p w14:paraId="2EC2011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所有安全门，门上的视窗为5mm厚的钢化玻璃，满足消防规范要求，安全门边框适用于洁净室的要求，保证洁净室密封无泄漏。</w:t>
            </w:r>
          </w:p>
        </w:tc>
        <w:tc>
          <w:tcPr>
            <w:tcW w:w="682" w:type="dxa"/>
            <w:vAlign w:val="center"/>
          </w:tcPr>
          <w:p w14:paraId="06B7181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61E27264">
            <w:pPr>
              <w:spacing w:before="62" w:beforeLines="20" w:after="62" w:afterLines="20" w:line="276" w:lineRule="auto"/>
              <w:jc w:val="left"/>
              <w:rPr>
                <w:rFonts w:ascii="Arial" w:hAnsi="Arial" w:cs="Arial"/>
                <w:color w:val="auto"/>
                <w:sz w:val="24"/>
                <w:highlight w:val="none"/>
              </w:rPr>
            </w:pPr>
          </w:p>
        </w:tc>
      </w:tr>
      <w:tr w14:paraId="0676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0DC1D9F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6</w:t>
            </w:r>
            <w:r>
              <w:rPr>
                <w:rFonts w:ascii="Arial" w:hAnsi="Arial" w:cs="Arial"/>
                <w:color w:val="auto"/>
                <w:sz w:val="24"/>
                <w:highlight w:val="none"/>
              </w:rPr>
              <w:t>-0</w:t>
            </w:r>
            <w:r>
              <w:rPr>
                <w:rFonts w:hint="eastAsia" w:ascii="Arial" w:hAnsi="Arial" w:cs="Arial"/>
                <w:color w:val="auto"/>
                <w:sz w:val="24"/>
                <w:highlight w:val="none"/>
              </w:rPr>
              <w:t>9</w:t>
            </w:r>
          </w:p>
        </w:tc>
        <w:tc>
          <w:tcPr>
            <w:tcW w:w="5026" w:type="dxa"/>
            <w:vAlign w:val="center"/>
          </w:tcPr>
          <w:p w14:paraId="476B9BD2">
            <w:pPr>
              <w:spacing w:before="62" w:beforeLines="20" w:after="62" w:afterLines="20" w:line="276" w:lineRule="auto"/>
              <w:jc w:val="left"/>
              <w:rPr>
                <w:rFonts w:ascii="Arial" w:hAnsi="Arial" w:cs="Arial"/>
                <w:color w:val="auto"/>
                <w:sz w:val="24"/>
                <w:highlight w:val="none"/>
              </w:rPr>
            </w:pPr>
            <w:r>
              <w:rPr>
                <w:rFonts w:hint="eastAsia"/>
                <w:color w:val="auto"/>
                <w:szCs w:val="21"/>
                <w:highlight w:val="none"/>
              </w:rPr>
              <w:t>安全门：洁净室专用安全，采用符合消防安全的推杆开门方式，同时符合洁净室要求，全密封。</w:t>
            </w:r>
          </w:p>
        </w:tc>
        <w:tc>
          <w:tcPr>
            <w:tcW w:w="682" w:type="dxa"/>
            <w:vAlign w:val="center"/>
          </w:tcPr>
          <w:p w14:paraId="0CD5F5D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0B081779">
            <w:pPr>
              <w:spacing w:before="62" w:beforeLines="20" w:after="62" w:afterLines="20" w:line="276" w:lineRule="auto"/>
              <w:jc w:val="left"/>
              <w:rPr>
                <w:rFonts w:ascii="Arial" w:hAnsi="Arial" w:cs="Arial"/>
                <w:color w:val="auto"/>
                <w:sz w:val="24"/>
                <w:highlight w:val="none"/>
              </w:rPr>
            </w:pPr>
          </w:p>
        </w:tc>
      </w:tr>
    </w:tbl>
    <w:p w14:paraId="129D6A9E">
      <w:pPr>
        <w:spacing w:before="62" w:beforeLines="20" w:after="62" w:afterLines="20" w:line="276" w:lineRule="auto"/>
        <w:jc w:val="left"/>
        <w:rPr>
          <w:rFonts w:ascii="Arial" w:hAnsi="Arial" w:cs="Arial"/>
          <w:color w:val="auto"/>
          <w:sz w:val="24"/>
          <w:highlight w:val="none"/>
        </w:rPr>
      </w:pPr>
    </w:p>
    <w:p w14:paraId="1E40A50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6.7</w:t>
      </w:r>
      <w:r>
        <w:rPr>
          <w:rFonts w:ascii="Arial" w:hAnsi="Arial" w:cs="Arial"/>
          <w:color w:val="auto"/>
          <w:sz w:val="24"/>
          <w:highlight w:val="none"/>
        </w:rPr>
        <w:t>门安装</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5226"/>
        <w:gridCol w:w="723"/>
        <w:gridCol w:w="1166"/>
      </w:tblGrid>
      <w:tr w14:paraId="3FA0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04" w:type="dxa"/>
            <w:tcBorders>
              <w:bottom w:val="single" w:color="auto" w:sz="4" w:space="0"/>
            </w:tcBorders>
            <w:shd w:val="pct20" w:color="auto" w:fill="FFFFFF"/>
            <w:vAlign w:val="center"/>
          </w:tcPr>
          <w:p w14:paraId="0512E3A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226" w:type="dxa"/>
            <w:tcBorders>
              <w:bottom w:val="single" w:color="auto" w:sz="4" w:space="0"/>
            </w:tcBorders>
            <w:shd w:val="pct20" w:color="auto" w:fill="FFFFFF"/>
            <w:vAlign w:val="center"/>
          </w:tcPr>
          <w:p w14:paraId="2CC4DFC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23" w:type="dxa"/>
            <w:tcBorders>
              <w:bottom w:val="single" w:color="auto" w:sz="4" w:space="0"/>
            </w:tcBorders>
            <w:shd w:val="pct20" w:color="auto" w:fill="FFFFFF"/>
            <w:vAlign w:val="center"/>
          </w:tcPr>
          <w:p w14:paraId="449C1AA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6" w:type="dxa"/>
            <w:tcBorders>
              <w:bottom w:val="single" w:color="auto" w:sz="4" w:space="0"/>
            </w:tcBorders>
            <w:shd w:val="pct20" w:color="auto" w:fill="FFFFFF"/>
          </w:tcPr>
          <w:p w14:paraId="7E224C5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2F9AD78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4444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vAlign w:val="center"/>
          </w:tcPr>
          <w:p w14:paraId="32FB50E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URS6.7-01</w:t>
            </w:r>
          </w:p>
        </w:tc>
        <w:tc>
          <w:tcPr>
            <w:tcW w:w="5226" w:type="dxa"/>
            <w:vAlign w:val="center"/>
          </w:tcPr>
          <w:p w14:paraId="2CC8D18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缓冲间、气闸等必要的房间的门加互锁装置。</w:t>
            </w:r>
          </w:p>
        </w:tc>
        <w:tc>
          <w:tcPr>
            <w:tcW w:w="723" w:type="dxa"/>
            <w:vAlign w:val="center"/>
          </w:tcPr>
          <w:p w14:paraId="618BED8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55F718DF">
            <w:pPr>
              <w:spacing w:before="62" w:beforeLines="20" w:after="62" w:afterLines="20" w:line="276" w:lineRule="auto"/>
              <w:jc w:val="left"/>
              <w:rPr>
                <w:rFonts w:ascii="Arial" w:hAnsi="Arial" w:cs="Arial"/>
                <w:color w:val="auto"/>
                <w:sz w:val="24"/>
                <w:highlight w:val="none"/>
              </w:rPr>
            </w:pPr>
          </w:p>
        </w:tc>
      </w:tr>
      <w:tr w14:paraId="1761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1DD7DE63">
            <w:pPr>
              <w:rPr>
                <w:color w:val="auto"/>
                <w:highlight w:val="none"/>
              </w:rPr>
            </w:pPr>
            <w:r>
              <w:rPr>
                <w:rFonts w:hint="eastAsia" w:ascii="Arial" w:hAnsi="Arial" w:cs="Arial"/>
                <w:color w:val="auto"/>
                <w:sz w:val="24"/>
                <w:highlight w:val="none"/>
              </w:rPr>
              <w:t>URS6.7-02</w:t>
            </w:r>
          </w:p>
        </w:tc>
        <w:tc>
          <w:tcPr>
            <w:tcW w:w="5226" w:type="dxa"/>
            <w:vAlign w:val="center"/>
          </w:tcPr>
          <w:p w14:paraId="5A1C5A0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门的开向符合压差设计要求，原则上向高压力方向开启。</w:t>
            </w:r>
            <w:r>
              <w:rPr>
                <w:rFonts w:hint="eastAsia" w:ascii="Arial" w:hAnsi="Arial" w:cs="Arial"/>
                <w:color w:val="auto"/>
                <w:sz w:val="24"/>
                <w:highlight w:val="none"/>
              </w:rPr>
              <w:t>消防相关的门，则另按消防要求实施。</w:t>
            </w:r>
          </w:p>
        </w:tc>
        <w:tc>
          <w:tcPr>
            <w:tcW w:w="723" w:type="dxa"/>
            <w:vAlign w:val="center"/>
          </w:tcPr>
          <w:p w14:paraId="1A70B50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52098A4F">
            <w:pPr>
              <w:spacing w:before="62" w:beforeLines="20" w:after="62" w:afterLines="20" w:line="276" w:lineRule="auto"/>
              <w:jc w:val="left"/>
              <w:rPr>
                <w:rFonts w:ascii="Arial" w:hAnsi="Arial" w:cs="Arial"/>
                <w:color w:val="auto"/>
                <w:sz w:val="24"/>
                <w:highlight w:val="none"/>
              </w:rPr>
            </w:pPr>
          </w:p>
        </w:tc>
      </w:tr>
      <w:tr w14:paraId="2344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2FC0AA51">
            <w:pPr>
              <w:rPr>
                <w:color w:val="auto"/>
                <w:highlight w:val="none"/>
              </w:rPr>
            </w:pPr>
            <w:r>
              <w:rPr>
                <w:rFonts w:hint="eastAsia" w:ascii="Arial" w:hAnsi="Arial" w:cs="Arial"/>
                <w:color w:val="auto"/>
                <w:sz w:val="24"/>
                <w:highlight w:val="none"/>
              </w:rPr>
              <w:t>URS6.7-03</w:t>
            </w:r>
          </w:p>
        </w:tc>
        <w:tc>
          <w:tcPr>
            <w:tcW w:w="5226" w:type="dxa"/>
            <w:vAlign w:val="center"/>
          </w:tcPr>
          <w:p w14:paraId="0CFC7DC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门框安装垂直，与板墙接合牢固密封，门铰均匀受力，整体成型平整。</w:t>
            </w:r>
          </w:p>
        </w:tc>
        <w:tc>
          <w:tcPr>
            <w:tcW w:w="723" w:type="dxa"/>
          </w:tcPr>
          <w:p w14:paraId="2B19A6C8">
            <w:pPr>
              <w:rPr>
                <w:color w:val="auto"/>
                <w:highlight w:val="none"/>
              </w:rPr>
            </w:pPr>
            <w:r>
              <w:rPr>
                <w:rFonts w:ascii="Arial" w:hAnsi="Arial" w:cs="Arial"/>
                <w:color w:val="auto"/>
                <w:sz w:val="24"/>
                <w:highlight w:val="none"/>
              </w:rPr>
              <w:t>必需</w:t>
            </w:r>
          </w:p>
        </w:tc>
        <w:tc>
          <w:tcPr>
            <w:tcW w:w="1166" w:type="dxa"/>
            <w:vAlign w:val="center"/>
          </w:tcPr>
          <w:p w14:paraId="2BB5F7E9">
            <w:pPr>
              <w:spacing w:before="62" w:beforeLines="20" w:after="62" w:afterLines="20" w:line="276" w:lineRule="auto"/>
              <w:jc w:val="left"/>
              <w:rPr>
                <w:rFonts w:ascii="Arial" w:hAnsi="Arial" w:cs="Arial"/>
                <w:color w:val="auto"/>
                <w:sz w:val="24"/>
                <w:highlight w:val="none"/>
              </w:rPr>
            </w:pPr>
          </w:p>
        </w:tc>
      </w:tr>
      <w:tr w14:paraId="29A0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49197F3F">
            <w:pPr>
              <w:rPr>
                <w:color w:val="auto"/>
                <w:highlight w:val="none"/>
              </w:rPr>
            </w:pPr>
            <w:r>
              <w:rPr>
                <w:rFonts w:hint="eastAsia" w:ascii="Arial" w:hAnsi="Arial" w:cs="Arial"/>
                <w:color w:val="auto"/>
                <w:sz w:val="24"/>
                <w:highlight w:val="none"/>
              </w:rPr>
              <w:t>URS6.7-04</w:t>
            </w:r>
          </w:p>
        </w:tc>
        <w:tc>
          <w:tcPr>
            <w:tcW w:w="5226" w:type="dxa"/>
            <w:vAlign w:val="center"/>
          </w:tcPr>
          <w:p w14:paraId="7ACAAB6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开关门时不剐蹭地面。</w:t>
            </w:r>
          </w:p>
        </w:tc>
        <w:tc>
          <w:tcPr>
            <w:tcW w:w="723" w:type="dxa"/>
          </w:tcPr>
          <w:p w14:paraId="69EDCC7D">
            <w:pPr>
              <w:rPr>
                <w:color w:val="auto"/>
                <w:highlight w:val="none"/>
              </w:rPr>
            </w:pPr>
            <w:r>
              <w:rPr>
                <w:rFonts w:ascii="Arial" w:hAnsi="Arial" w:cs="Arial"/>
                <w:color w:val="auto"/>
                <w:sz w:val="24"/>
                <w:highlight w:val="none"/>
              </w:rPr>
              <w:t>必需</w:t>
            </w:r>
          </w:p>
        </w:tc>
        <w:tc>
          <w:tcPr>
            <w:tcW w:w="1166" w:type="dxa"/>
            <w:vAlign w:val="center"/>
          </w:tcPr>
          <w:p w14:paraId="63B274D0">
            <w:pPr>
              <w:spacing w:before="62" w:beforeLines="20" w:after="62" w:afterLines="20" w:line="276" w:lineRule="auto"/>
              <w:jc w:val="left"/>
              <w:rPr>
                <w:rFonts w:ascii="Arial" w:hAnsi="Arial" w:cs="Arial"/>
                <w:color w:val="auto"/>
                <w:sz w:val="24"/>
                <w:highlight w:val="none"/>
              </w:rPr>
            </w:pPr>
          </w:p>
        </w:tc>
      </w:tr>
      <w:tr w14:paraId="4DB3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742195B4">
            <w:pPr>
              <w:rPr>
                <w:color w:val="auto"/>
                <w:highlight w:val="none"/>
              </w:rPr>
            </w:pPr>
            <w:r>
              <w:rPr>
                <w:rFonts w:hint="eastAsia" w:ascii="Arial" w:hAnsi="Arial" w:cs="Arial"/>
                <w:color w:val="auto"/>
                <w:sz w:val="24"/>
                <w:highlight w:val="none"/>
              </w:rPr>
              <w:t>URS6.7-05</w:t>
            </w:r>
          </w:p>
        </w:tc>
        <w:tc>
          <w:tcPr>
            <w:tcW w:w="5226" w:type="dxa"/>
            <w:vAlign w:val="center"/>
          </w:tcPr>
          <w:p w14:paraId="793844D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双开门的门栓可拆卸时，维护简单，并可简单调节门栓的高低。</w:t>
            </w:r>
          </w:p>
        </w:tc>
        <w:tc>
          <w:tcPr>
            <w:tcW w:w="723" w:type="dxa"/>
          </w:tcPr>
          <w:p w14:paraId="1BF50A7F">
            <w:pPr>
              <w:rPr>
                <w:color w:val="auto"/>
                <w:highlight w:val="none"/>
              </w:rPr>
            </w:pPr>
            <w:r>
              <w:rPr>
                <w:rFonts w:ascii="Arial" w:hAnsi="Arial" w:cs="Arial"/>
                <w:color w:val="auto"/>
                <w:sz w:val="24"/>
                <w:highlight w:val="none"/>
              </w:rPr>
              <w:t>必需</w:t>
            </w:r>
          </w:p>
        </w:tc>
        <w:tc>
          <w:tcPr>
            <w:tcW w:w="1166" w:type="dxa"/>
            <w:vAlign w:val="center"/>
          </w:tcPr>
          <w:p w14:paraId="3B9EA377">
            <w:pPr>
              <w:spacing w:before="62" w:beforeLines="20" w:after="62" w:afterLines="20" w:line="276" w:lineRule="auto"/>
              <w:jc w:val="left"/>
              <w:rPr>
                <w:rFonts w:ascii="Arial" w:hAnsi="Arial" w:cs="Arial"/>
                <w:color w:val="auto"/>
                <w:sz w:val="24"/>
                <w:highlight w:val="none"/>
              </w:rPr>
            </w:pPr>
          </w:p>
        </w:tc>
      </w:tr>
      <w:tr w14:paraId="63D8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1FBC9BFE">
            <w:pPr>
              <w:rPr>
                <w:color w:val="auto"/>
                <w:highlight w:val="none"/>
              </w:rPr>
            </w:pPr>
            <w:r>
              <w:rPr>
                <w:rFonts w:hint="eastAsia" w:ascii="Arial" w:hAnsi="Arial" w:cs="Arial"/>
                <w:color w:val="auto"/>
                <w:sz w:val="24"/>
                <w:highlight w:val="none"/>
              </w:rPr>
              <w:t>URS6.7-06</w:t>
            </w:r>
          </w:p>
        </w:tc>
        <w:tc>
          <w:tcPr>
            <w:tcW w:w="5226" w:type="dxa"/>
            <w:vAlign w:val="center"/>
          </w:tcPr>
          <w:p w14:paraId="3887E19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根据设计要求安装闭门器，闭门器采用优质耐用的品牌，打开力度可调，关门阻尼可调。</w:t>
            </w:r>
          </w:p>
        </w:tc>
        <w:tc>
          <w:tcPr>
            <w:tcW w:w="723" w:type="dxa"/>
          </w:tcPr>
          <w:p w14:paraId="2FEFA359">
            <w:pPr>
              <w:rPr>
                <w:color w:val="auto"/>
                <w:highlight w:val="none"/>
              </w:rPr>
            </w:pPr>
            <w:r>
              <w:rPr>
                <w:rFonts w:ascii="Arial" w:hAnsi="Arial" w:cs="Arial"/>
                <w:color w:val="auto"/>
                <w:sz w:val="24"/>
                <w:highlight w:val="none"/>
              </w:rPr>
              <w:t>必需</w:t>
            </w:r>
          </w:p>
        </w:tc>
        <w:tc>
          <w:tcPr>
            <w:tcW w:w="1166" w:type="dxa"/>
            <w:vAlign w:val="center"/>
          </w:tcPr>
          <w:p w14:paraId="1C1C00C7">
            <w:pPr>
              <w:spacing w:before="62" w:beforeLines="20" w:after="62" w:afterLines="20" w:line="276" w:lineRule="auto"/>
              <w:jc w:val="left"/>
              <w:rPr>
                <w:rFonts w:ascii="Arial" w:hAnsi="Arial" w:cs="Arial"/>
                <w:color w:val="auto"/>
                <w:sz w:val="24"/>
                <w:highlight w:val="none"/>
              </w:rPr>
            </w:pPr>
          </w:p>
        </w:tc>
      </w:tr>
      <w:tr w14:paraId="4A93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7B9C1F1B">
            <w:pPr>
              <w:rPr>
                <w:rFonts w:ascii="Arial" w:hAnsi="Arial" w:cs="Arial"/>
                <w:color w:val="auto"/>
                <w:sz w:val="24"/>
                <w:highlight w:val="none"/>
              </w:rPr>
            </w:pPr>
            <w:r>
              <w:rPr>
                <w:rFonts w:hint="eastAsia" w:ascii="Arial" w:hAnsi="Arial" w:cs="Arial"/>
                <w:color w:val="auto"/>
                <w:sz w:val="24"/>
                <w:highlight w:val="none"/>
              </w:rPr>
              <w:t>URS6.7-07</w:t>
            </w:r>
          </w:p>
        </w:tc>
        <w:tc>
          <w:tcPr>
            <w:tcW w:w="5226" w:type="dxa"/>
            <w:vAlign w:val="center"/>
          </w:tcPr>
          <w:p w14:paraId="1505951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门打开最大位置，尽量避开碰撞玻璃，配有防撞软胶</w:t>
            </w:r>
          </w:p>
        </w:tc>
        <w:tc>
          <w:tcPr>
            <w:tcW w:w="723" w:type="dxa"/>
          </w:tcPr>
          <w:p w14:paraId="1FF38DD2">
            <w:pPr>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4785499D">
            <w:pPr>
              <w:spacing w:before="62" w:beforeLines="20" w:after="62" w:afterLines="20" w:line="276" w:lineRule="auto"/>
              <w:jc w:val="left"/>
              <w:rPr>
                <w:rFonts w:ascii="Arial" w:hAnsi="Arial" w:cs="Arial"/>
                <w:color w:val="auto"/>
                <w:sz w:val="24"/>
                <w:highlight w:val="none"/>
              </w:rPr>
            </w:pPr>
          </w:p>
        </w:tc>
      </w:tr>
      <w:tr w14:paraId="39B1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4" w:type="dxa"/>
          </w:tcPr>
          <w:p w14:paraId="7265960E">
            <w:pPr>
              <w:rPr>
                <w:rFonts w:ascii="Arial" w:hAnsi="Arial" w:cs="Arial"/>
                <w:color w:val="auto"/>
                <w:sz w:val="24"/>
                <w:highlight w:val="none"/>
              </w:rPr>
            </w:pPr>
            <w:r>
              <w:rPr>
                <w:rFonts w:hint="eastAsia" w:ascii="Arial" w:hAnsi="Arial" w:cs="Arial"/>
                <w:color w:val="auto"/>
                <w:sz w:val="24"/>
                <w:highlight w:val="none"/>
              </w:rPr>
              <w:t>URS6.7-08</w:t>
            </w:r>
          </w:p>
        </w:tc>
        <w:tc>
          <w:tcPr>
            <w:tcW w:w="5226" w:type="dxa"/>
            <w:vAlign w:val="center"/>
          </w:tcPr>
          <w:p w14:paraId="1BB1E4B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消防栓位置应做消防栓配套门</w:t>
            </w:r>
          </w:p>
        </w:tc>
        <w:tc>
          <w:tcPr>
            <w:tcW w:w="723" w:type="dxa"/>
          </w:tcPr>
          <w:p w14:paraId="5470A432">
            <w:pPr>
              <w:rPr>
                <w:rFonts w:ascii="Arial" w:hAnsi="Arial" w:cs="Arial"/>
                <w:color w:val="auto"/>
                <w:sz w:val="24"/>
                <w:highlight w:val="none"/>
              </w:rPr>
            </w:pPr>
            <w:r>
              <w:rPr>
                <w:rFonts w:ascii="Arial" w:hAnsi="Arial" w:cs="Arial"/>
                <w:color w:val="auto"/>
                <w:sz w:val="24"/>
                <w:highlight w:val="none"/>
              </w:rPr>
              <w:t>必需</w:t>
            </w:r>
          </w:p>
        </w:tc>
        <w:tc>
          <w:tcPr>
            <w:tcW w:w="1166" w:type="dxa"/>
            <w:vAlign w:val="center"/>
          </w:tcPr>
          <w:p w14:paraId="094D2855">
            <w:pPr>
              <w:spacing w:before="62" w:beforeLines="20" w:after="62" w:afterLines="20" w:line="276" w:lineRule="auto"/>
              <w:jc w:val="left"/>
              <w:rPr>
                <w:rFonts w:ascii="Arial" w:hAnsi="Arial" w:cs="Arial"/>
                <w:color w:val="auto"/>
                <w:sz w:val="24"/>
                <w:highlight w:val="none"/>
              </w:rPr>
            </w:pPr>
          </w:p>
        </w:tc>
      </w:tr>
    </w:tbl>
    <w:p w14:paraId="173195F8">
      <w:pPr>
        <w:spacing w:before="62" w:beforeLines="20" w:after="62" w:afterLines="20" w:line="276" w:lineRule="auto"/>
        <w:jc w:val="left"/>
        <w:rPr>
          <w:rFonts w:ascii="Arial" w:hAnsi="Arial" w:cs="Arial"/>
          <w:color w:val="auto"/>
          <w:sz w:val="24"/>
          <w:highlight w:val="none"/>
        </w:rPr>
      </w:pPr>
    </w:p>
    <w:p w14:paraId="35F01A4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6.8</w:t>
      </w:r>
      <w:r>
        <w:rPr>
          <w:rFonts w:ascii="Arial" w:hAnsi="Arial" w:cs="Arial"/>
          <w:color w:val="auto"/>
          <w:sz w:val="24"/>
          <w:highlight w:val="none"/>
        </w:rPr>
        <w:t>窗</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026"/>
        <w:gridCol w:w="682"/>
        <w:gridCol w:w="1167"/>
      </w:tblGrid>
      <w:tr w14:paraId="501C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44" w:type="dxa"/>
            <w:tcBorders>
              <w:bottom w:val="single" w:color="auto" w:sz="4" w:space="0"/>
            </w:tcBorders>
            <w:shd w:val="pct20" w:color="auto" w:fill="FFFFFF"/>
            <w:vAlign w:val="center"/>
          </w:tcPr>
          <w:p w14:paraId="2240415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26" w:type="dxa"/>
            <w:tcBorders>
              <w:bottom w:val="single" w:color="auto" w:sz="4" w:space="0"/>
            </w:tcBorders>
            <w:shd w:val="pct20" w:color="auto" w:fill="FFFFFF"/>
            <w:vAlign w:val="center"/>
          </w:tcPr>
          <w:p w14:paraId="29E20D5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2" w:type="dxa"/>
            <w:tcBorders>
              <w:bottom w:val="single" w:color="auto" w:sz="4" w:space="0"/>
            </w:tcBorders>
            <w:shd w:val="pct20" w:color="auto" w:fill="FFFFFF"/>
            <w:vAlign w:val="center"/>
          </w:tcPr>
          <w:p w14:paraId="4391744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7" w:type="dxa"/>
            <w:tcBorders>
              <w:bottom w:val="single" w:color="auto" w:sz="4" w:space="0"/>
            </w:tcBorders>
            <w:shd w:val="pct20" w:color="auto" w:fill="FFFFFF"/>
          </w:tcPr>
          <w:p w14:paraId="1726112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D95E5B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FA1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44" w:type="dxa"/>
            <w:vAlign w:val="center"/>
          </w:tcPr>
          <w:p w14:paraId="1C4D18F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-01</w:t>
            </w:r>
          </w:p>
        </w:tc>
        <w:tc>
          <w:tcPr>
            <w:tcW w:w="5026" w:type="dxa"/>
            <w:vAlign w:val="center"/>
          </w:tcPr>
          <w:p w14:paraId="468D6C1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外包间观察窗：</w:t>
            </w:r>
            <w:r>
              <w:rPr>
                <w:rFonts w:ascii="Arial" w:hAnsi="Arial" w:cs="Arial"/>
                <w:color w:val="auto"/>
                <w:sz w:val="24"/>
                <w:highlight w:val="none"/>
              </w:rPr>
              <w:t xml:space="preserve"> </w:t>
            </w:r>
            <w:r>
              <w:rPr>
                <w:rFonts w:hint="eastAsia" w:ascii="Arial" w:hAnsi="Arial" w:cs="Arial"/>
                <w:color w:val="auto"/>
                <w:sz w:val="24"/>
                <w:highlight w:val="none"/>
              </w:rPr>
              <w:t>采用中空净化窗：双层5mm钢化玻璃，丝印黑色边框，成品窗，可直接进行整体安装，内充氮气保护。</w:t>
            </w:r>
          </w:p>
        </w:tc>
        <w:tc>
          <w:tcPr>
            <w:tcW w:w="682" w:type="dxa"/>
            <w:vAlign w:val="center"/>
          </w:tcPr>
          <w:p w14:paraId="6B18FB8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5EE3D929">
            <w:pPr>
              <w:spacing w:before="62" w:beforeLines="20" w:after="62" w:afterLines="20" w:line="276" w:lineRule="auto"/>
              <w:jc w:val="left"/>
              <w:rPr>
                <w:rFonts w:ascii="Arial" w:hAnsi="Arial" w:cs="Arial"/>
                <w:color w:val="auto"/>
                <w:sz w:val="24"/>
                <w:highlight w:val="none"/>
              </w:rPr>
            </w:pPr>
          </w:p>
        </w:tc>
      </w:tr>
      <w:tr w14:paraId="1AE7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44" w:type="dxa"/>
          </w:tcPr>
          <w:p w14:paraId="47AAB64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w:t>
            </w:r>
            <w:r>
              <w:rPr>
                <w:rFonts w:hint="eastAsia" w:ascii="Arial" w:hAnsi="Arial" w:cs="Arial"/>
                <w:color w:val="auto"/>
                <w:sz w:val="24"/>
                <w:highlight w:val="none"/>
              </w:rPr>
              <w:t>2</w:t>
            </w:r>
          </w:p>
        </w:tc>
        <w:tc>
          <w:tcPr>
            <w:tcW w:w="5026" w:type="dxa"/>
            <w:vAlign w:val="center"/>
          </w:tcPr>
          <w:p w14:paraId="0F2F824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其余观察窗采用中空净化窗：双层5mm钢化玻璃，丝印黑色边框，成品窗，可直接进行整体安装，内充氮气保护。</w:t>
            </w:r>
          </w:p>
        </w:tc>
        <w:tc>
          <w:tcPr>
            <w:tcW w:w="682" w:type="dxa"/>
            <w:vAlign w:val="center"/>
          </w:tcPr>
          <w:p w14:paraId="0D7B0DE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3FF2C87A">
            <w:pPr>
              <w:spacing w:before="62" w:beforeLines="20" w:after="62" w:afterLines="20" w:line="276" w:lineRule="auto"/>
              <w:jc w:val="left"/>
              <w:rPr>
                <w:rFonts w:ascii="Arial" w:hAnsi="Arial" w:cs="Arial"/>
                <w:color w:val="auto"/>
                <w:sz w:val="24"/>
                <w:highlight w:val="none"/>
              </w:rPr>
            </w:pPr>
          </w:p>
        </w:tc>
      </w:tr>
      <w:tr w14:paraId="50C0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0424E2D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w:t>
            </w:r>
            <w:r>
              <w:rPr>
                <w:rFonts w:hint="eastAsia" w:ascii="Arial" w:hAnsi="Arial" w:cs="Arial"/>
                <w:color w:val="auto"/>
                <w:sz w:val="24"/>
                <w:highlight w:val="none"/>
              </w:rPr>
              <w:t>3</w:t>
            </w:r>
          </w:p>
        </w:tc>
        <w:tc>
          <w:tcPr>
            <w:tcW w:w="5026" w:type="dxa"/>
            <w:vAlign w:val="center"/>
          </w:tcPr>
          <w:p w14:paraId="371900D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窗户与墙面平行，圆弧平滑连接，无死角。</w:t>
            </w:r>
          </w:p>
        </w:tc>
        <w:tc>
          <w:tcPr>
            <w:tcW w:w="682" w:type="dxa"/>
            <w:vAlign w:val="center"/>
          </w:tcPr>
          <w:p w14:paraId="4FA594A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11CBDCBC">
            <w:pPr>
              <w:spacing w:before="62" w:beforeLines="20" w:after="62" w:afterLines="20" w:line="276" w:lineRule="auto"/>
              <w:jc w:val="left"/>
              <w:rPr>
                <w:rFonts w:ascii="Arial" w:hAnsi="Arial" w:cs="Arial"/>
                <w:color w:val="auto"/>
                <w:sz w:val="24"/>
                <w:highlight w:val="none"/>
              </w:rPr>
            </w:pPr>
          </w:p>
        </w:tc>
      </w:tr>
      <w:tr w14:paraId="0152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483B15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w:t>
            </w:r>
            <w:r>
              <w:rPr>
                <w:rFonts w:hint="eastAsia" w:ascii="Arial" w:hAnsi="Arial" w:cs="Arial"/>
                <w:color w:val="auto"/>
                <w:sz w:val="24"/>
                <w:highlight w:val="none"/>
              </w:rPr>
              <w:t>4</w:t>
            </w:r>
          </w:p>
        </w:tc>
        <w:tc>
          <w:tcPr>
            <w:tcW w:w="5026" w:type="dxa"/>
            <w:vAlign w:val="center"/>
          </w:tcPr>
          <w:p w14:paraId="1849DE1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所有玻璃采用钢化处理，不得在现场加工，应为成型窗，门的透视窗应在工厂预装在墙板内。</w:t>
            </w:r>
          </w:p>
        </w:tc>
        <w:tc>
          <w:tcPr>
            <w:tcW w:w="682" w:type="dxa"/>
            <w:vAlign w:val="center"/>
          </w:tcPr>
          <w:p w14:paraId="0B86C34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15B2F485">
            <w:pPr>
              <w:spacing w:before="62" w:beforeLines="20" w:after="62" w:afterLines="20" w:line="276" w:lineRule="auto"/>
              <w:jc w:val="left"/>
              <w:rPr>
                <w:rFonts w:ascii="Arial" w:hAnsi="Arial" w:cs="Arial"/>
                <w:color w:val="auto"/>
                <w:sz w:val="24"/>
                <w:highlight w:val="none"/>
              </w:rPr>
            </w:pPr>
          </w:p>
        </w:tc>
      </w:tr>
      <w:tr w14:paraId="3C01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7942DE4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w:t>
            </w:r>
            <w:r>
              <w:rPr>
                <w:rFonts w:hint="eastAsia" w:ascii="Arial" w:hAnsi="Arial" w:cs="Arial"/>
                <w:color w:val="auto"/>
                <w:sz w:val="24"/>
                <w:highlight w:val="none"/>
              </w:rPr>
              <w:t>5</w:t>
            </w:r>
          </w:p>
        </w:tc>
        <w:tc>
          <w:tcPr>
            <w:tcW w:w="5026" w:type="dxa"/>
            <w:vAlign w:val="center"/>
          </w:tcPr>
          <w:p w14:paraId="02404A2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承包方应提供窗及其附件的材质、规格、尺寸、安装详图等。</w:t>
            </w:r>
          </w:p>
        </w:tc>
        <w:tc>
          <w:tcPr>
            <w:tcW w:w="682" w:type="dxa"/>
            <w:vAlign w:val="center"/>
          </w:tcPr>
          <w:p w14:paraId="4689159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94F0D1C">
            <w:pPr>
              <w:spacing w:before="62" w:beforeLines="20" w:after="62" w:afterLines="20" w:line="276" w:lineRule="auto"/>
              <w:jc w:val="left"/>
              <w:rPr>
                <w:rFonts w:ascii="Arial" w:hAnsi="Arial" w:cs="Arial"/>
                <w:color w:val="auto"/>
                <w:sz w:val="24"/>
                <w:highlight w:val="none"/>
              </w:rPr>
            </w:pPr>
          </w:p>
        </w:tc>
      </w:tr>
      <w:tr w14:paraId="0B03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6979B79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8</w:t>
            </w:r>
            <w:r>
              <w:rPr>
                <w:rFonts w:ascii="Arial" w:hAnsi="Arial" w:cs="Arial"/>
                <w:color w:val="auto"/>
                <w:sz w:val="24"/>
                <w:highlight w:val="none"/>
              </w:rPr>
              <w:t>-0</w:t>
            </w:r>
            <w:r>
              <w:rPr>
                <w:rFonts w:hint="eastAsia" w:ascii="Arial" w:hAnsi="Arial" w:cs="Arial"/>
                <w:color w:val="auto"/>
                <w:sz w:val="24"/>
                <w:highlight w:val="none"/>
              </w:rPr>
              <w:t>6</w:t>
            </w:r>
          </w:p>
        </w:tc>
        <w:tc>
          <w:tcPr>
            <w:tcW w:w="5026" w:type="dxa"/>
            <w:vAlign w:val="center"/>
          </w:tcPr>
          <w:p w14:paraId="41B3074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墙体的落地透视玻璃，另按设计施工说明实施。</w:t>
            </w:r>
          </w:p>
        </w:tc>
        <w:tc>
          <w:tcPr>
            <w:tcW w:w="682" w:type="dxa"/>
            <w:vAlign w:val="center"/>
          </w:tcPr>
          <w:p w14:paraId="735CB6C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398A2D4F">
            <w:pPr>
              <w:spacing w:before="62" w:beforeLines="20" w:after="62" w:afterLines="20" w:line="276" w:lineRule="auto"/>
              <w:jc w:val="left"/>
              <w:rPr>
                <w:rFonts w:ascii="Arial" w:hAnsi="Arial" w:cs="Arial"/>
                <w:color w:val="auto"/>
                <w:sz w:val="24"/>
                <w:highlight w:val="none"/>
              </w:rPr>
            </w:pPr>
          </w:p>
        </w:tc>
      </w:tr>
    </w:tbl>
    <w:p w14:paraId="6524D6C6">
      <w:pPr>
        <w:spacing w:before="62" w:beforeLines="20" w:after="62" w:afterLines="20" w:line="276" w:lineRule="auto"/>
        <w:jc w:val="left"/>
        <w:rPr>
          <w:rFonts w:ascii="Arial" w:hAnsi="Arial" w:cs="Arial"/>
          <w:color w:val="auto"/>
          <w:sz w:val="24"/>
          <w:highlight w:val="none"/>
        </w:rPr>
      </w:pPr>
    </w:p>
    <w:p w14:paraId="6ED0A320">
      <w:pPr>
        <w:spacing w:before="62" w:beforeLines="20" w:after="62" w:afterLines="20" w:line="276" w:lineRule="auto"/>
        <w:jc w:val="left"/>
        <w:rPr>
          <w:rFonts w:ascii="Arial" w:hAnsi="Arial" w:cs="Arial"/>
          <w:color w:val="auto"/>
          <w:sz w:val="24"/>
          <w:highlight w:val="none"/>
        </w:rPr>
      </w:pPr>
    </w:p>
    <w:p w14:paraId="39E4A98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6.9</w:t>
      </w:r>
      <w:r>
        <w:rPr>
          <w:rFonts w:ascii="Arial" w:hAnsi="Arial" w:cs="Arial"/>
          <w:color w:val="auto"/>
          <w:sz w:val="24"/>
          <w:highlight w:val="none"/>
        </w:rPr>
        <w:t>视窗安装</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146"/>
        <w:gridCol w:w="643"/>
        <w:gridCol w:w="1086"/>
      </w:tblGrid>
      <w:tr w14:paraId="2BAA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44" w:type="dxa"/>
            <w:tcBorders>
              <w:bottom w:val="single" w:color="auto" w:sz="4" w:space="0"/>
            </w:tcBorders>
            <w:shd w:val="pct20" w:color="auto" w:fill="FFFFFF"/>
            <w:vAlign w:val="center"/>
          </w:tcPr>
          <w:p w14:paraId="26AB5EB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46" w:type="dxa"/>
            <w:tcBorders>
              <w:bottom w:val="single" w:color="auto" w:sz="4" w:space="0"/>
            </w:tcBorders>
            <w:shd w:val="pct20" w:color="auto" w:fill="FFFFFF"/>
            <w:vAlign w:val="center"/>
          </w:tcPr>
          <w:p w14:paraId="21CBC05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43" w:type="dxa"/>
            <w:tcBorders>
              <w:bottom w:val="single" w:color="auto" w:sz="4" w:space="0"/>
            </w:tcBorders>
            <w:shd w:val="pct20" w:color="auto" w:fill="FFFFFF"/>
            <w:vAlign w:val="center"/>
          </w:tcPr>
          <w:p w14:paraId="32C7E40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086" w:type="dxa"/>
            <w:tcBorders>
              <w:bottom w:val="single" w:color="auto" w:sz="4" w:space="0"/>
            </w:tcBorders>
            <w:shd w:val="pct20" w:color="auto" w:fill="FFFFFF"/>
          </w:tcPr>
          <w:p w14:paraId="604E51F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7551848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7EEA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4570886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▲URS6.9-01</w:t>
            </w:r>
          </w:p>
        </w:tc>
        <w:tc>
          <w:tcPr>
            <w:tcW w:w="5146" w:type="dxa"/>
            <w:vAlign w:val="center"/>
          </w:tcPr>
          <w:p w14:paraId="583F87E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功能间门、走道墙壁视窗，中空双层钢化玻璃，窗台高</w:t>
            </w:r>
            <w:r>
              <w:rPr>
                <w:rFonts w:hint="eastAsia" w:ascii="Arial" w:hAnsi="Arial" w:cs="Arial"/>
                <w:color w:val="auto"/>
                <w:sz w:val="24"/>
                <w:highlight w:val="none"/>
              </w:rPr>
              <w:t>度</w:t>
            </w:r>
            <w:r>
              <w:rPr>
                <w:rFonts w:ascii="Arial" w:hAnsi="Arial" w:cs="Arial"/>
                <w:color w:val="auto"/>
                <w:sz w:val="24"/>
                <w:highlight w:val="none"/>
              </w:rPr>
              <w:t>具体尺寸及安装位置依据设计图纸。</w:t>
            </w:r>
          </w:p>
        </w:tc>
        <w:tc>
          <w:tcPr>
            <w:tcW w:w="643" w:type="dxa"/>
            <w:vAlign w:val="center"/>
          </w:tcPr>
          <w:p w14:paraId="7DC584D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376FD74C">
            <w:pPr>
              <w:spacing w:before="62" w:beforeLines="20" w:after="62" w:afterLines="20" w:line="276" w:lineRule="auto"/>
              <w:jc w:val="left"/>
              <w:rPr>
                <w:rFonts w:ascii="Arial" w:hAnsi="Arial" w:cs="Arial"/>
                <w:color w:val="auto"/>
                <w:sz w:val="24"/>
                <w:highlight w:val="none"/>
              </w:rPr>
            </w:pPr>
          </w:p>
        </w:tc>
      </w:tr>
      <w:tr w14:paraId="67D1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0A52EA50">
            <w:pPr>
              <w:rPr>
                <w:color w:val="auto"/>
                <w:highlight w:val="none"/>
              </w:rPr>
            </w:pPr>
            <w:r>
              <w:rPr>
                <w:rFonts w:hint="eastAsia" w:ascii="Arial" w:hAnsi="Arial" w:cs="Arial"/>
                <w:color w:val="auto"/>
                <w:sz w:val="24"/>
                <w:highlight w:val="none"/>
              </w:rPr>
              <w:t>URS6.9-02</w:t>
            </w:r>
          </w:p>
        </w:tc>
        <w:tc>
          <w:tcPr>
            <w:tcW w:w="5146" w:type="dxa"/>
            <w:vAlign w:val="center"/>
          </w:tcPr>
          <w:p w14:paraId="62B455F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外包参观走廊的透视墙，按设计与施工图纸要求</w:t>
            </w:r>
          </w:p>
        </w:tc>
        <w:tc>
          <w:tcPr>
            <w:tcW w:w="643" w:type="dxa"/>
            <w:vAlign w:val="center"/>
          </w:tcPr>
          <w:p w14:paraId="7A80744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7DE6DCD8">
            <w:pPr>
              <w:spacing w:before="62" w:beforeLines="20" w:after="62" w:afterLines="20" w:line="276" w:lineRule="auto"/>
              <w:jc w:val="left"/>
              <w:rPr>
                <w:rFonts w:ascii="Arial" w:hAnsi="Arial" w:cs="Arial"/>
                <w:color w:val="auto"/>
                <w:sz w:val="24"/>
                <w:highlight w:val="none"/>
              </w:rPr>
            </w:pPr>
          </w:p>
        </w:tc>
      </w:tr>
      <w:tr w14:paraId="0E6A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51B228DC">
            <w:pPr>
              <w:rPr>
                <w:color w:val="auto"/>
                <w:highlight w:val="none"/>
              </w:rPr>
            </w:pPr>
            <w:r>
              <w:rPr>
                <w:rFonts w:hint="eastAsia" w:ascii="Arial" w:hAnsi="Arial" w:cs="Arial"/>
                <w:color w:val="auto"/>
                <w:sz w:val="24"/>
                <w:highlight w:val="none"/>
              </w:rPr>
              <w:t>URS6.9-03</w:t>
            </w:r>
          </w:p>
        </w:tc>
        <w:tc>
          <w:tcPr>
            <w:tcW w:w="5146" w:type="dxa"/>
            <w:vAlign w:val="center"/>
          </w:tcPr>
          <w:p w14:paraId="56549C9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透视窗安装与板墙结合平滑，水平安装。采用密封胶对结合部位密封。</w:t>
            </w:r>
          </w:p>
        </w:tc>
        <w:tc>
          <w:tcPr>
            <w:tcW w:w="643" w:type="dxa"/>
          </w:tcPr>
          <w:p w14:paraId="7B3E2D8B">
            <w:pPr>
              <w:rPr>
                <w:color w:val="auto"/>
                <w:highlight w:val="none"/>
              </w:rPr>
            </w:pPr>
            <w:r>
              <w:rPr>
                <w:rFonts w:ascii="Arial" w:hAnsi="Arial" w:cs="Arial"/>
                <w:color w:val="auto"/>
                <w:sz w:val="24"/>
                <w:highlight w:val="none"/>
              </w:rPr>
              <w:t>必需</w:t>
            </w:r>
          </w:p>
        </w:tc>
        <w:tc>
          <w:tcPr>
            <w:tcW w:w="1086" w:type="dxa"/>
            <w:vAlign w:val="center"/>
          </w:tcPr>
          <w:p w14:paraId="3468E3B1">
            <w:pPr>
              <w:spacing w:before="62" w:beforeLines="20" w:after="62" w:afterLines="20" w:line="276" w:lineRule="auto"/>
              <w:jc w:val="left"/>
              <w:rPr>
                <w:rFonts w:ascii="Arial" w:hAnsi="Arial" w:cs="Arial"/>
                <w:color w:val="auto"/>
                <w:sz w:val="24"/>
                <w:highlight w:val="none"/>
              </w:rPr>
            </w:pPr>
          </w:p>
        </w:tc>
      </w:tr>
      <w:tr w14:paraId="1DA9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334C4E4E">
            <w:pPr>
              <w:rPr>
                <w:rFonts w:ascii="Arial" w:hAnsi="Arial" w:cs="Arial"/>
                <w:color w:val="auto"/>
                <w:sz w:val="24"/>
                <w:highlight w:val="none"/>
              </w:rPr>
            </w:pPr>
            <w:r>
              <w:rPr>
                <w:rFonts w:hint="eastAsia" w:ascii="Arial" w:hAnsi="Arial" w:cs="Arial"/>
                <w:color w:val="auto"/>
                <w:sz w:val="24"/>
                <w:highlight w:val="none"/>
              </w:rPr>
              <w:t>URS6.9-04</w:t>
            </w:r>
          </w:p>
        </w:tc>
        <w:tc>
          <w:tcPr>
            <w:tcW w:w="5146" w:type="dxa"/>
            <w:vAlign w:val="center"/>
          </w:tcPr>
          <w:p w14:paraId="1C04A23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视窗其密封性必须良好，可多年保持其密封效果，避免漏气进冷凝水。</w:t>
            </w:r>
          </w:p>
        </w:tc>
        <w:tc>
          <w:tcPr>
            <w:tcW w:w="643" w:type="dxa"/>
          </w:tcPr>
          <w:p w14:paraId="6C0B700B">
            <w:pPr>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38C84226">
            <w:pPr>
              <w:spacing w:before="62" w:beforeLines="20" w:after="62" w:afterLines="20" w:line="276" w:lineRule="auto"/>
              <w:jc w:val="left"/>
              <w:rPr>
                <w:rFonts w:ascii="Arial" w:hAnsi="Arial" w:cs="Arial"/>
                <w:color w:val="auto"/>
                <w:sz w:val="24"/>
                <w:highlight w:val="none"/>
              </w:rPr>
            </w:pPr>
          </w:p>
        </w:tc>
      </w:tr>
    </w:tbl>
    <w:p w14:paraId="1869DC94">
      <w:pPr>
        <w:spacing w:before="62" w:beforeLines="20" w:after="62" w:afterLines="20" w:line="276" w:lineRule="auto"/>
        <w:jc w:val="left"/>
        <w:rPr>
          <w:rFonts w:ascii="Arial" w:hAnsi="Arial" w:cs="Arial"/>
          <w:color w:val="auto"/>
          <w:sz w:val="24"/>
          <w:highlight w:val="none"/>
        </w:rPr>
      </w:pPr>
    </w:p>
    <w:p w14:paraId="5177A53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6.1</w:t>
      </w:r>
      <w:r>
        <w:rPr>
          <w:rFonts w:hint="eastAsia" w:ascii="Arial" w:hAnsi="Arial" w:cs="Arial"/>
          <w:color w:val="auto"/>
          <w:sz w:val="24"/>
          <w:highlight w:val="none"/>
        </w:rPr>
        <w:t>0</w:t>
      </w:r>
      <w:r>
        <w:rPr>
          <w:rFonts w:ascii="Arial" w:hAnsi="Arial" w:cs="Arial"/>
          <w:color w:val="auto"/>
          <w:sz w:val="24"/>
          <w:highlight w:val="none"/>
        </w:rPr>
        <w:t>地面</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4982"/>
        <w:gridCol w:w="638"/>
        <w:gridCol w:w="1122"/>
      </w:tblGrid>
      <w:tr w14:paraId="7739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777" w:type="dxa"/>
            <w:tcBorders>
              <w:bottom w:val="single" w:color="auto" w:sz="4" w:space="0"/>
            </w:tcBorders>
            <w:shd w:val="pct20" w:color="auto" w:fill="FFFFFF"/>
            <w:vAlign w:val="center"/>
          </w:tcPr>
          <w:p w14:paraId="09455C8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4982" w:type="dxa"/>
            <w:tcBorders>
              <w:bottom w:val="single" w:color="auto" w:sz="4" w:space="0"/>
            </w:tcBorders>
            <w:shd w:val="pct20" w:color="auto" w:fill="FFFFFF"/>
            <w:vAlign w:val="center"/>
          </w:tcPr>
          <w:p w14:paraId="3E28B11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38" w:type="dxa"/>
            <w:tcBorders>
              <w:bottom w:val="single" w:color="auto" w:sz="4" w:space="0"/>
            </w:tcBorders>
            <w:shd w:val="pct20" w:color="auto" w:fill="FFFFFF"/>
            <w:vAlign w:val="center"/>
          </w:tcPr>
          <w:p w14:paraId="5D1F022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22" w:type="dxa"/>
            <w:tcBorders>
              <w:bottom w:val="single" w:color="auto" w:sz="4" w:space="0"/>
            </w:tcBorders>
            <w:shd w:val="pct20" w:color="auto" w:fill="FFFFFF"/>
          </w:tcPr>
          <w:p w14:paraId="7225DEC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0135785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6610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77" w:type="dxa"/>
            <w:vAlign w:val="center"/>
          </w:tcPr>
          <w:p w14:paraId="728DACF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-01</w:t>
            </w:r>
          </w:p>
        </w:tc>
        <w:tc>
          <w:tcPr>
            <w:tcW w:w="4982" w:type="dxa"/>
            <w:vAlign w:val="center"/>
          </w:tcPr>
          <w:p w14:paraId="7201F2A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洁净区</w:t>
            </w:r>
            <w:r>
              <w:rPr>
                <w:rFonts w:hint="eastAsia" w:ascii="Arial" w:hAnsi="Arial" w:cs="Arial"/>
                <w:color w:val="auto"/>
                <w:sz w:val="24"/>
                <w:highlight w:val="none"/>
              </w:rPr>
              <w:t>地面/微生物实验室地面采用聚氨酯自流平楼面（燃烧性能B1级），做法如下：（1）3mm厚聚氨酯自流平；（2））聚氨酯底涂1~3道；）（3）清扫原有楼面（材质需要耐过氧化氢腐蚀）。</w:t>
            </w:r>
          </w:p>
          <w:p w14:paraId="54D8BD4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聚氨酯自流平</w:t>
            </w:r>
            <w:r>
              <w:rPr>
                <w:rFonts w:ascii="Arial" w:hAnsi="Arial" w:cs="Arial"/>
                <w:color w:val="auto"/>
                <w:sz w:val="24"/>
                <w:highlight w:val="none"/>
              </w:rPr>
              <w:t>与立板结合</w:t>
            </w:r>
            <w:r>
              <w:rPr>
                <w:rFonts w:hint="eastAsia" w:ascii="Arial" w:hAnsi="Arial" w:cs="Arial"/>
                <w:color w:val="auto"/>
                <w:sz w:val="24"/>
                <w:highlight w:val="none"/>
              </w:rPr>
              <w:t>处采用聚氨酯内圆弧</w:t>
            </w:r>
            <w:r>
              <w:rPr>
                <w:rFonts w:ascii="Arial" w:hAnsi="Arial" w:cs="Arial"/>
                <w:color w:val="auto"/>
                <w:sz w:val="24"/>
                <w:highlight w:val="none"/>
              </w:rPr>
              <w:t>，要求圆滑效果，不得有肉眼可见的明显粗糙感。</w:t>
            </w:r>
          </w:p>
        </w:tc>
        <w:tc>
          <w:tcPr>
            <w:tcW w:w="638" w:type="dxa"/>
            <w:vAlign w:val="center"/>
          </w:tcPr>
          <w:p w14:paraId="26BBC42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79D6EF6F">
            <w:pPr>
              <w:spacing w:before="62" w:beforeLines="20" w:after="62" w:afterLines="20" w:line="276" w:lineRule="auto"/>
              <w:jc w:val="left"/>
              <w:rPr>
                <w:rFonts w:ascii="Arial" w:hAnsi="Arial" w:cs="Arial"/>
                <w:color w:val="auto"/>
                <w:sz w:val="24"/>
                <w:highlight w:val="none"/>
              </w:rPr>
            </w:pPr>
          </w:p>
        </w:tc>
      </w:tr>
      <w:tr w14:paraId="3A5D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1FD6283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w:t>
            </w:r>
            <w:r>
              <w:rPr>
                <w:rFonts w:hint="eastAsia" w:ascii="Arial" w:hAnsi="Arial" w:cs="Arial"/>
                <w:color w:val="auto"/>
                <w:sz w:val="24"/>
                <w:highlight w:val="none"/>
              </w:rPr>
              <w:t>2</w:t>
            </w:r>
          </w:p>
        </w:tc>
        <w:tc>
          <w:tcPr>
            <w:tcW w:w="4982" w:type="dxa"/>
            <w:vAlign w:val="center"/>
          </w:tcPr>
          <w:p w14:paraId="2FE5A2B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普通</w:t>
            </w:r>
            <w:r>
              <w:rPr>
                <w:rFonts w:hint="eastAsia" w:ascii="Arial" w:hAnsi="Arial" w:cs="Arial"/>
                <w:color w:val="auto"/>
                <w:sz w:val="24"/>
                <w:highlight w:val="none"/>
              </w:rPr>
              <w:t>区</w:t>
            </w:r>
            <w:r>
              <w:rPr>
                <w:rFonts w:ascii="Arial" w:hAnsi="Arial" w:cs="Arial"/>
                <w:color w:val="auto"/>
                <w:sz w:val="24"/>
                <w:highlight w:val="none"/>
              </w:rPr>
              <w:t>地面</w:t>
            </w:r>
            <w:r>
              <w:rPr>
                <w:rFonts w:hint="eastAsia" w:ascii="Arial" w:hAnsi="Arial" w:cs="Arial"/>
                <w:color w:val="auto"/>
                <w:sz w:val="24"/>
                <w:highlight w:val="none"/>
              </w:rPr>
              <w:t>/</w:t>
            </w:r>
            <w:r>
              <w:rPr>
                <w:rFonts w:ascii="Arial" w:hAnsi="Arial" w:cs="Arial"/>
                <w:color w:val="auto"/>
                <w:sz w:val="24"/>
                <w:highlight w:val="none"/>
              </w:rPr>
              <w:t>普通</w:t>
            </w:r>
            <w:r>
              <w:rPr>
                <w:rFonts w:hint="eastAsia" w:ascii="Arial" w:hAnsi="Arial" w:cs="Arial"/>
                <w:color w:val="auto"/>
                <w:sz w:val="24"/>
                <w:highlight w:val="none"/>
              </w:rPr>
              <w:t>实验室区</w:t>
            </w:r>
            <w:r>
              <w:rPr>
                <w:rFonts w:ascii="Arial" w:hAnsi="Arial" w:cs="Arial"/>
                <w:color w:val="auto"/>
                <w:sz w:val="24"/>
                <w:highlight w:val="none"/>
              </w:rPr>
              <w:t>地面采用环氧彩沙</w:t>
            </w:r>
            <w:r>
              <w:rPr>
                <w:rFonts w:hint="eastAsia" w:ascii="Arial" w:hAnsi="Arial" w:cs="Arial"/>
                <w:color w:val="auto"/>
                <w:sz w:val="24"/>
                <w:highlight w:val="none"/>
              </w:rPr>
              <w:t>楼</w:t>
            </w:r>
            <w:r>
              <w:rPr>
                <w:rFonts w:ascii="Arial" w:hAnsi="Arial" w:cs="Arial"/>
                <w:color w:val="auto"/>
                <w:sz w:val="24"/>
                <w:highlight w:val="none"/>
              </w:rPr>
              <w:t>面</w:t>
            </w:r>
            <w:r>
              <w:rPr>
                <w:rFonts w:hint="eastAsia" w:ascii="Arial" w:hAnsi="Arial" w:cs="Arial"/>
                <w:color w:val="auto"/>
                <w:sz w:val="24"/>
                <w:highlight w:val="none"/>
              </w:rPr>
              <w:t>（燃烧性能B1级），做法如下：（1）4mm厚环氧砂浆自流平面层；（2）清扫原有楼面。</w:t>
            </w:r>
          </w:p>
          <w:p w14:paraId="35DF2E9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环氧彩砂自流平</w:t>
            </w:r>
            <w:r>
              <w:rPr>
                <w:rFonts w:ascii="Arial" w:hAnsi="Arial" w:cs="Arial"/>
                <w:color w:val="auto"/>
                <w:sz w:val="24"/>
                <w:highlight w:val="none"/>
              </w:rPr>
              <w:t>与立板结合</w:t>
            </w:r>
            <w:r>
              <w:rPr>
                <w:rFonts w:hint="eastAsia" w:ascii="Arial" w:hAnsi="Arial" w:cs="Arial"/>
                <w:color w:val="auto"/>
                <w:sz w:val="24"/>
                <w:highlight w:val="none"/>
              </w:rPr>
              <w:t>处采用环氧彩砂内圆弧</w:t>
            </w:r>
            <w:r>
              <w:rPr>
                <w:rFonts w:ascii="Arial" w:hAnsi="Arial" w:cs="Arial"/>
                <w:color w:val="auto"/>
                <w:sz w:val="24"/>
                <w:highlight w:val="none"/>
              </w:rPr>
              <w:t>，要求圆滑效果，不得有肉眼可见的明显粗糙感。</w:t>
            </w:r>
          </w:p>
        </w:tc>
        <w:tc>
          <w:tcPr>
            <w:tcW w:w="638" w:type="dxa"/>
            <w:vAlign w:val="center"/>
          </w:tcPr>
          <w:p w14:paraId="20C8E14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37EC5177">
            <w:pPr>
              <w:spacing w:before="62" w:beforeLines="20" w:after="62" w:afterLines="20" w:line="276" w:lineRule="auto"/>
              <w:jc w:val="left"/>
              <w:rPr>
                <w:rFonts w:ascii="Arial" w:hAnsi="Arial" w:cs="Arial"/>
                <w:color w:val="auto"/>
                <w:sz w:val="24"/>
                <w:highlight w:val="none"/>
              </w:rPr>
            </w:pPr>
          </w:p>
        </w:tc>
      </w:tr>
      <w:tr w14:paraId="2962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12D5866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w:t>
            </w:r>
            <w:r>
              <w:rPr>
                <w:rFonts w:hint="eastAsia" w:ascii="Arial" w:hAnsi="Arial" w:cs="Arial"/>
                <w:color w:val="auto"/>
                <w:sz w:val="24"/>
                <w:highlight w:val="none"/>
              </w:rPr>
              <w:t>3</w:t>
            </w:r>
          </w:p>
        </w:tc>
        <w:tc>
          <w:tcPr>
            <w:tcW w:w="4982" w:type="dxa"/>
            <w:vAlign w:val="center"/>
          </w:tcPr>
          <w:p w14:paraId="4C65356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按大分区一次性施工，避免出现接口导致颜色、高低、不规程的效果出现。</w:t>
            </w:r>
          </w:p>
        </w:tc>
        <w:tc>
          <w:tcPr>
            <w:tcW w:w="638" w:type="dxa"/>
            <w:vAlign w:val="center"/>
          </w:tcPr>
          <w:p w14:paraId="781B0AB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0B422767">
            <w:pPr>
              <w:spacing w:before="62" w:beforeLines="20" w:after="62" w:afterLines="20" w:line="276" w:lineRule="auto"/>
              <w:jc w:val="left"/>
              <w:rPr>
                <w:rFonts w:ascii="Arial" w:hAnsi="Arial" w:cs="Arial"/>
                <w:color w:val="auto"/>
                <w:sz w:val="24"/>
                <w:highlight w:val="none"/>
              </w:rPr>
            </w:pPr>
          </w:p>
        </w:tc>
      </w:tr>
      <w:tr w14:paraId="5118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12085FC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w:t>
            </w:r>
            <w:r>
              <w:rPr>
                <w:rFonts w:hint="eastAsia" w:ascii="Arial" w:hAnsi="Arial" w:cs="Arial"/>
                <w:color w:val="auto"/>
                <w:sz w:val="24"/>
                <w:highlight w:val="none"/>
              </w:rPr>
              <w:t>4</w:t>
            </w:r>
          </w:p>
        </w:tc>
        <w:tc>
          <w:tcPr>
            <w:tcW w:w="4982" w:type="dxa"/>
            <w:vAlign w:val="center"/>
          </w:tcPr>
          <w:p w14:paraId="6CF1E8F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包含地面收缩缝的结合处理，提供施工方案建设方确认。</w:t>
            </w:r>
          </w:p>
        </w:tc>
        <w:tc>
          <w:tcPr>
            <w:tcW w:w="638" w:type="dxa"/>
            <w:vAlign w:val="center"/>
          </w:tcPr>
          <w:p w14:paraId="148FF75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7E038ECA">
            <w:pPr>
              <w:spacing w:before="62" w:beforeLines="20" w:after="62" w:afterLines="20" w:line="276" w:lineRule="auto"/>
              <w:jc w:val="left"/>
              <w:rPr>
                <w:rFonts w:ascii="Arial" w:hAnsi="Arial" w:cs="Arial"/>
                <w:color w:val="auto"/>
                <w:sz w:val="24"/>
                <w:highlight w:val="none"/>
              </w:rPr>
            </w:pPr>
          </w:p>
        </w:tc>
      </w:tr>
      <w:tr w14:paraId="22D2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1169E22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w:t>
            </w:r>
            <w:r>
              <w:rPr>
                <w:rFonts w:hint="eastAsia" w:ascii="Arial" w:hAnsi="Arial" w:cs="Arial"/>
                <w:color w:val="auto"/>
                <w:sz w:val="24"/>
                <w:highlight w:val="none"/>
              </w:rPr>
              <w:t>5</w:t>
            </w:r>
          </w:p>
        </w:tc>
        <w:tc>
          <w:tcPr>
            <w:tcW w:w="4982" w:type="dxa"/>
            <w:vAlign w:val="center"/>
          </w:tcPr>
          <w:p w14:paraId="61D1C0C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包含原有的地面孔洞修复，以及无用的下水地漏。</w:t>
            </w:r>
          </w:p>
        </w:tc>
        <w:tc>
          <w:tcPr>
            <w:tcW w:w="638" w:type="dxa"/>
            <w:vAlign w:val="center"/>
          </w:tcPr>
          <w:p w14:paraId="44B98E9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22004DD6">
            <w:pPr>
              <w:spacing w:before="62" w:beforeLines="20" w:after="62" w:afterLines="20" w:line="276" w:lineRule="auto"/>
              <w:jc w:val="left"/>
              <w:rPr>
                <w:rFonts w:ascii="Arial" w:hAnsi="Arial" w:cs="Arial"/>
                <w:color w:val="auto"/>
                <w:sz w:val="24"/>
                <w:highlight w:val="none"/>
              </w:rPr>
            </w:pPr>
          </w:p>
        </w:tc>
      </w:tr>
      <w:tr w14:paraId="43E6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43CBF55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10</w:t>
            </w:r>
            <w:r>
              <w:rPr>
                <w:rFonts w:ascii="Arial" w:hAnsi="Arial" w:cs="Arial"/>
                <w:color w:val="auto"/>
                <w:sz w:val="24"/>
                <w:highlight w:val="none"/>
              </w:rPr>
              <w:t>-0</w:t>
            </w:r>
            <w:r>
              <w:rPr>
                <w:rFonts w:hint="eastAsia" w:ascii="Arial" w:hAnsi="Arial" w:cs="Arial"/>
                <w:color w:val="auto"/>
                <w:sz w:val="24"/>
                <w:highlight w:val="none"/>
              </w:rPr>
              <w:t>6</w:t>
            </w:r>
          </w:p>
        </w:tc>
        <w:tc>
          <w:tcPr>
            <w:tcW w:w="4982" w:type="dxa"/>
            <w:vAlign w:val="center"/>
          </w:tcPr>
          <w:p w14:paraId="39B2266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结合设备布置，施工平整度应往地漏方向倾斜，避免地面积水</w:t>
            </w:r>
          </w:p>
        </w:tc>
        <w:tc>
          <w:tcPr>
            <w:tcW w:w="638" w:type="dxa"/>
            <w:vAlign w:val="center"/>
          </w:tcPr>
          <w:p w14:paraId="55367BB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71A4F35C">
            <w:pPr>
              <w:spacing w:before="62" w:beforeLines="20" w:after="62" w:afterLines="20" w:line="276" w:lineRule="auto"/>
              <w:jc w:val="left"/>
              <w:rPr>
                <w:rFonts w:ascii="Arial" w:hAnsi="Arial" w:cs="Arial"/>
                <w:color w:val="auto"/>
                <w:sz w:val="24"/>
                <w:highlight w:val="none"/>
              </w:rPr>
            </w:pPr>
          </w:p>
        </w:tc>
      </w:tr>
    </w:tbl>
    <w:p w14:paraId="79EC15BB">
      <w:pPr>
        <w:spacing w:before="62" w:beforeLines="20" w:after="62" w:afterLines="20" w:line="276" w:lineRule="auto"/>
        <w:jc w:val="left"/>
        <w:rPr>
          <w:rFonts w:ascii="Arial" w:hAnsi="Arial" w:cs="Arial"/>
          <w:color w:val="auto"/>
          <w:sz w:val="24"/>
          <w:highlight w:val="none"/>
        </w:rPr>
      </w:pPr>
    </w:p>
    <w:p w14:paraId="3DA58AF3">
      <w:pPr>
        <w:spacing w:before="62" w:beforeLines="20" w:after="62" w:afterLines="20" w:line="276" w:lineRule="auto"/>
        <w:jc w:val="left"/>
        <w:rPr>
          <w:rFonts w:ascii="Arial" w:hAnsi="Arial" w:cs="Arial"/>
          <w:color w:val="auto"/>
          <w:sz w:val="24"/>
          <w:highlight w:val="none"/>
        </w:rPr>
      </w:pPr>
    </w:p>
    <w:p w14:paraId="403209F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6.11地面安装</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5187"/>
        <w:gridCol w:w="685"/>
        <w:gridCol w:w="1128"/>
      </w:tblGrid>
      <w:tr w14:paraId="3A62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19" w:type="dxa"/>
            <w:tcBorders>
              <w:bottom w:val="single" w:color="auto" w:sz="4" w:space="0"/>
            </w:tcBorders>
            <w:shd w:val="pct20" w:color="auto" w:fill="FFFFFF"/>
            <w:vAlign w:val="center"/>
          </w:tcPr>
          <w:p w14:paraId="79E01E0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87" w:type="dxa"/>
            <w:tcBorders>
              <w:bottom w:val="single" w:color="auto" w:sz="4" w:space="0"/>
            </w:tcBorders>
            <w:shd w:val="pct20" w:color="auto" w:fill="FFFFFF"/>
            <w:vAlign w:val="center"/>
          </w:tcPr>
          <w:p w14:paraId="1FAE76F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5" w:type="dxa"/>
            <w:tcBorders>
              <w:bottom w:val="single" w:color="auto" w:sz="4" w:space="0"/>
            </w:tcBorders>
            <w:shd w:val="pct20" w:color="auto" w:fill="FFFFFF"/>
            <w:vAlign w:val="center"/>
          </w:tcPr>
          <w:p w14:paraId="2155B4C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28" w:type="dxa"/>
            <w:tcBorders>
              <w:bottom w:val="single" w:color="auto" w:sz="4" w:space="0"/>
            </w:tcBorders>
            <w:shd w:val="pct20" w:color="auto" w:fill="FFFFFF"/>
          </w:tcPr>
          <w:p w14:paraId="63B7B6D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28E082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71E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9" w:type="dxa"/>
            <w:vAlign w:val="center"/>
          </w:tcPr>
          <w:p w14:paraId="009D316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URS6.11-01</w:t>
            </w:r>
          </w:p>
        </w:tc>
        <w:tc>
          <w:tcPr>
            <w:tcW w:w="5187" w:type="dxa"/>
            <w:vAlign w:val="center"/>
          </w:tcPr>
          <w:p w14:paraId="3DBB042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环氧彩砂</w:t>
            </w:r>
            <w:r>
              <w:rPr>
                <w:rFonts w:hint="eastAsia" w:ascii="Arial" w:hAnsi="Arial" w:cs="Arial"/>
                <w:color w:val="auto"/>
                <w:sz w:val="24"/>
                <w:highlight w:val="none"/>
              </w:rPr>
              <w:t>楼面采用部位详见地面铺装平面图</w:t>
            </w:r>
            <w:r>
              <w:rPr>
                <w:rFonts w:ascii="Arial" w:hAnsi="Arial" w:cs="Arial"/>
                <w:color w:val="auto"/>
                <w:sz w:val="24"/>
                <w:highlight w:val="none"/>
              </w:rPr>
              <w:t>，地面需耐磨、耐压、耐腐蚀、不产尘。</w:t>
            </w:r>
          </w:p>
        </w:tc>
        <w:tc>
          <w:tcPr>
            <w:tcW w:w="685" w:type="dxa"/>
            <w:vAlign w:val="center"/>
          </w:tcPr>
          <w:p w14:paraId="5EE0C2F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8" w:type="dxa"/>
            <w:vAlign w:val="center"/>
          </w:tcPr>
          <w:p w14:paraId="4B9C745D">
            <w:pPr>
              <w:spacing w:before="62" w:beforeLines="20" w:after="62" w:afterLines="20" w:line="276" w:lineRule="auto"/>
              <w:jc w:val="left"/>
              <w:rPr>
                <w:rFonts w:ascii="Arial" w:hAnsi="Arial" w:cs="Arial"/>
                <w:color w:val="auto"/>
                <w:sz w:val="24"/>
                <w:highlight w:val="none"/>
              </w:rPr>
            </w:pPr>
          </w:p>
        </w:tc>
      </w:tr>
      <w:tr w14:paraId="3E42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9" w:type="dxa"/>
          </w:tcPr>
          <w:p w14:paraId="02AF8C5E">
            <w:pPr>
              <w:rPr>
                <w:color w:val="auto"/>
                <w:highlight w:val="none"/>
              </w:rPr>
            </w:pPr>
            <w:r>
              <w:rPr>
                <w:rFonts w:hint="eastAsia" w:ascii="Arial" w:hAnsi="Arial" w:cs="Arial"/>
                <w:color w:val="auto"/>
                <w:sz w:val="24"/>
                <w:highlight w:val="none"/>
              </w:rPr>
              <w:t>URS6.11-02</w:t>
            </w:r>
          </w:p>
        </w:tc>
        <w:tc>
          <w:tcPr>
            <w:tcW w:w="5187" w:type="dxa"/>
            <w:vAlign w:val="center"/>
          </w:tcPr>
          <w:p w14:paraId="1DD3578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必须保证房间与房间之间不得有渗水现象。</w:t>
            </w:r>
          </w:p>
        </w:tc>
        <w:tc>
          <w:tcPr>
            <w:tcW w:w="685" w:type="dxa"/>
            <w:vAlign w:val="center"/>
          </w:tcPr>
          <w:p w14:paraId="2C6B94D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8" w:type="dxa"/>
            <w:vAlign w:val="center"/>
          </w:tcPr>
          <w:p w14:paraId="54513D64">
            <w:pPr>
              <w:spacing w:before="62" w:beforeLines="20" w:after="62" w:afterLines="20" w:line="276" w:lineRule="auto"/>
              <w:jc w:val="left"/>
              <w:rPr>
                <w:rFonts w:ascii="Arial" w:hAnsi="Arial" w:cs="Arial"/>
                <w:color w:val="auto"/>
                <w:sz w:val="24"/>
                <w:highlight w:val="none"/>
              </w:rPr>
            </w:pPr>
          </w:p>
        </w:tc>
      </w:tr>
      <w:tr w14:paraId="4409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9" w:type="dxa"/>
          </w:tcPr>
          <w:p w14:paraId="6368C823">
            <w:pPr>
              <w:rPr>
                <w:color w:val="auto"/>
                <w:highlight w:val="none"/>
              </w:rPr>
            </w:pPr>
            <w:r>
              <w:rPr>
                <w:rFonts w:hint="eastAsia" w:ascii="Arial" w:hAnsi="Arial" w:cs="Arial"/>
                <w:color w:val="auto"/>
                <w:sz w:val="24"/>
                <w:highlight w:val="none"/>
              </w:rPr>
              <w:t>URS6.11-03</w:t>
            </w:r>
          </w:p>
        </w:tc>
        <w:tc>
          <w:tcPr>
            <w:tcW w:w="5187" w:type="dxa"/>
            <w:vAlign w:val="center"/>
          </w:tcPr>
          <w:p w14:paraId="26A23ED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必须保证地漏位于排水的最低点；走廊比房间水平稍高，保证房间的水不会流到走廊。</w:t>
            </w:r>
          </w:p>
        </w:tc>
        <w:tc>
          <w:tcPr>
            <w:tcW w:w="685" w:type="dxa"/>
            <w:vAlign w:val="center"/>
          </w:tcPr>
          <w:p w14:paraId="2FEA882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8" w:type="dxa"/>
            <w:vAlign w:val="center"/>
          </w:tcPr>
          <w:p w14:paraId="05F46A55">
            <w:pPr>
              <w:spacing w:before="62" w:beforeLines="20" w:after="62" w:afterLines="20" w:line="276" w:lineRule="auto"/>
              <w:jc w:val="left"/>
              <w:rPr>
                <w:rFonts w:ascii="Arial" w:hAnsi="Arial" w:cs="Arial"/>
                <w:color w:val="auto"/>
                <w:sz w:val="24"/>
                <w:highlight w:val="none"/>
              </w:rPr>
            </w:pPr>
          </w:p>
        </w:tc>
      </w:tr>
      <w:tr w14:paraId="0534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9" w:type="dxa"/>
          </w:tcPr>
          <w:p w14:paraId="0BC67DB0">
            <w:pPr>
              <w:rPr>
                <w:rFonts w:ascii="Arial" w:hAnsi="Arial" w:cs="Arial"/>
                <w:color w:val="auto"/>
                <w:sz w:val="24"/>
                <w:highlight w:val="none"/>
              </w:rPr>
            </w:pPr>
            <w:r>
              <w:rPr>
                <w:rFonts w:hint="eastAsia" w:ascii="Arial" w:hAnsi="Arial" w:cs="Arial"/>
                <w:color w:val="auto"/>
                <w:sz w:val="24"/>
                <w:highlight w:val="none"/>
              </w:rPr>
              <w:t>URS6.11-04</w:t>
            </w:r>
          </w:p>
        </w:tc>
        <w:tc>
          <w:tcPr>
            <w:tcW w:w="5187" w:type="dxa"/>
            <w:vAlign w:val="center"/>
          </w:tcPr>
          <w:p w14:paraId="72448CC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上墙连接，必须光滑，无肉眼可见的粗糙感</w:t>
            </w:r>
          </w:p>
        </w:tc>
        <w:tc>
          <w:tcPr>
            <w:tcW w:w="685" w:type="dxa"/>
            <w:vAlign w:val="center"/>
          </w:tcPr>
          <w:p w14:paraId="7F01EFF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8" w:type="dxa"/>
            <w:vAlign w:val="center"/>
          </w:tcPr>
          <w:p w14:paraId="51813534">
            <w:pPr>
              <w:spacing w:before="62" w:beforeLines="20" w:after="62" w:afterLines="20" w:line="276" w:lineRule="auto"/>
              <w:jc w:val="left"/>
              <w:rPr>
                <w:rFonts w:ascii="Arial" w:hAnsi="Arial" w:cs="Arial"/>
                <w:color w:val="auto"/>
                <w:sz w:val="24"/>
                <w:highlight w:val="none"/>
              </w:rPr>
            </w:pPr>
          </w:p>
        </w:tc>
      </w:tr>
    </w:tbl>
    <w:p w14:paraId="21D0FCFB">
      <w:pPr>
        <w:spacing w:before="62" w:beforeLines="20" w:after="62" w:afterLines="20" w:line="276" w:lineRule="auto"/>
        <w:jc w:val="left"/>
        <w:rPr>
          <w:rFonts w:ascii="Arial" w:hAnsi="Arial" w:cs="Arial"/>
          <w:color w:val="auto"/>
          <w:sz w:val="24"/>
          <w:highlight w:val="none"/>
        </w:rPr>
      </w:pPr>
    </w:p>
    <w:p w14:paraId="289ED86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6.</w:t>
      </w:r>
      <w:r>
        <w:rPr>
          <w:rFonts w:hint="eastAsia" w:ascii="Arial" w:hAnsi="Arial" w:cs="Arial"/>
          <w:color w:val="auto"/>
          <w:sz w:val="24"/>
          <w:highlight w:val="none"/>
        </w:rPr>
        <w:t>1</w:t>
      </w:r>
      <w:r>
        <w:rPr>
          <w:rFonts w:ascii="Arial" w:hAnsi="Arial" w:cs="Arial"/>
          <w:color w:val="auto"/>
          <w:sz w:val="24"/>
          <w:highlight w:val="none"/>
        </w:rPr>
        <w:t>2安装与施工要求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4982"/>
        <w:gridCol w:w="639"/>
        <w:gridCol w:w="1123"/>
      </w:tblGrid>
      <w:tr w14:paraId="6E98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775" w:type="dxa"/>
            <w:tcBorders>
              <w:bottom w:val="single" w:color="auto" w:sz="4" w:space="0"/>
            </w:tcBorders>
            <w:shd w:val="pct20" w:color="auto" w:fill="FFFFFF"/>
            <w:vAlign w:val="center"/>
          </w:tcPr>
          <w:p w14:paraId="7FAAA58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4982" w:type="dxa"/>
            <w:tcBorders>
              <w:bottom w:val="single" w:color="auto" w:sz="4" w:space="0"/>
            </w:tcBorders>
            <w:shd w:val="pct20" w:color="auto" w:fill="FFFFFF"/>
            <w:vAlign w:val="center"/>
          </w:tcPr>
          <w:p w14:paraId="490F218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39" w:type="dxa"/>
            <w:tcBorders>
              <w:bottom w:val="single" w:color="auto" w:sz="4" w:space="0"/>
            </w:tcBorders>
            <w:shd w:val="pct20" w:color="auto" w:fill="FFFFFF"/>
            <w:vAlign w:val="center"/>
          </w:tcPr>
          <w:p w14:paraId="4CF2D95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23" w:type="dxa"/>
            <w:tcBorders>
              <w:bottom w:val="single" w:color="auto" w:sz="4" w:space="0"/>
            </w:tcBorders>
            <w:shd w:val="pct20" w:color="auto" w:fill="FFFFFF"/>
          </w:tcPr>
          <w:p w14:paraId="4C30DCB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1A72D0D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7D18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75" w:type="dxa"/>
            <w:vAlign w:val="center"/>
          </w:tcPr>
          <w:p w14:paraId="190D2B2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2-01</w:t>
            </w:r>
          </w:p>
        </w:tc>
        <w:tc>
          <w:tcPr>
            <w:tcW w:w="4982" w:type="dxa"/>
            <w:vAlign w:val="center"/>
          </w:tcPr>
          <w:p w14:paraId="04A9DF4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立板顶口，吊顶板两端扣等应作密封处理，防止来自上方空间的污染，或者冷热问题导致板材有水腐蚀板墙。</w:t>
            </w:r>
          </w:p>
        </w:tc>
        <w:tc>
          <w:tcPr>
            <w:tcW w:w="639" w:type="dxa"/>
            <w:vAlign w:val="center"/>
          </w:tcPr>
          <w:p w14:paraId="2844BE6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3AAEF8DF">
            <w:pPr>
              <w:spacing w:before="62" w:beforeLines="20" w:after="62" w:afterLines="20" w:line="276" w:lineRule="auto"/>
              <w:jc w:val="left"/>
              <w:rPr>
                <w:rFonts w:ascii="Arial" w:hAnsi="Arial" w:cs="Arial"/>
                <w:color w:val="auto"/>
                <w:sz w:val="24"/>
                <w:highlight w:val="none"/>
              </w:rPr>
            </w:pPr>
          </w:p>
        </w:tc>
      </w:tr>
      <w:tr w14:paraId="3F43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6AD6643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2-02</w:t>
            </w:r>
          </w:p>
        </w:tc>
        <w:tc>
          <w:tcPr>
            <w:tcW w:w="4982" w:type="dxa"/>
            <w:vAlign w:val="center"/>
          </w:tcPr>
          <w:p w14:paraId="6247F85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壁板安装前必须放线，墙角应垂直交接，防止累计误差造成壁板倾斜扭曲，壁板的垂直度偏差不应大于0.2%。</w:t>
            </w:r>
          </w:p>
        </w:tc>
        <w:tc>
          <w:tcPr>
            <w:tcW w:w="639" w:type="dxa"/>
            <w:vAlign w:val="center"/>
          </w:tcPr>
          <w:p w14:paraId="62BEEE3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5671D320">
            <w:pPr>
              <w:spacing w:before="62" w:beforeLines="20" w:after="62" w:afterLines="20" w:line="276" w:lineRule="auto"/>
              <w:jc w:val="left"/>
              <w:rPr>
                <w:rFonts w:ascii="Arial" w:hAnsi="Arial" w:cs="Arial"/>
                <w:color w:val="auto"/>
                <w:sz w:val="24"/>
                <w:highlight w:val="none"/>
              </w:rPr>
            </w:pPr>
          </w:p>
        </w:tc>
      </w:tr>
      <w:tr w14:paraId="50AB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250FF66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2-03</w:t>
            </w:r>
          </w:p>
        </w:tc>
        <w:tc>
          <w:tcPr>
            <w:tcW w:w="4982" w:type="dxa"/>
            <w:vAlign w:val="center"/>
          </w:tcPr>
          <w:p w14:paraId="6EF025C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应妥善保管待安装的彩板，对于已安装的彩板应进行围挡保护。安装过程中应不得撕下壁板表面塑料保护膜，禁止撞击和踩踏板面。对于安装后发现表面损坏的彩板，须及时进行更换。</w:t>
            </w:r>
          </w:p>
        </w:tc>
        <w:tc>
          <w:tcPr>
            <w:tcW w:w="639" w:type="dxa"/>
            <w:vAlign w:val="center"/>
          </w:tcPr>
          <w:p w14:paraId="34170F2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13F1E860">
            <w:pPr>
              <w:spacing w:before="62" w:beforeLines="20" w:after="62" w:afterLines="20" w:line="276" w:lineRule="auto"/>
              <w:jc w:val="left"/>
              <w:rPr>
                <w:rFonts w:ascii="Arial" w:hAnsi="Arial" w:cs="Arial"/>
                <w:color w:val="auto"/>
                <w:sz w:val="24"/>
                <w:highlight w:val="none"/>
              </w:rPr>
            </w:pPr>
          </w:p>
        </w:tc>
      </w:tr>
      <w:tr w14:paraId="6E6A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20C4D77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2-04</w:t>
            </w:r>
          </w:p>
        </w:tc>
        <w:tc>
          <w:tcPr>
            <w:tcW w:w="4982" w:type="dxa"/>
            <w:vAlign w:val="center"/>
          </w:tcPr>
          <w:p w14:paraId="50804CA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厂房须按业主方确认的设计图纸施工，施工中若发现存在设计缺陷，应及时提出，并在接到设计单位或业主方的变更通知后方可。</w:t>
            </w:r>
          </w:p>
        </w:tc>
        <w:tc>
          <w:tcPr>
            <w:tcW w:w="639" w:type="dxa"/>
            <w:vAlign w:val="center"/>
          </w:tcPr>
          <w:p w14:paraId="1095A81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37BF65BD">
            <w:pPr>
              <w:spacing w:before="62" w:beforeLines="20" w:after="62" w:afterLines="20" w:line="276" w:lineRule="auto"/>
              <w:jc w:val="left"/>
              <w:rPr>
                <w:rFonts w:ascii="Arial" w:hAnsi="Arial" w:cs="Arial"/>
                <w:color w:val="auto"/>
                <w:sz w:val="24"/>
                <w:highlight w:val="none"/>
              </w:rPr>
            </w:pPr>
          </w:p>
        </w:tc>
      </w:tr>
      <w:tr w14:paraId="3A07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2A77E5F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2-05</w:t>
            </w:r>
          </w:p>
        </w:tc>
        <w:tc>
          <w:tcPr>
            <w:tcW w:w="4982" w:type="dxa"/>
            <w:vAlign w:val="center"/>
          </w:tcPr>
          <w:p w14:paraId="49D4884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各种构配件和材料应存放在有围护结构的清洁、干燥的环境中，平整地放置在防潮膜上。</w:t>
            </w:r>
          </w:p>
        </w:tc>
        <w:tc>
          <w:tcPr>
            <w:tcW w:w="639" w:type="dxa"/>
            <w:vAlign w:val="center"/>
          </w:tcPr>
          <w:p w14:paraId="1A090BC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55126A36">
            <w:pPr>
              <w:spacing w:before="62" w:beforeLines="20" w:after="62" w:afterLines="20" w:line="276" w:lineRule="auto"/>
              <w:jc w:val="left"/>
              <w:rPr>
                <w:rFonts w:ascii="Arial" w:hAnsi="Arial" w:cs="Arial"/>
                <w:color w:val="auto"/>
                <w:sz w:val="24"/>
                <w:highlight w:val="none"/>
              </w:rPr>
            </w:pPr>
          </w:p>
        </w:tc>
      </w:tr>
      <w:tr w14:paraId="0D2B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68C7850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2-06</w:t>
            </w:r>
          </w:p>
        </w:tc>
        <w:tc>
          <w:tcPr>
            <w:tcW w:w="4982" w:type="dxa"/>
            <w:vAlign w:val="center"/>
          </w:tcPr>
          <w:p w14:paraId="0CA581C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开箱启封（尤其是高效过滤器）应在清洁环境中进行，应严格检查其规格性能和完好程度，不合格或已损坏的配件严禁安装。</w:t>
            </w:r>
          </w:p>
        </w:tc>
        <w:tc>
          <w:tcPr>
            <w:tcW w:w="639" w:type="dxa"/>
            <w:vAlign w:val="center"/>
          </w:tcPr>
          <w:p w14:paraId="776A0D4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318D8E0C">
            <w:pPr>
              <w:spacing w:before="62" w:beforeLines="20" w:after="62" w:afterLines="20" w:line="276" w:lineRule="auto"/>
              <w:jc w:val="left"/>
              <w:rPr>
                <w:rFonts w:ascii="Arial" w:hAnsi="Arial" w:cs="Arial"/>
                <w:color w:val="auto"/>
                <w:sz w:val="24"/>
                <w:highlight w:val="none"/>
              </w:rPr>
            </w:pPr>
          </w:p>
        </w:tc>
      </w:tr>
      <w:tr w14:paraId="6B68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26E64E2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2-07</w:t>
            </w:r>
          </w:p>
        </w:tc>
        <w:tc>
          <w:tcPr>
            <w:tcW w:w="4982" w:type="dxa"/>
            <w:vAlign w:val="center"/>
          </w:tcPr>
          <w:p w14:paraId="556C197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施工结束后负责清理吊顶及夹层内的施工垃圾，保证夹层卫生要求。</w:t>
            </w:r>
          </w:p>
        </w:tc>
        <w:tc>
          <w:tcPr>
            <w:tcW w:w="639" w:type="dxa"/>
            <w:vAlign w:val="center"/>
          </w:tcPr>
          <w:p w14:paraId="219B684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45E40B22">
            <w:pPr>
              <w:spacing w:before="62" w:beforeLines="20" w:after="62" w:afterLines="20" w:line="276" w:lineRule="auto"/>
              <w:jc w:val="left"/>
              <w:rPr>
                <w:rFonts w:ascii="Arial" w:hAnsi="Arial" w:cs="Arial"/>
                <w:color w:val="auto"/>
                <w:sz w:val="24"/>
                <w:highlight w:val="none"/>
              </w:rPr>
            </w:pPr>
          </w:p>
        </w:tc>
      </w:tr>
      <w:tr w14:paraId="22A5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633C6A1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2-08</w:t>
            </w:r>
          </w:p>
        </w:tc>
        <w:tc>
          <w:tcPr>
            <w:tcW w:w="4982" w:type="dxa"/>
            <w:vAlign w:val="center"/>
          </w:tcPr>
          <w:p w14:paraId="513E02B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未经业主方同意不得将工程项目委托他方进行安装，安装人员需为有经验的熟练技工。</w:t>
            </w:r>
          </w:p>
        </w:tc>
        <w:tc>
          <w:tcPr>
            <w:tcW w:w="639" w:type="dxa"/>
            <w:vAlign w:val="center"/>
          </w:tcPr>
          <w:p w14:paraId="33C137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4888B116">
            <w:pPr>
              <w:spacing w:before="62" w:beforeLines="20" w:after="62" w:afterLines="20" w:line="276" w:lineRule="auto"/>
              <w:jc w:val="left"/>
              <w:rPr>
                <w:rFonts w:ascii="Arial" w:hAnsi="Arial" w:cs="Arial"/>
                <w:color w:val="auto"/>
                <w:sz w:val="24"/>
                <w:highlight w:val="none"/>
              </w:rPr>
            </w:pPr>
          </w:p>
        </w:tc>
      </w:tr>
      <w:tr w14:paraId="389F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1CBFE48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2-09</w:t>
            </w:r>
          </w:p>
        </w:tc>
        <w:tc>
          <w:tcPr>
            <w:tcW w:w="4982" w:type="dxa"/>
            <w:vAlign w:val="center"/>
          </w:tcPr>
          <w:p w14:paraId="3FD1AD6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施工方必须按确认的进度计划组织施工，接受业主方对工程进度的检查、监督。</w:t>
            </w:r>
          </w:p>
        </w:tc>
        <w:tc>
          <w:tcPr>
            <w:tcW w:w="639" w:type="dxa"/>
            <w:vAlign w:val="center"/>
          </w:tcPr>
          <w:p w14:paraId="5CB1481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749C9A17">
            <w:pPr>
              <w:spacing w:before="62" w:beforeLines="20" w:after="62" w:afterLines="20" w:line="276" w:lineRule="auto"/>
              <w:jc w:val="left"/>
              <w:rPr>
                <w:rFonts w:ascii="Arial" w:hAnsi="Arial" w:cs="Arial"/>
                <w:color w:val="auto"/>
                <w:sz w:val="24"/>
                <w:highlight w:val="none"/>
              </w:rPr>
            </w:pPr>
          </w:p>
        </w:tc>
      </w:tr>
      <w:tr w14:paraId="4F25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16694B0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2-10</w:t>
            </w:r>
          </w:p>
        </w:tc>
        <w:tc>
          <w:tcPr>
            <w:tcW w:w="4982" w:type="dxa"/>
            <w:vAlign w:val="center"/>
          </w:tcPr>
          <w:p w14:paraId="39E368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施工方须提供施工安全预案并设置安全员，接受业主方教育监督。</w:t>
            </w:r>
          </w:p>
        </w:tc>
        <w:tc>
          <w:tcPr>
            <w:tcW w:w="639" w:type="dxa"/>
            <w:vAlign w:val="center"/>
          </w:tcPr>
          <w:p w14:paraId="0942CC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62FBC25A">
            <w:pPr>
              <w:spacing w:before="62" w:beforeLines="20" w:after="62" w:afterLines="20" w:line="276" w:lineRule="auto"/>
              <w:jc w:val="left"/>
              <w:rPr>
                <w:rFonts w:ascii="Arial" w:hAnsi="Arial" w:cs="Arial"/>
                <w:color w:val="auto"/>
                <w:sz w:val="24"/>
                <w:highlight w:val="none"/>
              </w:rPr>
            </w:pPr>
          </w:p>
        </w:tc>
      </w:tr>
      <w:tr w14:paraId="6B36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5" w:type="dxa"/>
          </w:tcPr>
          <w:p w14:paraId="49B75E6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URS6.</w:t>
            </w:r>
            <w:r>
              <w:rPr>
                <w:rFonts w:hint="eastAsia" w:ascii="Arial" w:hAnsi="Arial" w:cs="Arial"/>
                <w:color w:val="auto"/>
                <w:sz w:val="24"/>
                <w:highlight w:val="none"/>
              </w:rPr>
              <w:t>1</w:t>
            </w:r>
            <w:r>
              <w:rPr>
                <w:rFonts w:ascii="Arial" w:hAnsi="Arial" w:cs="Arial"/>
                <w:color w:val="auto"/>
                <w:sz w:val="24"/>
                <w:highlight w:val="none"/>
              </w:rPr>
              <w:t>2-11</w:t>
            </w:r>
          </w:p>
        </w:tc>
        <w:tc>
          <w:tcPr>
            <w:tcW w:w="4982" w:type="dxa"/>
            <w:vAlign w:val="center"/>
          </w:tcPr>
          <w:p w14:paraId="41D7E99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施工方须提供至少一名熟悉洁净技术的项目技术员，负责与业主方沟通。</w:t>
            </w:r>
          </w:p>
        </w:tc>
        <w:tc>
          <w:tcPr>
            <w:tcW w:w="639" w:type="dxa"/>
            <w:vAlign w:val="center"/>
          </w:tcPr>
          <w:p w14:paraId="5AE39D5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3" w:type="dxa"/>
            <w:vAlign w:val="center"/>
          </w:tcPr>
          <w:p w14:paraId="1416B834">
            <w:pPr>
              <w:spacing w:before="62" w:beforeLines="20" w:after="62" w:afterLines="20" w:line="276" w:lineRule="auto"/>
              <w:jc w:val="left"/>
              <w:rPr>
                <w:rFonts w:ascii="Arial" w:hAnsi="Arial" w:cs="Arial"/>
                <w:color w:val="auto"/>
                <w:sz w:val="24"/>
                <w:highlight w:val="none"/>
              </w:rPr>
            </w:pPr>
          </w:p>
        </w:tc>
      </w:tr>
    </w:tbl>
    <w:p w14:paraId="499C2636">
      <w:pPr>
        <w:spacing w:before="62" w:beforeLines="20" w:after="62" w:afterLines="20" w:line="276" w:lineRule="auto"/>
        <w:jc w:val="left"/>
        <w:rPr>
          <w:rFonts w:ascii="Arial" w:hAnsi="Arial" w:cs="Arial"/>
          <w:b/>
          <w:bCs/>
          <w:color w:val="auto"/>
          <w:sz w:val="24"/>
          <w:highlight w:val="none"/>
        </w:rPr>
      </w:pPr>
      <w:bookmarkStart w:id="581" w:name="_Hlk141600128"/>
    </w:p>
    <w:p w14:paraId="541CD4F8">
      <w:pPr>
        <w:spacing w:before="62" w:beforeLines="20" w:after="62" w:afterLines="20" w:line="276" w:lineRule="auto"/>
        <w:jc w:val="left"/>
        <w:rPr>
          <w:rFonts w:ascii="Arial" w:hAnsi="Arial" w:cs="Arial"/>
          <w:b/>
          <w:bCs/>
          <w:color w:val="auto"/>
          <w:sz w:val="24"/>
          <w:highlight w:val="none"/>
        </w:rPr>
      </w:pPr>
    </w:p>
    <w:p w14:paraId="5EDE9BDF">
      <w:pPr>
        <w:spacing w:before="62" w:beforeLines="20" w:after="62" w:afterLines="20" w:line="276" w:lineRule="auto"/>
        <w:jc w:val="left"/>
        <w:rPr>
          <w:rFonts w:ascii="Arial" w:hAnsi="Arial" w:cs="Arial"/>
          <w:b/>
          <w:bCs/>
          <w:color w:val="auto"/>
          <w:sz w:val="24"/>
          <w:highlight w:val="none"/>
        </w:rPr>
      </w:pPr>
      <w:bookmarkStart w:id="582" w:name="_Hlk141601024"/>
      <w:r>
        <w:rPr>
          <w:rFonts w:hint="eastAsia" w:ascii="Arial" w:hAnsi="Arial" w:cs="Arial"/>
          <w:b/>
          <w:bCs/>
          <w:color w:val="auto"/>
          <w:sz w:val="24"/>
          <w:highlight w:val="none"/>
        </w:rPr>
        <w:t>七、工艺管道专业要求</w:t>
      </w:r>
    </w:p>
    <w:bookmarkEnd w:id="582"/>
    <w:p w14:paraId="2A6AFE9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5068"/>
        <w:gridCol w:w="725"/>
        <w:gridCol w:w="1209"/>
      </w:tblGrid>
      <w:tr w14:paraId="5DE8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517" w:type="dxa"/>
            <w:tcBorders>
              <w:bottom w:val="single" w:color="auto" w:sz="4" w:space="0"/>
            </w:tcBorders>
            <w:shd w:val="pct20" w:color="auto" w:fill="FFFFFF"/>
            <w:vAlign w:val="center"/>
          </w:tcPr>
          <w:p w14:paraId="4B54C02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68" w:type="dxa"/>
            <w:tcBorders>
              <w:bottom w:val="single" w:color="auto" w:sz="4" w:space="0"/>
            </w:tcBorders>
            <w:shd w:val="pct20" w:color="auto" w:fill="FFFFFF"/>
            <w:vAlign w:val="center"/>
          </w:tcPr>
          <w:p w14:paraId="05F102C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25" w:type="dxa"/>
            <w:tcBorders>
              <w:bottom w:val="single" w:color="auto" w:sz="4" w:space="0"/>
            </w:tcBorders>
            <w:shd w:val="pct20" w:color="auto" w:fill="FFFFFF"/>
            <w:vAlign w:val="center"/>
          </w:tcPr>
          <w:p w14:paraId="01BE9D6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209" w:type="dxa"/>
            <w:tcBorders>
              <w:bottom w:val="single" w:color="auto" w:sz="4" w:space="0"/>
            </w:tcBorders>
            <w:shd w:val="pct20" w:color="auto" w:fill="FFFFFF"/>
          </w:tcPr>
          <w:p w14:paraId="3577750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5A47276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8BA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517" w:type="dxa"/>
            <w:vAlign w:val="center"/>
          </w:tcPr>
          <w:p w14:paraId="2B7E92D3">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7</w:t>
            </w:r>
          </w:p>
        </w:tc>
        <w:tc>
          <w:tcPr>
            <w:tcW w:w="5068" w:type="dxa"/>
            <w:vAlign w:val="center"/>
          </w:tcPr>
          <w:p w14:paraId="0D60CA67">
            <w:pPr>
              <w:numPr>
                <w:ilvl w:val="0"/>
                <w:numId w:val="2"/>
              </w:numPr>
              <w:snapToGrid w:val="0"/>
              <w:spacing w:line="360" w:lineRule="auto"/>
              <w:rPr>
                <w:rFonts w:ascii="Arial" w:hAnsi="Arial" w:cs="Arial"/>
                <w:color w:val="auto"/>
                <w:sz w:val="24"/>
                <w:highlight w:val="none"/>
              </w:rPr>
            </w:pPr>
            <w:r>
              <w:rPr>
                <w:rFonts w:hint="eastAsia" w:ascii="Arial" w:hAnsi="Arial" w:cs="Arial"/>
                <w:color w:val="auto"/>
                <w:sz w:val="24"/>
                <w:highlight w:val="none"/>
              </w:rPr>
              <w:t>总体要求：按图纸施工，本工程压力管道制作安装应符合《压力管道安全技术监察规程-工业管道》TSG  D0001-2009， 金《压力管道规范 工业管道（系列）》 GB/T 20801-2020；其他金属管道安装应符合《工业金属管道工程施工规范》GB 50235-2010以及其他相关规范的要求；衬里管道应满足《压力管道规范 工业管道（系列）》GB/T 20801-2020和 HG/T 20538-2016要求 。各管路材质以图纸为准。</w:t>
            </w:r>
          </w:p>
          <w:p w14:paraId="19E70477">
            <w:pPr>
              <w:snapToGrid w:val="0"/>
              <w:spacing w:line="360" w:lineRule="auto"/>
              <w:rPr>
                <w:rFonts w:ascii="Arial" w:hAnsi="Arial" w:cs="Arial"/>
                <w:color w:val="auto"/>
                <w:sz w:val="24"/>
                <w:highlight w:val="none"/>
              </w:rPr>
            </w:pPr>
            <w:r>
              <w:rPr>
                <w:rFonts w:hint="eastAsia" w:ascii="Arial" w:hAnsi="Arial" w:cs="Arial"/>
                <w:color w:val="auto"/>
                <w:sz w:val="24"/>
                <w:highlight w:val="none"/>
              </w:rPr>
              <w:t>2、卫生级管道规定根据中国、美国及欧盟现行GMP、《医药工业洁净厂房设计标准》（GB 50457-2019）、《医药工艺用水系统设计规范》（GB 50913-2013）有关要求。</w:t>
            </w:r>
          </w:p>
          <w:p w14:paraId="3519323C">
            <w:pPr>
              <w:snapToGrid w:val="0"/>
              <w:spacing w:line="360" w:lineRule="auto"/>
              <w:rPr>
                <w:rFonts w:ascii="Arial" w:hAnsi="Arial" w:cs="Arial"/>
                <w:color w:val="auto"/>
                <w:szCs w:val="21"/>
                <w:highlight w:val="none"/>
              </w:rPr>
            </w:pPr>
            <w:r>
              <w:rPr>
                <w:rFonts w:hint="eastAsia" w:ascii="Arial" w:hAnsi="Arial" w:cs="Arial"/>
                <w:color w:val="auto"/>
                <w:sz w:val="24"/>
                <w:highlight w:val="none"/>
              </w:rPr>
              <w:t>3、各种管道标识清楚，机房、室外、洁净区内可见保温管道需做不锈钢板保护层。</w:t>
            </w:r>
          </w:p>
          <w:p w14:paraId="62EA0AA6">
            <w:pPr>
              <w:snapToGrid w:val="0"/>
              <w:spacing w:line="360" w:lineRule="auto"/>
              <w:rPr>
                <w:rFonts w:ascii="Arial" w:hAnsi="Arial" w:cs="Arial"/>
                <w:color w:val="auto"/>
                <w:sz w:val="24"/>
                <w:highlight w:val="none"/>
              </w:rPr>
            </w:pPr>
          </w:p>
        </w:tc>
        <w:tc>
          <w:tcPr>
            <w:tcW w:w="725" w:type="dxa"/>
            <w:vAlign w:val="center"/>
          </w:tcPr>
          <w:p w14:paraId="4D84BE1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09" w:type="dxa"/>
            <w:vAlign w:val="center"/>
          </w:tcPr>
          <w:p w14:paraId="74C369D5">
            <w:pPr>
              <w:spacing w:before="62" w:beforeLines="20" w:after="62" w:afterLines="20" w:line="276" w:lineRule="auto"/>
              <w:jc w:val="left"/>
              <w:rPr>
                <w:rFonts w:ascii="Arial" w:hAnsi="Arial" w:cs="Arial"/>
                <w:color w:val="auto"/>
                <w:sz w:val="24"/>
                <w:highlight w:val="none"/>
              </w:rPr>
            </w:pPr>
          </w:p>
        </w:tc>
      </w:tr>
    </w:tbl>
    <w:p w14:paraId="217D496C">
      <w:pPr>
        <w:spacing w:before="62" w:beforeLines="20" w:after="62" w:afterLines="20" w:line="276" w:lineRule="auto"/>
        <w:jc w:val="left"/>
        <w:rPr>
          <w:rFonts w:ascii="Arial" w:hAnsi="Arial" w:cs="Arial"/>
          <w:color w:val="auto"/>
          <w:sz w:val="24"/>
          <w:highlight w:val="none"/>
        </w:rPr>
      </w:pPr>
    </w:p>
    <w:bookmarkEnd w:id="581"/>
    <w:p w14:paraId="1C33558F">
      <w:pPr>
        <w:spacing w:before="62" w:beforeLines="20" w:after="62" w:afterLines="20" w:line="276" w:lineRule="auto"/>
        <w:jc w:val="left"/>
        <w:rPr>
          <w:rFonts w:ascii="Arial" w:hAnsi="Arial" w:cs="Arial"/>
          <w:color w:val="auto"/>
          <w:sz w:val="24"/>
          <w:highlight w:val="none"/>
        </w:rPr>
      </w:pPr>
    </w:p>
    <w:p w14:paraId="47271267">
      <w:pPr>
        <w:spacing w:before="62" w:beforeLines="20" w:after="62" w:afterLines="20" w:line="276" w:lineRule="auto"/>
        <w:jc w:val="left"/>
        <w:rPr>
          <w:rFonts w:ascii="Arial" w:hAnsi="Arial" w:cs="Arial"/>
          <w:color w:val="auto"/>
          <w:sz w:val="24"/>
          <w:highlight w:val="none"/>
        </w:rPr>
      </w:pPr>
    </w:p>
    <w:p w14:paraId="0FAB8076">
      <w:pPr>
        <w:spacing w:before="62" w:beforeLines="20" w:after="62" w:afterLines="20" w:line="276" w:lineRule="auto"/>
        <w:jc w:val="left"/>
        <w:rPr>
          <w:rFonts w:ascii="Arial" w:hAnsi="Arial" w:cs="Arial"/>
          <w:color w:val="auto"/>
          <w:sz w:val="24"/>
          <w:highlight w:val="none"/>
        </w:rPr>
      </w:pPr>
    </w:p>
    <w:p w14:paraId="531BC2E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7.1</w:t>
      </w:r>
      <w:r>
        <w:rPr>
          <w:rFonts w:ascii="Arial" w:hAnsi="Arial" w:cs="Arial"/>
          <w:color w:val="auto"/>
          <w:sz w:val="24"/>
          <w:highlight w:val="none"/>
        </w:rPr>
        <w:t>纯化水</w:t>
      </w:r>
      <w:r>
        <w:rPr>
          <w:rFonts w:hint="eastAsia" w:ascii="Arial" w:hAnsi="Arial" w:cs="Arial"/>
          <w:color w:val="auto"/>
          <w:sz w:val="24"/>
          <w:highlight w:val="none"/>
        </w:rPr>
        <w:t>及注射用水</w:t>
      </w:r>
      <w:r>
        <w:rPr>
          <w:rFonts w:ascii="Arial" w:hAnsi="Arial" w:cs="Arial"/>
          <w:color w:val="auto"/>
          <w:sz w:val="24"/>
          <w:highlight w:val="none"/>
        </w:rPr>
        <w:t>管道安装工程</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026"/>
        <w:gridCol w:w="682"/>
        <w:gridCol w:w="1167"/>
      </w:tblGrid>
      <w:tr w14:paraId="42B6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44" w:type="dxa"/>
            <w:tcBorders>
              <w:bottom w:val="single" w:color="auto" w:sz="4" w:space="0"/>
            </w:tcBorders>
            <w:shd w:val="pct20" w:color="auto" w:fill="FFFFFF"/>
            <w:vAlign w:val="center"/>
          </w:tcPr>
          <w:p w14:paraId="72BE308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26" w:type="dxa"/>
            <w:tcBorders>
              <w:bottom w:val="single" w:color="auto" w:sz="4" w:space="0"/>
            </w:tcBorders>
            <w:shd w:val="pct20" w:color="auto" w:fill="FFFFFF"/>
            <w:vAlign w:val="center"/>
          </w:tcPr>
          <w:p w14:paraId="11EF45C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2" w:type="dxa"/>
            <w:tcBorders>
              <w:bottom w:val="single" w:color="auto" w:sz="4" w:space="0"/>
            </w:tcBorders>
            <w:shd w:val="pct20" w:color="auto" w:fill="FFFFFF"/>
            <w:vAlign w:val="center"/>
          </w:tcPr>
          <w:p w14:paraId="21561CE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7" w:type="dxa"/>
            <w:tcBorders>
              <w:bottom w:val="single" w:color="auto" w:sz="4" w:space="0"/>
            </w:tcBorders>
            <w:shd w:val="pct20" w:color="auto" w:fill="FFFFFF"/>
          </w:tcPr>
          <w:p w14:paraId="59C525C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59DF759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31FF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44" w:type="dxa"/>
            <w:vAlign w:val="center"/>
          </w:tcPr>
          <w:p w14:paraId="2577638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-01</w:t>
            </w:r>
          </w:p>
        </w:tc>
        <w:tc>
          <w:tcPr>
            <w:tcW w:w="5026" w:type="dxa"/>
            <w:vAlign w:val="center"/>
          </w:tcPr>
          <w:p w14:paraId="1717620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管道的材质为</w:t>
            </w:r>
            <w:r>
              <w:rPr>
                <w:rFonts w:hint="eastAsia" w:ascii="Arial" w:hAnsi="Arial" w:cs="Arial"/>
                <w:color w:val="auto"/>
                <w:sz w:val="24"/>
                <w:highlight w:val="none"/>
              </w:rPr>
              <w:t>316</w:t>
            </w:r>
            <w:r>
              <w:rPr>
                <w:rFonts w:ascii="Arial" w:hAnsi="Arial" w:cs="Arial"/>
                <w:color w:val="auto"/>
                <w:sz w:val="24"/>
                <w:highlight w:val="none"/>
              </w:rPr>
              <w:t>L卫生级不锈钢管。</w:t>
            </w:r>
            <w:r>
              <w:rPr>
                <w:rFonts w:hint="eastAsia" w:ascii="Arial" w:hAnsi="Arial" w:cs="Arial"/>
                <w:color w:val="auto"/>
                <w:sz w:val="24"/>
                <w:highlight w:val="none"/>
              </w:rPr>
              <w:t>U型隔膜</w:t>
            </w:r>
            <w:r>
              <w:rPr>
                <w:rFonts w:ascii="Arial" w:hAnsi="Arial" w:cs="Arial"/>
                <w:color w:val="auto"/>
                <w:sz w:val="24"/>
                <w:highlight w:val="none"/>
              </w:rPr>
              <w:t>阀采用</w:t>
            </w:r>
            <w:r>
              <w:rPr>
                <w:rFonts w:hint="eastAsia" w:ascii="Arial" w:hAnsi="Arial" w:cs="Arial"/>
                <w:color w:val="auto"/>
                <w:sz w:val="24"/>
                <w:highlight w:val="none"/>
              </w:rPr>
              <w:t>316</w:t>
            </w:r>
            <w:r>
              <w:rPr>
                <w:rFonts w:ascii="Arial" w:hAnsi="Arial" w:cs="Arial"/>
                <w:color w:val="auto"/>
                <w:sz w:val="24"/>
                <w:highlight w:val="none"/>
              </w:rPr>
              <w:t>卫生级的</w:t>
            </w:r>
            <w:r>
              <w:rPr>
                <w:rFonts w:hint="eastAsia" w:ascii="Arial" w:hAnsi="Arial" w:cs="Arial"/>
                <w:color w:val="auto"/>
                <w:sz w:val="24"/>
                <w:highlight w:val="none"/>
              </w:rPr>
              <w:t>T</w:t>
            </w:r>
            <w:r>
              <w:rPr>
                <w:rFonts w:ascii="Arial" w:hAnsi="Arial" w:cs="Arial"/>
                <w:color w:val="auto"/>
                <w:sz w:val="24"/>
                <w:highlight w:val="none"/>
              </w:rPr>
              <w:t>隔膜阀，阀门、管道大小以图纸为依据。</w:t>
            </w:r>
          </w:p>
        </w:tc>
        <w:tc>
          <w:tcPr>
            <w:tcW w:w="682" w:type="dxa"/>
            <w:vAlign w:val="center"/>
          </w:tcPr>
          <w:p w14:paraId="65B8399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6A5A5A91">
            <w:pPr>
              <w:spacing w:before="62" w:beforeLines="20" w:after="62" w:afterLines="20" w:line="276" w:lineRule="auto"/>
              <w:jc w:val="left"/>
              <w:rPr>
                <w:rFonts w:ascii="Arial" w:hAnsi="Arial" w:cs="Arial"/>
                <w:color w:val="auto"/>
                <w:sz w:val="24"/>
                <w:highlight w:val="none"/>
              </w:rPr>
            </w:pPr>
          </w:p>
        </w:tc>
      </w:tr>
      <w:tr w14:paraId="58F2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4BEB31F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w:t>
            </w:r>
            <w:r>
              <w:rPr>
                <w:rFonts w:hint="eastAsia" w:ascii="Arial" w:hAnsi="Arial" w:cs="Arial"/>
                <w:color w:val="auto"/>
                <w:sz w:val="24"/>
                <w:highlight w:val="none"/>
              </w:rPr>
              <w:t>2</w:t>
            </w:r>
          </w:p>
        </w:tc>
        <w:tc>
          <w:tcPr>
            <w:tcW w:w="5026" w:type="dxa"/>
            <w:vAlign w:val="center"/>
          </w:tcPr>
          <w:p w14:paraId="39D4DCA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厚度要求根据国标定义，不同的管径对应不同的厚度，</w:t>
            </w:r>
          </w:p>
        </w:tc>
        <w:tc>
          <w:tcPr>
            <w:tcW w:w="682" w:type="dxa"/>
            <w:vAlign w:val="center"/>
          </w:tcPr>
          <w:p w14:paraId="4B2A12A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7BDED420">
            <w:pPr>
              <w:spacing w:before="62" w:beforeLines="20" w:after="62" w:afterLines="20" w:line="276" w:lineRule="auto"/>
              <w:jc w:val="left"/>
              <w:rPr>
                <w:rFonts w:ascii="Arial" w:hAnsi="Arial" w:cs="Arial"/>
                <w:color w:val="auto"/>
                <w:sz w:val="24"/>
                <w:highlight w:val="none"/>
              </w:rPr>
            </w:pPr>
          </w:p>
        </w:tc>
      </w:tr>
      <w:tr w14:paraId="3A4C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08FCECC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w:t>
            </w:r>
            <w:r>
              <w:rPr>
                <w:rFonts w:hint="eastAsia" w:ascii="Arial" w:hAnsi="Arial" w:cs="Arial"/>
                <w:color w:val="auto"/>
                <w:sz w:val="24"/>
                <w:highlight w:val="none"/>
              </w:rPr>
              <w:t>3</w:t>
            </w:r>
          </w:p>
        </w:tc>
        <w:tc>
          <w:tcPr>
            <w:tcW w:w="5026" w:type="dxa"/>
            <w:vAlign w:val="center"/>
          </w:tcPr>
          <w:p w14:paraId="38A3C6D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接受随机抽查切断后的管径厚度检测，发现不合格的，对已安装的管路全部替换。施工方自行承担损失。</w:t>
            </w:r>
          </w:p>
        </w:tc>
        <w:tc>
          <w:tcPr>
            <w:tcW w:w="682" w:type="dxa"/>
            <w:vAlign w:val="center"/>
          </w:tcPr>
          <w:p w14:paraId="5565854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67" w:type="dxa"/>
            <w:vAlign w:val="center"/>
          </w:tcPr>
          <w:p w14:paraId="1FB5019B">
            <w:pPr>
              <w:spacing w:before="62" w:beforeLines="20" w:after="62" w:afterLines="20" w:line="276" w:lineRule="auto"/>
              <w:jc w:val="left"/>
              <w:rPr>
                <w:rFonts w:ascii="Arial" w:hAnsi="Arial" w:cs="Arial"/>
                <w:color w:val="auto"/>
                <w:sz w:val="24"/>
                <w:highlight w:val="none"/>
              </w:rPr>
            </w:pPr>
          </w:p>
        </w:tc>
      </w:tr>
      <w:tr w14:paraId="6A25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vAlign w:val="center"/>
          </w:tcPr>
          <w:p w14:paraId="7083B34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w:t>
            </w:r>
            <w:r>
              <w:rPr>
                <w:rFonts w:hint="eastAsia" w:ascii="Arial" w:hAnsi="Arial" w:cs="Arial"/>
                <w:color w:val="auto"/>
                <w:sz w:val="24"/>
                <w:highlight w:val="none"/>
              </w:rPr>
              <w:t>4</w:t>
            </w:r>
          </w:p>
        </w:tc>
        <w:tc>
          <w:tcPr>
            <w:tcW w:w="5026" w:type="dxa"/>
            <w:vAlign w:val="center"/>
          </w:tcPr>
          <w:p w14:paraId="7EADAAE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采用耐热（121</w:t>
            </w:r>
            <w:r>
              <w:rPr>
                <w:rFonts w:hint="eastAsia" w:ascii="Arial" w:hAnsi="Arial" w:cs="Arial"/>
                <w:color w:val="auto"/>
                <w:sz w:val="24"/>
                <w:highlight w:val="none"/>
                <w:lang w:eastAsia="zh"/>
              </w:rPr>
              <w:t>℃</w:t>
            </w:r>
            <w:r>
              <w:rPr>
                <w:rFonts w:hint="eastAsia" w:ascii="Arial" w:hAnsi="Arial" w:cs="Arial"/>
                <w:color w:val="auto"/>
                <w:sz w:val="24"/>
                <w:highlight w:val="none"/>
              </w:rPr>
              <w:t>及</w:t>
            </w:r>
            <w:r>
              <w:rPr>
                <w:rFonts w:hint="eastAsia" w:ascii="Arial" w:hAnsi="Arial" w:cs="Arial"/>
                <w:color w:val="auto"/>
                <w:sz w:val="24"/>
                <w:highlight w:val="none"/>
                <w:lang w:eastAsia="zh"/>
              </w:rPr>
              <w:t>以上</w:t>
            </w:r>
            <w:r>
              <w:rPr>
                <w:rFonts w:hint="eastAsia" w:ascii="Arial" w:hAnsi="Arial" w:cs="Arial"/>
                <w:color w:val="auto"/>
                <w:sz w:val="24"/>
                <w:highlight w:val="none"/>
              </w:rPr>
              <w:t>）保温材料包裹，</w:t>
            </w:r>
            <w:r>
              <w:rPr>
                <w:rFonts w:ascii="Arial" w:hAnsi="Arial" w:cs="Arial"/>
                <w:color w:val="auto"/>
                <w:sz w:val="24"/>
                <w:highlight w:val="none"/>
              </w:rPr>
              <w:t>保证巴氏消毒的效果。</w:t>
            </w:r>
            <w:r>
              <w:rPr>
                <w:rFonts w:hint="eastAsia" w:ascii="Arial" w:hAnsi="Arial" w:cs="Arial"/>
                <w:color w:val="auto"/>
                <w:sz w:val="24"/>
                <w:highlight w:val="none"/>
              </w:rPr>
              <w:t>下洁净区采用双层保温套管。室内可见部分采用不锈钢板做外保护层。</w:t>
            </w:r>
          </w:p>
        </w:tc>
        <w:tc>
          <w:tcPr>
            <w:tcW w:w="682" w:type="dxa"/>
            <w:vAlign w:val="center"/>
          </w:tcPr>
          <w:p w14:paraId="3D37C11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9A96DA0">
            <w:pPr>
              <w:spacing w:before="62" w:beforeLines="20" w:after="62" w:afterLines="20" w:line="276" w:lineRule="auto"/>
              <w:jc w:val="left"/>
              <w:rPr>
                <w:rFonts w:ascii="Arial" w:hAnsi="Arial" w:cs="Arial"/>
                <w:color w:val="auto"/>
                <w:sz w:val="24"/>
                <w:highlight w:val="none"/>
              </w:rPr>
            </w:pPr>
          </w:p>
        </w:tc>
      </w:tr>
      <w:tr w14:paraId="781E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67A9780C">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w:t>
            </w:r>
            <w:r>
              <w:rPr>
                <w:rFonts w:hint="eastAsia" w:ascii="Arial" w:hAnsi="Arial" w:cs="Arial"/>
                <w:color w:val="auto"/>
                <w:sz w:val="24"/>
                <w:highlight w:val="none"/>
              </w:rPr>
              <w:t>5</w:t>
            </w:r>
          </w:p>
        </w:tc>
        <w:tc>
          <w:tcPr>
            <w:tcW w:w="5026" w:type="dxa"/>
            <w:vAlign w:val="center"/>
          </w:tcPr>
          <w:p w14:paraId="093C7E4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管道焊接应采用自动焊接，焊接人员应有相应资质，施焊前应按施工要求做出样品，并应在检验合格后上岗。</w:t>
            </w:r>
          </w:p>
        </w:tc>
        <w:tc>
          <w:tcPr>
            <w:tcW w:w="682" w:type="dxa"/>
            <w:vAlign w:val="center"/>
          </w:tcPr>
          <w:p w14:paraId="1F98D6B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38887975">
            <w:pPr>
              <w:spacing w:before="62" w:beforeLines="20" w:after="62" w:afterLines="20" w:line="276" w:lineRule="auto"/>
              <w:jc w:val="left"/>
              <w:rPr>
                <w:rFonts w:ascii="Arial" w:hAnsi="Arial" w:cs="Arial"/>
                <w:color w:val="auto"/>
                <w:sz w:val="24"/>
                <w:highlight w:val="none"/>
              </w:rPr>
            </w:pPr>
          </w:p>
        </w:tc>
      </w:tr>
      <w:tr w14:paraId="6A82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2A82BF93">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w:t>
            </w:r>
            <w:r>
              <w:rPr>
                <w:rFonts w:hint="eastAsia" w:ascii="Arial" w:hAnsi="Arial" w:cs="Arial"/>
                <w:color w:val="auto"/>
                <w:sz w:val="24"/>
                <w:highlight w:val="none"/>
              </w:rPr>
              <w:t>6</w:t>
            </w:r>
          </w:p>
        </w:tc>
        <w:tc>
          <w:tcPr>
            <w:tcW w:w="5026" w:type="dxa"/>
            <w:vAlign w:val="center"/>
          </w:tcPr>
          <w:p w14:paraId="75E70B6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w:t>
            </w:r>
            <w:r>
              <w:rPr>
                <w:rFonts w:hint="eastAsia" w:ascii="Arial" w:hAnsi="Arial" w:cs="Arial"/>
                <w:color w:val="auto"/>
                <w:sz w:val="24"/>
                <w:highlight w:val="none"/>
              </w:rPr>
              <w:t>网</w:t>
            </w:r>
            <w:r>
              <w:rPr>
                <w:rFonts w:ascii="Arial" w:hAnsi="Arial" w:cs="Arial"/>
                <w:color w:val="auto"/>
                <w:sz w:val="24"/>
                <w:highlight w:val="none"/>
              </w:rPr>
              <w:t>安装应具备无不流动死水段，安装后应有</w:t>
            </w:r>
            <w:r>
              <w:rPr>
                <w:rFonts w:hint="eastAsia" w:ascii="Arial" w:hAnsi="Arial" w:cs="Arial"/>
                <w:color w:val="auto"/>
                <w:sz w:val="24"/>
                <w:highlight w:val="none"/>
              </w:rPr>
              <w:t>适当</w:t>
            </w:r>
            <w:r>
              <w:rPr>
                <w:rFonts w:ascii="Arial" w:hAnsi="Arial" w:cs="Arial"/>
                <w:color w:val="auto"/>
                <w:sz w:val="24"/>
                <w:highlight w:val="none"/>
              </w:rPr>
              <w:t>的坡度，系统管道和所有设备的安装应具有残余水放空能力。</w:t>
            </w:r>
          </w:p>
        </w:tc>
        <w:tc>
          <w:tcPr>
            <w:tcW w:w="682" w:type="dxa"/>
            <w:vAlign w:val="center"/>
          </w:tcPr>
          <w:p w14:paraId="4FCB405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489BAAED">
            <w:pPr>
              <w:spacing w:before="62" w:beforeLines="20" w:after="62" w:afterLines="20" w:line="276" w:lineRule="auto"/>
              <w:jc w:val="left"/>
              <w:rPr>
                <w:rFonts w:ascii="Arial" w:hAnsi="Arial" w:cs="Arial"/>
                <w:color w:val="auto"/>
                <w:sz w:val="24"/>
                <w:highlight w:val="none"/>
              </w:rPr>
            </w:pPr>
          </w:p>
        </w:tc>
      </w:tr>
      <w:tr w14:paraId="4C8C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630281BF">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w:t>
            </w:r>
            <w:r>
              <w:rPr>
                <w:rFonts w:hint="eastAsia" w:ascii="Arial" w:hAnsi="Arial" w:cs="Arial"/>
                <w:color w:val="auto"/>
                <w:sz w:val="24"/>
                <w:highlight w:val="none"/>
              </w:rPr>
              <w:t>7</w:t>
            </w:r>
          </w:p>
        </w:tc>
        <w:tc>
          <w:tcPr>
            <w:tcW w:w="5026" w:type="dxa"/>
            <w:vAlign w:val="center"/>
          </w:tcPr>
          <w:p w14:paraId="3A8C38D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管道焊接不应有焦黄、断裂、虚焊等缺陷，焊缝强度不应低于母材的60%。</w:t>
            </w:r>
          </w:p>
        </w:tc>
        <w:tc>
          <w:tcPr>
            <w:tcW w:w="682" w:type="dxa"/>
            <w:vAlign w:val="center"/>
          </w:tcPr>
          <w:p w14:paraId="409393F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60499023">
            <w:pPr>
              <w:spacing w:before="62" w:beforeLines="20" w:after="62" w:afterLines="20" w:line="276" w:lineRule="auto"/>
              <w:jc w:val="left"/>
              <w:rPr>
                <w:rFonts w:ascii="Arial" w:hAnsi="Arial" w:cs="Arial"/>
                <w:color w:val="auto"/>
                <w:sz w:val="24"/>
                <w:highlight w:val="none"/>
              </w:rPr>
            </w:pPr>
          </w:p>
        </w:tc>
      </w:tr>
      <w:tr w14:paraId="0262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2330AB2C">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w:t>
            </w:r>
            <w:r>
              <w:rPr>
                <w:rFonts w:hint="eastAsia" w:ascii="Arial" w:hAnsi="Arial" w:cs="Arial"/>
                <w:color w:val="auto"/>
                <w:sz w:val="24"/>
                <w:highlight w:val="none"/>
              </w:rPr>
              <w:t>8</w:t>
            </w:r>
          </w:p>
        </w:tc>
        <w:tc>
          <w:tcPr>
            <w:tcW w:w="5026" w:type="dxa"/>
            <w:vAlign w:val="center"/>
          </w:tcPr>
          <w:p w14:paraId="20946D3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管道或管件的承口不应歪斜和厚度不匀，管端不应有裂缝，管道的承插间隙不应大于0.3mm。</w:t>
            </w:r>
          </w:p>
        </w:tc>
        <w:tc>
          <w:tcPr>
            <w:tcW w:w="682" w:type="dxa"/>
            <w:vAlign w:val="center"/>
          </w:tcPr>
          <w:p w14:paraId="0A393A1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5A4BAE3D">
            <w:pPr>
              <w:spacing w:before="62" w:beforeLines="20" w:after="62" w:afterLines="20" w:line="276" w:lineRule="auto"/>
              <w:jc w:val="left"/>
              <w:rPr>
                <w:rFonts w:ascii="Arial" w:hAnsi="Arial" w:cs="Arial"/>
                <w:color w:val="auto"/>
                <w:sz w:val="24"/>
                <w:highlight w:val="none"/>
              </w:rPr>
            </w:pPr>
          </w:p>
        </w:tc>
      </w:tr>
      <w:tr w14:paraId="39E4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E474484">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-0</w:t>
            </w:r>
            <w:r>
              <w:rPr>
                <w:rFonts w:hint="eastAsia" w:ascii="Arial" w:hAnsi="Arial" w:cs="Arial"/>
                <w:color w:val="auto"/>
                <w:sz w:val="24"/>
                <w:highlight w:val="none"/>
              </w:rPr>
              <w:t>9</w:t>
            </w:r>
          </w:p>
        </w:tc>
        <w:tc>
          <w:tcPr>
            <w:tcW w:w="5026" w:type="dxa"/>
            <w:vAlign w:val="center"/>
          </w:tcPr>
          <w:p w14:paraId="3D3D64F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焊</w:t>
            </w:r>
            <w:r>
              <w:rPr>
                <w:rFonts w:hint="eastAsia" w:ascii="Arial" w:hAnsi="Arial" w:cs="Arial"/>
                <w:color w:val="auto"/>
                <w:sz w:val="24"/>
                <w:highlight w:val="none"/>
              </w:rPr>
              <w:t>后做内窥镜检查。</w:t>
            </w:r>
          </w:p>
        </w:tc>
        <w:tc>
          <w:tcPr>
            <w:tcW w:w="682" w:type="dxa"/>
            <w:vAlign w:val="center"/>
          </w:tcPr>
          <w:p w14:paraId="50D13BE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3ABE3F1D">
            <w:pPr>
              <w:spacing w:before="62" w:beforeLines="20" w:after="62" w:afterLines="20" w:line="276" w:lineRule="auto"/>
              <w:jc w:val="left"/>
              <w:rPr>
                <w:rFonts w:ascii="Arial" w:hAnsi="Arial" w:cs="Arial"/>
                <w:color w:val="auto"/>
                <w:sz w:val="24"/>
                <w:highlight w:val="none"/>
              </w:rPr>
            </w:pPr>
          </w:p>
        </w:tc>
      </w:tr>
      <w:tr w14:paraId="6EA7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1F7DDE67">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w:t>
            </w:r>
            <w:r>
              <w:rPr>
                <w:rFonts w:hint="eastAsia" w:ascii="Arial" w:hAnsi="Arial" w:cs="Arial"/>
                <w:color w:val="auto"/>
                <w:sz w:val="24"/>
                <w:highlight w:val="none"/>
              </w:rPr>
              <w:t>10</w:t>
            </w:r>
          </w:p>
        </w:tc>
        <w:tc>
          <w:tcPr>
            <w:tcW w:w="5026" w:type="dxa"/>
            <w:vAlign w:val="center"/>
          </w:tcPr>
          <w:p w14:paraId="547F444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管道在焊接、安装结束后，进行耐压试验，并做记录；将管内焊缝氧化物冲洗干净，再进行脱脂和酸化钝化处理，并记录在案，最后资料提供给甲方。</w:t>
            </w:r>
            <w:r>
              <w:rPr>
                <w:rFonts w:hint="eastAsia" w:ascii="Arial" w:hAnsi="Arial" w:cs="Arial"/>
                <w:color w:val="auto"/>
                <w:sz w:val="24"/>
                <w:highlight w:val="none"/>
              </w:rPr>
              <w:t>并做好管道标识。</w:t>
            </w:r>
          </w:p>
        </w:tc>
        <w:tc>
          <w:tcPr>
            <w:tcW w:w="682" w:type="dxa"/>
            <w:vAlign w:val="center"/>
          </w:tcPr>
          <w:p w14:paraId="37EA0B3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015024EA">
            <w:pPr>
              <w:spacing w:before="62" w:beforeLines="20" w:after="62" w:afterLines="20" w:line="276" w:lineRule="auto"/>
              <w:jc w:val="left"/>
              <w:rPr>
                <w:rFonts w:ascii="Arial" w:hAnsi="Arial" w:cs="Arial"/>
                <w:color w:val="auto"/>
                <w:sz w:val="24"/>
                <w:highlight w:val="none"/>
              </w:rPr>
            </w:pPr>
          </w:p>
        </w:tc>
      </w:tr>
      <w:tr w14:paraId="5719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5259B337">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w:t>
            </w:r>
            <w:r>
              <w:rPr>
                <w:rFonts w:hint="eastAsia" w:ascii="Arial" w:hAnsi="Arial" w:cs="Arial"/>
                <w:color w:val="auto"/>
                <w:sz w:val="24"/>
                <w:highlight w:val="none"/>
              </w:rPr>
              <w:t>1</w:t>
            </w:r>
            <w:r>
              <w:rPr>
                <w:rFonts w:ascii="Arial" w:hAnsi="Arial" w:cs="Arial"/>
                <w:color w:val="auto"/>
                <w:sz w:val="24"/>
                <w:highlight w:val="none"/>
              </w:rPr>
              <w:t>1</w:t>
            </w:r>
          </w:p>
        </w:tc>
        <w:tc>
          <w:tcPr>
            <w:tcW w:w="5026" w:type="dxa"/>
            <w:vAlign w:val="center"/>
          </w:tcPr>
          <w:p w14:paraId="1078D90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管道不得利用吊顶承重，需采用吊码方式，保证管道均匀受力，并具有60KG的抗压不变形能力。</w:t>
            </w:r>
          </w:p>
        </w:tc>
        <w:tc>
          <w:tcPr>
            <w:tcW w:w="682" w:type="dxa"/>
            <w:vAlign w:val="center"/>
          </w:tcPr>
          <w:p w14:paraId="33CD545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167DA438">
            <w:pPr>
              <w:spacing w:before="62" w:beforeLines="20" w:after="62" w:afterLines="20" w:line="276" w:lineRule="auto"/>
              <w:jc w:val="left"/>
              <w:rPr>
                <w:rFonts w:ascii="Arial" w:hAnsi="Arial" w:cs="Arial"/>
                <w:color w:val="auto"/>
                <w:sz w:val="24"/>
                <w:highlight w:val="none"/>
              </w:rPr>
            </w:pPr>
          </w:p>
        </w:tc>
      </w:tr>
      <w:tr w14:paraId="6743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33D2AC4C">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w:t>
            </w:r>
            <w:r>
              <w:rPr>
                <w:rFonts w:hint="eastAsia" w:ascii="Arial" w:hAnsi="Arial" w:cs="Arial"/>
                <w:color w:val="auto"/>
                <w:sz w:val="24"/>
                <w:highlight w:val="none"/>
              </w:rPr>
              <w:t>12</w:t>
            </w:r>
          </w:p>
        </w:tc>
        <w:tc>
          <w:tcPr>
            <w:tcW w:w="5026" w:type="dxa"/>
            <w:vAlign w:val="center"/>
          </w:tcPr>
          <w:p w14:paraId="25F165B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规定标准管长度尺寸内，应采用整条完好的管焊接。</w:t>
            </w:r>
          </w:p>
        </w:tc>
        <w:tc>
          <w:tcPr>
            <w:tcW w:w="682" w:type="dxa"/>
            <w:vAlign w:val="center"/>
          </w:tcPr>
          <w:p w14:paraId="79D3570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05D4DAE1">
            <w:pPr>
              <w:spacing w:before="62" w:beforeLines="20" w:after="62" w:afterLines="20" w:line="276" w:lineRule="auto"/>
              <w:jc w:val="left"/>
              <w:rPr>
                <w:rFonts w:ascii="Arial" w:hAnsi="Arial" w:cs="Arial"/>
                <w:color w:val="auto"/>
                <w:sz w:val="24"/>
                <w:highlight w:val="none"/>
              </w:rPr>
            </w:pPr>
          </w:p>
        </w:tc>
      </w:tr>
      <w:tr w14:paraId="23CF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44" w:type="dxa"/>
          </w:tcPr>
          <w:p w14:paraId="25ED4419">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7.1</w:t>
            </w:r>
            <w:r>
              <w:rPr>
                <w:rFonts w:ascii="Arial" w:hAnsi="Arial" w:cs="Arial"/>
                <w:color w:val="auto"/>
                <w:sz w:val="24"/>
                <w:highlight w:val="none"/>
              </w:rPr>
              <w:t>-</w:t>
            </w:r>
            <w:r>
              <w:rPr>
                <w:rFonts w:hint="eastAsia" w:ascii="Arial" w:hAnsi="Arial" w:cs="Arial"/>
                <w:color w:val="auto"/>
                <w:sz w:val="24"/>
                <w:highlight w:val="none"/>
              </w:rPr>
              <w:t>13</w:t>
            </w:r>
          </w:p>
        </w:tc>
        <w:tc>
          <w:tcPr>
            <w:tcW w:w="5026" w:type="dxa"/>
            <w:vAlign w:val="center"/>
          </w:tcPr>
          <w:p w14:paraId="2BF57B3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符合《洁净室施工及验收规范》GB50591-2010规范的要求。</w:t>
            </w:r>
          </w:p>
        </w:tc>
        <w:tc>
          <w:tcPr>
            <w:tcW w:w="682" w:type="dxa"/>
            <w:vAlign w:val="center"/>
          </w:tcPr>
          <w:p w14:paraId="6421DAC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7" w:type="dxa"/>
            <w:vAlign w:val="center"/>
          </w:tcPr>
          <w:p w14:paraId="620D0841">
            <w:pPr>
              <w:spacing w:before="62" w:beforeLines="20" w:after="62" w:afterLines="20" w:line="276" w:lineRule="auto"/>
              <w:jc w:val="left"/>
              <w:rPr>
                <w:rFonts w:ascii="Arial" w:hAnsi="Arial" w:cs="Arial"/>
                <w:color w:val="auto"/>
                <w:sz w:val="24"/>
                <w:highlight w:val="none"/>
              </w:rPr>
            </w:pPr>
          </w:p>
        </w:tc>
      </w:tr>
    </w:tbl>
    <w:p w14:paraId="05B1B8B0">
      <w:pPr>
        <w:spacing w:before="62" w:beforeLines="20" w:after="62" w:afterLines="20" w:line="276" w:lineRule="auto"/>
        <w:jc w:val="left"/>
        <w:rPr>
          <w:rFonts w:ascii="Arial" w:hAnsi="Arial" w:cs="Arial"/>
          <w:b/>
          <w:bCs/>
          <w:color w:val="auto"/>
          <w:sz w:val="24"/>
          <w:highlight w:val="none"/>
        </w:rPr>
      </w:pPr>
    </w:p>
    <w:p w14:paraId="2F4F4657">
      <w:pPr>
        <w:spacing w:before="62" w:beforeLines="20" w:after="62" w:afterLines="20" w:line="276" w:lineRule="auto"/>
        <w:jc w:val="left"/>
        <w:rPr>
          <w:rFonts w:ascii="Arial" w:hAnsi="Arial" w:cs="Arial"/>
          <w:b/>
          <w:bCs/>
          <w:color w:val="auto"/>
          <w:sz w:val="24"/>
          <w:highlight w:val="none"/>
        </w:rPr>
      </w:pPr>
    </w:p>
    <w:p w14:paraId="0C137B09">
      <w:pPr>
        <w:spacing w:before="62" w:beforeLines="20" w:after="62" w:afterLines="20" w:line="276" w:lineRule="auto"/>
        <w:jc w:val="left"/>
        <w:rPr>
          <w:rFonts w:ascii="Arial" w:hAnsi="Arial" w:cs="Arial"/>
          <w:b/>
          <w:bCs/>
          <w:color w:val="auto"/>
          <w:sz w:val="24"/>
          <w:highlight w:val="none"/>
        </w:rPr>
      </w:pPr>
    </w:p>
    <w:p w14:paraId="7F008184">
      <w:pPr>
        <w:spacing w:before="62" w:beforeLines="20" w:after="62" w:afterLines="20" w:line="276" w:lineRule="auto"/>
        <w:jc w:val="left"/>
        <w:rPr>
          <w:rFonts w:ascii="Arial" w:hAnsi="Arial" w:cs="Arial"/>
          <w:b/>
          <w:bCs/>
          <w:color w:val="auto"/>
          <w:sz w:val="24"/>
          <w:highlight w:val="none"/>
        </w:rPr>
      </w:pPr>
    </w:p>
    <w:p w14:paraId="6EF00EBC">
      <w:pPr>
        <w:spacing w:before="62" w:beforeLines="20" w:after="62" w:afterLines="20" w:line="276" w:lineRule="auto"/>
        <w:jc w:val="left"/>
        <w:rPr>
          <w:rFonts w:ascii="Arial" w:hAnsi="Arial" w:cs="Arial"/>
          <w:b/>
          <w:bCs/>
          <w:color w:val="auto"/>
          <w:sz w:val="24"/>
          <w:highlight w:val="none"/>
        </w:rPr>
      </w:pPr>
    </w:p>
    <w:p w14:paraId="24F91272">
      <w:pPr>
        <w:spacing w:before="62" w:beforeLines="20" w:after="62" w:afterLines="20" w:line="276" w:lineRule="auto"/>
        <w:jc w:val="left"/>
        <w:rPr>
          <w:rFonts w:ascii="Arial" w:hAnsi="Arial" w:cs="Arial"/>
          <w:b/>
          <w:bCs/>
          <w:color w:val="auto"/>
          <w:sz w:val="24"/>
          <w:highlight w:val="none"/>
        </w:rPr>
      </w:pPr>
      <w:bookmarkStart w:id="583" w:name="_Hlk141600724"/>
      <w:r>
        <w:rPr>
          <w:rFonts w:hint="eastAsia" w:ascii="Arial" w:hAnsi="Arial" w:cs="Arial"/>
          <w:b/>
          <w:bCs/>
          <w:color w:val="auto"/>
          <w:sz w:val="24"/>
          <w:highlight w:val="none"/>
        </w:rPr>
        <w:t>八、电气专业要求（含弱电专业）</w:t>
      </w:r>
    </w:p>
    <w:p w14:paraId="4FAB3DE6">
      <w:pPr>
        <w:spacing w:before="62" w:beforeLines="20" w:after="62" w:afterLines="20" w:line="276" w:lineRule="auto"/>
        <w:jc w:val="left"/>
        <w:rPr>
          <w:rFonts w:ascii="Arial" w:hAnsi="Arial" w:cs="Arial"/>
          <w:color w:val="auto"/>
          <w:sz w:val="24"/>
          <w:highlight w:val="none"/>
        </w:rPr>
      </w:pPr>
      <w:bookmarkStart w:id="584" w:name="_Hlk141600451"/>
      <w:r>
        <w:rPr>
          <w:rFonts w:hint="eastAsia" w:ascii="Arial" w:hAnsi="Arial" w:cs="Arial"/>
          <w:color w:val="auto"/>
          <w:sz w:val="24"/>
          <w:highlight w:val="none"/>
        </w:rPr>
        <w:t>总体要求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5068"/>
        <w:gridCol w:w="725"/>
        <w:gridCol w:w="1209"/>
      </w:tblGrid>
      <w:tr w14:paraId="1D30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517" w:type="dxa"/>
            <w:tcBorders>
              <w:bottom w:val="single" w:color="auto" w:sz="4" w:space="0"/>
            </w:tcBorders>
            <w:shd w:val="pct20" w:color="auto" w:fill="FFFFFF"/>
            <w:vAlign w:val="center"/>
          </w:tcPr>
          <w:p w14:paraId="0BEB773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68" w:type="dxa"/>
            <w:tcBorders>
              <w:bottom w:val="single" w:color="auto" w:sz="4" w:space="0"/>
            </w:tcBorders>
            <w:shd w:val="pct20" w:color="auto" w:fill="FFFFFF"/>
            <w:vAlign w:val="center"/>
          </w:tcPr>
          <w:p w14:paraId="551774C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25" w:type="dxa"/>
            <w:tcBorders>
              <w:bottom w:val="single" w:color="auto" w:sz="4" w:space="0"/>
            </w:tcBorders>
            <w:shd w:val="pct20" w:color="auto" w:fill="FFFFFF"/>
            <w:vAlign w:val="center"/>
          </w:tcPr>
          <w:p w14:paraId="29A47ED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209" w:type="dxa"/>
            <w:tcBorders>
              <w:bottom w:val="single" w:color="auto" w:sz="4" w:space="0"/>
            </w:tcBorders>
            <w:shd w:val="pct20" w:color="auto" w:fill="FFFFFF"/>
          </w:tcPr>
          <w:p w14:paraId="593DD89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5F5A143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FA3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517" w:type="dxa"/>
            <w:vAlign w:val="center"/>
          </w:tcPr>
          <w:p w14:paraId="69BD2224">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8</w:t>
            </w:r>
          </w:p>
        </w:tc>
        <w:tc>
          <w:tcPr>
            <w:tcW w:w="5068" w:type="dxa"/>
            <w:vAlign w:val="center"/>
          </w:tcPr>
          <w:p w14:paraId="78BDBA5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按图纸施工，配电箱、电线、线管、开关、插座安装要求符合《常用低压配电设备及灯具安装》D702-1~3，《洁净环境电气设备安装》06D401-4，《电缆桥架安装》22D701-3，《电缆防火阻燃设计与施工》06D105，《电气设备在压型钢板、夹芯板上安装》06SD702-5，《利用建筑物金属体做防雷及接地装置安装》15D503，《电气设备在压型钢板、夹芯板上安装》06SD702-5，《建筑电气设施抗震安装》16D707-1的要求 。</w:t>
            </w:r>
          </w:p>
        </w:tc>
        <w:tc>
          <w:tcPr>
            <w:tcW w:w="725" w:type="dxa"/>
            <w:vAlign w:val="center"/>
          </w:tcPr>
          <w:p w14:paraId="736B5B6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09" w:type="dxa"/>
            <w:vAlign w:val="center"/>
          </w:tcPr>
          <w:p w14:paraId="0C0FD147">
            <w:pPr>
              <w:spacing w:before="62" w:beforeLines="20" w:after="62" w:afterLines="20" w:line="276" w:lineRule="auto"/>
              <w:jc w:val="left"/>
              <w:rPr>
                <w:rFonts w:ascii="Arial" w:hAnsi="Arial" w:cs="Arial"/>
                <w:color w:val="auto"/>
                <w:sz w:val="24"/>
                <w:highlight w:val="none"/>
              </w:rPr>
            </w:pPr>
          </w:p>
        </w:tc>
      </w:tr>
      <w:bookmarkEnd w:id="583"/>
      <w:bookmarkEnd w:id="584"/>
    </w:tbl>
    <w:p w14:paraId="198A57ED">
      <w:pPr>
        <w:spacing w:before="62" w:beforeLines="20" w:after="62" w:afterLines="20" w:line="276" w:lineRule="auto"/>
        <w:jc w:val="left"/>
        <w:rPr>
          <w:rFonts w:ascii="Arial" w:hAnsi="Arial" w:cs="Arial"/>
          <w:color w:val="auto"/>
          <w:sz w:val="24"/>
          <w:highlight w:val="none"/>
        </w:rPr>
      </w:pPr>
    </w:p>
    <w:p w14:paraId="2DCE122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8.1</w:t>
      </w:r>
      <w:r>
        <w:rPr>
          <w:rFonts w:ascii="Arial" w:hAnsi="Arial" w:cs="Arial"/>
          <w:color w:val="auto"/>
          <w:sz w:val="24"/>
          <w:highlight w:val="none"/>
        </w:rPr>
        <w:t>灯具与开关安装</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146"/>
        <w:gridCol w:w="643"/>
        <w:gridCol w:w="1086"/>
      </w:tblGrid>
      <w:tr w14:paraId="47C2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44" w:type="dxa"/>
            <w:tcBorders>
              <w:bottom w:val="single" w:color="auto" w:sz="4" w:space="0"/>
            </w:tcBorders>
            <w:shd w:val="pct20" w:color="auto" w:fill="FFFFFF"/>
            <w:vAlign w:val="center"/>
          </w:tcPr>
          <w:p w14:paraId="650292B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46" w:type="dxa"/>
            <w:tcBorders>
              <w:bottom w:val="single" w:color="auto" w:sz="4" w:space="0"/>
            </w:tcBorders>
            <w:shd w:val="pct20" w:color="auto" w:fill="FFFFFF"/>
            <w:vAlign w:val="center"/>
          </w:tcPr>
          <w:p w14:paraId="075D2C7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43" w:type="dxa"/>
            <w:tcBorders>
              <w:bottom w:val="single" w:color="auto" w:sz="4" w:space="0"/>
            </w:tcBorders>
            <w:shd w:val="pct20" w:color="auto" w:fill="FFFFFF"/>
            <w:vAlign w:val="center"/>
          </w:tcPr>
          <w:p w14:paraId="34E0E33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086" w:type="dxa"/>
            <w:tcBorders>
              <w:bottom w:val="single" w:color="auto" w:sz="4" w:space="0"/>
            </w:tcBorders>
            <w:shd w:val="pct20" w:color="auto" w:fill="FFFFFF"/>
          </w:tcPr>
          <w:p w14:paraId="18B76D9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629C0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4C76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73390F3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▲URS8.1-01</w:t>
            </w:r>
          </w:p>
        </w:tc>
        <w:tc>
          <w:tcPr>
            <w:tcW w:w="5146" w:type="dxa"/>
            <w:vAlign w:val="center"/>
          </w:tcPr>
          <w:p w14:paraId="5FCD779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灯具：吸顶式/全密封/超薄型/LED平板净化灯,使用年限大于3年，光衰减不得高于80%。成排安装的灯具，中心线允许偏差不超过5mm。</w:t>
            </w:r>
          </w:p>
        </w:tc>
        <w:tc>
          <w:tcPr>
            <w:tcW w:w="643" w:type="dxa"/>
            <w:vAlign w:val="center"/>
          </w:tcPr>
          <w:p w14:paraId="1B69927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41121566">
            <w:pPr>
              <w:spacing w:before="62" w:beforeLines="20" w:after="62" w:afterLines="20" w:line="276" w:lineRule="auto"/>
              <w:jc w:val="left"/>
              <w:rPr>
                <w:rFonts w:ascii="Arial" w:hAnsi="Arial" w:cs="Arial"/>
                <w:color w:val="auto"/>
                <w:sz w:val="24"/>
                <w:highlight w:val="none"/>
              </w:rPr>
            </w:pPr>
          </w:p>
        </w:tc>
      </w:tr>
      <w:tr w14:paraId="32C4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5663C53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URS8.1-02</w:t>
            </w:r>
          </w:p>
        </w:tc>
        <w:tc>
          <w:tcPr>
            <w:tcW w:w="5146" w:type="dxa"/>
            <w:vAlign w:val="center"/>
          </w:tcPr>
          <w:p w14:paraId="5FA4FC3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开关插座：开关、插座均采用知名品牌产品，塑料绝缘材料阻燃性能应符合国家认证及安全标准。</w:t>
            </w:r>
          </w:p>
        </w:tc>
        <w:tc>
          <w:tcPr>
            <w:tcW w:w="643" w:type="dxa"/>
            <w:vAlign w:val="center"/>
          </w:tcPr>
          <w:p w14:paraId="1A20720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7FE4F4DE">
            <w:pPr>
              <w:spacing w:before="62" w:beforeLines="20" w:after="62" w:afterLines="20" w:line="276" w:lineRule="auto"/>
              <w:jc w:val="left"/>
              <w:rPr>
                <w:rFonts w:ascii="Arial" w:hAnsi="Arial" w:cs="Arial"/>
                <w:color w:val="auto"/>
                <w:sz w:val="24"/>
                <w:highlight w:val="none"/>
              </w:rPr>
            </w:pPr>
          </w:p>
        </w:tc>
      </w:tr>
      <w:tr w14:paraId="6318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0EB0D0B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URS8.1-03</w:t>
            </w:r>
          </w:p>
        </w:tc>
        <w:tc>
          <w:tcPr>
            <w:tcW w:w="5146" w:type="dxa"/>
            <w:vAlign w:val="center"/>
          </w:tcPr>
          <w:p w14:paraId="2176C55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各种标志灯的指示方向正确无误，应暗装，应急灯必须灵敏可靠。</w:t>
            </w:r>
          </w:p>
        </w:tc>
        <w:tc>
          <w:tcPr>
            <w:tcW w:w="643" w:type="dxa"/>
            <w:vAlign w:val="center"/>
          </w:tcPr>
          <w:p w14:paraId="194C923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1DED8D78">
            <w:pPr>
              <w:spacing w:before="62" w:beforeLines="20" w:after="62" w:afterLines="20" w:line="276" w:lineRule="auto"/>
              <w:jc w:val="left"/>
              <w:rPr>
                <w:rFonts w:ascii="Arial" w:hAnsi="Arial" w:cs="Arial"/>
                <w:color w:val="auto"/>
                <w:sz w:val="24"/>
                <w:highlight w:val="none"/>
              </w:rPr>
            </w:pPr>
          </w:p>
        </w:tc>
      </w:tr>
      <w:tr w14:paraId="321A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6E2EDE9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▲URS8.1-04</w:t>
            </w:r>
          </w:p>
        </w:tc>
        <w:tc>
          <w:tcPr>
            <w:tcW w:w="5146" w:type="dxa"/>
          </w:tcPr>
          <w:p w14:paraId="648A79E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线管：导线穿线管或（槽）要求管径、厚度均匀，表面无锈蚀，镀锌层覆盖完整，管（槽）无压扁、内壁光滑，并有材质检验报告单及产品合格证，镀锌穿线管厚度不得低于图纸要求或国家标准。</w:t>
            </w:r>
          </w:p>
        </w:tc>
        <w:tc>
          <w:tcPr>
            <w:tcW w:w="643" w:type="dxa"/>
            <w:vAlign w:val="center"/>
          </w:tcPr>
          <w:p w14:paraId="69A758D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2BE956CA">
            <w:pPr>
              <w:spacing w:before="62" w:beforeLines="20" w:after="62" w:afterLines="20" w:line="276" w:lineRule="auto"/>
              <w:jc w:val="left"/>
              <w:rPr>
                <w:rFonts w:ascii="Arial" w:hAnsi="Arial" w:cs="Arial"/>
                <w:color w:val="auto"/>
                <w:sz w:val="24"/>
                <w:highlight w:val="none"/>
              </w:rPr>
            </w:pPr>
          </w:p>
        </w:tc>
      </w:tr>
      <w:tr w14:paraId="55E9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193EAE6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URS8.1-05</w:t>
            </w:r>
          </w:p>
        </w:tc>
        <w:tc>
          <w:tcPr>
            <w:tcW w:w="5146" w:type="dxa"/>
          </w:tcPr>
          <w:p w14:paraId="35882C1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绝缘导线及电缆：应符合国家制定响应技术安全标准，不同规格的绝缘导线及电缆都应有生产认证、产品生产许可证、线径标准、绝缘厚度均匀，外护绝缘层有明显标志和制造厂标。</w:t>
            </w:r>
          </w:p>
        </w:tc>
        <w:tc>
          <w:tcPr>
            <w:tcW w:w="643" w:type="dxa"/>
            <w:vAlign w:val="center"/>
          </w:tcPr>
          <w:p w14:paraId="2FA0111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50C96F3B">
            <w:pPr>
              <w:spacing w:before="62" w:beforeLines="20" w:after="62" w:afterLines="20" w:line="276" w:lineRule="auto"/>
              <w:jc w:val="left"/>
              <w:rPr>
                <w:rFonts w:ascii="Arial" w:hAnsi="Arial" w:cs="Arial"/>
                <w:color w:val="auto"/>
                <w:sz w:val="24"/>
                <w:highlight w:val="none"/>
              </w:rPr>
            </w:pPr>
          </w:p>
        </w:tc>
      </w:tr>
      <w:tr w14:paraId="042C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3A1EE30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URS8.1-06</w:t>
            </w:r>
          </w:p>
        </w:tc>
        <w:tc>
          <w:tcPr>
            <w:tcW w:w="5146" w:type="dxa"/>
          </w:tcPr>
          <w:p w14:paraId="09F80B8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灯具结构必须便于清扫，便于在顶棚下更换灯管及检修；</w:t>
            </w:r>
          </w:p>
        </w:tc>
        <w:tc>
          <w:tcPr>
            <w:tcW w:w="643" w:type="dxa"/>
            <w:vAlign w:val="center"/>
          </w:tcPr>
          <w:p w14:paraId="1CBA2EA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792A0D07">
            <w:pPr>
              <w:spacing w:before="62" w:beforeLines="20" w:after="62" w:afterLines="20" w:line="276" w:lineRule="auto"/>
              <w:jc w:val="left"/>
              <w:rPr>
                <w:rFonts w:ascii="Arial" w:hAnsi="Arial" w:cs="Arial"/>
                <w:color w:val="auto"/>
                <w:sz w:val="24"/>
                <w:highlight w:val="none"/>
              </w:rPr>
            </w:pPr>
          </w:p>
        </w:tc>
      </w:tr>
      <w:tr w14:paraId="2D83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3DB94F7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URS8.1-07</w:t>
            </w:r>
          </w:p>
        </w:tc>
        <w:tc>
          <w:tcPr>
            <w:tcW w:w="5146" w:type="dxa"/>
          </w:tcPr>
          <w:p w14:paraId="373D394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按照图纸配备走廊安装安全指示灯及出口指示灯。</w:t>
            </w:r>
          </w:p>
        </w:tc>
        <w:tc>
          <w:tcPr>
            <w:tcW w:w="643" w:type="dxa"/>
            <w:vAlign w:val="center"/>
          </w:tcPr>
          <w:p w14:paraId="2BD7D24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6ABAA140">
            <w:pPr>
              <w:spacing w:before="62" w:beforeLines="20" w:after="62" w:afterLines="20" w:line="276" w:lineRule="auto"/>
              <w:jc w:val="left"/>
              <w:rPr>
                <w:rFonts w:ascii="Arial" w:hAnsi="Arial" w:cs="Arial"/>
                <w:color w:val="auto"/>
                <w:sz w:val="24"/>
                <w:highlight w:val="none"/>
              </w:rPr>
            </w:pPr>
          </w:p>
        </w:tc>
      </w:tr>
      <w:tr w14:paraId="09D9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6F4F90A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URS8.1-08</w:t>
            </w:r>
          </w:p>
        </w:tc>
        <w:tc>
          <w:tcPr>
            <w:tcW w:w="5146" w:type="dxa"/>
          </w:tcPr>
          <w:p w14:paraId="1F78016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有产品选择采购到现场必须按国家相关规定执行，具有产品生产许可证、产品合格证、企业法人营业执照及国家强制性产品认证证书。</w:t>
            </w:r>
          </w:p>
        </w:tc>
        <w:tc>
          <w:tcPr>
            <w:tcW w:w="643" w:type="dxa"/>
            <w:vAlign w:val="center"/>
          </w:tcPr>
          <w:p w14:paraId="2137C3D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7B0E95E2">
            <w:pPr>
              <w:spacing w:before="62" w:beforeLines="20" w:after="62" w:afterLines="20" w:line="276" w:lineRule="auto"/>
              <w:jc w:val="left"/>
              <w:rPr>
                <w:rFonts w:ascii="Arial" w:hAnsi="Arial" w:cs="Arial"/>
                <w:color w:val="auto"/>
                <w:sz w:val="24"/>
                <w:highlight w:val="none"/>
              </w:rPr>
            </w:pPr>
          </w:p>
        </w:tc>
      </w:tr>
      <w:tr w14:paraId="6383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2BF2385D">
            <w:pPr>
              <w:rPr>
                <w:color w:val="auto"/>
                <w:highlight w:val="none"/>
              </w:rPr>
            </w:pPr>
            <w:r>
              <w:rPr>
                <w:rFonts w:hint="eastAsia" w:ascii="Arial" w:hAnsi="Arial" w:cs="Arial"/>
                <w:color w:val="auto"/>
                <w:sz w:val="24"/>
                <w:highlight w:val="none"/>
              </w:rPr>
              <w:t>URS8.1-09</w:t>
            </w:r>
          </w:p>
        </w:tc>
        <w:tc>
          <w:tcPr>
            <w:tcW w:w="5146" w:type="dxa"/>
            <w:vAlign w:val="center"/>
          </w:tcPr>
          <w:p w14:paraId="024DE21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灯具安装在洁净车间的吊顶板时，板材开孔后需做密封处理，防止冷热气体影响，提供二次方案，并经双方确认，保证灯具内部不会因内外部因素而进水。灯罩安装时，保证里面干净。</w:t>
            </w:r>
          </w:p>
        </w:tc>
        <w:tc>
          <w:tcPr>
            <w:tcW w:w="643" w:type="dxa"/>
          </w:tcPr>
          <w:p w14:paraId="363B7595">
            <w:pPr>
              <w:rPr>
                <w:color w:val="auto"/>
                <w:highlight w:val="none"/>
              </w:rPr>
            </w:pPr>
            <w:r>
              <w:rPr>
                <w:rFonts w:ascii="Arial" w:hAnsi="Arial" w:cs="Arial"/>
                <w:color w:val="auto"/>
                <w:sz w:val="24"/>
                <w:highlight w:val="none"/>
              </w:rPr>
              <w:t>必需</w:t>
            </w:r>
          </w:p>
        </w:tc>
        <w:tc>
          <w:tcPr>
            <w:tcW w:w="1086" w:type="dxa"/>
            <w:vAlign w:val="center"/>
          </w:tcPr>
          <w:p w14:paraId="73B9A48B">
            <w:pPr>
              <w:spacing w:before="62" w:beforeLines="20" w:after="62" w:afterLines="20" w:line="276" w:lineRule="auto"/>
              <w:jc w:val="left"/>
              <w:rPr>
                <w:rFonts w:ascii="Arial" w:hAnsi="Arial" w:cs="Arial"/>
                <w:color w:val="auto"/>
                <w:sz w:val="24"/>
                <w:highlight w:val="none"/>
              </w:rPr>
            </w:pPr>
          </w:p>
        </w:tc>
      </w:tr>
      <w:tr w14:paraId="4CB8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2C80E18A">
            <w:pPr>
              <w:rPr>
                <w:color w:val="auto"/>
                <w:highlight w:val="none"/>
              </w:rPr>
            </w:pPr>
            <w:r>
              <w:rPr>
                <w:rFonts w:hint="eastAsia" w:ascii="Arial" w:hAnsi="Arial" w:cs="Arial"/>
                <w:color w:val="auto"/>
                <w:sz w:val="24"/>
                <w:highlight w:val="none"/>
              </w:rPr>
              <w:t>URS8.1-01</w:t>
            </w:r>
          </w:p>
        </w:tc>
        <w:tc>
          <w:tcPr>
            <w:tcW w:w="5146" w:type="dxa"/>
            <w:vAlign w:val="center"/>
          </w:tcPr>
          <w:p w14:paraId="41B4AF9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防爆区内的灯具、</w:t>
            </w:r>
            <w:r>
              <w:rPr>
                <w:rFonts w:ascii="Arial" w:hAnsi="Arial" w:cs="Arial"/>
                <w:color w:val="auto"/>
                <w:sz w:val="24"/>
                <w:highlight w:val="none"/>
              </w:rPr>
              <w:t>开关、插座必须是防爆型。</w:t>
            </w:r>
          </w:p>
        </w:tc>
        <w:tc>
          <w:tcPr>
            <w:tcW w:w="643" w:type="dxa"/>
          </w:tcPr>
          <w:p w14:paraId="55517923">
            <w:pPr>
              <w:rPr>
                <w:color w:val="auto"/>
                <w:highlight w:val="none"/>
              </w:rPr>
            </w:pPr>
            <w:r>
              <w:rPr>
                <w:rFonts w:ascii="Arial" w:hAnsi="Arial" w:cs="Arial"/>
                <w:color w:val="auto"/>
                <w:sz w:val="24"/>
                <w:highlight w:val="none"/>
              </w:rPr>
              <w:t>必需</w:t>
            </w:r>
          </w:p>
        </w:tc>
        <w:tc>
          <w:tcPr>
            <w:tcW w:w="1086" w:type="dxa"/>
            <w:vAlign w:val="center"/>
          </w:tcPr>
          <w:p w14:paraId="73530BEB">
            <w:pPr>
              <w:spacing w:before="62" w:beforeLines="20" w:after="62" w:afterLines="20" w:line="276" w:lineRule="auto"/>
              <w:jc w:val="left"/>
              <w:rPr>
                <w:rFonts w:ascii="Arial" w:hAnsi="Arial" w:cs="Arial"/>
                <w:color w:val="auto"/>
                <w:sz w:val="24"/>
                <w:highlight w:val="none"/>
              </w:rPr>
            </w:pPr>
          </w:p>
        </w:tc>
      </w:tr>
    </w:tbl>
    <w:p w14:paraId="47444917">
      <w:pPr>
        <w:spacing w:before="62" w:beforeLines="20" w:after="62" w:afterLines="20" w:line="276" w:lineRule="auto"/>
        <w:jc w:val="left"/>
        <w:rPr>
          <w:rFonts w:ascii="Arial" w:hAnsi="Arial" w:cs="Arial"/>
          <w:color w:val="auto"/>
          <w:sz w:val="24"/>
          <w:highlight w:val="none"/>
        </w:rPr>
      </w:pPr>
    </w:p>
    <w:p w14:paraId="67DC716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8.2</w:t>
      </w:r>
      <w:r>
        <w:rPr>
          <w:rFonts w:hint="eastAsia" w:ascii="宋体" w:hAnsi="宋体"/>
          <w:b/>
          <w:bCs/>
          <w:color w:val="auto"/>
          <w:highlight w:val="none"/>
        </w:rPr>
        <w:t>动力配电系统</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146"/>
        <w:gridCol w:w="643"/>
        <w:gridCol w:w="1086"/>
      </w:tblGrid>
      <w:tr w14:paraId="36E9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44" w:type="dxa"/>
            <w:tcBorders>
              <w:bottom w:val="single" w:color="auto" w:sz="4" w:space="0"/>
            </w:tcBorders>
            <w:shd w:val="pct20" w:color="auto" w:fill="FFFFFF"/>
            <w:vAlign w:val="center"/>
          </w:tcPr>
          <w:p w14:paraId="2EA736D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46" w:type="dxa"/>
            <w:tcBorders>
              <w:bottom w:val="single" w:color="auto" w:sz="4" w:space="0"/>
            </w:tcBorders>
            <w:shd w:val="pct20" w:color="auto" w:fill="FFFFFF"/>
            <w:vAlign w:val="center"/>
          </w:tcPr>
          <w:p w14:paraId="4C7792D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43" w:type="dxa"/>
            <w:tcBorders>
              <w:bottom w:val="single" w:color="auto" w:sz="4" w:space="0"/>
            </w:tcBorders>
            <w:shd w:val="pct20" w:color="auto" w:fill="FFFFFF"/>
            <w:vAlign w:val="center"/>
          </w:tcPr>
          <w:p w14:paraId="2C31DE9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086" w:type="dxa"/>
            <w:tcBorders>
              <w:bottom w:val="single" w:color="auto" w:sz="4" w:space="0"/>
            </w:tcBorders>
            <w:shd w:val="pct20" w:color="auto" w:fill="FFFFFF"/>
          </w:tcPr>
          <w:p w14:paraId="0589B7B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7B03A2A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514F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4E338C3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▲URS8.2-01</w:t>
            </w:r>
          </w:p>
        </w:tc>
        <w:tc>
          <w:tcPr>
            <w:tcW w:w="5146" w:type="dxa"/>
          </w:tcPr>
          <w:p w14:paraId="0586FB5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电缆与电线均采用国标产品。电缆与电线型号符合设计图纸要求。铜的材质为一级铜；绝缘层不得用再生材料。</w:t>
            </w:r>
          </w:p>
        </w:tc>
        <w:tc>
          <w:tcPr>
            <w:tcW w:w="643" w:type="dxa"/>
            <w:vAlign w:val="center"/>
          </w:tcPr>
          <w:p w14:paraId="5362CFB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41DAC5A7">
            <w:pPr>
              <w:spacing w:before="62" w:beforeLines="20" w:after="62" w:afterLines="20" w:line="276" w:lineRule="auto"/>
              <w:jc w:val="left"/>
              <w:rPr>
                <w:rFonts w:ascii="Arial" w:hAnsi="Arial" w:cs="Arial"/>
                <w:color w:val="auto"/>
                <w:sz w:val="24"/>
                <w:highlight w:val="none"/>
              </w:rPr>
            </w:pPr>
          </w:p>
        </w:tc>
      </w:tr>
      <w:tr w14:paraId="203D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11ED730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URS8.2-02</w:t>
            </w:r>
          </w:p>
        </w:tc>
        <w:tc>
          <w:tcPr>
            <w:tcW w:w="5146" w:type="dxa"/>
          </w:tcPr>
          <w:p w14:paraId="7F5248D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配电电源采用交流50Hz，220/380V，带电导体系统型式为三相五线制。</w:t>
            </w:r>
          </w:p>
        </w:tc>
        <w:tc>
          <w:tcPr>
            <w:tcW w:w="643" w:type="dxa"/>
            <w:vAlign w:val="center"/>
          </w:tcPr>
          <w:p w14:paraId="5FD414E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7A35CF9B">
            <w:pPr>
              <w:spacing w:before="62" w:beforeLines="20" w:after="62" w:afterLines="20" w:line="276" w:lineRule="auto"/>
              <w:jc w:val="left"/>
              <w:rPr>
                <w:rFonts w:ascii="Arial" w:hAnsi="Arial" w:cs="Arial"/>
                <w:color w:val="auto"/>
                <w:sz w:val="24"/>
                <w:highlight w:val="none"/>
              </w:rPr>
            </w:pPr>
          </w:p>
        </w:tc>
      </w:tr>
      <w:tr w14:paraId="14C9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7A2B705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URS8.2-03</w:t>
            </w:r>
          </w:p>
        </w:tc>
        <w:tc>
          <w:tcPr>
            <w:tcW w:w="5146" w:type="dxa"/>
          </w:tcPr>
          <w:p w14:paraId="2F5D69D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1、所有电缆和电线必须有出厂合格证。敷设的电缆和电线应便于检查、维修、更换。</w:t>
            </w:r>
          </w:p>
          <w:p w14:paraId="3EF45FE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2、线径及耐压均符合设计要求，线色应正确，相线为黄色、绿色、红色，零线为黑色，PE线为黄绿双色线。</w:t>
            </w:r>
          </w:p>
          <w:p w14:paraId="006EF93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3、不同回路不同电压的导线不得穿入同一管内，同一交流电回路的导线必须穿过同一根管内。</w:t>
            </w:r>
          </w:p>
          <w:p w14:paraId="140C65D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4、导线在管内不得有接头和扭结，接头必须在接线盒内。所有分支连接和中间连接均应采用搪锡焊。</w:t>
            </w:r>
          </w:p>
          <w:p w14:paraId="5598F33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5、管内导线截面不超过管子截面的40％。管内导线根数最多不超过8根。穿线完毕，必须进行绝缘测试并做好记录。</w:t>
            </w:r>
          </w:p>
        </w:tc>
        <w:tc>
          <w:tcPr>
            <w:tcW w:w="643" w:type="dxa"/>
            <w:vAlign w:val="center"/>
          </w:tcPr>
          <w:p w14:paraId="6C76C3F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0FA27258">
            <w:pPr>
              <w:spacing w:before="62" w:beforeLines="20" w:after="62" w:afterLines="20" w:line="276" w:lineRule="auto"/>
              <w:jc w:val="left"/>
              <w:rPr>
                <w:rFonts w:ascii="Arial" w:hAnsi="Arial" w:cs="Arial"/>
                <w:color w:val="auto"/>
                <w:sz w:val="24"/>
                <w:highlight w:val="none"/>
              </w:rPr>
            </w:pPr>
          </w:p>
        </w:tc>
      </w:tr>
      <w:tr w14:paraId="4696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3E96D6D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URS8.2-04</w:t>
            </w:r>
          </w:p>
        </w:tc>
        <w:tc>
          <w:tcPr>
            <w:tcW w:w="5146" w:type="dxa"/>
          </w:tcPr>
          <w:p w14:paraId="548FF23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电缆桥架采用槽式和托盘式电缆桥架。配套提供桥架的支架、盖板、弯头、三通，具体符合设计要求。</w:t>
            </w:r>
          </w:p>
        </w:tc>
        <w:tc>
          <w:tcPr>
            <w:tcW w:w="643" w:type="dxa"/>
            <w:vAlign w:val="center"/>
          </w:tcPr>
          <w:p w14:paraId="6B30559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1B3E88B5">
            <w:pPr>
              <w:spacing w:before="62" w:beforeLines="20" w:after="62" w:afterLines="20" w:line="276" w:lineRule="auto"/>
              <w:jc w:val="left"/>
              <w:rPr>
                <w:rFonts w:ascii="Arial" w:hAnsi="Arial" w:cs="Arial"/>
                <w:color w:val="auto"/>
                <w:sz w:val="24"/>
                <w:highlight w:val="none"/>
              </w:rPr>
            </w:pPr>
          </w:p>
        </w:tc>
      </w:tr>
      <w:tr w14:paraId="2432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4DE1399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URS8.2-05</w:t>
            </w:r>
          </w:p>
        </w:tc>
        <w:tc>
          <w:tcPr>
            <w:tcW w:w="5146" w:type="dxa"/>
          </w:tcPr>
          <w:p w14:paraId="15C71FE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电缆桥架直线段长度超过30m，应留有20~30mm补偿余量，其连接采用伸缩连接板。连接板之间可靠连接接地。</w:t>
            </w:r>
          </w:p>
        </w:tc>
        <w:tc>
          <w:tcPr>
            <w:tcW w:w="643" w:type="dxa"/>
            <w:vAlign w:val="center"/>
          </w:tcPr>
          <w:p w14:paraId="0AA7072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57E04B67">
            <w:pPr>
              <w:spacing w:before="62" w:beforeLines="20" w:after="62" w:afterLines="20" w:line="276" w:lineRule="auto"/>
              <w:jc w:val="left"/>
              <w:rPr>
                <w:rFonts w:ascii="Arial" w:hAnsi="Arial" w:cs="Arial"/>
                <w:color w:val="auto"/>
                <w:sz w:val="24"/>
                <w:highlight w:val="none"/>
              </w:rPr>
            </w:pPr>
          </w:p>
        </w:tc>
      </w:tr>
      <w:tr w14:paraId="177D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61F9135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URS8.2-06</w:t>
            </w:r>
          </w:p>
        </w:tc>
        <w:tc>
          <w:tcPr>
            <w:tcW w:w="5146" w:type="dxa"/>
          </w:tcPr>
          <w:p w14:paraId="463FFFD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分支电缆桥架采用大于200mm*1.5mm冷轧钢板制作，而主电缆桥架采用不低于2.0mm冷轧钢板制作。桥架表面磷化处理再静电喷塑保护。</w:t>
            </w:r>
          </w:p>
        </w:tc>
        <w:tc>
          <w:tcPr>
            <w:tcW w:w="643" w:type="dxa"/>
            <w:vAlign w:val="center"/>
          </w:tcPr>
          <w:p w14:paraId="656D114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3AF750CD">
            <w:pPr>
              <w:spacing w:before="62" w:beforeLines="20" w:after="62" w:afterLines="20" w:line="276" w:lineRule="auto"/>
              <w:jc w:val="left"/>
              <w:rPr>
                <w:rFonts w:ascii="Arial" w:hAnsi="Arial" w:cs="Arial"/>
                <w:color w:val="auto"/>
                <w:sz w:val="24"/>
                <w:highlight w:val="none"/>
              </w:rPr>
            </w:pPr>
          </w:p>
        </w:tc>
      </w:tr>
      <w:tr w14:paraId="1C8D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0CD7436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URS8.2-06</w:t>
            </w:r>
          </w:p>
        </w:tc>
        <w:tc>
          <w:tcPr>
            <w:tcW w:w="5146" w:type="dxa"/>
          </w:tcPr>
          <w:p w14:paraId="6B6EB87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电缆桥架过防火墙处应按要求作相应处理.（见国标94D401-3《爆炸和火灾危险环境电气线路和电气设备安装》）。由非洁净区进出洁净区的电缆桥架、管线须作密封处理，垂直敷设至配电箱（柜）的电缆桥架待箱体定位后再安装。未标注安装尺寸的电缆桥架距柱边或墙边100mm。</w:t>
            </w:r>
          </w:p>
        </w:tc>
        <w:tc>
          <w:tcPr>
            <w:tcW w:w="643" w:type="dxa"/>
            <w:vAlign w:val="center"/>
          </w:tcPr>
          <w:p w14:paraId="4BBA730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3FA0C74D">
            <w:pPr>
              <w:spacing w:before="62" w:beforeLines="20" w:after="62" w:afterLines="20" w:line="276" w:lineRule="auto"/>
              <w:jc w:val="left"/>
              <w:rPr>
                <w:rFonts w:ascii="Arial" w:hAnsi="Arial" w:cs="Arial"/>
                <w:color w:val="auto"/>
                <w:sz w:val="24"/>
                <w:highlight w:val="none"/>
              </w:rPr>
            </w:pPr>
          </w:p>
        </w:tc>
      </w:tr>
      <w:tr w14:paraId="5C0C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0747394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URS8.2-06</w:t>
            </w:r>
          </w:p>
        </w:tc>
        <w:tc>
          <w:tcPr>
            <w:tcW w:w="5146" w:type="dxa"/>
          </w:tcPr>
          <w:p w14:paraId="717ED42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技术夹层布线应满足电气规范要求，布线合理；洁净区用电线路与非洁净区线路应分开敷设；主要工作区与辅助工作区线路应分开敷设；不同工艺要求的线路应分开敷设。</w:t>
            </w:r>
          </w:p>
        </w:tc>
        <w:tc>
          <w:tcPr>
            <w:tcW w:w="643" w:type="dxa"/>
            <w:vAlign w:val="center"/>
          </w:tcPr>
          <w:p w14:paraId="1553455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1AB9CED3">
            <w:pPr>
              <w:spacing w:before="62" w:beforeLines="20" w:after="62" w:afterLines="20" w:line="276" w:lineRule="auto"/>
              <w:jc w:val="left"/>
              <w:rPr>
                <w:rFonts w:ascii="Arial" w:hAnsi="Arial" w:cs="Arial"/>
                <w:color w:val="auto"/>
                <w:sz w:val="24"/>
                <w:highlight w:val="none"/>
              </w:rPr>
            </w:pPr>
          </w:p>
        </w:tc>
      </w:tr>
      <w:tr w14:paraId="6CF3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7A92F33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URS8.2-06</w:t>
            </w:r>
          </w:p>
        </w:tc>
        <w:tc>
          <w:tcPr>
            <w:tcW w:w="5146" w:type="dxa"/>
          </w:tcPr>
          <w:p w14:paraId="5074A7C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进入洁净室的穿线管口采用无腐蚀、不起尘和不燃材料密封。</w:t>
            </w:r>
          </w:p>
        </w:tc>
        <w:tc>
          <w:tcPr>
            <w:tcW w:w="643" w:type="dxa"/>
            <w:vAlign w:val="center"/>
          </w:tcPr>
          <w:p w14:paraId="4B00CB2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7ECCC122">
            <w:pPr>
              <w:spacing w:before="62" w:beforeLines="20" w:after="62" w:afterLines="20" w:line="276" w:lineRule="auto"/>
              <w:jc w:val="left"/>
              <w:rPr>
                <w:rFonts w:ascii="Arial" w:hAnsi="Arial" w:cs="Arial"/>
                <w:color w:val="auto"/>
                <w:sz w:val="24"/>
                <w:highlight w:val="none"/>
              </w:rPr>
            </w:pPr>
          </w:p>
        </w:tc>
      </w:tr>
    </w:tbl>
    <w:p w14:paraId="26850F7F">
      <w:pPr>
        <w:spacing w:line="340" w:lineRule="exact"/>
        <w:rPr>
          <w:rFonts w:ascii="Arial" w:hAnsi="Arial" w:cs="Arial"/>
          <w:color w:val="auto"/>
          <w:sz w:val="24"/>
          <w:highlight w:val="none"/>
        </w:rPr>
      </w:pPr>
    </w:p>
    <w:p w14:paraId="712AB06B">
      <w:pPr>
        <w:spacing w:line="340" w:lineRule="exact"/>
        <w:rPr>
          <w:rFonts w:ascii="Arial" w:hAnsi="Arial" w:cs="Arial"/>
          <w:color w:val="auto"/>
          <w:sz w:val="24"/>
          <w:highlight w:val="none"/>
        </w:rPr>
      </w:pPr>
    </w:p>
    <w:p w14:paraId="2B8840CF">
      <w:pPr>
        <w:spacing w:line="340" w:lineRule="exact"/>
        <w:rPr>
          <w:rFonts w:hint="eastAsia" w:ascii="宋体" w:hAnsi="宋体"/>
          <w:b/>
          <w:bCs/>
          <w:color w:val="auto"/>
          <w:szCs w:val="21"/>
          <w:highlight w:val="none"/>
        </w:rPr>
      </w:pPr>
      <w:r>
        <w:rPr>
          <w:rFonts w:hint="eastAsia" w:ascii="Arial" w:hAnsi="Arial" w:cs="Arial"/>
          <w:color w:val="auto"/>
          <w:sz w:val="24"/>
          <w:highlight w:val="none"/>
        </w:rPr>
        <w:t>8.3弱电系统</w:t>
      </w:r>
      <w:r>
        <w:rPr>
          <w:rFonts w:hint="eastAsia" w:ascii="Arial" w:hAnsi="Arial" w:cs="Arial"/>
          <w:b/>
          <w:bCs/>
          <w:color w:val="auto"/>
          <w:szCs w:val="21"/>
          <w:highlight w:val="none"/>
        </w:rPr>
        <w:t>（</w:t>
      </w:r>
      <w:r>
        <w:rPr>
          <w:rFonts w:hint="eastAsia" w:ascii="宋体" w:hAnsi="宋体" w:cs="宋体"/>
          <w:b/>
          <w:bCs/>
          <w:color w:val="auto"/>
          <w:szCs w:val="21"/>
          <w:highlight w:val="none"/>
        </w:rPr>
        <w:t>视频监控、网络、电话、门禁）</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146"/>
        <w:gridCol w:w="643"/>
        <w:gridCol w:w="1086"/>
      </w:tblGrid>
      <w:tr w14:paraId="0835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44" w:type="dxa"/>
            <w:tcBorders>
              <w:bottom w:val="single" w:color="auto" w:sz="4" w:space="0"/>
            </w:tcBorders>
            <w:shd w:val="pct20" w:color="auto" w:fill="FFFFFF"/>
            <w:vAlign w:val="center"/>
          </w:tcPr>
          <w:p w14:paraId="27D3ECD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146" w:type="dxa"/>
            <w:tcBorders>
              <w:bottom w:val="single" w:color="auto" w:sz="4" w:space="0"/>
            </w:tcBorders>
            <w:shd w:val="pct20" w:color="auto" w:fill="FFFFFF"/>
            <w:vAlign w:val="center"/>
          </w:tcPr>
          <w:p w14:paraId="05C0714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43" w:type="dxa"/>
            <w:tcBorders>
              <w:bottom w:val="single" w:color="auto" w:sz="4" w:space="0"/>
            </w:tcBorders>
            <w:shd w:val="pct20" w:color="auto" w:fill="FFFFFF"/>
            <w:vAlign w:val="center"/>
          </w:tcPr>
          <w:p w14:paraId="4710CE1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086" w:type="dxa"/>
            <w:tcBorders>
              <w:bottom w:val="single" w:color="auto" w:sz="4" w:space="0"/>
            </w:tcBorders>
            <w:shd w:val="pct20" w:color="auto" w:fill="FFFFFF"/>
          </w:tcPr>
          <w:p w14:paraId="7937C6D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12FF4D9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F6F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183D97C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▲URS8.3-01</w:t>
            </w:r>
          </w:p>
        </w:tc>
        <w:tc>
          <w:tcPr>
            <w:tcW w:w="5146" w:type="dxa"/>
          </w:tcPr>
          <w:p w14:paraId="15008CBD">
            <w:pPr>
              <w:spacing w:line="340" w:lineRule="exact"/>
              <w:rPr>
                <w:rFonts w:hint="eastAsia" w:ascii="宋体" w:hAnsi="宋体" w:cs="宋体"/>
                <w:color w:val="auto"/>
                <w:sz w:val="24"/>
                <w:highlight w:val="none"/>
              </w:rPr>
            </w:pPr>
            <w:r>
              <w:rPr>
                <w:rFonts w:hint="eastAsia" w:ascii="宋体" w:hAnsi="宋体" w:cs="宋体"/>
                <w:color w:val="auto"/>
                <w:sz w:val="24"/>
                <w:highlight w:val="none"/>
              </w:rPr>
              <w:t>视频监控说明：</w:t>
            </w:r>
          </w:p>
          <w:p w14:paraId="0E7916CE">
            <w:pPr>
              <w:numPr>
                <w:ilvl w:val="0"/>
                <w:numId w:val="3"/>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本车间安防机柜设在一层弱电间，在其余层弱电间分别设置安防机箱；</w:t>
            </w:r>
          </w:p>
          <w:p w14:paraId="7CA1EB31">
            <w:pPr>
              <w:numPr>
                <w:ilvl w:val="0"/>
                <w:numId w:val="3"/>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在本单体各出入口及主要生产房间设置监视摄像机，具体需求根据二次装修进行设置；</w:t>
            </w:r>
          </w:p>
          <w:p w14:paraId="3A8A7219">
            <w:pPr>
              <w:numPr>
                <w:ilvl w:val="0"/>
                <w:numId w:val="3"/>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所有摄像机的电源，由POE网交换机供电。</w:t>
            </w:r>
          </w:p>
          <w:p w14:paraId="2B8C4EB4">
            <w:pPr>
              <w:numPr>
                <w:ilvl w:val="0"/>
                <w:numId w:val="3"/>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系统控制方式为软件控制；</w:t>
            </w:r>
          </w:p>
          <w:p w14:paraId="2342E7D3">
            <w:pPr>
              <w:numPr>
                <w:ilvl w:val="0"/>
                <w:numId w:val="3"/>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摄像机采用带自动增益控制、逆光补偿、电子高亮度控制等，根据安装地点监视要求，配备相应的摄像机。入口等场所摄像机带入侵探测器、声音监测、容貌识别功能；固定摄象机室内安装有吸顶和壁装两种方式，壁装高度为2.4米，一体化摄像机室内吸顶；</w:t>
            </w:r>
          </w:p>
          <w:p w14:paraId="64C69636">
            <w:pPr>
              <w:numPr>
                <w:ilvl w:val="0"/>
                <w:numId w:val="3"/>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视频监控系统组成：前端视频数据采集部分：通过网络摄像机实现对各个监控区域的图像采集；视频数据传输部分：通过六类数据电缆、网络交换机等设备组成转发视频图像数据的传输网络，并通过传输网络将图像数据从前端监控设备传送到后端监控中心进行视频显示和存储；视频监控中心部分：视频监控中心是将前端采集的视频图像信息通过软件解码，转化为图像信号传送到监视上，形成直观图像信息并且显示出来，同时对视频信息按照存储策略进行存储。通过网络监控中心管理平台对整个系统进行统一操作、配置、管理；监控终端部份：监控终端主要功能是监看实时视频画面、查询回放录像、抓拍图像、手动录像，主要包括监控客户端、多路视频解码器。</w:t>
            </w:r>
          </w:p>
          <w:p w14:paraId="7A228E8C">
            <w:pPr>
              <w:numPr>
                <w:ilvl w:val="0"/>
                <w:numId w:val="3"/>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系统所有器件均由承包商负责成套供货、安装、调试，并协助甲方通过验收；</w:t>
            </w:r>
          </w:p>
          <w:p w14:paraId="3C963094">
            <w:pPr>
              <w:numPr>
                <w:ilvl w:val="0"/>
                <w:numId w:val="3"/>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 xml:space="preserve">系统的深化设计由承包商负责，设计院负责审核及与其他系统接口的协调事宜。 </w:t>
            </w:r>
          </w:p>
        </w:tc>
        <w:tc>
          <w:tcPr>
            <w:tcW w:w="643" w:type="dxa"/>
            <w:vAlign w:val="center"/>
          </w:tcPr>
          <w:p w14:paraId="5932D2F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62D738D0">
            <w:pPr>
              <w:spacing w:before="62" w:beforeLines="20" w:after="62" w:afterLines="20" w:line="276" w:lineRule="auto"/>
              <w:jc w:val="left"/>
              <w:rPr>
                <w:rFonts w:ascii="Arial" w:hAnsi="Arial" w:cs="Arial"/>
                <w:color w:val="auto"/>
                <w:sz w:val="24"/>
                <w:highlight w:val="none"/>
              </w:rPr>
            </w:pPr>
          </w:p>
        </w:tc>
      </w:tr>
      <w:tr w14:paraId="4AFD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628206B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▲URS8.3-02</w:t>
            </w:r>
          </w:p>
        </w:tc>
        <w:tc>
          <w:tcPr>
            <w:tcW w:w="5146" w:type="dxa"/>
          </w:tcPr>
          <w:p w14:paraId="30DA04CF">
            <w:pPr>
              <w:spacing w:line="340" w:lineRule="exact"/>
              <w:rPr>
                <w:rFonts w:hint="eastAsia" w:ascii="宋体" w:hAnsi="宋体" w:cs="宋体"/>
                <w:color w:val="auto"/>
                <w:sz w:val="24"/>
                <w:highlight w:val="none"/>
              </w:rPr>
            </w:pPr>
            <w:r>
              <w:rPr>
                <w:rFonts w:hint="eastAsia" w:ascii="宋体" w:hAnsi="宋体" w:cs="宋体"/>
                <w:color w:val="auto"/>
                <w:sz w:val="24"/>
                <w:highlight w:val="none"/>
              </w:rPr>
              <w:t>门禁系统说明 :</w:t>
            </w:r>
          </w:p>
          <w:p w14:paraId="247F2A7E">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本车间安防机柜设在同层弱电间；</w:t>
            </w:r>
          </w:p>
          <w:p w14:paraId="53308E5E">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 xml:space="preserve"> 门禁点：包含读卡器、电控锁、出门按钮、门磁开关四部分。具体安装方式详见门禁点系统图。</w:t>
            </w:r>
          </w:p>
          <w:p w14:paraId="1AECAE14">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出门按钮、读卡器安装高度距地1.3米。</w:t>
            </w:r>
          </w:p>
          <w:p w14:paraId="71F89825">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 xml:space="preserve"> 门磁开关装于门开启端上门框，在距开启端5CM处门框上方开孔直径10mm。门框上方设86盒，并引管路至开孔处。六类双绞线传输距离有限，必要时需增加交换机。</w:t>
            </w:r>
          </w:p>
          <w:p w14:paraId="1F965B28">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本单体门禁火灾情况下，通过低压房的切非模块切断电源，并自动打开疏散通道上由门禁系统控制的门。</w:t>
            </w:r>
          </w:p>
          <w:p w14:paraId="45B7747B">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本车间内气锁等房间为多门互锁。</w:t>
            </w:r>
          </w:p>
          <w:p w14:paraId="076A73B7">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所有门禁接入网络；</w:t>
            </w:r>
          </w:p>
          <w:p w14:paraId="1EEA3102">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系统所有器件均由承包商负责成套供货、安装、调试；</w:t>
            </w:r>
          </w:p>
          <w:p w14:paraId="7892EC54">
            <w:pPr>
              <w:numPr>
                <w:ilvl w:val="0"/>
                <w:numId w:val="4"/>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系统的深化设计由承包商负责。</w:t>
            </w:r>
          </w:p>
        </w:tc>
        <w:tc>
          <w:tcPr>
            <w:tcW w:w="643" w:type="dxa"/>
            <w:vAlign w:val="center"/>
          </w:tcPr>
          <w:p w14:paraId="61E95A2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0B59515F">
            <w:pPr>
              <w:spacing w:before="62" w:beforeLines="20" w:after="62" w:afterLines="20" w:line="276" w:lineRule="auto"/>
              <w:jc w:val="left"/>
              <w:rPr>
                <w:rFonts w:ascii="Arial" w:hAnsi="Arial" w:cs="Arial"/>
                <w:color w:val="auto"/>
                <w:sz w:val="24"/>
                <w:highlight w:val="none"/>
              </w:rPr>
            </w:pPr>
          </w:p>
        </w:tc>
      </w:tr>
      <w:tr w14:paraId="57EA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36BAB1B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URS8.3-03</w:t>
            </w:r>
          </w:p>
        </w:tc>
        <w:tc>
          <w:tcPr>
            <w:tcW w:w="5146" w:type="dxa"/>
          </w:tcPr>
          <w:p w14:paraId="0626BA07">
            <w:pPr>
              <w:spacing w:line="340" w:lineRule="exact"/>
              <w:rPr>
                <w:rFonts w:hint="eastAsia" w:ascii="宋体" w:hAnsi="宋体" w:cs="宋体"/>
                <w:color w:val="auto"/>
                <w:sz w:val="24"/>
                <w:highlight w:val="none"/>
              </w:rPr>
            </w:pPr>
            <w:r>
              <w:rPr>
                <w:rFonts w:hint="eastAsia" w:ascii="宋体" w:hAnsi="宋体" w:cs="宋体"/>
                <w:color w:val="auto"/>
                <w:sz w:val="24"/>
                <w:highlight w:val="none"/>
              </w:rPr>
              <w:t>本车间内气锁等房间为多门互锁。</w:t>
            </w:r>
          </w:p>
          <w:p w14:paraId="5DFD33A8">
            <w:pPr>
              <w:numPr>
                <w:ilvl w:val="0"/>
                <w:numId w:val="5"/>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正常状态下，所有门状态均为绿色，表示门已锁好，按下按钮即可开启。</w:t>
            </w:r>
          </w:p>
          <w:p w14:paraId="2F9723F1">
            <w:pPr>
              <w:numPr>
                <w:ilvl w:val="0"/>
                <w:numId w:val="5"/>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一旦按下其中一个侧面的按钮，另一个侧面的门灯和其他的门灯将立即变成红色，其他所有的门将保持锁定状态。</w:t>
            </w:r>
          </w:p>
          <w:p w14:paraId="051D7C69">
            <w:pPr>
              <w:numPr>
                <w:ilvl w:val="0"/>
                <w:numId w:val="5"/>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呼叫侧的门会打开让人们通过。</w:t>
            </w:r>
          </w:p>
          <w:p w14:paraId="2FA2CF9F">
            <w:pPr>
              <w:numPr>
                <w:ilvl w:val="0"/>
                <w:numId w:val="5"/>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一旦人员经过，门就会自动关闭。门关闭后，所有门状态灯变为绿色，准备下一次开启操作。</w:t>
            </w:r>
          </w:p>
          <w:p w14:paraId="14F1F106">
            <w:pPr>
              <w:numPr>
                <w:ilvl w:val="0"/>
                <w:numId w:val="5"/>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当门状态灯为红色时，除紧急按钮被按下外，即使按下了门按钮，门也会一直锁着，直到其他已打开的门关闭。</w:t>
            </w:r>
          </w:p>
          <w:p w14:paraId="1824D3AE">
            <w:pPr>
              <w:numPr>
                <w:ilvl w:val="0"/>
                <w:numId w:val="5"/>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当灯变为绿色时，人们需要再次按下按钮来请求开门。</w:t>
            </w:r>
          </w:p>
          <w:p w14:paraId="1A758F56">
            <w:pPr>
              <w:numPr>
                <w:ilvl w:val="0"/>
                <w:numId w:val="5"/>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互锁门的门禁控制由门禁系统实现，设计有门禁读卡器，电磁锁，门磁开关，开门按钮及应急出门按钮，状态指示等。人员刷读卡器后，门禁系统判断该人员是否可以进入，如可以进入，门禁系统输出允许信号至互锁门控制器，互锁门控制器解锁电磁锁。</w:t>
            </w:r>
          </w:p>
          <w:p w14:paraId="71930E6E">
            <w:pPr>
              <w:numPr>
                <w:ilvl w:val="0"/>
                <w:numId w:val="5"/>
              </w:numPr>
              <w:spacing w:line="340" w:lineRule="exact"/>
              <w:rPr>
                <w:rFonts w:hint="eastAsia" w:ascii="宋体" w:hAnsi="宋体" w:cs="宋体"/>
                <w:color w:val="auto"/>
                <w:sz w:val="24"/>
                <w:highlight w:val="none"/>
              </w:rPr>
            </w:pPr>
            <w:r>
              <w:rPr>
                <w:rFonts w:hint="eastAsia" w:ascii="宋体" w:hAnsi="宋体" w:cs="宋体"/>
                <w:color w:val="auto"/>
                <w:sz w:val="24"/>
                <w:highlight w:val="none"/>
              </w:rPr>
              <w:t>本单体门禁火灾情况下，通过低压房的切非模块切断电源，并自动打开疏散通道上由门禁系统控制的门。</w:t>
            </w:r>
          </w:p>
          <w:p w14:paraId="00183F6F">
            <w:pPr>
              <w:rPr>
                <w:rFonts w:ascii="Arial" w:hAnsi="Arial" w:cs="Arial"/>
                <w:color w:val="auto"/>
                <w:sz w:val="24"/>
                <w:highlight w:val="none"/>
              </w:rPr>
            </w:pPr>
          </w:p>
        </w:tc>
        <w:tc>
          <w:tcPr>
            <w:tcW w:w="643" w:type="dxa"/>
            <w:vAlign w:val="center"/>
          </w:tcPr>
          <w:p w14:paraId="72A9338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086" w:type="dxa"/>
            <w:vAlign w:val="center"/>
          </w:tcPr>
          <w:p w14:paraId="69C95DEA">
            <w:pPr>
              <w:spacing w:before="62" w:beforeLines="20" w:after="62" w:afterLines="20" w:line="276" w:lineRule="auto"/>
              <w:jc w:val="left"/>
              <w:rPr>
                <w:rFonts w:ascii="Arial" w:hAnsi="Arial" w:cs="Arial"/>
                <w:color w:val="auto"/>
                <w:sz w:val="24"/>
                <w:highlight w:val="none"/>
              </w:rPr>
            </w:pPr>
          </w:p>
        </w:tc>
      </w:tr>
    </w:tbl>
    <w:p w14:paraId="1BCD04AA">
      <w:pPr>
        <w:spacing w:before="62" w:beforeLines="20" w:after="62" w:afterLines="20" w:line="276" w:lineRule="auto"/>
        <w:jc w:val="left"/>
        <w:rPr>
          <w:rFonts w:ascii="Arial" w:hAnsi="Arial" w:cs="Arial"/>
          <w:color w:val="auto"/>
          <w:sz w:val="24"/>
          <w:highlight w:val="none"/>
        </w:rPr>
      </w:pPr>
    </w:p>
    <w:p w14:paraId="3CF7156C">
      <w:pPr>
        <w:spacing w:before="62" w:beforeLines="20" w:after="62" w:afterLines="20" w:line="276" w:lineRule="auto"/>
        <w:jc w:val="left"/>
        <w:rPr>
          <w:rFonts w:ascii="Arial" w:hAnsi="Arial" w:cs="Arial"/>
          <w:color w:val="auto"/>
          <w:sz w:val="24"/>
          <w:highlight w:val="none"/>
        </w:rPr>
      </w:pPr>
    </w:p>
    <w:p w14:paraId="7972DAD4">
      <w:pPr>
        <w:spacing w:before="62" w:beforeLines="20" w:after="62" w:afterLines="20" w:line="276" w:lineRule="auto"/>
        <w:jc w:val="left"/>
        <w:rPr>
          <w:rFonts w:ascii="Arial" w:hAnsi="Arial" w:cs="Arial"/>
          <w:b/>
          <w:bCs/>
          <w:color w:val="auto"/>
          <w:sz w:val="24"/>
          <w:highlight w:val="none"/>
        </w:rPr>
      </w:pPr>
      <w:r>
        <w:rPr>
          <w:rFonts w:hint="eastAsia" w:ascii="Arial" w:hAnsi="Arial" w:cs="Arial"/>
          <w:b/>
          <w:bCs/>
          <w:color w:val="auto"/>
          <w:sz w:val="24"/>
          <w:highlight w:val="none"/>
        </w:rPr>
        <w:t>九、给排水专业要求</w:t>
      </w:r>
    </w:p>
    <w:p w14:paraId="766E725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5068"/>
        <w:gridCol w:w="725"/>
        <w:gridCol w:w="1209"/>
      </w:tblGrid>
      <w:tr w14:paraId="03C9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517" w:type="dxa"/>
            <w:tcBorders>
              <w:bottom w:val="single" w:color="auto" w:sz="4" w:space="0"/>
            </w:tcBorders>
            <w:shd w:val="pct20" w:color="auto" w:fill="FFFFFF"/>
            <w:vAlign w:val="center"/>
          </w:tcPr>
          <w:p w14:paraId="5DC171B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68" w:type="dxa"/>
            <w:tcBorders>
              <w:bottom w:val="single" w:color="auto" w:sz="4" w:space="0"/>
            </w:tcBorders>
            <w:shd w:val="pct20" w:color="auto" w:fill="FFFFFF"/>
            <w:vAlign w:val="center"/>
          </w:tcPr>
          <w:p w14:paraId="342CEC8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25" w:type="dxa"/>
            <w:tcBorders>
              <w:bottom w:val="single" w:color="auto" w:sz="4" w:space="0"/>
            </w:tcBorders>
            <w:shd w:val="pct20" w:color="auto" w:fill="FFFFFF"/>
            <w:vAlign w:val="center"/>
          </w:tcPr>
          <w:p w14:paraId="6D0D9E7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209" w:type="dxa"/>
            <w:tcBorders>
              <w:bottom w:val="single" w:color="auto" w:sz="4" w:space="0"/>
            </w:tcBorders>
            <w:shd w:val="pct20" w:color="auto" w:fill="FFFFFF"/>
          </w:tcPr>
          <w:p w14:paraId="50E1308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14EB6F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58AA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517" w:type="dxa"/>
            <w:vAlign w:val="center"/>
          </w:tcPr>
          <w:p w14:paraId="674D9AF7">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9</w:t>
            </w:r>
          </w:p>
        </w:tc>
        <w:tc>
          <w:tcPr>
            <w:tcW w:w="5068" w:type="dxa"/>
            <w:vAlign w:val="center"/>
          </w:tcPr>
          <w:p w14:paraId="4B65FC2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总体要求：按图纸施工，符合《建筑给水排水设计标准》GB50015-2019，《污水排入城镇下水道水质标准》 GB/T 31962-2015，《医药工业洁净厂房设计标准》  GB50457-2019，《建筑给水排水与节水通用规范》 GB55020-2021等规范要求。</w:t>
            </w:r>
          </w:p>
          <w:p w14:paraId="687E2D5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排水管材要求：（给水管道材质详见工艺管道图纸，室内给水支管：304不锈钢管。）</w:t>
            </w:r>
          </w:p>
          <w:p w14:paraId="413ABB1B">
            <w:pPr>
              <w:numPr>
                <w:ilvl w:val="0"/>
                <w:numId w:val="6"/>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常温生产污水管管材：UPVC管，溶剂粘接。</w:t>
            </w:r>
          </w:p>
          <w:p w14:paraId="6FEC2B66">
            <w:pPr>
              <w:numPr>
                <w:ilvl w:val="0"/>
                <w:numId w:val="6"/>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高温生产污水管管材：304不锈钢管，焊接。</w:t>
            </w:r>
          </w:p>
          <w:p w14:paraId="641B3942">
            <w:pPr>
              <w:numPr>
                <w:ilvl w:val="0"/>
                <w:numId w:val="6"/>
              </w:num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蒸汽凝结水管管材：镀锌钢管，卡箍连接</w:t>
            </w:r>
          </w:p>
        </w:tc>
        <w:tc>
          <w:tcPr>
            <w:tcW w:w="725" w:type="dxa"/>
            <w:vAlign w:val="center"/>
          </w:tcPr>
          <w:p w14:paraId="5D3860F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09" w:type="dxa"/>
            <w:vAlign w:val="center"/>
          </w:tcPr>
          <w:p w14:paraId="263E3D66">
            <w:pPr>
              <w:spacing w:before="62" w:beforeLines="20" w:after="62" w:afterLines="20" w:line="276" w:lineRule="auto"/>
              <w:jc w:val="left"/>
              <w:rPr>
                <w:rFonts w:ascii="Arial" w:hAnsi="Arial" w:cs="Arial"/>
                <w:color w:val="auto"/>
                <w:sz w:val="24"/>
                <w:highlight w:val="none"/>
              </w:rPr>
            </w:pPr>
          </w:p>
        </w:tc>
      </w:tr>
    </w:tbl>
    <w:p w14:paraId="3D56C337">
      <w:pPr>
        <w:spacing w:before="62" w:beforeLines="20" w:after="62" w:afterLines="20" w:line="276" w:lineRule="auto"/>
        <w:jc w:val="left"/>
        <w:rPr>
          <w:rFonts w:ascii="Arial" w:hAnsi="Arial" w:cs="Arial"/>
          <w:color w:val="auto"/>
          <w:sz w:val="24"/>
          <w:highlight w:val="none"/>
        </w:rPr>
      </w:pPr>
    </w:p>
    <w:p w14:paraId="545DA2E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9.1</w:t>
      </w:r>
      <w:r>
        <w:rPr>
          <w:rFonts w:ascii="Arial" w:hAnsi="Arial" w:cs="Arial"/>
          <w:color w:val="auto"/>
          <w:sz w:val="24"/>
          <w:highlight w:val="none"/>
        </w:rPr>
        <w:t>排水管道与沉弯、接头安装</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5069"/>
        <w:gridCol w:w="784"/>
        <w:gridCol w:w="1227"/>
      </w:tblGrid>
      <w:tr w14:paraId="55A0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39" w:type="dxa"/>
            <w:tcBorders>
              <w:bottom w:val="single" w:color="auto" w:sz="4" w:space="0"/>
            </w:tcBorders>
            <w:shd w:val="pct20" w:color="auto" w:fill="FFFFFF"/>
            <w:vAlign w:val="center"/>
          </w:tcPr>
          <w:p w14:paraId="4AF45D5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69" w:type="dxa"/>
            <w:tcBorders>
              <w:bottom w:val="single" w:color="auto" w:sz="4" w:space="0"/>
            </w:tcBorders>
            <w:shd w:val="pct20" w:color="auto" w:fill="FFFFFF"/>
            <w:vAlign w:val="center"/>
          </w:tcPr>
          <w:p w14:paraId="023023E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84" w:type="dxa"/>
            <w:tcBorders>
              <w:bottom w:val="single" w:color="auto" w:sz="4" w:space="0"/>
            </w:tcBorders>
            <w:shd w:val="pct20" w:color="auto" w:fill="FFFFFF"/>
            <w:vAlign w:val="center"/>
          </w:tcPr>
          <w:p w14:paraId="74588E8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227" w:type="dxa"/>
            <w:tcBorders>
              <w:bottom w:val="single" w:color="auto" w:sz="4" w:space="0"/>
            </w:tcBorders>
            <w:shd w:val="pct20" w:color="auto" w:fill="FFFFFF"/>
          </w:tcPr>
          <w:p w14:paraId="4CA6752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43DFAF3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2984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14:paraId="16BE71C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URS9.1-01</w:t>
            </w:r>
          </w:p>
        </w:tc>
        <w:tc>
          <w:tcPr>
            <w:tcW w:w="5069" w:type="dxa"/>
            <w:vAlign w:val="center"/>
          </w:tcPr>
          <w:p w14:paraId="33294DE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穿过楼板套管与管道间的缝隙用阻燃密实材料和防水油膏填实，端面光滑。</w:t>
            </w:r>
          </w:p>
        </w:tc>
        <w:tc>
          <w:tcPr>
            <w:tcW w:w="784" w:type="dxa"/>
            <w:vAlign w:val="center"/>
          </w:tcPr>
          <w:p w14:paraId="3E2A6BE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27" w:type="dxa"/>
            <w:vAlign w:val="center"/>
          </w:tcPr>
          <w:p w14:paraId="6BD6D7CF">
            <w:pPr>
              <w:spacing w:before="62" w:beforeLines="20" w:after="62" w:afterLines="20" w:line="276" w:lineRule="auto"/>
              <w:jc w:val="left"/>
              <w:rPr>
                <w:rFonts w:ascii="Arial" w:hAnsi="Arial" w:cs="Arial"/>
                <w:color w:val="auto"/>
                <w:sz w:val="24"/>
                <w:highlight w:val="none"/>
              </w:rPr>
            </w:pPr>
          </w:p>
        </w:tc>
      </w:tr>
      <w:tr w14:paraId="0F36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tcPr>
          <w:p w14:paraId="0722AE03">
            <w:pPr>
              <w:rPr>
                <w:color w:val="auto"/>
                <w:highlight w:val="none"/>
              </w:rPr>
            </w:pPr>
            <w:r>
              <w:rPr>
                <w:rFonts w:hint="eastAsia" w:ascii="Arial" w:hAnsi="Arial" w:cs="Arial"/>
                <w:color w:val="auto"/>
                <w:sz w:val="24"/>
                <w:highlight w:val="none"/>
              </w:rPr>
              <w:t>URS9.1-02</w:t>
            </w:r>
          </w:p>
        </w:tc>
        <w:tc>
          <w:tcPr>
            <w:tcW w:w="5069" w:type="dxa"/>
            <w:vAlign w:val="center"/>
          </w:tcPr>
          <w:p w14:paraId="3F1A44A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管道支、吊架间距必须符合施工图设计施工说明要求。</w:t>
            </w:r>
          </w:p>
        </w:tc>
        <w:tc>
          <w:tcPr>
            <w:tcW w:w="784" w:type="dxa"/>
            <w:vAlign w:val="center"/>
          </w:tcPr>
          <w:p w14:paraId="733BD0C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27" w:type="dxa"/>
            <w:vAlign w:val="center"/>
          </w:tcPr>
          <w:p w14:paraId="6E6656D2">
            <w:pPr>
              <w:spacing w:before="62" w:beforeLines="20" w:after="62" w:afterLines="20" w:line="276" w:lineRule="auto"/>
              <w:jc w:val="left"/>
              <w:rPr>
                <w:rFonts w:ascii="Arial" w:hAnsi="Arial" w:cs="Arial"/>
                <w:color w:val="auto"/>
                <w:sz w:val="24"/>
                <w:highlight w:val="none"/>
              </w:rPr>
            </w:pPr>
          </w:p>
        </w:tc>
      </w:tr>
      <w:tr w14:paraId="5931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tcPr>
          <w:p w14:paraId="5739CB78">
            <w:pPr>
              <w:rPr>
                <w:color w:val="auto"/>
                <w:highlight w:val="none"/>
              </w:rPr>
            </w:pPr>
            <w:r>
              <w:rPr>
                <w:rFonts w:hint="eastAsia" w:ascii="Arial" w:hAnsi="Arial" w:cs="Arial"/>
                <w:color w:val="auto"/>
                <w:sz w:val="24"/>
                <w:highlight w:val="none"/>
              </w:rPr>
              <w:t>URS9.1-03</w:t>
            </w:r>
          </w:p>
        </w:tc>
        <w:tc>
          <w:tcPr>
            <w:tcW w:w="5069" w:type="dxa"/>
            <w:vAlign w:val="center"/>
          </w:tcPr>
          <w:p w14:paraId="427E582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排水管道安装后必须进行灌水试验，凡属隐蔽暗装管道必须按分项工序进行。</w:t>
            </w:r>
          </w:p>
        </w:tc>
        <w:tc>
          <w:tcPr>
            <w:tcW w:w="784" w:type="dxa"/>
            <w:vAlign w:val="center"/>
          </w:tcPr>
          <w:p w14:paraId="14248F4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27" w:type="dxa"/>
            <w:vAlign w:val="center"/>
          </w:tcPr>
          <w:p w14:paraId="27D8BC6C">
            <w:pPr>
              <w:spacing w:before="62" w:beforeLines="20" w:after="62" w:afterLines="20" w:line="276" w:lineRule="auto"/>
              <w:jc w:val="left"/>
              <w:rPr>
                <w:rFonts w:ascii="Arial" w:hAnsi="Arial" w:cs="Arial"/>
                <w:color w:val="auto"/>
                <w:sz w:val="24"/>
                <w:highlight w:val="none"/>
              </w:rPr>
            </w:pPr>
          </w:p>
        </w:tc>
      </w:tr>
      <w:tr w14:paraId="17B9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tcPr>
          <w:p w14:paraId="3370DF29">
            <w:pPr>
              <w:rPr>
                <w:color w:val="auto"/>
                <w:highlight w:val="none"/>
              </w:rPr>
            </w:pPr>
            <w:r>
              <w:rPr>
                <w:rFonts w:hint="eastAsia" w:ascii="Arial" w:hAnsi="Arial" w:cs="Arial"/>
                <w:color w:val="auto"/>
                <w:sz w:val="24"/>
                <w:highlight w:val="none"/>
              </w:rPr>
              <w:t>URS9.1-04</w:t>
            </w:r>
          </w:p>
        </w:tc>
        <w:tc>
          <w:tcPr>
            <w:tcW w:w="5069" w:type="dxa"/>
            <w:vAlign w:val="center"/>
          </w:tcPr>
          <w:p w14:paraId="045351B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蒸气冷凝水、疏水阀排水管应当在适当的位置保温，同时有防止蒸汽倒</w:t>
            </w:r>
            <w:r>
              <w:rPr>
                <w:rFonts w:hint="eastAsia" w:ascii="Arial" w:hAnsi="Arial" w:cs="Arial"/>
                <w:color w:val="auto"/>
                <w:sz w:val="24"/>
                <w:highlight w:val="none"/>
              </w:rPr>
              <w:t>灌</w:t>
            </w:r>
            <w:r>
              <w:rPr>
                <w:rFonts w:ascii="Arial" w:hAnsi="Arial" w:cs="Arial"/>
                <w:color w:val="auto"/>
                <w:sz w:val="24"/>
                <w:highlight w:val="none"/>
              </w:rPr>
              <w:t>措施。</w:t>
            </w:r>
          </w:p>
        </w:tc>
        <w:tc>
          <w:tcPr>
            <w:tcW w:w="784" w:type="dxa"/>
            <w:vAlign w:val="center"/>
          </w:tcPr>
          <w:p w14:paraId="509BE71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27" w:type="dxa"/>
            <w:vAlign w:val="center"/>
          </w:tcPr>
          <w:p w14:paraId="6A98D61C">
            <w:pPr>
              <w:spacing w:before="62" w:beforeLines="20" w:after="62" w:afterLines="20" w:line="276" w:lineRule="auto"/>
              <w:jc w:val="left"/>
              <w:rPr>
                <w:rFonts w:ascii="Arial" w:hAnsi="Arial" w:cs="Arial"/>
                <w:color w:val="auto"/>
                <w:sz w:val="24"/>
                <w:highlight w:val="none"/>
              </w:rPr>
            </w:pPr>
          </w:p>
        </w:tc>
      </w:tr>
      <w:tr w14:paraId="6755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tcPr>
          <w:p w14:paraId="5E67523E">
            <w:pPr>
              <w:rPr>
                <w:color w:val="auto"/>
                <w:highlight w:val="none"/>
              </w:rPr>
            </w:pPr>
            <w:r>
              <w:rPr>
                <w:rFonts w:hint="eastAsia" w:ascii="Arial" w:hAnsi="Arial" w:cs="Arial"/>
                <w:color w:val="auto"/>
                <w:sz w:val="24"/>
                <w:highlight w:val="none"/>
              </w:rPr>
              <w:t>URS9.1-05</w:t>
            </w:r>
          </w:p>
        </w:tc>
        <w:tc>
          <w:tcPr>
            <w:tcW w:w="5069" w:type="dxa"/>
            <w:vAlign w:val="center"/>
          </w:tcPr>
          <w:p w14:paraId="43C734F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房间地漏口安装时，下排装存水弯，弯头并用吊杆拉住，PVC材质的涂胶水粘黏，热水管道的采用金属管焊接，防止接口松脱。（热水管道的材质需要达到耐高温（121</w:t>
            </w:r>
            <w:r>
              <w:rPr>
                <w:rFonts w:hint="eastAsia" w:ascii="Arial" w:hAnsi="Arial" w:cs="Arial"/>
                <w:color w:val="auto"/>
                <w:sz w:val="24"/>
                <w:highlight w:val="none"/>
                <w:lang w:eastAsia="zh"/>
              </w:rPr>
              <w:t>℃</w:t>
            </w:r>
            <w:r>
              <w:rPr>
                <w:rFonts w:hint="eastAsia" w:ascii="Arial" w:hAnsi="Arial" w:cs="Arial"/>
                <w:color w:val="auto"/>
                <w:sz w:val="24"/>
                <w:highlight w:val="none"/>
              </w:rPr>
              <w:t>及</w:t>
            </w:r>
            <w:r>
              <w:rPr>
                <w:rFonts w:hint="eastAsia" w:ascii="Arial" w:hAnsi="Arial" w:cs="Arial"/>
                <w:color w:val="auto"/>
                <w:sz w:val="24"/>
                <w:highlight w:val="none"/>
                <w:lang w:eastAsia="zh"/>
              </w:rPr>
              <w:t>以上</w:t>
            </w:r>
            <w:r>
              <w:rPr>
                <w:rFonts w:hint="eastAsia" w:ascii="Arial" w:hAnsi="Arial" w:cs="Arial"/>
                <w:color w:val="auto"/>
                <w:sz w:val="24"/>
                <w:highlight w:val="none"/>
              </w:rPr>
              <w:t>）要求）</w:t>
            </w:r>
          </w:p>
        </w:tc>
        <w:tc>
          <w:tcPr>
            <w:tcW w:w="784" w:type="dxa"/>
            <w:vAlign w:val="center"/>
          </w:tcPr>
          <w:p w14:paraId="0990657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27" w:type="dxa"/>
            <w:vAlign w:val="center"/>
          </w:tcPr>
          <w:p w14:paraId="58C3BA6E">
            <w:pPr>
              <w:spacing w:before="62" w:beforeLines="20" w:after="62" w:afterLines="20" w:line="276" w:lineRule="auto"/>
              <w:jc w:val="left"/>
              <w:rPr>
                <w:rFonts w:ascii="Arial" w:hAnsi="Arial" w:cs="Arial"/>
                <w:color w:val="auto"/>
                <w:sz w:val="24"/>
                <w:highlight w:val="none"/>
              </w:rPr>
            </w:pPr>
          </w:p>
        </w:tc>
      </w:tr>
      <w:tr w14:paraId="7D06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tcPr>
          <w:p w14:paraId="0D6D3463">
            <w:pPr>
              <w:rPr>
                <w:rFonts w:ascii="Arial" w:hAnsi="Arial" w:cs="Arial"/>
                <w:color w:val="auto"/>
                <w:sz w:val="24"/>
                <w:highlight w:val="none"/>
              </w:rPr>
            </w:pPr>
            <w:r>
              <w:rPr>
                <w:rFonts w:hint="eastAsia" w:ascii="Arial" w:hAnsi="Arial" w:cs="Arial"/>
                <w:color w:val="auto"/>
                <w:sz w:val="24"/>
                <w:highlight w:val="none"/>
              </w:rPr>
              <w:t>URS9.1-06</w:t>
            </w:r>
          </w:p>
        </w:tc>
        <w:tc>
          <w:tcPr>
            <w:tcW w:w="5069" w:type="dxa"/>
            <w:vAlign w:val="center"/>
          </w:tcPr>
          <w:p w14:paraId="154F2B5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保温措施：蒸汽凝结水管、高温污水管采用厚度40mm不燃A级玻璃棉保温层外包铝箔保护层，具体见16S401-31~40,保温结构II型。</w:t>
            </w:r>
          </w:p>
        </w:tc>
        <w:tc>
          <w:tcPr>
            <w:tcW w:w="784" w:type="dxa"/>
            <w:vAlign w:val="center"/>
          </w:tcPr>
          <w:p w14:paraId="5382918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27" w:type="dxa"/>
            <w:vAlign w:val="center"/>
          </w:tcPr>
          <w:p w14:paraId="55417EDB">
            <w:pPr>
              <w:spacing w:before="62" w:beforeLines="20" w:after="62" w:afterLines="20" w:line="276" w:lineRule="auto"/>
              <w:jc w:val="left"/>
              <w:rPr>
                <w:rFonts w:ascii="Arial" w:hAnsi="Arial" w:cs="Arial"/>
                <w:color w:val="auto"/>
                <w:sz w:val="24"/>
                <w:highlight w:val="none"/>
              </w:rPr>
            </w:pPr>
          </w:p>
        </w:tc>
      </w:tr>
      <w:tr w14:paraId="570C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tcPr>
          <w:p w14:paraId="32F2B5EF">
            <w:pPr>
              <w:rPr>
                <w:rFonts w:ascii="Arial" w:hAnsi="Arial" w:cs="Arial"/>
                <w:color w:val="auto"/>
                <w:sz w:val="24"/>
                <w:highlight w:val="none"/>
              </w:rPr>
            </w:pPr>
            <w:r>
              <w:rPr>
                <w:rFonts w:hint="eastAsia" w:ascii="Arial" w:hAnsi="Arial" w:cs="Arial"/>
                <w:color w:val="auto"/>
                <w:sz w:val="24"/>
                <w:highlight w:val="none"/>
              </w:rPr>
              <w:t>URS9.1-07</w:t>
            </w:r>
          </w:p>
        </w:tc>
        <w:tc>
          <w:tcPr>
            <w:tcW w:w="5069" w:type="dxa"/>
            <w:vAlign w:val="center"/>
          </w:tcPr>
          <w:p w14:paraId="59202F5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防结露措施：空调冷凝水排水地漏采用厚度20mm难燃B1级橡塑保温层外包铝箔保护层，具体见16S401-48~57,防结露结构II型.</w:t>
            </w:r>
          </w:p>
        </w:tc>
        <w:tc>
          <w:tcPr>
            <w:tcW w:w="784" w:type="dxa"/>
            <w:vAlign w:val="center"/>
          </w:tcPr>
          <w:p w14:paraId="0C75B43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227" w:type="dxa"/>
            <w:vAlign w:val="center"/>
          </w:tcPr>
          <w:p w14:paraId="72B7DDD5">
            <w:pPr>
              <w:spacing w:before="62" w:beforeLines="20" w:after="62" w:afterLines="20" w:line="276" w:lineRule="auto"/>
              <w:jc w:val="left"/>
              <w:rPr>
                <w:rFonts w:ascii="Arial" w:hAnsi="Arial" w:cs="Arial"/>
                <w:color w:val="auto"/>
                <w:sz w:val="24"/>
                <w:highlight w:val="none"/>
              </w:rPr>
            </w:pPr>
          </w:p>
        </w:tc>
      </w:tr>
    </w:tbl>
    <w:p w14:paraId="268854C4">
      <w:pPr>
        <w:spacing w:before="62" w:beforeLines="20" w:after="62" w:afterLines="20" w:line="276" w:lineRule="auto"/>
        <w:jc w:val="left"/>
        <w:rPr>
          <w:rFonts w:ascii="Arial" w:hAnsi="Arial" w:cs="Arial"/>
          <w:color w:val="auto"/>
          <w:sz w:val="24"/>
          <w:highlight w:val="none"/>
        </w:rPr>
      </w:pPr>
    </w:p>
    <w:p w14:paraId="664D7601">
      <w:pPr>
        <w:spacing w:before="62" w:beforeLines="20" w:after="62" w:afterLines="20" w:line="276" w:lineRule="auto"/>
        <w:jc w:val="left"/>
        <w:rPr>
          <w:rFonts w:ascii="Arial" w:hAnsi="Arial" w:cs="Arial"/>
          <w:color w:val="auto"/>
          <w:sz w:val="24"/>
          <w:highlight w:val="none"/>
        </w:rPr>
      </w:pPr>
    </w:p>
    <w:p w14:paraId="4FA9B54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9.2地漏安装</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5000"/>
        <w:gridCol w:w="716"/>
        <w:gridCol w:w="1159"/>
      </w:tblGrid>
      <w:tr w14:paraId="5356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44" w:type="dxa"/>
            <w:tcBorders>
              <w:bottom w:val="single" w:color="auto" w:sz="4" w:space="0"/>
            </w:tcBorders>
            <w:shd w:val="pct20" w:color="auto" w:fill="FFFFFF"/>
            <w:vAlign w:val="center"/>
          </w:tcPr>
          <w:p w14:paraId="6BD1224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00" w:type="dxa"/>
            <w:tcBorders>
              <w:bottom w:val="single" w:color="auto" w:sz="4" w:space="0"/>
            </w:tcBorders>
            <w:shd w:val="pct20" w:color="auto" w:fill="FFFFFF"/>
            <w:vAlign w:val="center"/>
          </w:tcPr>
          <w:p w14:paraId="316692D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716" w:type="dxa"/>
            <w:tcBorders>
              <w:bottom w:val="single" w:color="auto" w:sz="4" w:space="0"/>
            </w:tcBorders>
            <w:shd w:val="pct20" w:color="auto" w:fill="FFFFFF"/>
            <w:vAlign w:val="center"/>
          </w:tcPr>
          <w:p w14:paraId="25A95C3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59" w:type="dxa"/>
            <w:tcBorders>
              <w:bottom w:val="single" w:color="auto" w:sz="4" w:space="0"/>
            </w:tcBorders>
            <w:shd w:val="pct20" w:color="auto" w:fill="FFFFFF"/>
          </w:tcPr>
          <w:p w14:paraId="255B21E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14728E4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6FCD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vAlign w:val="center"/>
          </w:tcPr>
          <w:p w14:paraId="4C078F0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URS9.2-01</w:t>
            </w:r>
          </w:p>
        </w:tc>
        <w:tc>
          <w:tcPr>
            <w:tcW w:w="5000" w:type="dxa"/>
            <w:vAlign w:val="center"/>
          </w:tcPr>
          <w:p w14:paraId="5CF09FA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地漏应设于地面低位处，</w:t>
            </w:r>
            <w:r>
              <w:rPr>
                <w:rFonts w:ascii="Arial" w:hAnsi="Arial" w:cs="Arial"/>
                <w:color w:val="auto"/>
                <w:sz w:val="24"/>
                <w:highlight w:val="none"/>
              </w:rPr>
              <w:t>排水地漏的顶面应低于</w:t>
            </w:r>
            <w:r>
              <w:rPr>
                <w:rFonts w:hint="eastAsia" w:ascii="Arial" w:hAnsi="Arial" w:cs="Arial"/>
                <w:color w:val="auto"/>
                <w:sz w:val="24"/>
                <w:highlight w:val="none"/>
              </w:rPr>
              <w:t>房间整体</w:t>
            </w:r>
            <w:r>
              <w:rPr>
                <w:rFonts w:ascii="Arial" w:hAnsi="Arial" w:cs="Arial"/>
                <w:color w:val="auto"/>
                <w:sz w:val="24"/>
                <w:highlight w:val="none"/>
              </w:rPr>
              <w:t>地面</w:t>
            </w:r>
            <w:r>
              <w:rPr>
                <w:rFonts w:hint="eastAsia" w:ascii="Arial" w:hAnsi="Arial" w:cs="Arial"/>
                <w:color w:val="auto"/>
                <w:sz w:val="24"/>
                <w:highlight w:val="none"/>
              </w:rPr>
              <w:t>，合适落差</w:t>
            </w:r>
            <w:r>
              <w:rPr>
                <w:rFonts w:ascii="Arial" w:hAnsi="Arial" w:cs="Arial"/>
                <w:color w:val="auto"/>
                <w:sz w:val="24"/>
                <w:highlight w:val="none"/>
              </w:rPr>
              <w:t>，地面应有不小于0.01</w:t>
            </w:r>
            <w:r>
              <w:rPr>
                <w:rFonts w:hint="eastAsia" w:ascii="Arial" w:hAnsi="Arial" w:cs="Arial"/>
                <w:color w:val="auto"/>
                <w:sz w:val="24"/>
                <w:highlight w:val="none"/>
              </w:rPr>
              <w:t>mm</w:t>
            </w:r>
            <w:r>
              <w:rPr>
                <w:rFonts w:ascii="Arial" w:hAnsi="Arial" w:cs="Arial"/>
                <w:color w:val="auto"/>
                <w:sz w:val="24"/>
                <w:highlight w:val="none"/>
              </w:rPr>
              <w:t>的坡度向地漏。</w:t>
            </w:r>
            <w:r>
              <w:rPr>
                <w:rFonts w:hint="eastAsia" w:ascii="Arial" w:hAnsi="Arial" w:cs="Arial"/>
                <w:color w:val="auto"/>
                <w:sz w:val="24"/>
                <w:highlight w:val="none"/>
              </w:rPr>
              <w:t>避开正常行走通道。</w:t>
            </w:r>
          </w:p>
        </w:tc>
        <w:tc>
          <w:tcPr>
            <w:tcW w:w="716" w:type="dxa"/>
            <w:vAlign w:val="center"/>
          </w:tcPr>
          <w:p w14:paraId="76EBAC8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59" w:type="dxa"/>
            <w:vAlign w:val="center"/>
          </w:tcPr>
          <w:p w14:paraId="1D323A0F">
            <w:pPr>
              <w:spacing w:before="62" w:beforeLines="20" w:after="62" w:afterLines="20" w:line="276" w:lineRule="auto"/>
              <w:jc w:val="left"/>
              <w:rPr>
                <w:rFonts w:ascii="Arial" w:hAnsi="Arial" w:cs="Arial"/>
                <w:color w:val="auto"/>
                <w:sz w:val="24"/>
                <w:highlight w:val="none"/>
              </w:rPr>
            </w:pPr>
          </w:p>
        </w:tc>
      </w:tr>
      <w:tr w14:paraId="55E3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48B47CC0">
            <w:pPr>
              <w:rPr>
                <w:color w:val="auto"/>
                <w:highlight w:val="none"/>
              </w:rPr>
            </w:pPr>
            <w:r>
              <w:rPr>
                <w:rFonts w:hint="eastAsia" w:ascii="Arial" w:hAnsi="Arial" w:cs="Arial"/>
                <w:color w:val="auto"/>
                <w:sz w:val="24"/>
                <w:highlight w:val="none"/>
              </w:rPr>
              <w:t>▲URS9.2-02</w:t>
            </w:r>
          </w:p>
        </w:tc>
        <w:tc>
          <w:tcPr>
            <w:tcW w:w="5000" w:type="dxa"/>
            <w:vAlign w:val="center"/>
          </w:tcPr>
          <w:p w14:paraId="70040F7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采用</w:t>
            </w:r>
            <w:r>
              <w:rPr>
                <w:rFonts w:hint="eastAsia" w:ascii="Arial" w:hAnsi="Arial" w:cs="Arial"/>
                <w:color w:val="auto"/>
                <w:sz w:val="24"/>
                <w:highlight w:val="none"/>
              </w:rPr>
              <w:t>新款符合GMP质量要求的地漏，洁净区</w:t>
            </w:r>
            <w:r>
              <w:rPr>
                <w:rFonts w:ascii="Arial" w:hAnsi="Arial" w:cs="Arial"/>
                <w:color w:val="auto"/>
                <w:sz w:val="24"/>
                <w:highlight w:val="none"/>
              </w:rPr>
              <w:t>地漏采用洁净地漏。</w:t>
            </w:r>
          </w:p>
        </w:tc>
        <w:tc>
          <w:tcPr>
            <w:tcW w:w="716" w:type="dxa"/>
            <w:vAlign w:val="center"/>
          </w:tcPr>
          <w:p w14:paraId="170577D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59" w:type="dxa"/>
            <w:vAlign w:val="center"/>
          </w:tcPr>
          <w:p w14:paraId="74B0A1F3">
            <w:pPr>
              <w:spacing w:before="62" w:beforeLines="20" w:after="62" w:afterLines="20" w:line="276" w:lineRule="auto"/>
              <w:jc w:val="left"/>
              <w:rPr>
                <w:rFonts w:ascii="Arial" w:hAnsi="Arial" w:cs="Arial"/>
                <w:color w:val="auto"/>
                <w:sz w:val="24"/>
                <w:highlight w:val="none"/>
              </w:rPr>
            </w:pPr>
          </w:p>
        </w:tc>
      </w:tr>
      <w:tr w14:paraId="47A9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7A58F1B7">
            <w:pPr>
              <w:rPr>
                <w:color w:val="auto"/>
                <w:highlight w:val="none"/>
              </w:rPr>
            </w:pPr>
            <w:r>
              <w:rPr>
                <w:rFonts w:hint="eastAsia" w:ascii="Arial" w:hAnsi="Arial" w:cs="Arial"/>
                <w:color w:val="auto"/>
                <w:sz w:val="24"/>
                <w:highlight w:val="none"/>
              </w:rPr>
              <w:t>URS9.2-03</w:t>
            </w:r>
          </w:p>
        </w:tc>
        <w:tc>
          <w:tcPr>
            <w:tcW w:w="5000" w:type="dxa"/>
            <w:vAlign w:val="center"/>
          </w:tcPr>
          <w:p w14:paraId="5C46034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保证水封的密封性</w:t>
            </w:r>
            <w:r>
              <w:rPr>
                <w:rFonts w:hint="eastAsia" w:ascii="Arial" w:hAnsi="Arial" w:cs="Arial"/>
                <w:color w:val="auto"/>
                <w:sz w:val="24"/>
                <w:highlight w:val="none"/>
              </w:rPr>
              <w:t>良好，并且更换维护方便。</w:t>
            </w:r>
          </w:p>
        </w:tc>
        <w:tc>
          <w:tcPr>
            <w:tcW w:w="716" w:type="dxa"/>
            <w:vAlign w:val="center"/>
          </w:tcPr>
          <w:p w14:paraId="425BE9B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59" w:type="dxa"/>
            <w:vAlign w:val="center"/>
          </w:tcPr>
          <w:p w14:paraId="28715C5B">
            <w:pPr>
              <w:spacing w:before="62" w:beforeLines="20" w:after="62" w:afterLines="20" w:line="276" w:lineRule="auto"/>
              <w:jc w:val="left"/>
              <w:rPr>
                <w:rFonts w:ascii="Arial" w:hAnsi="Arial" w:cs="Arial"/>
                <w:color w:val="auto"/>
                <w:sz w:val="24"/>
                <w:highlight w:val="none"/>
              </w:rPr>
            </w:pPr>
          </w:p>
        </w:tc>
      </w:tr>
      <w:tr w14:paraId="2763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dxa"/>
          </w:tcPr>
          <w:p w14:paraId="4E43BEE3">
            <w:pPr>
              <w:rPr>
                <w:color w:val="auto"/>
                <w:highlight w:val="none"/>
              </w:rPr>
            </w:pPr>
            <w:r>
              <w:rPr>
                <w:rFonts w:hint="eastAsia" w:ascii="Arial" w:hAnsi="Arial" w:cs="Arial"/>
                <w:color w:val="auto"/>
                <w:sz w:val="24"/>
                <w:highlight w:val="none"/>
              </w:rPr>
              <w:t>URS9.2-04</w:t>
            </w:r>
          </w:p>
        </w:tc>
        <w:tc>
          <w:tcPr>
            <w:tcW w:w="5000" w:type="dxa"/>
            <w:vAlign w:val="center"/>
          </w:tcPr>
          <w:p w14:paraId="47E299D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地漏与地板结合必须密封。</w:t>
            </w:r>
          </w:p>
        </w:tc>
        <w:tc>
          <w:tcPr>
            <w:tcW w:w="716" w:type="dxa"/>
            <w:vAlign w:val="center"/>
          </w:tcPr>
          <w:p w14:paraId="6F402ED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59" w:type="dxa"/>
            <w:vAlign w:val="center"/>
          </w:tcPr>
          <w:p w14:paraId="3ED6C0A9">
            <w:pPr>
              <w:spacing w:before="62" w:beforeLines="20" w:after="62" w:afterLines="20" w:line="276" w:lineRule="auto"/>
              <w:jc w:val="left"/>
              <w:rPr>
                <w:rFonts w:ascii="Arial" w:hAnsi="Arial" w:cs="Arial"/>
                <w:color w:val="auto"/>
                <w:sz w:val="24"/>
                <w:highlight w:val="none"/>
              </w:rPr>
            </w:pPr>
          </w:p>
        </w:tc>
      </w:tr>
    </w:tbl>
    <w:p w14:paraId="465941DD">
      <w:pPr>
        <w:spacing w:before="62" w:beforeLines="20" w:after="62" w:afterLines="20" w:line="276" w:lineRule="auto"/>
        <w:jc w:val="left"/>
        <w:rPr>
          <w:rFonts w:ascii="Arial" w:hAnsi="Arial" w:cs="Arial"/>
          <w:b/>
          <w:color w:val="auto"/>
          <w:sz w:val="24"/>
          <w:highlight w:val="none"/>
        </w:rPr>
      </w:pPr>
      <w:bookmarkStart w:id="585" w:name="_Hlk141601212"/>
      <w:r>
        <w:rPr>
          <w:rFonts w:hint="eastAsia" w:ascii="Arial" w:hAnsi="Arial" w:cs="Arial"/>
          <w:b/>
          <w:color w:val="auto"/>
          <w:sz w:val="24"/>
          <w:highlight w:val="none"/>
        </w:rPr>
        <w:t>十、</w:t>
      </w:r>
      <w:r>
        <w:rPr>
          <w:rFonts w:ascii="Arial" w:hAnsi="Arial" w:cs="Arial"/>
          <w:b/>
          <w:color w:val="auto"/>
          <w:sz w:val="24"/>
          <w:highlight w:val="none"/>
        </w:rPr>
        <w:t>空调与通风安装工程</w:t>
      </w:r>
      <w:r>
        <w:rPr>
          <w:rFonts w:hint="eastAsia" w:ascii="Arial" w:hAnsi="Arial" w:cs="Arial"/>
          <w:b/>
          <w:color w:val="auto"/>
          <w:sz w:val="24"/>
          <w:highlight w:val="none"/>
        </w:rPr>
        <w:t>（暖通专业）</w:t>
      </w:r>
    </w:p>
    <w:p w14:paraId="15C54D6F">
      <w:pPr>
        <w:spacing w:before="62" w:beforeLines="20" w:after="62" w:afterLines="20" w:line="276" w:lineRule="auto"/>
        <w:jc w:val="left"/>
        <w:rPr>
          <w:rFonts w:ascii="Arial" w:hAnsi="Arial" w:cs="Arial"/>
          <w:b/>
          <w:bCs/>
          <w:color w:val="auto"/>
          <w:sz w:val="24"/>
          <w:highlight w:val="none"/>
        </w:rPr>
      </w:pPr>
      <w:r>
        <w:rPr>
          <w:rFonts w:hint="eastAsia" w:ascii="Arial" w:hAnsi="Arial" w:cs="Arial"/>
          <w:color w:val="auto"/>
          <w:sz w:val="24"/>
          <w:highlight w:val="none"/>
        </w:rPr>
        <w:t>总体要求</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5024"/>
        <w:gridCol w:w="680"/>
        <w:gridCol w:w="1165"/>
      </w:tblGrid>
      <w:tr w14:paraId="65A4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650" w:type="dxa"/>
            <w:tcBorders>
              <w:bottom w:val="single" w:color="auto" w:sz="4" w:space="0"/>
            </w:tcBorders>
            <w:shd w:val="pct20" w:color="auto" w:fill="FFFFFF"/>
            <w:vAlign w:val="center"/>
          </w:tcPr>
          <w:p w14:paraId="09E8E5A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5024" w:type="dxa"/>
            <w:tcBorders>
              <w:bottom w:val="single" w:color="auto" w:sz="4" w:space="0"/>
            </w:tcBorders>
            <w:shd w:val="pct20" w:color="auto" w:fill="FFFFFF"/>
            <w:vAlign w:val="center"/>
          </w:tcPr>
          <w:p w14:paraId="38ADC94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0" w:type="dxa"/>
            <w:tcBorders>
              <w:bottom w:val="single" w:color="auto" w:sz="4" w:space="0"/>
            </w:tcBorders>
            <w:shd w:val="pct20" w:color="auto" w:fill="FFFFFF"/>
            <w:vAlign w:val="center"/>
          </w:tcPr>
          <w:p w14:paraId="4EC30A4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65" w:type="dxa"/>
            <w:tcBorders>
              <w:bottom w:val="single" w:color="auto" w:sz="4" w:space="0"/>
            </w:tcBorders>
            <w:shd w:val="pct20" w:color="auto" w:fill="FFFFFF"/>
          </w:tcPr>
          <w:p w14:paraId="67A75ED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F995D9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87D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650" w:type="dxa"/>
            <w:vAlign w:val="center"/>
          </w:tcPr>
          <w:p w14:paraId="778C59C2">
            <w:pPr>
              <w:spacing w:before="62" w:beforeLines="20" w:after="62" w:afterLines="20" w:line="276" w:lineRule="auto"/>
              <w:ind w:firstLine="480" w:firstLineChars="200"/>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10</w:t>
            </w:r>
          </w:p>
        </w:tc>
        <w:tc>
          <w:tcPr>
            <w:tcW w:w="5024" w:type="dxa"/>
            <w:vAlign w:val="center"/>
          </w:tcPr>
          <w:p w14:paraId="4732FC0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总体要求：按图纸施工，风量必须保证净化要求并保证房间的静压差、温度、相对湿度、换气次数、菌落数、尘埃粒子数等达到设计要求。新风量需保证每人每小时不低40m</w:t>
            </w:r>
            <w:r>
              <w:rPr>
                <w:rFonts w:ascii="Arial" w:hAnsi="Arial" w:cs="Arial"/>
                <w:color w:val="auto"/>
                <w:sz w:val="24"/>
                <w:highlight w:val="none"/>
                <w:vertAlign w:val="superscript"/>
              </w:rPr>
              <w:t>3</w:t>
            </w:r>
            <w:r>
              <w:rPr>
                <w:rFonts w:hint="eastAsia" w:ascii="Arial" w:hAnsi="Arial" w:cs="Arial"/>
                <w:color w:val="auto"/>
                <w:sz w:val="24"/>
                <w:highlight w:val="none"/>
              </w:rPr>
              <w:t>，同时满足补充漏风和排风的要求。室外保温管道需用铝板做外保护。</w:t>
            </w:r>
          </w:p>
        </w:tc>
        <w:tc>
          <w:tcPr>
            <w:tcW w:w="680" w:type="dxa"/>
            <w:vAlign w:val="center"/>
          </w:tcPr>
          <w:p w14:paraId="7F5E576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65" w:type="dxa"/>
            <w:vAlign w:val="center"/>
          </w:tcPr>
          <w:p w14:paraId="065DAE33">
            <w:pPr>
              <w:spacing w:before="62" w:beforeLines="20" w:after="62" w:afterLines="20" w:line="276" w:lineRule="auto"/>
              <w:jc w:val="left"/>
              <w:rPr>
                <w:rFonts w:ascii="Arial" w:hAnsi="Arial" w:cs="Arial"/>
                <w:color w:val="auto"/>
                <w:sz w:val="24"/>
                <w:highlight w:val="none"/>
              </w:rPr>
            </w:pPr>
          </w:p>
        </w:tc>
      </w:tr>
    </w:tbl>
    <w:p w14:paraId="60436AC9">
      <w:pPr>
        <w:spacing w:before="62" w:beforeLines="20" w:after="62" w:afterLines="20" w:line="276" w:lineRule="auto"/>
        <w:jc w:val="left"/>
        <w:rPr>
          <w:rFonts w:ascii="Arial" w:hAnsi="Arial" w:cs="Arial"/>
          <w:b/>
          <w:color w:val="auto"/>
          <w:sz w:val="24"/>
          <w:highlight w:val="none"/>
        </w:rPr>
      </w:pPr>
    </w:p>
    <w:p w14:paraId="24577FB7">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10.1</w:t>
      </w:r>
      <w:r>
        <w:rPr>
          <w:rFonts w:ascii="Arial" w:hAnsi="Arial" w:cs="Arial"/>
          <w:color w:val="auto"/>
          <w:sz w:val="24"/>
          <w:highlight w:val="none"/>
        </w:rPr>
        <w:t>空调与通风安装工程</w:t>
      </w:r>
    </w:p>
    <w:tbl>
      <w:tblPr>
        <w:tblStyle w:val="37"/>
        <w:tblpPr w:leftFromText="180" w:rightFromText="180" w:vertAnchor="text" w:horzAnchor="margin" w:tblpXSpec="center" w:tblpY="6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4982"/>
        <w:gridCol w:w="638"/>
        <w:gridCol w:w="1122"/>
      </w:tblGrid>
      <w:tr w14:paraId="64B9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blHeader/>
        </w:trPr>
        <w:tc>
          <w:tcPr>
            <w:tcW w:w="1777" w:type="dxa"/>
            <w:tcBorders>
              <w:bottom w:val="single" w:color="auto" w:sz="4" w:space="0"/>
            </w:tcBorders>
            <w:shd w:val="pct20" w:color="auto" w:fill="FFFFFF"/>
            <w:vAlign w:val="center"/>
          </w:tcPr>
          <w:p w14:paraId="43695E1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4982" w:type="dxa"/>
            <w:tcBorders>
              <w:bottom w:val="single" w:color="auto" w:sz="4" w:space="0"/>
            </w:tcBorders>
            <w:shd w:val="pct20" w:color="auto" w:fill="FFFFFF"/>
            <w:vAlign w:val="center"/>
          </w:tcPr>
          <w:p w14:paraId="47FB9C9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38" w:type="dxa"/>
            <w:tcBorders>
              <w:bottom w:val="single" w:color="auto" w:sz="4" w:space="0"/>
            </w:tcBorders>
            <w:shd w:val="pct20" w:color="auto" w:fill="FFFFFF"/>
            <w:vAlign w:val="center"/>
          </w:tcPr>
          <w:p w14:paraId="505D201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22" w:type="dxa"/>
            <w:tcBorders>
              <w:bottom w:val="single" w:color="auto" w:sz="4" w:space="0"/>
            </w:tcBorders>
            <w:shd w:val="pct20" w:color="auto" w:fill="FFFFFF"/>
          </w:tcPr>
          <w:p w14:paraId="1516E35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721D986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7173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77" w:type="dxa"/>
            <w:vAlign w:val="center"/>
          </w:tcPr>
          <w:p w14:paraId="58AB8DD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-01</w:t>
            </w:r>
          </w:p>
        </w:tc>
        <w:tc>
          <w:tcPr>
            <w:tcW w:w="4982" w:type="dxa"/>
            <w:vAlign w:val="center"/>
          </w:tcPr>
          <w:p w14:paraId="0350A18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装修的辅助设备（如：洁净空调系统改造的设备、各类进排风柜等）的选型与技术参数需用户确认与验收，品牌以工程量清单备注的品牌为依据。</w:t>
            </w:r>
          </w:p>
        </w:tc>
        <w:tc>
          <w:tcPr>
            <w:tcW w:w="638" w:type="dxa"/>
            <w:vAlign w:val="center"/>
          </w:tcPr>
          <w:p w14:paraId="08F32B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223FC7CC">
            <w:pPr>
              <w:spacing w:before="62" w:beforeLines="20" w:after="62" w:afterLines="20" w:line="276" w:lineRule="auto"/>
              <w:jc w:val="left"/>
              <w:rPr>
                <w:rFonts w:ascii="Arial" w:hAnsi="Arial" w:cs="Arial"/>
                <w:color w:val="auto"/>
                <w:sz w:val="24"/>
                <w:highlight w:val="none"/>
              </w:rPr>
            </w:pPr>
          </w:p>
        </w:tc>
      </w:tr>
      <w:tr w14:paraId="3395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68F78FB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2</w:t>
            </w:r>
          </w:p>
        </w:tc>
        <w:tc>
          <w:tcPr>
            <w:tcW w:w="4982" w:type="dxa"/>
            <w:vAlign w:val="center"/>
          </w:tcPr>
          <w:p w14:paraId="0FD6201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管道（洁净空调风管、排风管道等）的材质、厚度、安装需严格以设计说明与施工图纸为依据，按《药品生产质量管理规范（2010年修订）》要求及国家的规范进行施与验收。</w:t>
            </w:r>
          </w:p>
        </w:tc>
        <w:tc>
          <w:tcPr>
            <w:tcW w:w="638" w:type="dxa"/>
            <w:vAlign w:val="center"/>
          </w:tcPr>
          <w:p w14:paraId="1DF1BD7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162C8905">
            <w:pPr>
              <w:spacing w:before="62" w:beforeLines="20" w:after="62" w:afterLines="20" w:line="276" w:lineRule="auto"/>
              <w:jc w:val="left"/>
              <w:rPr>
                <w:rFonts w:ascii="Arial" w:hAnsi="Arial" w:cs="Arial"/>
                <w:color w:val="auto"/>
                <w:sz w:val="24"/>
                <w:highlight w:val="none"/>
              </w:rPr>
            </w:pPr>
          </w:p>
        </w:tc>
      </w:tr>
      <w:tr w14:paraId="0BD8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1CFC0AE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3</w:t>
            </w:r>
          </w:p>
        </w:tc>
        <w:tc>
          <w:tcPr>
            <w:tcW w:w="4982" w:type="dxa"/>
            <w:vAlign w:val="center"/>
          </w:tcPr>
          <w:p w14:paraId="64E2D11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各种管道、风口和其他公用设施的安装应当避免出现不易清洁的部位，根据设计图及设计要求安装。</w:t>
            </w:r>
          </w:p>
        </w:tc>
        <w:tc>
          <w:tcPr>
            <w:tcW w:w="638" w:type="dxa"/>
            <w:vAlign w:val="center"/>
          </w:tcPr>
          <w:p w14:paraId="4D0ED9D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55AC003A">
            <w:pPr>
              <w:spacing w:before="62" w:beforeLines="20" w:after="62" w:afterLines="20" w:line="276" w:lineRule="auto"/>
              <w:jc w:val="left"/>
              <w:rPr>
                <w:rFonts w:ascii="Arial" w:hAnsi="Arial" w:cs="Arial"/>
                <w:color w:val="auto"/>
                <w:sz w:val="24"/>
                <w:highlight w:val="none"/>
              </w:rPr>
            </w:pPr>
          </w:p>
        </w:tc>
      </w:tr>
      <w:tr w14:paraId="3352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5E74DC0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4</w:t>
            </w:r>
          </w:p>
        </w:tc>
        <w:tc>
          <w:tcPr>
            <w:tcW w:w="4982" w:type="dxa"/>
            <w:vAlign w:val="center"/>
          </w:tcPr>
          <w:p w14:paraId="4B6C43D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管道的辅助材料（如：各类过滤器、阀门、各类管材、保温材料、等）的选材需用户确认及验收，品牌以工程量清单备注的品牌为依据。</w:t>
            </w:r>
            <w:r>
              <w:rPr>
                <w:rFonts w:hint="eastAsia" w:ascii="Arial" w:hAnsi="Arial" w:cs="Arial"/>
                <w:color w:val="auto"/>
                <w:sz w:val="24"/>
                <w:highlight w:val="none"/>
              </w:rPr>
              <w:t>特别风管保温棉的外层，含有铝箔包裹，防止保温棉粘黏脱落。</w:t>
            </w:r>
          </w:p>
        </w:tc>
        <w:tc>
          <w:tcPr>
            <w:tcW w:w="638" w:type="dxa"/>
            <w:vAlign w:val="center"/>
          </w:tcPr>
          <w:p w14:paraId="38BA3DE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w:t>
            </w:r>
          </w:p>
        </w:tc>
        <w:tc>
          <w:tcPr>
            <w:tcW w:w="1122" w:type="dxa"/>
            <w:vAlign w:val="center"/>
          </w:tcPr>
          <w:p w14:paraId="420B4D46">
            <w:pPr>
              <w:spacing w:before="62" w:beforeLines="20" w:after="62" w:afterLines="20" w:line="276" w:lineRule="auto"/>
              <w:jc w:val="left"/>
              <w:rPr>
                <w:rFonts w:ascii="Arial" w:hAnsi="Arial" w:cs="Arial"/>
                <w:color w:val="auto"/>
                <w:sz w:val="24"/>
                <w:highlight w:val="none"/>
              </w:rPr>
            </w:pPr>
          </w:p>
        </w:tc>
      </w:tr>
      <w:tr w14:paraId="14B7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5C8A508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5</w:t>
            </w:r>
          </w:p>
        </w:tc>
        <w:tc>
          <w:tcPr>
            <w:tcW w:w="4982" w:type="dxa"/>
            <w:vAlign w:val="center"/>
          </w:tcPr>
          <w:p w14:paraId="69E07E0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洁净空调的风管安装完成后需进行漏风检测，检测结果需符合国家有关标准要求，并符合《药品生产质量管理规范（2010年修订）》要求。</w:t>
            </w:r>
          </w:p>
        </w:tc>
        <w:tc>
          <w:tcPr>
            <w:tcW w:w="638" w:type="dxa"/>
            <w:vAlign w:val="center"/>
          </w:tcPr>
          <w:p w14:paraId="02C2D31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075CCDC9">
            <w:pPr>
              <w:spacing w:before="62" w:beforeLines="20" w:after="62" w:afterLines="20" w:line="276" w:lineRule="auto"/>
              <w:jc w:val="left"/>
              <w:rPr>
                <w:rFonts w:ascii="Arial" w:hAnsi="Arial" w:cs="Arial"/>
                <w:color w:val="auto"/>
                <w:sz w:val="24"/>
                <w:highlight w:val="none"/>
              </w:rPr>
            </w:pPr>
          </w:p>
        </w:tc>
      </w:tr>
      <w:tr w14:paraId="5761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46C4667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6</w:t>
            </w:r>
          </w:p>
        </w:tc>
        <w:tc>
          <w:tcPr>
            <w:tcW w:w="4982" w:type="dxa"/>
            <w:vAlign w:val="center"/>
          </w:tcPr>
          <w:p w14:paraId="3DAE7B3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保温材料应符合国家消防要求。</w:t>
            </w:r>
          </w:p>
        </w:tc>
        <w:tc>
          <w:tcPr>
            <w:tcW w:w="638" w:type="dxa"/>
            <w:vAlign w:val="center"/>
          </w:tcPr>
          <w:p w14:paraId="28731D1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47340FEA">
            <w:pPr>
              <w:spacing w:before="62" w:beforeLines="20" w:after="62" w:afterLines="20" w:line="276" w:lineRule="auto"/>
              <w:jc w:val="left"/>
              <w:rPr>
                <w:rFonts w:ascii="Arial" w:hAnsi="Arial" w:cs="Arial"/>
                <w:color w:val="auto"/>
                <w:sz w:val="24"/>
                <w:highlight w:val="none"/>
              </w:rPr>
            </w:pPr>
          </w:p>
        </w:tc>
      </w:tr>
      <w:tr w14:paraId="653C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6913DE6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7</w:t>
            </w:r>
          </w:p>
        </w:tc>
        <w:tc>
          <w:tcPr>
            <w:tcW w:w="4982" w:type="dxa"/>
            <w:vAlign w:val="center"/>
          </w:tcPr>
          <w:p w14:paraId="4A5CFBA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所有风管的保温材料采用难燃材料，厚度、材料及安装方法按施工图纸执行。胶水应能适应温度的变化，粘贴性能好，不易脱落，且保温层平整美观，其他施工，不得对保温层产生不利影响</w:t>
            </w:r>
            <w:r>
              <w:rPr>
                <w:rFonts w:hint="eastAsia" w:ascii="Arial" w:hAnsi="Arial" w:cs="Arial"/>
                <w:color w:val="auto"/>
                <w:sz w:val="24"/>
                <w:highlight w:val="none"/>
              </w:rPr>
              <w:t>，包括损坏保温材料</w:t>
            </w:r>
            <w:r>
              <w:rPr>
                <w:rFonts w:ascii="Arial" w:hAnsi="Arial" w:cs="Arial"/>
                <w:color w:val="auto"/>
                <w:sz w:val="24"/>
                <w:highlight w:val="none"/>
              </w:rPr>
              <w:t>。</w:t>
            </w:r>
            <w:r>
              <w:rPr>
                <w:rFonts w:hint="eastAsia" w:ascii="Arial" w:hAnsi="Arial" w:cs="Arial"/>
                <w:color w:val="auto"/>
                <w:sz w:val="24"/>
                <w:highlight w:val="none"/>
              </w:rPr>
              <w:t>另外保温层表面有一层铝箔纸包裹，保证保温层2年后不脱落。</w:t>
            </w:r>
          </w:p>
        </w:tc>
        <w:tc>
          <w:tcPr>
            <w:tcW w:w="638" w:type="dxa"/>
            <w:vAlign w:val="center"/>
          </w:tcPr>
          <w:p w14:paraId="5A4146E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3CB48ED7">
            <w:pPr>
              <w:spacing w:before="62" w:beforeLines="20" w:after="62" w:afterLines="20" w:line="276" w:lineRule="auto"/>
              <w:jc w:val="left"/>
              <w:rPr>
                <w:rFonts w:ascii="Arial" w:hAnsi="Arial" w:cs="Arial"/>
                <w:color w:val="auto"/>
                <w:sz w:val="24"/>
                <w:highlight w:val="none"/>
              </w:rPr>
            </w:pPr>
          </w:p>
        </w:tc>
      </w:tr>
      <w:tr w14:paraId="3385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0BFBC67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8</w:t>
            </w:r>
          </w:p>
        </w:tc>
        <w:tc>
          <w:tcPr>
            <w:tcW w:w="4982" w:type="dxa"/>
            <w:vAlign w:val="center"/>
          </w:tcPr>
          <w:p w14:paraId="5A719F1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洁净室内噪声级要求：静态测试时（最大风速时），乱流洁净室的噪声级不宜大于 6</w:t>
            </w:r>
            <w:r>
              <w:rPr>
                <w:rFonts w:hint="eastAsia" w:ascii="Arial" w:hAnsi="Arial" w:cs="Arial"/>
                <w:color w:val="auto"/>
                <w:sz w:val="24"/>
                <w:highlight w:val="none"/>
              </w:rPr>
              <w:t>0</w:t>
            </w:r>
            <w:r>
              <w:rPr>
                <w:rFonts w:ascii="Arial" w:hAnsi="Arial" w:cs="Arial"/>
                <w:color w:val="auto"/>
                <w:sz w:val="24"/>
                <w:highlight w:val="none"/>
              </w:rPr>
              <w:t>dBA；</w:t>
            </w:r>
          </w:p>
        </w:tc>
        <w:tc>
          <w:tcPr>
            <w:tcW w:w="638" w:type="dxa"/>
            <w:vAlign w:val="center"/>
          </w:tcPr>
          <w:p w14:paraId="36C52D1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7939BB31">
            <w:pPr>
              <w:spacing w:before="62" w:beforeLines="20" w:after="62" w:afterLines="20" w:line="276" w:lineRule="auto"/>
              <w:jc w:val="left"/>
              <w:rPr>
                <w:rFonts w:ascii="Arial" w:hAnsi="Arial" w:cs="Arial"/>
                <w:color w:val="auto"/>
                <w:sz w:val="24"/>
                <w:highlight w:val="none"/>
              </w:rPr>
            </w:pPr>
          </w:p>
        </w:tc>
      </w:tr>
      <w:tr w14:paraId="7582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7" w:type="dxa"/>
          </w:tcPr>
          <w:p w14:paraId="241BC9A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-0</w:t>
            </w:r>
            <w:r>
              <w:rPr>
                <w:rFonts w:hint="eastAsia" w:ascii="Arial" w:hAnsi="Arial" w:cs="Arial"/>
                <w:color w:val="auto"/>
                <w:sz w:val="24"/>
                <w:highlight w:val="none"/>
              </w:rPr>
              <w:t>9</w:t>
            </w:r>
          </w:p>
        </w:tc>
        <w:tc>
          <w:tcPr>
            <w:tcW w:w="4982" w:type="dxa"/>
            <w:vAlign w:val="center"/>
          </w:tcPr>
          <w:p w14:paraId="5DDEE7F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风管：采购镀锌铁皮制作，镀锌铁皮厚度必须符合设计说明中各类风管对应要求，偏差不得≤0.02mm。</w:t>
            </w:r>
            <w:r>
              <w:rPr>
                <w:rFonts w:hint="eastAsia" w:ascii="Arial" w:hAnsi="Arial" w:cs="Arial"/>
                <w:color w:val="auto"/>
                <w:sz w:val="24"/>
                <w:highlight w:val="none"/>
              </w:rPr>
              <w:t>风管采用角铁法兰连接，制作严格按照设计图纸与安装说明施工。</w:t>
            </w:r>
          </w:p>
        </w:tc>
        <w:tc>
          <w:tcPr>
            <w:tcW w:w="638" w:type="dxa"/>
            <w:vAlign w:val="center"/>
          </w:tcPr>
          <w:p w14:paraId="09B5B77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0671E081">
            <w:pPr>
              <w:spacing w:before="62" w:beforeLines="20" w:after="62" w:afterLines="20" w:line="276" w:lineRule="auto"/>
              <w:jc w:val="left"/>
              <w:rPr>
                <w:rFonts w:ascii="Arial" w:hAnsi="Arial" w:cs="Arial"/>
                <w:color w:val="auto"/>
                <w:sz w:val="24"/>
                <w:highlight w:val="none"/>
              </w:rPr>
            </w:pPr>
          </w:p>
        </w:tc>
      </w:tr>
      <w:tr w14:paraId="3AA6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777" w:type="dxa"/>
            <w:vAlign w:val="center"/>
          </w:tcPr>
          <w:p w14:paraId="69223CC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11</w:t>
            </w:r>
          </w:p>
        </w:tc>
        <w:tc>
          <w:tcPr>
            <w:tcW w:w="4982" w:type="dxa"/>
            <w:vAlign w:val="center"/>
          </w:tcPr>
          <w:p w14:paraId="15BD8B9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风管制作、吊装过程中，应分段进行控制，保证风管安装的质量，施工方应先自检其密封性，确认后以书面形式告知建设方进行质量复检，当复检发现漏风判断不合格，并且两条风管以上存在的，施工方则自行继续整改修复，所花费的时间施工方承担。另外风管在制作到吊装，需注意卫生保护，吊装前必须保证其内壁干净，必要时进行清理。</w:t>
            </w:r>
          </w:p>
        </w:tc>
        <w:tc>
          <w:tcPr>
            <w:tcW w:w="638" w:type="dxa"/>
            <w:vAlign w:val="center"/>
          </w:tcPr>
          <w:p w14:paraId="70791FE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4DAD13A9">
            <w:pPr>
              <w:spacing w:before="62" w:beforeLines="20" w:after="62" w:afterLines="20" w:line="276" w:lineRule="auto"/>
              <w:jc w:val="left"/>
              <w:rPr>
                <w:rFonts w:ascii="Arial" w:hAnsi="Arial" w:cs="Arial"/>
                <w:color w:val="auto"/>
                <w:sz w:val="24"/>
                <w:highlight w:val="none"/>
              </w:rPr>
            </w:pPr>
          </w:p>
        </w:tc>
      </w:tr>
      <w:tr w14:paraId="3392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77" w:type="dxa"/>
          </w:tcPr>
          <w:p w14:paraId="4E568F86">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12</w:t>
            </w:r>
          </w:p>
        </w:tc>
        <w:tc>
          <w:tcPr>
            <w:tcW w:w="4982" w:type="dxa"/>
            <w:vAlign w:val="center"/>
          </w:tcPr>
          <w:p w14:paraId="715FE4D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风管吊杆，必需调节均匀受力到位，整条风管平衡稳固。预留夹层检修行走通道。</w:t>
            </w:r>
          </w:p>
        </w:tc>
        <w:tc>
          <w:tcPr>
            <w:tcW w:w="638" w:type="dxa"/>
            <w:vAlign w:val="center"/>
          </w:tcPr>
          <w:p w14:paraId="5663A042">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79B624FB">
            <w:pPr>
              <w:spacing w:before="62" w:beforeLines="20" w:after="62" w:afterLines="20" w:line="276" w:lineRule="auto"/>
              <w:jc w:val="left"/>
              <w:rPr>
                <w:rFonts w:ascii="Arial" w:hAnsi="Arial" w:cs="Arial"/>
                <w:color w:val="auto"/>
                <w:sz w:val="24"/>
                <w:highlight w:val="none"/>
              </w:rPr>
            </w:pPr>
          </w:p>
        </w:tc>
      </w:tr>
      <w:tr w14:paraId="4C31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777" w:type="dxa"/>
          </w:tcPr>
          <w:p w14:paraId="32ABB166">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13</w:t>
            </w:r>
          </w:p>
        </w:tc>
        <w:tc>
          <w:tcPr>
            <w:tcW w:w="4982" w:type="dxa"/>
            <w:vAlign w:val="center"/>
          </w:tcPr>
          <w:p w14:paraId="6744709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对于上下安装距离过近的风管，或者风管底部距离吊顶空间狭小的，需在吊装时保温预装好，杜绝保温未包裹出现。</w:t>
            </w:r>
          </w:p>
        </w:tc>
        <w:tc>
          <w:tcPr>
            <w:tcW w:w="638" w:type="dxa"/>
            <w:vAlign w:val="center"/>
          </w:tcPr>
          <w:p w14:paraId="6968576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71AC3122">
            <w:pPr>
              <w:spacing w:before="62" w:beforeLines="20" w:after="62" w:afterLines="20" w:line="276" w:lineRule="auto"/>
              <w:jc w:val="left"/>
              <w:rPr>
                <w:rFonts w:ascii="Arial" w:hAnsi="Arial" w:cs="Arial"/>
                <w:color w:val="auto"/>
                <w:sz w:val="24"/>
                <w:highlight w:val="none"/>
              </w:rPr>
            </w:pPr>
          </w:p>
        </w:tc>
      </w:tr>
      <w:tr w14:paraId="66E9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777" w:type="dxa"/>
          </w:tcPr>
          <w:p w14:paraId="143B6A5F">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14</w:t>
            </w:r>
          </w:p>
        </w:tc>
        <w:tc>
          <w:tcPr>
            <w:tcW w:w="4982" w:type="dxa"/>
            <w:vAlign w:val="center"/>
          </w:tcPr>
          <w:p w14:paraId="36419EF6">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生产设备排风管，需要与空调风管交叉通过，风管吊装时严格按照设计施工与说明图纸进行，保证设备工艺排风管的正常安装。</w:t>
            </w:r>
          </w:p>
        </w:tc>
        <w:tc>
          <w:tcPr>
            <w:tcW w:w="638" w:type="dxa"/>
            <w:vAlign w:val="center"/>
          </w:tcPr>
          <w:p w14:paraId="3324A0C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3020A43D">
            <w:pPr>
              <w:spacing w:before="62" w:beforeLines="20" w:after="62" w:afterLines="20" w:line="276" w:lineRule="auto"/>
              <w:jc w:val="left"/>
              <w:rPr>
                <w:rFonts w:ascii="Arial" w:hAnsi="Arial" w:cs="Arial"/>
                <w:color w:val="auto"/>
                <w:sz w:val="24"/>
                <w:highlight w:val="none"/>
              </w:rPr>
            </w:pPr>
          </w:p>
        </w:tc>
      </w:tr>
      <w:tr w14:paraId="2B98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777" w:type="dxa"/>
          </w:tcPr>
          <w:p w14:paraId="3E74C3FC">
            <w:pPr>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15</w:t>
            </w:r>
          </w:p>
        </w:tc>
        <w:tc>
          <w:tcPr>
            <w:tcW w:w="4982" w:type="dxa"/>
            <w:vAlign w:val="center"/>
          </w:tcPr>
          <w:p w14:paraId="0EC311F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任何管道外排至室外的，留有有下倾坡度，另室内外均需做专业防水，防止室外下雨顺延风管渗入车间夹层。</w:t>
            </w:r>
          </w:p>
        </w:tc>
        <w:tc>
          <w:tcPr>
            <w:tcW w:w="638" w:type="dxa"/>
            <w:vAlign w:val="center"/>
          </w:tcPr>
          <w:p w14:paraId="5CA6A44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26E3F10D">
            <w:pPr>
              <w:spacing w:before="62" w:beforeLines="20" w:after="62" w:afterLines="20" w:line="276" w:lineRule="auto"/>
              <w:jc w:val="left"/>
              <w:rPr>
                <w:rFonts w:ascii="Arial" w:hAnsi="Arial" w:cs="Arial"/>
                <w:color w:val="auto"/>
                <w:sz w:val="24"/>
                <w:highlight w:val="none"/>
              </w:rPr>
            </w:pPr>
          </w:p>
        </w:tc>
      </w:tr>
      <w:tr w14:paraId="1AA7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77" w:type="dxa"/>
          </w:tcPr>
          <w:p w14:paraId="03AE18ED">
            <w:pPr>
              <w:rPr>
                <w:color w:val="auto"/>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16</w:t>
            </w:r>
          </w:p>
        </w:tc>
        <w:tc>
          <w:tcPr>
            <w:tcW w:w="4982" w:type="dxa"/>
            <w:vAlign w:val="center"/>
          </w:tcPr>
          <w:p w14:paraId="5FB93D4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除尘管道的安装应尽可能由内到除尘</w:t>
            </w:r>
            <w:r>
              <w:rPr>
                <w:rFonts w:hint="eastAsia" w:ascii="Arial" w:hAnsi="Arial" w:cs="Arial"/>
                <w:color w:val="auto"/>
                <w:sz w:val="24"/>
                <w:highlight w:val="none"/>
              </w:rPr>
              <w:t>设施</w:t>
            </w:r>
            <w:r>
              <w:rPr>
                <w:rFonts w:ascii="Arial" w:hAnsi="Arial" w:cs="Arial"/>
                <w:color w:val="auto"/>
                <w:sz w:val="24"/>
                <w:highlight w:val="none"/>
              </w:rPr>
              <w:t>有一定的坡度，便于粉尘向除尘</w:t>
            </w:r>
            <w:r>
              <w:rPr>
                <w:rFonts w:hint="eastAsia" w:ascii="Arial" w:hAnsi="Arial" w:cs="Arial"/>
                <w:color w:val="auto"/>
                <w:sz w:val="24"/>
                <w:highlight w:val="none"/>
              </w:rPr>
              <w:t>设施</w:t>
            </w:r>
            <w:r>
              <w:rPr>
                <w:rFonts w:ascii="Arial" w:hAnsi="Arial" w:cs="Arial"/>
                <w:color w:val="auto"/>
                <w:sz w:val="24"/>
                <w:highlight w:val="none"/>
              </w:rPr>
              <w:t>流通。</w:t>
            </w:r>
            <w:r>
              <w:rPr>
                <w:rFonts w:hint="eastAsia" w:ascii="Arial" w:hAnsi="Arial" w:cs="Arial"/>
                <w:color w:val="auto"/>
                <w:sz w:val="24"/>
                <w:highlight w:val="none"/>
              </w:rPr>
              <w:t>另，风管与彩钢板结合位置，保证其密封性，防止震动导致分离露出缝隙，需提供二次设计方案，并得到双方确认。</w:t>
            </w:r>
          </w:p>
        </w:tc>
        <w:tc>
          <w:tcPr>
            <w:tcW w:w="638" w:type="dxa"/>
            <w:vAlign w:val="center"/>
          </w:tcPr>
          <w:p w14:paraId="185E3F9C">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37F53D4A">
            <w:pPr>
              <w:spacing w:before="62" w:beforeLines="20" w:after="62" w:afterLines="20" w:line="276" w:lineRule="auto"/>
              <w:jc w:val="left"/>
              <w:rPr>
                <w:rFonts w:ascii="Arial" w:hAnsi="Arial" w:cs="Arial"/>
                <w:color w:val="auto"/>
                <w:sz w:val="24"/>
                <w:highlight w:val="none"/>
              </w:rPr>
            </w:pPr>
          </w:p>
        </w:tc>
      </w:tr>
      <w:tr w14:paraId="0D20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77" w:type="dxa"/>
          </w:tcPr>
          <w:p w14:paraId="58C584DA">
            <w:pPr>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17</w:t>
            </w:r>
          </w:p>
        </w:tc>
        <w:tc>
          <w:tcPr>
            <w:tcW w:w="4982" w:type="dxa"/>
            <w:vAlign w:val="center"/>
          </w:tcPr>
          <w:p w14:paraId="6728AB4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洁净室内的回风口、排风口如果是下开口，侧立板开口处下方与管内地面齐平，防止管内积尘、积水。</w:t>
            </w:r>
          </w:p>
        </w:tc>
        <w:tc>
          <w:tcPr>
            <w:tcW w:w="638" w:type="dxa"/>
            <w:vAlign w:val="center"/>
          </w:tcPr>
          <w:p w14:paraId="5E35B26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4D2570E4">
            <w:pPr>
              <w:spacing w:before="62" w:beforeLines="20" w:after="62" w:afterLines="20" w:line="276" w:lineRule="auto"/>
              <w:jc w:val="left"/>
              <w:rPr>
                <w:rFonts w:ascii="Arial" w:hAnsi="Arial" w:cs="Arial"/>
                <w:color w:val="auto"/>
                <w:sz w:val="24"/>
                <w:highlight w:val="none"/>
              </w:rPr>
            </w:pPr>
          </w:p>
        </w:tc>
      </w:tr>
      <w:tr w14:paraId="003C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77" w:type="dxa"/>
          </w:tcPr>
          <w:p w14:paraId="252DCFD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18</w:t>
            </w:r>
          </w:p>
        </w:tc>
        <w:tc>
          <w:tcPr>
            <w:tcW w:w="4982" w:type="dxa"/>
            <w:vAlign w:val="center"/>
          </w:tcPr>
          <w:p w14:paraId="580E96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所有高效过滤器的安装及检漏需符合《药品生产质量管理规范（2010年修订）》及《洁净室施工及验收规范》规范要求。</w:t>
            </w:r>
          </w:p>
        </w:tc>
        <w:tc>
          <w:tcPr>
            <w:tcW w:w="638" w:type="dxa"/>
            <w:vAlign w:val="center"/>
          </w:tcPr>
          <w:p w14:paraId="5F50FB0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49455A83">
            <w:pPr>
              <w:spacing w:before="62" w:beforeLines="20" w:after="62" w:afterLines="20" w:line="276" w:lineRule="auto"/>
              <w:jc w:val="left"/>
              <w:rPr>
                <w:rFonts w:ascii="Arial" w:hAnsi="Arial" w:cs="Arial"/>
                <w:color w:val="auto"/>
                <w:sz w:val="24"/>
                <w:highlight w:val="none"/>
              </w:rPr>
            </w:pPr>
          </w:p>
        </w:tc>
      </w:tr>
      <w:tr w14:paraId="52F5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1777" w:type="dxa"/>
          </w:tcPr>
          <w:p w14:paraId="4EABED1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19</w:t>
            </w:r>
          </w:p>
        </w:tc>
        <w:tc>
          <w:tcPr>
            <w:tcW w:w="4982" w:type="dxa"/>
            <w:vAlign w:val="center"/>
          </w:tcPr>
          <w:p w14:paraId="51F0FC88">
            <w:pPr>
              <w:spacing w:line="288" w:lineRule="auto"/>
              <w:rPr>
                <w:rFonts w:hint="eastAsia" w:ascii="宋体" w:hAnsi="宋体"/>
                <w:color w:val="auto"/>
                <w:sz w:val="24"/>
                <w:highlight w:val="none"/>
              </w:rPr>
            </w:pPr>
            <w:r>
              <w:rPr>
                <w:rFonts w:hint="eastAsia" w:ascii="宋体" w:hAnsi="宋体"/>
                <w:color w:val="auto"/>
                <w:sz w:val="24"/>
                <w:highlight w:val="none"/>
              </w:rPr>
              <w:t>风阀：</w:t>
            </w:r>
          </w:p>
          <w:p w14:paraId="39585A7C">
            <w:pPr>
              <w:spacing w:line="288" w:lineRule="auto"/>
              <w:rPr>
                <w:bCs/>
                <w:color w:val="auto"/>
                <w:sz w:val="24"/>
                <w:highlight w:val="none"/>
              </w:rPr>
            </w:pPr>
            <w:r>
              <w:rPr>
                <w:rFonts w:hint="eastAsia" w:ascii="宋体" w:hAnsi="宋体"/>
                <w:color w:val="auto"/>
                <w:sz w:val="24"/>
                <w:highlight w:val="none"/>
              </w:rPr>
              <w:t>1、</w:t>
            </w:r>
            <w:r>
              <w:rPr>
                <w:rFonts w:hint="eastAsia"/>
                <w:bCs/>
                <w:color w:val="auto"/>
                <w:sz w:val="24"/>
                <w:highlight w:val="none"/>
              </w:rPr>
              <w:t>调节风阀选用具有锁闭功能的蜗轮蜗杆对开式多叶调节风阀；高效送风口带配套调节阀。</w:t>
            </w:r>
          </w:p>
          <w:p w14:paraId="34F208A7">
            <w:pPr>
              <w:spacing w:line="288" w:lineRule="auto"/>
              <w:rPr>
                <w:rFonts w:ascii="Arial" w:hAnsi="Arial" w:cs="Arial"/>
                <w:color w:val="auto"/>
                <w:sz w:val="24"/>
                <w:highlight w:val="none"/>
              </w:rPr>
            </w:pPr>
            <w:r>
              <w:rPr>
                <w:rFonts w:hint="eastAsia" w:ascii="宋体" w:hAnsi="宋体"/>
                <w:color w:val="auto"/>
                <w:sz w:val="24"/>
                <w:highlight w:val="none"/>
              </w:rPr>
              <w:t>2、各调节阀密闭良好，开关灵活，满足规范要求（特别是防火阀），并有开关及开度指示。</w:t>
            </w:r>
          </w:p>
        </w:tc>
        <w:tc>
          <w:tcPr>
            <w:tcW w:w="638" w:type="dxa"/>
            <w:vAlign w:val="center"/>
          </w:tcPr>
          <w:p w14:paraId="288B308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7BE94B60">
            <w:pPr>
              <w:spacing w:before="62" w:beforeLines="20" w:after="62" w:afterLines="20" w:line="276" w:lineRule="auto"/>
              <w:jc w:val="left"/>
              <w:rPr>
                <w:rFonts w:ascii="Arial" w:hAnsi="Arial" w:cs="Arial"/>
                <w:color w:val="auto"/>
                <w:sz w:val="24"/>
                <w:highlight w:val="none"/>
              </w:rPr>
            </w:pPr>
          </w:p>
        </w:tc>
      </w:tr>
      <w:tr w14:paraId="0CDE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1777" w:type="dxa"/>
          </w:tcPr>
          <w:p w14:paraId="2A64039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w:t>
            </w:r>
            <w:r>
              <w:rPr>
                <w:rFonts w:hint="eastAsia" w:ascii="Arial" w:hAnsi="Arial" w:cs="Arial"/>
                <w:color w:val="auto"/>
                <w:sz w:val="24"/>
                <w:highlight w:val="none"/>
              </w:rPr>
              <w:t>10.1</w:t>
            </w:r>
            <w:r>
              <w:rPr>
                <w:rFonts w:ascii="Arial" w:hAnsi="Arial" w:cs="Arial"/>
                <w:color w:val="auto"/>
                <w:sz w:val="24"/>
                <w:highlight w:val="none"/>
              </w:rPr>
              <w:t>-</w:t>
            </w:r>
            <w:r>
              <w:rPr>
                <w:rFonts w:hint="eastAsia" w:ascii="Arial" w:hAnsi="Arial" w:cs="Arial"/>
                <w:color w:val="auto"/>
                <w:sz w:val="24"/>
                <w:highlight w:val="none"/>
              </w:rPr>
              <w:t>20</w:t>
            </w:r>
          </w:p>
        </w:tc>
        <w:tc>
          <w:tcPr>
            <w:tcW w:w="4982" w:type="dxa"/>
            <w:vAlign w:val="center"/>
          </w:tcPr>
          <w:p w14:paraId="33A2E6EC">
            <w:pPr>
              <w:spacing w:line="288" w:lineRule="auto"/>
              <w:rPr>
                <w:rFonts w:hint="eastAsia" w:ascii="宋体" w:hAnsi="宋体"/>
                <w:color w:val="auto"/>
                <w:sz w:val="24"/>
                <w:highlight w:val="none"/>
              </w:rPr>
            </w:pPr>
            <w:r>
              <w:rPr>
                <w:rFonts w:hint="eastAsia" w:ascii="宋体" w:hAnsi="宋体"/>
                <w:color w:val="auto"/>
                <w:sz w:val="24"/>
                <w:highlight w:val="none"/>
              </w:rPr>
              <w:t>高效过滤器：</w:t>
            </w:r>
          </w:p>
          <w:p w14:paraId="149CFBD6">
            <w:pPr>
              <w:spacing w:line="288" w:lineRule="auto"/>
              <w:rPr>
                <w:rFonts w:hint="eastAsia" w:ascii="宋体" w:hAnsi="宋体" w:cs="Arial"/>
                <w:color w:val="auto"/>
                <w:sz w:val="24"/>
                <w:highlight w:val="none"/>
              </w:rPr>
            </w:pPr>
            <w:r>
              <w:rPr>
                <w:rFonts w:hint="eastAsia" w:ascii="宋体" w:hAnsi="宋体" w:cs="Arial"/>
                <w:color w:val="auto"/>
                <w:sz w:val="24"/>
                <w:highlight w:val="none"/>
              </w:rPr>
              <w:t>1、</w:t>
            </w:r>
            <w:r>
              <w:rPr>
                <w:rFonts w:hint="eastAsia" w:ascii="宋体" w:hAnsi="宋体"/>
                <w:bCs/>
                <w:color w:val="auto"/>
                <w:sz w:val="24"/>
                <w:highlight w:val="none"/>
              </w:rPr>
              <w:t>高效过滤器采用液槽密封，过滤效率H14。</w:t>
            </w:r>
          </w:p>
          <w:p w14:paraId="28224768">
            <w:pPr>
              <w:spacing w:line="288" w:lineRule="auto"/>
              <w:rPr>
                <w:rFonts w:hint="eastAsia" w:ascii="宋体" w:hAnsi="宋体"/>
                <w:color w:val="auto"/>
                <w:sz w:val="24"/>
                <w:highlight w:val="none"/>
              </w:rPr>
            </w:pPr>
            <w:r>
              <w:rPr>
                <w:rFonts w:hint="eastAsia" w:ascii="宋体" w:hAnsi="宋体" w:cs="Arial"/>
                <w:color w:val="auto"/>
                <w:sz w:val="24"/>
                <w:highlight w:val="none"/>
              </w:rPr>
              <w:t>2、</w:t>
            </w:r>
            <w:r>
              <w:rPr>
                <w:rFonts w:ascii="宋体" w:hAnsi="宋体" w:cs="Arial"/>
                <w:color w:val="auto"/>
                <w:sz w:val="24"/>
                <w:highlight w:val="none"/>
              </w:rPr>
              <w:t>高效过滤器配套的静压箱有</w:t>
            </w:r>
            <w:r>
              <w:rPr>
                <w:rFonts w:hint="eastAsia" w:ascii="宋体" w:hAnsi="宋体"/>
                <w:color w:val="auto"/>
                <w:sz w:val="24"/>
                <w:highlight w:val="none"/>
              </w:rPr>
              <w:t>DOP测试口。</w:t>
            </w:r>
          </w:p>
          <w:p w14:paraId="406D0BF7">
            <w:pPr>
              <w:spacing w:line="288" w:lineRule="auto"/>
              <w:rPr>
                <w:rFonts w:ascii="Arial" w:hAnsi="Arial" w:cs="Arial"/>
                <w:color w:val="auto"/>
                <w:sz w:val="24"/>
                <w:highlight w:val="none"/>
              </w:rPr>
            </w:pPr>
            <w:r>
              <w:rPr>
                <w:rFonts w:hint="eastAsia" w:ascii="宋体" w:hAnsi="宋体" w:cs="Arial"/>
                <w:color w:val="auto"/>
                <w:sz w:val="24"/>
                <w:highlight w:val="none"/>
              </w:rPr>
              <w:t>3、高效过滤器的编号和位置在图纸上已标明。</w:t>
            </w:r>
          </w:p>
        </w:tc>
        <w:tc>
          <w:tcPr>
            <w:tcW w:w="638" w:type="dxa"/>
            <w:vAlign w:val="center"/>
          </w:tcPr>
          <w:p w14:paraId="1D87B7AA">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122" w:type="dxa"/>
            <w:vAlign w:val="center"/>
          </w:tcPr>
          <w:p w14:paraId="2323ABD4">
            <w:pPr>
              <w:spacing w:before="62" w:beforeLines="20" w:after="62" w:afterLines="20" w:line="276" w:lineRule="auto"/>
              <w:jc w:val="left"/>
              <w:rPr>
                <w:rFonts w:ascii="Arial" w:hAnsi="Arial" w:cs="Arial"/>
                <w:color w:val="auto"/>
                <w:sz w:val="24"/>
                <w:highlight w:val="none"/>
              </w:rPr>
            </w:pPr>
          </w:p>
        </w:tc>
      </w:tr>
    </w:tbl>
    <w:p w14:paraId="6203B332">
      <w:pPr>
        <w:spacing w:before="62" w:beforeLines="20" w:after="62" w:afterLines="20" w:line="276" w:lineRule="auto"/>
        <w:jc w:val="left"/>
        <w:rPr>
          <w:rFonts w:ascii="Arial" w:hAnsi="Arial" w:cs="Arial"/>
          <w:color w:val="auto"/>
          <w:sz w:val="24"/>
          <w:highlight w:val="none"/>
        </w:rPr>
      </w:pPr>
    </w:p>
    <w:p w14:paraId="11D4D418">
      <w:pPr>
        <w:spacing w:before="62" w:beforeLines="20" w:after="62" w:afterLines="20" w:line="276" w:lineRule="auto"/>
        <w:jc w:val="left"/>
        <w:rPr>
          <w:rFonts w:ascii="Arial" w:hAnsi="Arial" w:cs="Arial"/>
          <w:b/>
          <w:color w:val="auto"/>
          <w:sz w:val="24"/>
          <w:highlight w:val="none"/>
        </w:rPr>
      </w:pPr>
      <w:r>
        <w:rPr>
          <w:rFonts w:hint="eastAsia" w:ascii="Arial" w:hAnsi="Arial" w:cs="Arial"/>
          <w:b/>
          <w:color w:val="auto"/>
          <w:sz w:val="24"/>
          <w:highlight w:val="none"/>
        </w:rPr>
        <w:t>10.</w:t>
      </w:r>
      <w:r>
        <w:rPr>
          <w:rFonts w:ascii="Arial" w:hAnsi="Arial" w:cs="Arial"/>
          <w:b/>
          <w:color w:val="auto"/>
          <w:sz w:val="24"/>
          <w:highlight w:val="none"/>
        </w:rPr>
        <w:t>2</w:t>
      </w:r>
      <w:r>
        <w:rPr>
          <w:rFonts w:hint="eastAsia" w:ascii="Arial" w:hAnsi="Arial" w:cs="Arial"/>
          <w:b/>
          <w:color w:val="auto"/>
          <w:sz w:val="24"/>
          <w:highlight w:val="none"/>
        </w:rPr>
        <w:t>空调主机</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5082"/>
        <w:gridCol w:w="699"/>
        <w:gridCol w:w="1142"/>
      </w:tblGrid>
      <w:tr w14:paraId="7935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596" w:type="dxa"/>
            <w:tcBorders>
              <w:bottom w:val="single" w:color="auto" w:sz="4" w:space="0"/>
            </w:tcBorders>
            <w:shd w:val="pct20" w:color="auto" w:fill="FFFFFF"/>
            <w:vAlign w:val="center"/>
          </w:tcPr>
          <w:p w14:paraId="4DB129A7">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082" w:type="dxa"/>
            <w:tcBorders>
              <w:bottom w:val="single" w:color="auto" w:sz="4" w:space="0"/>
            </w:tcBorders>
            <w:shd w:val="pct20" w:color="auto" w:fill="FFFFFF"/>
            <w:vAlign w:val="center"/>
          </w:tcPr>
          <w:p w14:paraId="4E0496CC">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699" w:type="dxa"/>
            <w:tcBorders>
              <w:bottom w:val="single" w:color="auto" w:sz="4" w:space="0"/>
            </w:tcBorders>
            <w:shd w:val="pct20" w:color="auto" w:fill="FFFFFF"/>
            <w:vAlign w:val="center"/>
          </w:tcPr>
          <w:p w14:paraId="09F3CDF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42" w:type="dxa"/>
            <w:tcBorders>
              <w:bottom w:val="single" w:color="auto" w:sz="4" w:space="0"/>
            </w:tcBorders>
            <w:shd w:val="pct20" w:color="auto" w:fill="FFFFFF"/>
          </w:tcPr>
          <w:p w14:paraId="2D10E8C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61F20EEB">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0CA3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6" w:type="dxa"/>
            <w:vAlign w:val="center"/>
          </w:tcPr>
          <w:p w14:paraId="034B3D82">
            <w:pPr>
              <w:spacing w:before="62" w:beforeLines="20" w:after="62" w:afterLines="20" w:line="276" w:lineRule="auto"/>
              <w:jc w:val="left"/>
              <w:rPr>
                <w:rFonts w:hint="eastAsia" w:ascii="宋体" w:hAnsi="宋体" w:cs="Arial"/>
                <w:color w:val="auto"/>
                <w:sz w:val="24"/>
                <w:highlight w:val="none"/>
              </w:rPr>
            </w:pPr>
            <w:r>
              <w:rPr>
                <w:rFonts w:hint="eastAsia" w:ascii="宋体" w:hAnsi="宋体" w:cs="宋体"/>
                <w:color w:val="auto"/>
                <w:sz w:val="18"/>
                <w:szCs w:val="18"/>
                <w:highlight w:val="none"/>
              </w:rPr>
              <w:t>▲</w:t>
            </w:r>
            <w:r>
              <w:rPr>
                <w:rFonts w:hint="eastAsia" w:ascii="宋体" w:hAnsi="宋体" w:cs="Arial"/>
                <w:color w:val="auto"/>
                <w:sz w:val="24"/>
                <w:highlight w:val="none"/>
              </w:rPr>
              <w:t>URS10.</w:t>
            </w:r>
            <w:r>
              <w:rPr>
                <w:rFonts w:ascii="宋体" w:hAnsi="宋体" w:cs="Arial"/>
                <w:color w:val="auto"/>
                <w:sz w:val="24"/>
                <w:highlight w:val="none"/>
              </w:rPr>
              <w:t>2</w:t>
            </w:r>
            <w:r>
              <w:rPr>
                <w:rFonts w:hint="eastAsia" w:ascii="宋体" w:hAnsi="宋体" w:cs="Arial"/>
                <w:color w:val="auto"/>
                <w:sz w:val="24"/>
                <w:highlight w:val="none"/>
              </w:rPr>
              <w:t>-01</w:t>
            </w:r>
          </w:p>
        </w:tc>
        <w:tc>
          <w:tcPr>
            <w:tcW w:w="5082" w:type="dxa"/>
            <w:vAlign w:val="center"/>
          </w:tcPr>
          <w:p w14:paraId="4B8A6C78">
            <w:pPr>
              <w:autoSpaceDE w:val="0"/>
              <w:autoSpaceDN w:val="0"/>
              <w:adjustRightInd w:val="0"/>
              <w:spacing w:line="276" w:lineRule="auto"/>
              <w:jc w:val="left"/>
              <w:rPr>
                <w:rFonts w:hint="eastAsia" w:ascii="宋体" w:hAnsi="宋体" w:cs="System"/>
                <w:color w:val="auto"/>
                <w:kern w:val="0"/>
                <w:sz w:val="22"/>
                <w:highlight w:val="none"/>
              </w:rPr>
            </w:pPr>
            <w:r>
              <w:rPr>
                <w:rFonts w:hint="eastAsia" w:ascii="宋体" w:hAnsi="宋体" w:cs="System"/>
                <w:color w:val="auto"/>
                <w:kern w:val="0"/>
                <w:sz w:val="22"/>
                <w:highlight w:val="none"/>
              </w:rPr>
              <w:t>主机应采用供冷与供热功能的蒸发冷却式变频热泵机组，并满足《GB55015-2021 建筑节能与可再生能源利用通用规范》中相关性能系数要求</w:t>
            </w:r>
          </w:p>
        </w:tc>
        <w:tc>
          <w:tcPr>
            <w:tcW w:w="699" w:type="dxa"/>
            <w:vAlign w:val="center"/>
          </w:tcPr>
          <w:p w14:paraId="35022459">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必需</w:t>
            </w:r>
          </w:p>
        </w:tc>
        <w:tc>
          <w:tcPr>
            <w:tcW w:w="1142" w:type="dxa"/>
            <w:vAlign w:val="center"/>
          </w:tcPr>
          <w:p w14:paraId="1EB41AB5">
            <w:pPr>
              <w:spacing w:before="62" w:beforeLines="20" w:after="62" w:afterLines="20" w:line="276" w:lineRule="auto"/>
              <w:jc w:val="left"/>
              <w:rPr>
                <w:rFonts w:hint="eastAsia" w:ascii="宋体" w:hAnsi="宋体" w:cs="Arial"/>
                <w:color w:val="auto"/>
                <w:sz w:val="24"/>
                <w:highlight w:val="none"/>
              </w:rPr>
            </w:pPr>
          </w:p>
        </w:tc>
      </w:tr>
      <w:tr w14:paraId="5462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6" w:type="dxa"/>
          </w:tcPr>
          <w:p w14:paraId="2804F540">
            <w:pPr>
              <w:spacing w:line="276" w:lineRule="auto"/>
              <w:rPr>
                <w:rFonts w:hint="eastAsia" w:ascii="宋体" w:hAnsi="宋体"/>
                <w:color w:val="auto"/>
                <w:highlight w:val="none"/>
              </w:rPr>
            </w:pPr>
            <w:r>
              <w:rPr>
                <w:rFonts w:hint="eastAsia" w:ascii="宋体" w:hAnsi="宋体" w:cs="宋体"/>
                <w:color w:val="auto"/>
                <w:sz w:val="18"/>
                <w:szCs w:val="18"/>
                <w:highlight w:val="none"/>
              </w:rPr>
              <w:t>▲</w:t>
            </w:r>
            <w:r>
              <w:rPr>
                <w:rFonts w:hint="eastAsia" w:ascii="宋体" w:hAnsi="宋体" w:cs="Arial"/>
                <w:color w:val="auto"/>
                <w:sz w:val="24"/>
                <w:highlight w:val="none"/>
              </w:rPr>
              <w:t>URS10.</w:t>
            </w:r>
            <w:r>
              <w:rPr>
                <w:rFonts w:ascii="宋体" w:hAnsi="宋体" w:cs="Arial"/>
                <w:color w:val="auto"/>
                <w:sz w:val="24"/>
                <w:highlight w:val="none"/>
              </w:rPr>
              <w:t>2</w:t>
            </w:r>
            <w:r>
              <w:rPr>
                <w:rFonts w:hint="eastAsia" w:ascii="宋体" w:hAnsi="宋体" w:cs="Arial"/>
                <w:color w:val="auto"/>
                <w:sz w:val="24"/>
                <w:highlight w:val="none"/>
              </w:rPr>
              <w:t>-02</w:t>
            </w:r>
          </w:p>
        </w:tc>
        <w:tc>
          <w:tcPr>
            <w:tcW w:w="5082" w:type="dxa"/>
            <w:vAlign w:val="center"/>
          </w:tcPr>
          <w:p w14:paraId="5EE1429A">
            <w:pPr>
              <w:spacing w:before="62" w:beforeLines="20" w:after="62" w:afterLines="20" w:line="276" w:lineRule="auto"/>
              <w:jc w:val="left"/>
              <w:rPr>
                <w:rFonts w:hint="eastAsia" w:ascii="宋体" w:hAnsi="宋体" w:cs="Arial"/>
                <w:color w:val="auto"/>
                <w:sz w:val="22"/>
                <w:highlight w:val="none"/>
              </w:rPr>
            </w:pPr>
            <w:r>
              <w:rPr>
                <w:rFonts w:hint="eastAsia" w:ascii="宋体" w:hAnsi="宋体" w:cs="宋体"/>
                <w:color w:val="auto"/>
                <w:sz w:val="22"/>
                <w:highlight w:val="none"/>
              </w:rPr>
              <w:t>必须配主机同品牌端盖式冷凝器在线清洗装置，整机出厂及保修，无需额外动力及安装</w:t>
            </w:r>
            <w:r>
              <w:rPr>
                <w:rFonts w:hint="eastAsia" w:ascii="宋体" w:hAnsi="宋体" w:cs="宋体"/>
                <w:snapToGrid w:val="0"/>
                <w:color w:val="auto"/>
                <w:sz w:val="22"/>
                <w:highlight w:val="none"/>
              </w:rPr>
              <w:t>，只由主机控制，不接受独立式或端盖外接式，需提供投标在线清洗机实体相片厂家盖章做为证明文件，参考连锁的旧机款式</w:t>
            </w:r>
            <w:r>
              <w:rPr>
                <w:rFonts w:hint="eastAsia" w:ascii="宋体" w:hAnsi="宋体" w:cs="宋体"/>
                <w:color w:val="auto"/>
                <w:sz w:val="22"/>
                <w:highlight w:val="none"/>
              </w:rPr>
              <w:t>。</w:t>
            </w:r>
          </w:p>
        </w:tc>
        <w:tc>
          <w:tcPr>
            <w:tcW w:w="699" w:type="dxa"/>
            <w:vAlign w:val="center"/>
          </w:tcPr>
          <w:p w14:paraId="0B12F351">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必需</w:t>
            </w:r>
          </w:p>
        </w:tc>
        <w:tc>
          <w:tcPr>
            <w:tcW w:w="1142" w:type="dxa"/>
            <w:vAlign w:val="center"/>
          </w:tcPr>
          <w:p w14:paraId="74B92961">
            <w:pPr>
              <w:spacing w:before="62" w:beforeLines="20" w:after="62" w:afterLines="20" w:line="276" w:lineRule="auto"/>
              <w:jc w:val="left"/>
              <w:rPr>
                <w:rFonts w:hint="eastAsia" w:ascii="宋体" w:hAnsi="宋体" w:cs="Arial"/>
                <w:color w:val="auto"/>
                <w:sz w:val="24"/>
                <w:highlight w:val="none"/>
              </w:rPr>
            </w:pPr>
          </w:p>
        </w:tc>
      </w:tr>
      <w:tr w14:paraId="6945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6" w:type="dxa"/>
            <w:tcBorders>
              <w:top w:val="single" w:color="auto" w:sz="4" w:space="0"/>
              <w:left w:val="single" w:color="auto" w:sz="4" w:space="0"/>
              <w:bottom w:val="single" w:color="auto" w:sz="4" w:space="0"/>
              <w:right w:val="single" w:color="auto" w:sz="4" w:space="0"/>
            </w:tcBorders>
          </w:tcPr>
          <w:p w14:paraId="64549D70">
            <w:pPr>
              <w:spacing w:line="276" w:lineRule="auto"/>
              <w:rPr>
                <w:rFonts w:hint="eastAsia" w:ascii="宋体" w:hAnsi="宋体" w:cs="Arial"/>
                <w:color w:val="auto"/>
                <w:sz w:val="24"/>
                <w:highlight w:val="none"/>
              </w:rPr>
            </w:pPr>
            <w:r>
              <w:rPr>
                <w:rFonts w:hint="eastAsia" w:ascii="宋体" w:hAnsi="宋体" w:cs="宋体"/>
                <w:color w:val="auto"/>
                <w:sz w:val="18"/>
                <w:szCs w:val="18"/>
                <w:highlight w:val="none"/>
              </w:rPr>
              <w:t>▲</w:t>
            </w:r>
            <w:r>
              <w:rPr>
                <w:rFonts w:hint="eastAsia" w:ascii="宋体" w:hAnsi="宋体" w:cs="Arial"/>
                <w:color w:val="auto"/>
                <w:sz w:val="24"/>
                <w:highlight w:val="none"/>
              </w:rPr>
              <w:t>URS10.</w:t>
            </w:r>
            <w:r>
              <w:rPr>
                <w:rFonts w:ascii="宋体" w:hAnsi="宋体" w:cs="Arial"/>
                <w:color w:val="auto"/>
                <w:sz w:val="24"/>
                <w:highlight w:val="none"/>
              </w:rPr>
              <w:t>2</w:t>
            </w:r>
            <w:r>
              <w:rPr>
                <w:rFonts w:hint="eastAsia" w:ascii="宋体" w:hAnsi="宋体" w:cs="Arial"/>
                <w:color w:val="auto"/>
                <w:sz w:val="24"/>
                <w:highlight w:val="none"/>
              </w:rPr>
              <w:t>-0</w:t>
            </w:r>
            <w:r>
              <w:rPr>
                <w:rFonts w:ascii="宋体" w:hAnsi="宋体" w:cs="Arial"/>
                <w:color w:val="auto"/>
                <w:sz w:val="24"/>
                <w:highlight w:val="none"/>
              </w:rPr>
              <w:t>3</w:t>
            </w:r>
          </w:p>
        </w:tc>
        <w:tc>
          <w:tcPr>
            <w:tcW w:w="5082" w:type="dxa"/>
            <w:tcBorders>
              <w:top w:val="single" w:color="auto" w:sz="4" w:space="0"/>
              <w:left w:val="single" w:color="auto" w:sz="4" w:space="0"/>
              <w:bottom w:val="single" w:color="auto" w:sz="4" w:space="0"/>
              <w:right w:val="single" w:color="auto" w:sz="4" w:space="0"/>
            </w:tcBorders>
            <w:vAlign w:val="center"/>
          </w:tcPr>
          <w:p w14:paraId="59E974F9">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变频螺杆式机组关键需满足如下要求：</w:t>
            </w:r>
          </w:p>
          <w:p w14:paraId="425353BA">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（1）所投设备产品需提供生产厂家项目授权及售后服务承诺函，并加盖设备制造商公章；</w:t>
            </w:r>
          </w:p>
        </w:tc>
        <w:tc>
          <w:tcPr>
            <w:tcW w:w="699" w:type="dxa"/>
            <w:tcBorders>
              <w:top w:val="single" w:color="auto" w:sz="4" w:space="0"/>
              <w:left w:val="single" w:color="auto" w:sz="4" w:space="0"/>
              <w:bottom w:val="single" w:color="auto" w:sz="4" w:space="0"/>
              <w:right w:val="single" w:color="auto" w:sz="4" w:space="0"/>
            </w:tcBorders>
            <w:vAlign w:val="center"/>
          </w:tcPr>
          <w:p w14:paraId="547D6DA0">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必需</w:t>
            </w:r>
          </w:p>
        </w:tc>
        <w:tc>
          <w:tcPr>
            <w:tcW w:w="1142" w:type="dxa"/>
            <w:tcBorders>
              <w:top w:val="single" w:color="auto" w:sz="4" w:space="0"/>
              <w:left w:val="single" w:color="auto" w:sz="4" w:space="0"/>
              <w:bottom w:val="single" w:color="auto" w:sz="4" w:space="0"/>
              <w:right w:val="single" w:color="auto" w:sz="4" w:space="0"/>
            </w:tcBorders>
            <w:vAlign w:val="center"/>
          </w:tcPr>
          <w:p w14:paraId="3228D614">
            <w:pPr>
              <w:spacing w:before="62" w:beforeLines="20" w:after="62" w:afterLines="20" w:line="276" w:lineRule="auto"/>
              <w:jc w:val="left"/>
              <w:rPr>
                <w:rFonts w:hint="eastAsia" w:ascii="宋体" w:hAnsi="宋体" w:cs="Arial"/>
                <w:color w:val="auto"/>
                <w:sz w:val="24"/>
                <w:highlight w:val="none"/>
              </w:rPr>
            </w:pPr>
          </w:p>
        </w:tc>
      </w:tr>
      <w:tr w14:paraId="7572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6" w:type="dxa"/>
            <w:tcBorders>
              <w:top w:val="single" w:color="auto" w:sz="4" w:space="0"/>
              <w:left w:val="single" w:color="auto" w:sz="4" w:space="0"/>
              <w:bottom w:val="single" w:color="auto" w:sz="4" w:space="0"/>
              <w:right w:val="single" w:color="auto" w:sz="4" w:space="0"/>
            </w:tcBorders>
          </w:tcPr>
          <w:p w14:paraId="02A94369">
            <w:pPr>
              <w:spacing w:line="276" w:lineRule="auto"/>
              <w:rPr>
                <w:rFonts w:hint="eastAsia" w:ascii="宋体" w:hAnsi="宋体" w:cs="Arial"/>
                <w:color w:val="auto"/>
                <w:sz w:val="24"/>
                <w:highlight w:val="none"/>
              </w:rPr>
            </w:pPr>
            <w:r>
              <w:rPr>
                <w:rFonts w:hint="eastAsia" w:ascii="宋体" w:hAnsi="宋体" w:cs="宋体"/>
                <w:color w:val="auto"/>
                <w:sz w:val="18"/>
                <w:szCs w:val="18"/>
                <w:highlight w:val="none"/>
              </w:rPr>
              <w:t>▲</w:t>
            </w:r>
            <w:r>
              <w:rPr>
                <w:rFonts w:hint="eastAsia" w:ascii="宋体" w:hAnsi="宋体" w:cs="Arial"/>
                <w:color w:val="auto"/>
                <w:sz w:val="24"/>
                <w:highlight w:val="none"/>
              </w:rPr>
              <w:t>URS10.</w:t>
            </w:r>
            <w:r>
              <w:rPr>
                <w:rFonts w:ascii="宋体" w:hAnsi="宋体" w:cs="Arial"/>
                <w:color w:val="auto"/>
                <w:sz w:val="24"/>
                <w:highlight w:val="none"/>
              </w:rPr>
              <w:t>2</w:t>
            </w:r>
            <w:r>
              <w:rPr>
                <w:rFonts w:hint="eastAsia" w:ascii="宋体" w:hAnsi="宋体" w:cs="Arial"/>
                <w:color w:val="auto"/>
                <w:sz w:val="24"/>
                <w:highlight w:val="none"/>
              </w:rPr>
              <w:t>-0</w:t>
            </w:r>
            <w:r>
              <w:rPr>
                <w:rFonts w:ascii="宋体" w:hAnsi="宋体" w:cs="Arial"/>
                <w:color w:val="auto"/>
                <w:sz w:val="24"/>
                <w:highlight w:val="none"/>
              </w:rPr>
              <w:t>4</w:t>
            </w:r>
          </w:p>
        </w:tc>
        <w:tc>
          <w:tcPr>
            <w:tcW w:w="5082" w:type="dxa"/>
            <w:tcBorders>
              <w:top w:val="single" w:color="auto" w:sz="4" w:space="0"/>
              <w:left w:val="single" w:color="auto" w:sz="4" w:space="0"/>
              <w:bottom w:val="single" w:color="auto" w:sz="4" w:space="0"/>
              <w:right w:val="single" w:color="auto" w:sz="4" w:space="0"/>
            </w:tcBorders>
            <w:vAlign w:val="center"/>
          </w:tcPr>
          <w:p w14:paraId="5AE173C3">
            <w:pPr>
              <w:spacing w:line="276"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（2）空调主机为生产工艺的重要组成部分，制冷量及综合能效I</w:t>
            </w:r>
            <w:r>
              <w:rPr>
                <w:rFonts w:ascii="宋体" w:hAnsi="宋体" w:cs="宋体"/>
                <w:color w:val="auto"/>
                <w:szCs w:val="21"/>
                <w:highlight w:val="none"/>
              </w:rPr>
              <w:t>PLV</w:t>
            </w:r>
            <w:r>
              <w:rPr>
                <w:rFonts w:hint="eastAsia" w:ascii="宋体" w:hAnsi="宋体" w:cs="宋体"/>
                <w:color w:val="auto"/>
                <w:szCs w:val="21"/>
                <w:highlight w:val="none"/>
              </w:rPr>
              <w:t>为最重要参数，所投机型必须满足以上设计要求，</w:t>
            </w:r>
            <w:r>
              <w:rPr>
                <w:rFonts w:hint="eastAsia" w:ascii="宋体" w:hAnsi="宋体" w:cs="宋体"/>
                <w:color w:val="auto"/>
                <w:sz w:val="24"/>
                <w:highlight w:val="none"/>
              </w:rPr>
              <w:t>提供能效标识网截图</w:t>
            </w:r>
            <w:r>
              <w:rPr>
                <w:rFonts w:hint="eastAsia" w:ascii="宋体" w:hAnsi="宋体" w:cs="宋体"/>
                <w:color w:val="auto"/>
                <w:sz w:val="18"/>
                <w:szCs w:val="18"/>
                <w:highlight w:val="none"/>
              </w:rPr>
              <w:t>。</w:t>
            </w:r>
            <w:r>
              <w:rPr>
                <w:rFonts w:hint="eastAsia" w:ascii="宋体" w:hAnsi="宋体" w:cs="宋体"/>
                <w:color w:val="auto"/>
                <w:szCs w:val="21"/>
                <w:highlight w:val="none"/>
              </w:rPr>
              <w:t>若投标制冷量小于招标要求的制冷量，则整个技术部分将被视为不合格。</w:t>
            </w:r>
          </w:p>
        </w:tc>
        <w:tc>
          <w:tcPr>
            <w:tcW w:w="699" w:type="dxa"/>
            <w:tcBorders>
              <w:top w:val="single" w:color="auto" w:sz="4" w:space="0"/>
              <w:left w:val="single" w:color="auto" w:sz="4" w:space="0"/>
              <w:bottom w:val="single" w:color="auto" w:sz="4" w:space="0"/>
              <w:right w:val="single" w:color="auto" w:sz="4" w:space="0"/>
            </w:tcBorders>
            <w:vAlign w:val="center"/>
          </w:tcPr>
          <w:p w14:paraId="4ED6D371">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必需</w:t>
            </w:r>
          </w:p>
        </w:tc>
        <w:tc>
          <w:tcPr>
            <w:tcW w:w="1142" w:type="dxa"/>
            <w:tcBorders>
              <w:top w:val="single" w:color="auto" w:sz="4" w:space="0"/>
              <w:left w:val="single" w:color="auto" w:sz="4" w:space="0"/>
              <w:bottom w:val="single" w:color="auto" w:sz="4" w:space="0"/>
              <w:right w:val="single" w:color="auto" w:sz="4" w:space="0"/>
            </w:tcBorders>
            <w:vAlign w:val="center"/>
          </w:tcPr>
          <w:p w14:paraId="12849DC2">
            <w:pPr>
              <w:spacing w:before="62" w:beforeLines="20" w:after="62" w:afterLines="20" w:line="276" w:lineRule="auto"/>
              <w:jc w:val="left"/>
              <w:rPr>
                <w:rFonts w:hint="eastAsia" w:ascii="宋体" w:hAnsi="宋体" w:cs="Arial"/>
                <w:color w:val="auto"/>
                <w:sz w:val="24"/>
                <w:highlight w:val="none"/>
              </w:rPr>
            </w:pPr>
          </w:p>
        </w:tc>
      </w:tr>
      <w:tr w14:paraId="1351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6" w:type="dxa"/>
            <w:tcBorders>
              <w:top w:val="single" w:color="auto" w:sz="4" w:space="0"/>
              <w:left w:val="single" w:color="auto" w:sz="4" w:space="0"/>
              <w:bottom w:val="single" w:color="auto" w:sz="4" w:space="0"/>
              <w:right w:val="single" w:color="auto" w:sz="4" w:space="0"/>
            </w:tcBorders>
          </w:tcPr>
          <w:p w14:paraId="3906CDA0">
            <w:pPr>
              <w:spacing w:line="276" w:lineRule="auto"/>
              <w:rPr>
                <w:rFonts w:hint="eastAsia" w:ascii="宋体" w:hAnsi="宋体" w:cs="Arial"/>
                <w:color w:val="auto"/>
                <w:sz w:val="24"/>
                <w:highlight w:val="none"/>
              </w:rPr>
            </w:pPr>
            <w:r>
              <w:rPr>
                <w:rFonts w:hint="eastAsia" w:ascii="宋体" w:hAnsi="宋体" w:cs="宋体"/>
                <w:color w:val="auto"/>
                <w:sz w:val="18"/>
                <w:szCs w:val="18"/>
                <w:highlight w:val="none"/>
              </w:rPr>
              <w:t>▲</w:t>
            </w:r>
            <w:r>
              <w:rPr>
                <w:rFonts w:hint="eastAsia" w:ascii="宋体" w:hAnsi="宋体" w:cs="Arial"/>
                <w:color w:val="auto"/>
                <w:sz w:val="24"/>
                <w:highlight w:val="none"/>
              </w:rPr>
              <w:t>URS10.</w:t>
            </w:r>
            <w:r>
              <w:rPr>
                <w:rFonts w:ascii="宋体" w:hAnsi="宋体" w:cs="Arial"/>
                <w:color w:val="auto"/>
                <w:sz w:val="24"/>
                <w:highlight w:val="none"/>
              </w:rPr>
              <w:t>2</w:t>
            </w:r>
            <w:r>
              <w:rPr>
                <w:rFonts w:hint="eastAsia" w:ascii="宋体" w:hAnsi="宋体" w:cs="Arial"/>
                <w:color w:val="auto"/>
                <w:sz w:val="24"/>
                <w:highlight w:val="none"/>
              </w:rPr>
              <w:t>-0</w:t>
            </w:r>
            <w:r>
              <w:rPr>
                <w:rFonts w:ascii="宋体" w:hAnsi="宋体" w:cs="Arial"/>
                <w:color w:val="auto"/>
                <w:sz w:val="24"/>
                <w:highlight w:val="none"/>
              </w:rPr>
              <w:t>5</w:t>
            </w:r>
          </w:p>
        </w:tc>
        <w:tc>
          <w:tcPr>
            <w:tcW w:w="5082" w:type="dxa"/>
            <w:tcBorders>
              <w:top w:val="single" w:color="auto" w:sz="4" w:space="0"/>
              <w:left w:val="single" w:color="auto" w:sz="4" w:space="0"/>
              <w:bottom w:val="single" w:color="auto" w:sz="4" w:space="0"/>
              <w:right w:val="single" w:color="auto" w:sz="4" w:space="0"/>
            </w:tcBorders>
            <w:vAlign w:val="center"/>
          </w:tcPr>
          <w:p w14:paraId="1E75EED6">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w:t>
            </w:r>
            <w:r>
              <w:rPr>
                <w:rFonts w:hint="eastAsia" w:ascii="宋体" w:hAnsi="宋体" w:cs="宋体"/>
                <w:snapToGrid w:val="0"/>
                <w:color w:val="auto"/>
                <w:szCs w:val="21"/>
                <w:highlight w:val="none"/>
              </w:rPr>
              <w:t>压缩机品</w:t>
            </w:r>
            <w:r>
              <w:rPr>
                <w:rFonts w:hint="eastAsia" w:ascii="宋体" w:hAnsi="宋体" w:cs="宋体"/>
                <w:color w:val="auto"/>
                <w:szCs w:val="21"/>
                <w:highlight w:val="none"/>
              </w:rPr>
              <w:t>牌：要求压缩机与主机整机（变频螺杆机）为同一品牌，且不接受单螺杆式压缩机。</w:t>
            </w:r>
          </w:p>
        </w:tc>
        <w:tc>
          <w:tcPr>
            <w:tcW w:w="699" w:type="dxa"/>
            <w:tcBorders>
              <w:top w:val="single" w:color="auto" w:sz="4" w:space="0"/>
              <w:left w:val="single" w:color="auto" w:sz="4" w:space="0"/>
              <w:bottom w:val="single" w:color="auto" w:sz="4" w:space="0"/>
              <w:right w:val="single" w:color="auto" w:sz="4" w:space="0"/>
            </w:tcBorders>
            <w:vAlign w:val="center"/>
          </w:tcPr>
          <w:p w14:paraId="014F3534">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必需</w:t>
            </w:r>
          </w:p>
        </w:tc>
        <w:tc>
          <w:tcPr>
            <w:tcW w:w="1142" w:type="dxa"/>
            <w:tcBorders>
              <w:top w:val="single" w:color="auto" w:sz="4" w:space="0"/>
              <w:left w:val="single" w:color="auto" w:sz="4" w:space="0"/>
              <w:bottom w:val="single" w:color="auto" w:sz="4" w:space="0"/>
              <w:right w:val="single" w:color="auto" w:sz="4" w:space="0"/>
            </w:tcBorders>
            <w:vAlign w:val="center"/>
          </w:tcPr>
          <w:p w14:paraId="0B0182DD">
            <w:pPr>
              <w:spacing w:before="62" w:beforeLines="20" w:after="62" w:afterLines="20" w:line="276" w:lineRule="auto"/>
              <w:jc w:val="left"/>
              <w:rPr>
                <w:rFonts w:hint="eastAsia" w:ascii="宋体" w:hAnsi="宋体" w:cs="Arial"/>
                <w:color w:val="auto"/>
                <w:sz w:val="24"/>
                <w:highlight w:val="none"/>
              </w:rPr>
            </w:pPr>
          </w:p>
        </w:tc>
      </w:tr>
    </w:tbl>
    <w:p w14:paraId="7900D940">
      <w:pPr>
        <w:spacing w:before="62" w:beforeLines="20" w:after="62" w:afterLines="20" w:line="276" w:lineRule="auto"/>
        <w:jc w:val="left"/>
        <w:rPr>
          <w:rFonts w:ascii="Arial" w:hAnsi="Arial" w:cs="Arial"/>
          <w:color w:val="auto"/>
          <w:sz w:val="24"/>
          <w:highlight w:val="none"/>
        </w:rPr>
      </w:pPr>
    </w:p>
    <w:p w14:paraId="38E79ABF">
      <w:pPr>
        <w:spacing w:before="62" w:beforeLines="20" w:after="62" w:afterLines="20" w:line="276" w:lineRule="auto"/>
        <w:jc w:val="left"/>
        <w:rPr>
          <w:rFonts w:ascii="Arial" w:hAnsi="Arial" w:cs="Arial"/>
          <w:color w:val="auto"/>
          <w:sz w:val="24"/>
          <w:highlight w:val="none"/>
        </w:rPr>
      </w:pPr>
    </w:p>
    <w:p w14:paraId="272F8EB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w:t>
      </w:r>
      <w:r>
        <w:rPr>
          <w:rFonts w:ascii="Arial" w:hAnsi="Arial" w:cs="Arial"/>
          <w:color w:val="auto"/>
          <w:sz w:val="24"/>
          <w:highlight w:val="none"/>
        </w:rPr>
        <w:t>3</w:t>
      </w:r>
      <w:r>
        <w:rPr>
          <w:rFonts w:hint="eastAsia" w:ascii="Arial" w:hAnsi="Arial" w:cs="Arial"/>
          <w:color w:val="auto"/>
          <w:sz w:val="24"/>
          <w:highlight w:val="none"/>
        </w:rPr>
        <w:t>舒适性空调机（吊顶式空调机组（新风） 机组、射流空气处理机组（回风）、卧式风机）盘管</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788F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252B4CED">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序号</w:t>
            </w:r>
          </w:p>
        </w:tc>
        <w:tc>
          <w:tcPr>
            <w:tcW w:w="5222" w:type="dxa"/>
            <w:tcBorders>
              <w:bottom w:val="single" w:color="auto" w:sz="4" w:space="0"/>
            </w:tcBorders>
            <w:shd w:val="pct20" w:color="auto" w:fill="FFFFFF"/>
            <w:vAlign w:val="center"/>
          </w:tcPr>
          <w:p w14:paraId="366A64CB">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要求</w:t>
            </w:r>
          </w:p>
        </w:tc>
        <w:tc>
          <w:tcPr>
            <w:tcW w:w="719" w:type="dxa"/>
            <w:tcBorders>
              <w:bottom w:val="single" w:color="auto" w:sz="4" w:space="0"/>
            </w:tcBorders>
            <w:shd w:val="pct20" w:color="auto" w:fill="FFFFFF"/>
            <w:vAlign w:val="center"/>
          </w:tcPr>
          <w:p w14:paraId="14E085A3">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必需/期望</w:t>
            </w:r>
          </w:p>
        </w:tc>
        <w:tc>
          <w:tcPr>
            <w:tcW w:w="1162" w:type="dxa"/>
            <w:tcBorders>
              <w:bottom w:val="single" w:color="auto" w:sz="4" w:space="0"/>
            </w:tcBorders>
            <w:shd w:val="pct20" w:color="auto" w:fill="FFFFFF"/>
          </w:tcPr>
          <w:p w14:paraId="58D7F928">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回复</w:t>
            </w:r>
          </w:p>
          <w:p w14:paraId="11DBA1AA">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响应/偏离</w:t>
            </w:r>
          </w:p>
        </w:tc>
      </w:tr>
      <w:tr w14:paraId="43BE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3C867A8C">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10.3</w:t>
            </w:r>
            <w:r>
              <w:rPr>
                <w:rFonts w:hint="eastAsia" w:ascii="宋体" w:hAnsi="宋体" w:cs="宋体"/>
                <w:color w:val="auto"/>
                <w:sz w:val="24"/>
                <w:highlight w:val="none"/>
              </w:rPr>
              <w:t>-01</w:t>
            </w:r>
          </w:p>
        </w:tc>
        <w:tc>
          <w:tcPr>
            <w:tcW w:w="5222" w:type="dxa"/>
            <w:vAlign w:val="center"/>
          </w:tcPr>
          <w:p w14:paraId="0C2FD0B3">
            <w:pPr>
              <w:spacing w:line="360" w:lineRule="auto"/>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按设计使用末端形式。</w:t>
            </w:r>
          </w:p>
        </w:tc>
        <w:tc>
          <w:tcPr>
            <w:tcW w:w="719" w:type="dxa"/>
          </w:tcPr>
          <w:p w14:paraId="47D46853">
            <w:pPr>
              <w:rPr>
                <w:rFonts w:hint="eastAsia" w:ascii="宋体" w:hAnsi="宋体" w:cs="宋体"/>
                <w:color w:val="auto"/>
                <w:sz w:val="24"/>
                <w:highlight w:val="none"/>
              </w:rPr>
            </w:pPr>
            <w:r>
              <w:rPr>
                <w:rFonts w:hint="eastAsia" w:ascii="宋体" w:hAnsi="宋体" w:cs="宋体"/>
                <w:color w:val="auto"/>
                <w:sz w:val="24"/>
                <w:highlight w:val="none"/>
              </w:rPr>
              <w:t>必需</w:t>
            </w:r>
          </w:p>
        </w:tc>
        <w:tc>
          <w:tcPr>
            <w:tcW w:w="1162" w:type="dxa"/>
            <w:vAlign w:val="center"/>
          </w:tcPr>
          <w:p w14:paraId="4D0C35FE">
            <w:pPr>
              <w:spacing w:before="62" w:beforeLines="20" w:after="62" w:afterLines="20" w:line="276" w:lineRule="auto"/>
              <w:jc w:val="left"/>
              <w:rPr>
                <w:rFonts w:hint="eastAsia" w:ascii="宋体" w:hAnsi="宋体" w:cs="宋体"/>
                <w:color w:val="auto"/>
                <w:sz w:val="24"/>
                <w:highlight w:val="none"/>
              </w:rPr>
            </w:pPr>
          </w:p>
        </w:tc>
      </w:tr>
      <w:tr w14:paraId="2CC2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23B69132">
            <w:pPr>
              <w:spacing w:line="276" w:lineRule="auto"/>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10.3</w:t>
            </w:r>
            <w:r>
              <w:rPr>
                <w:rFonts w:hint="eastAsia" w:ascii="宋体" w:hAnsi="宋体" w:cs="宋体"/>
                <w:color w:val="auto"/>
                <w:sz w:val="24"/>
                <w:highlight w:val="none"/>
              </w:rPr>
              <w:t>-0</w:t>
            </w:r>
            <w:r>
              <w:rPr>
                <w:rFonts w:ascii="宋体" w:hAnsi="宋体" w:cs="宋体"/>
                <w:color w:val="auto"/>
                <w:sz w:val="24"/>
                <w:highlight w:val="none"/>
              </w:rPr>
              <w:t>2</w:t>
            </w:r>
          </w:p>
        </w:tc>
        <w:tc>
          <w:tcPr>
            <w:tcW w:w="5222" w:type="dxa"/>
            <w:vAlign w:val="center"/>
          </w:tcPr>
          <w:p w14:paraId="7E2D551B">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末端使用主机相同品牌。</w:t>
            </w:r>
          </w:p>
        </w:tc>
        <w:tc>
          <w:tcPr>
            <w:tcW w:w="719" w:type="dxa"/>
          </w:tcPr>
          <w:p w14:paraId="5AB621BC">
            <w:pPr>
              <w:rPr>
                <w:rFonts w:hint="eastAsia" w:ascii="宋体" w:hAnsi="宋体" w:cs="宋体"/>
                <w:color w:val="auto"/>
                <w:sz w:val="24"/>
                <w:highlight w:val="none"/>
              </w:rPr>
            </w:pPr>
            <w:r>
              <w:rPr>
                <w:rFonts w:hint="eastAsia" w:ascii="宋体" w:hAnsi="宋体" w:cs="宋体"/>
                <w:color w:val="auto"/>
                <w:sz w:val="24"/>
                <w:highlight w:val="none"/>
              </w:rPr>
              <w:t>必需</w:t>
            </w:r>
          </w:p>
        </w:tc>
        <w:tc>
          <w:tcPr>
            <w:tcW w:w="1162" w:type="dxa"/>
            <w:vAlign w:val="center"/>
          </w:tcPr>
          <w:p w14:paraId="72EBE962">
            <w:pPr>
              <w:spacing w:before="62" w:beforeLines="20" w:after="62" w:afterLines="20" w:line="276" w:lineRule="auto"/>
              <w:jc w:val="left"/>
              <w:rPr>
                <w:rFonts w:hint="eastAsia" w:ascii="宋体" w:hAnsi="宋体" w:cs="宋体"/>
                <w:color w:val="auto"/>
                <w:sz w:val="24"/>
                <w:highlight w:val="none"/>
              </w:rPr>
            </w:pPr>
          </w:p>
        </w:tc>
      </w:tr>
    </w:tbl>
    <w:p w14:paraId="58EAABE2">
      <w:pPr>
        <w:spacing w:before="62" w:beforeLines="20" w:after="62" w:afterLines="20" w:line="276" w:lineRule="auto"/>
        <w:jc w:val="left"/>
        <w:rPr>
          <w:rFonts w:ascii="Arial" w:hAnsi="Arial" w:cs="Arial"/>
          <w:color w:val="auto"/>
          <w:sz w:val="24"/>
          <w:highlight w:val="none"/>
        </w:rPr>
      </w:pPr>
    </w:p>
    <w:p w14:paraId="2CA0B8C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w:t>
      </w:r>
      <w:r>
        <w:rPr>
          <w:rFonts w:ascii="Arial" w:hAnsi="Arial" w:cs="Arial"/>
          <w:color w:val="auto"/>
          <w:sz w:val="24"/>
          <w:highlight w:val="none"/>
        </w:rPr>
        <w:t>4</w:t>
      </w:r>
      <w:r>
        <w:rPr>
          <w:rFonts w:hint="eastAsia" w:ascii="Arial" w:hAnsi="Arial" w:cs="Arial"/>
          <w:color w:val="auto"/>
          <w:sz w:val="24"/>
          <w:highlight w:val="none"/>
        </w:rPr>
        <w:t>实验室排风、试验台</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3FCB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2F975D53">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序号</w:t>
            </w:r>
          </w:p>
        </w:tc>
        <w:tc>
          <w:tcPr>
            <w:tcW w:w="5222" w:type="dxa"/>
            <w:tcBorders>
              <w:bottom w:val="single" w:color="auto" w:sz="4" w:space="0"/>
            </w:tcBorders>
            <w:shd w:val="pct20" w:color="auto" w:fill="FFFFFF"/>
            <w:vAlign w:val="center"/>
          </w:tcPr>
          <w:p w14:paraId="573156AB">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要求</w:t>
            </w:r>
          </w:p>
        </w:tc>
        <w:tc>
          <w:tcPr>
            <w:tcW w:w="719" w:type="dxa"/>
            <w:tcBorders>
              <w:bottom w:val="single" w:color="auto" w:sz="4" w:space="0"/>
            </w:tcBorders>
            <w:shd w:val="pct20" w:color="auto" w:fill="FFFFFF"/>
            <w:vAlign w:val="center"/>
          </w:tcPr>
          <w:p w14:paraId="1CE985C2">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必需/期望</w:t>
            </w:r>
          </w:p>
        </w:tc>
        <w:tc>
          <w:tcPr>
            <w:tcW w:w="1162" w:type="dxa"/>
            <w:tcBorders>
              <w:bottom w:val="single" w:color="auto" w:sz="4" w:space="0"/>
            </w:tcBorders>
            <w:shd w:val="pct20" w:color="auto" w:fill="FFFFFF"/>
          </w:tcPr>
          <w:p w14:paraId="37C6C8A0">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回复</w:t>
            </w:r>
          </w:p>
          <w:p w14:paraId="25B52095">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响应/偏离</w:t>
            </w:r>
          </w:p>
        </w:tc>
      </w:tr>
      <w:tr w14:paraId="7D19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29B7366A">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10.4</w:t>
            </w:r>
            <w:r>
              <w:rPr>
                <w:rFonts w:hint="eastAsia" w:ascii="宋体" w:hAnsi="宋体" w:cs="宋体"/>
                <w:color w:val="auto"/>
                <w:sz w:val="24"/>
                <w:highlight w:val="none"/>
              </w:rPr>
              <w:t>-01</w:t>
            </w:r>
          </w:p>
        </w:tc>
        <w:tc>
          <w:tcPr>
            <w:tcW w:w="5222" w:type="dxa"/>
            <w:vAlign w:val="center"/>
          </w:tcPr>
          <w:p w14:paraId="0F27C50C">
            <w:pPr>
              <w:spacing w:line="360" w:lineRule="auto"/>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提供3台通风柜并安装，废气排放前应按照环保要求进行处理。</w:t>
            </w:r>
          </w:p>
        </w:tc>
        <w:tc>
          <w:tcPr>
            <w:tcW w:w="719" w:type="dxa"/>
          </w:tcPr>
          <w:p w14:paraId="5F9B534F">
            <w:pPr>
              <w:rPr>
                <w:rFonts w:hint="eastAsia" w:ascii="宋体" w:hAnsi="宋体" w:cs="宋体"/>
                <w:color w:val="auto"/>
                <w:sz w:val="24"/>
                <w:highlight w:val="none"/>
              </w:rPr>
            </w:pPr>
            <w:r>
              <w:rPr>
                <w:rFonts w:hint="eastAsia" w:ascii="宋体" w:hAnsi="宋体" w:cs="宋体"/>
                <w:color w:val="auto"/>
                <w:sz w:val="24"/>
                <w:highlight w:val="none"/>
              </w:rPr>
              <w:t>必需</w:t>
            </w:r>
          </w:p>
        </w:tc>
        <w:tc>
          <w:tcPr>
            <w:tcW w:w="1162" w:type="dxa"/>
            <w:vAlign w:val="center"/>
          </w:tcPr>
          <w:p w14:paraId="7EF81413">
            <w:pPr>
              <w:spacing w:before="62" w:beforeLines="20" w:after="62" w:afterLines="20" w:line="276" w:lineRule="auto"/>
              <w:jc w:val="left"/>
              <w:rPr>
                <w:rFonts w:hint="eastAsia" w:ascii="宋体" w:hAnsi="宋体" w:cs="宋体"/>
                <w:color w:val="auto"/>
                <w:sz w:val="24"/>
                <w:highlight w:val="none"/>
              </w:rPr>
            </w:pPr>
          </w:p>
        </w:tc>
      </w:tr>
      <w:tr w14:paraId="2163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57C39C71">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10.4</w:t>
            </w:r>
            <w:r>
              <w:rPr>
                <w:rFonts w:hint="eastAsia" w:ascii="宋体" w:hAnsi="宋体" w:cs="宋体"/>
                <w:color w:val="auto"/>
                <w:sz w:val="24"/>
                <w:highlight w:val="none"/>
              </w:rPr>
              <w:t>-0</w:t>
            </w:r>
            <w:r>
              <w:rPr>
                <w:rFonts w:ascii="宋体" w:hAnsi="宋体" w:cs="宋体"/>
                <w:color w:val="auto"/>
                <w:sz w:val="24"/>
                <w:highlight w:val="none"/>
              </w:rPr>
              <w:t>2</w:t>
            </w:r>
          </w:p>
        </w:tc>
        <w:tc>
          <w:tcPr>
            <w:tcW w:w="5222" w:type="dxa"/>
            <w:vAlign w:val="center"/>
          </w:tcPr>
          <w:p w14:paraId="1077A3A7">
            <w:pPr>
              <w:spacing w:line="360" w:lineRule="auto"/>
              <w:ind w:left="1" w:leftChars="-53" w:hanging="112" w:hangingChars="47"/>
              <w:jc w:val="left"/>
              <w:rPr>
                <w:rFonts w:hint="eastAsia" w:ascii="宋体" w:hAnsi="宋体" w:cs="宋体"/>
                <w:color w:val="auto"/>
                <w:sz w:val="24"/>
                <w:highlight w:val="none"/>
              </w:rPr>
            </w:pPr>
            <w:r>
              <w:rPr>
                <w:rFonts w:hint="eastAsia" w:ascii="宋体" w:hAnsi="宋体" w:cs="宋体"/>
                <w:color w:val="auto"/>
                <w:sz w:val="24"/>
                <w:highlight w:val="none"/>
              </w:rPr>
              <w:t>理化实验室应至少配制3个万向抽风罩，废气排放前应按照环保要求进行处理。</w:t>
            </w:r>
          </w:p>
        </w:tc>
        <w:tc>
          <w:tcPr>
            <w:tcW w:w="719" w:type="dxa"/>
          </w:tcPr>
          <w:p w14:paraId="012CF0BB">
            <w:pPr>
              <w:rPr>
                <w:rFonts w:hint="eastAsia" w:ascii="宋体" w:hAnsi="宋体" w:cs="宋体"/>
                <w:color w:val="auto"/>
                <w:sz w:val="24"/>
                <w:highlight w:val="none"/>
              </w:rPr>
            </w:pPr>
            <w:r>
              <w:rPr>
                <w:rFonts w:hint="eastAsia" w:ascii="宋体" w:hAnsi="宋体" w:cs="宋体"/>
                <w:color w:val="auto"/>
                <w:sz w:val="24"/>
                <w:highlight w:val="none"/>
              </w:rPr>
              <w:t>必需</w:t>
            </w:r>
          </w:p>
        </w:tc>
        <w:tc>
          <w:tcPr>
            <w:tcW w:w="1162" w:type="dxa"/>
            <w:vAlign w:val="center"/>
          </w:tcPr>
          <w:p w14:paraId="7768B734">
            <w:pPr>
              <w:spacing w:before="62" w:beforeLines="20" w:after="62" w:afterLines="20" w:line="276" w:lineRule="auto"/>
              <w:jc w:val="left"/>
              <w:rPr>
                <w:rFonts w:hint="eastAsia" w:ascii="宋体" w:hAnsi="宋体" w:cs="宋体"/>
                <w:color w:val="auto"/>
                <w:sz w:val="24"/>
                <w:highlight w:val="none"/>
              </w:rPr>
            </w:pPr>
          </w:p>
        </w:tc>
      </w:tr>
      <w:tr w14:paraId="0CC8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6180A24E">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10.4</w:t>
            </w:r>
            <w:r>
              <w:rPr>
                <w:rFonts w:hint="eastAsia" w:ascii="宋体" w:hAnsi="宋体" w:cs="宋体"/>
                <w:color w:val="auto"/>
                <w:sz w:val="24"/>
                <w:highlight w:val="none"/>
              </w:rPr>
              <w:t>-0</w:t>
            </w:r>
            <w:r>
              <w:rPr>
                <w:rFonts w:ascii="宋体" w:hAnsi="宋体" w:cs="宋体"/>
                <w:color w:val="auto"/>
                <w:sz w:val="24"/>
                <w:highlight w:val="none"/>
              </w:rPr>
              <w:t>3</w:t>
            </w:r>
          </w:p>
        </w:tc>
        <w:tc>
          <w:tcPr>
            <w:tcW w:w="5222" w:type="dxa"/>
            <w:vAlign w:val="center"/>
          </w:tcPr>
          <w:p w14:paraId="08420EB6">
            <w:pPr>
              <w:spacing w:line="360" w:lineRule="auto"/>
              <w:ind w:left="2"/>
              <w:rPr>
                <w:rFonts w:hint="eastAsia" w:ascii="宋体" w:hAnsi="宋体" w:cs="宋体"/>
                <w:color w:val="auto"/>
                <w:sz w:val="24"/>
                <w:highlight w:val="none"/>
              </w:rPr>
            </w:pPr>
            <w:r>
              <w:rPr>
                <w:rFonts w:hint="eastAsia" w:ascii="宋体" w:hAnsi="宋体" w:cs="宋体"/>
                <w:color w:val="auto"/>
                <w:sz w:val="24"/>
                <w:highlight w:val="none"/>
              </w:rPr>
              <w:t>液相室应配备13个万向抽风罩。废气排放前应按照环保要求进行处理。</w:t>
            </w:r>
          </w:p>
        </w:tc>
        <w:tc>
          <w:tcPr>
            <w:tcW w:w="719" w:type="dxa"/>
          </w:tcPr>
          <w:p w14:paraId="082F0859">
            <w:pPr>
              <w:rPr>
                <w:rFonts w:hint="eastAsia" w:ascii="宋体" w:hAnsi="宋体" w:cs="宋体"/>
                <w:color w:val="auto"/>
                <w:sz w:val="24"/>
                <w:highlight w:val="none"/>
              </w:rPr>
            </w:pPr>
            <w:r>
              <w:rPr>
                <w:rFonts w:hint="eastAsia" w:ascii="宋体" w:hAnsi="宋体" w:cs="宋体"/>
                <w:color w:val="auto"/>
                <w:sz w:val="24"/>
                <w:highlight w:val="none"/>
              </w:rPr>
              <w:t>必需</w:t>
            </w:r>
          </w:p>
        </w:tc>
        <w:tc>
          <w:tcPr>
            <w:tcW w:w="1162" w:type="dxa"/>
            <w:vAlign w:val="center"/>
          </w:tcPr>
          <w:p w14:paraId="46E5F9DF">
            <w:pPr>
              <w:spacing w:before="62" w:beforeLines="20" w:after="62" w:afterLines="20" w:line="276" w:lineRule="auto"/>
              <w:jc w:val="left"/>
              <w:rPr>
                <w:rFonts w:hint="eastAsia" w:ascii="宋体" w:hAnsi="宋体" w:cs="宋体"/>
                <w:color w:val="auto"/>
                <w:sz w:val="24"/>
                <w:highlight w:val="none"/>
              </w:rPr>
            </w:pPr>
          </w:p>
        </w:tc>
      </w:tr>
      <w:tr w14:paraId="776D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3C3FF2A8">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10.4</w:t>
            </w:r>
            <w:r>
              <w:rPr>
                <w:rFonts w:hint="eastAsia" w:ascii="宋体" w:hAnsi="宋体" w:cs="宋体"/>
                <w:color w:val="auto"/>
                <w:sz w:val="24"/>
                <w:highlight w:val="none"/>
              </w:rPr>
              <w:t>-0</w:t>
            </w:r>
            <w:r>
              <w:rPr>
                <w:rFonts w:ascii="宋体" w:hAnsi="宋体" w:cs="宋体"/>
                <w:color w:val="auto"/>
                <w:sz w:val="24"/>
                <w:highlight w:val="none"/>
              </w:rPr>
              <w:t>4</w:t>
            </w:r>
          </w:p>
        </w:tc>
        <w:tc>
          <w:tcPr>
            <w:tcW w:w="5222" w:type="dxa"/>
            <w:vAlign w:val="center"/>
          </w:tcPr>
          <w:p w14:paraId="71F9E9FA">
            <w:pPr>
              <w:spacing w:line="360" w:lineRule="auto"/>
              <w:ind w:left="2"/>
              <w:rPr>
                <w:rFonts w:hint="eastAsia" w:ascii="宋体" w:hAnsi="宋体" w:cs="宋体"/>
                <w:color w:val="auto"/>
                <w:sz w:val="24"/>
                <w:highlight w:val="none"/>
              </w:rPr>
            </w:pPr>
            <w:r>
              <w:rPr>
                <w:rFonts w:hint="eastAsia" w:ascii="宋体" w:hAnsi="宋体" w:cs="宋体"/>
                <w:color w:val="auto"/>
                <w:sz w:val="24"/>
                <w:highlight w:val="none"/>
              </w:rPr>
              <w:t>试验台框架应该用全钢材质，台面应该用耐热、耐腐蚀理化板。</w:t>
            </w:r>
          </w:p>
        </w:tc>
        <w:tc>
          <w:tcPr>
            <w:tcW w:w="719" w:type="dxa"/>
          </w:tcPr>
          <w:p w14:paraId="6488DD59">
            <w:pPr>
              <w:rPr>
                <w:rFonts w:hint="eastAsia" w:ascii="宋体" w:hAnsi="宋体" w:cs="宋体"/>
                <w:color w:val="auto"/>
                <w:sz w:val="24"/>
                <w:highlight w:val="none"/>
              </w:rPr>
            </w:pPr>
            <w:r>
              <w:rPr>
                <w:rFonts w:hint="eastAsia" w:ascii="宋体" w:hAnsi="宋体" w:cs="宋体"/>
                <w:color w:val="auto"/>
                <w:sz w:val="24"/>
                <w:highlight w:val="none"/>
              </w:rPr>
              <w:t>必需</w:t>
            </w:r>
          </w:p>
        </w:tc>
        <w:tc>
          <w:tcPr>
            <w:tcW w:w="1162" w:type="dxa"/>
            <w:vAlign w:val="center"/>
          </w:tcPr>
          <w:p w14:paraId="7D6078A2">
            <w:pPr>
              <w:spacing w:before="62" w:beforeLines="20" w:after="62" w:afterLines="20" w:line="276" w:lineRule="auto"/>
              <w:jc w:val="left"/>
              <w:rPr>
                <w:rFonts w:hint="eastAsia" w:ascii="宋体" w:hAnsi="宋体" w:cs="宋体"/>
                <w:color w:val="auto"/>
                <w:sz w:val="24"/>
                <w:highlight w:val="none"/>
              </w:rPr>
            </w:pPr>
          </w:p>
        </w:tc>
      </w:tr>
      <w:tr w14:paraId="7769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4DC357FA">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10.4</w:t>
            </w:r>
            <w:r>
              <w:rPr>
                <w:rFonts w:hint="eastAsia" w:ascii="宋体" w:hAnsi="宋体" w:cs="宋体"/>
                <w:color w:val="auto"/>
                <w:sz w:val="24"/>
                <w:highlight w:val="none"/>
              </w:rPr>
              <w:t>-0</w:t>
            </w:r>
            <w:r>
              <w:rPr>
                <w:rFonts w:ascii="宋体" w:hAnsi="宋体" w:cs="宋体"/>
                <w:color w:val="auto"/>
                <w:sz w:val="24"/>
                <w:highlight w:val="none"/>
              </w:rPr>
              <w:t>5</w:t>
            </w:r>
          </w:p>
        </w:tc>
        <w:tc>
          <w:tcPr>
            <w:tcW w:w="5222" w:type="dxa"/>
            <w:vAlign w:val="center"/>
          </w:tcPr>
          <w:p w14:paraId="55959A37">
            <w:pPr>
              <w:spacing w:line="360" w:lineRule="auto"/>
              <w:ind w:left="2"/>
              <w:rPr>
                <w:rFonts w:hint="eastAsia" w:ascii="宋体" w:hAnsi="宋体" w:cs="宋体"/>
                <w:color w:val="auto"/>
                <w:sz w:val="24"/>
                <w:highlight w:val="none"/>
              </w:rPr>
            </w:pPr>
            <w:r>
              <w:rPr>
                <w:rFonts w:hint="eastAsia" w:ascii="宋体" w:hAnsi="宋体" w:cs="宋体"/>
                <w:color w:val="auto"/>
                <w:sz w:val="24"/>
                <w:highlight w:val="none"/>
              </w:rPr>
              <w:t>危化品室应安装防爆门、防爆排风机、废气排放前应按照环保要求进行处理。</w:t>
            </w:r>
          </w:p>
        </w:tc>
        <w:tc>
          <w:tcPr>
            <w:tcW w:w="719" w:type="dxa"/>
          </w:tcPr>
          <w:p w14:paraId="6E10B2FD">
            <w:pPr>
              <w:rPr>
                <w:rFonts w:hint="eastAsia" w:ascii="宋体" w:hAnsi="宋体" w:cs="宋体"/>
                <w:color w:val="auto"/>
                <w:sz w:val="24"/>
                <w:highlight w:val="none"/>
              </w:rPr>
            </w:pPr>
            <w:r>
              <w:rPr>
                <w:rFonts w:hint="eastAsia" w:ascii="宋体" w:hAnsi="宋体" w:cs="宋体"/>
                <w:color w:val="auto"/>
                <w:sz w:val="24"/>
                <w:highlight w:val="none"/>
              </w:rPr>
              <w:t>必需</w:t>
            </w:r>
          </w:p>
        </w:tc>
        <w:tc>
          <w:tcPr>
            <w:tcW w:w="1162" w:type="dxa"/>
            <w:vAlign w:val="center"/>
          </w:tcPr>
          <w:p w14:paraId="2FD968C8">
            <w:pPr>
              <w:spacing w:before="62" w:beforeLines="20" w:after="62" w:afterLines="20" w:line="276" w:lineRule="auto"/>
              <w:jc w:val="left"/>
              <w:rPr>
                <w:rFonts w:hint="eastAsia" w:ascii="宋体" w:hAnsi="宋体" w:cs="宋体"/>
                <w:color w:val="auto"/>
                <w:sz w:val="24"/>
                <w:highlight w:val="none"/>
              </w:rPr>
            </w:pPr>
          </w:p>
        </w:tc>
      </w:tr>
      <w:tr w14:paraId="769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699DF9E6">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10.4</w:t>
            </w:r>
            <w:r>
              <w:rPr>
                <w:rFonts w:hint="eastAsia" w:ascii="宋体" w:hAnsi="宋体" w:cs="宋体"/>
                <w:color w:val="auto"/>
                <w:sz w:val="24"/>
                <w:highlight w:val="none"/>
              </w:rPr>
              <w:t>-06</w:t>
            </w:r>
          </w:p>
        </w:tc>
        <w:tc>
          <w:tcPr>
            <w:tcW w:w="5222" w:type="dxa"/>
            <w:vAlign w:val="center"/>
          </w:tcPr>
          <w:p w14:paraId="19E2C92D">
            <w:pPr>
              <w:spacing w:line="360" w:lineRule="auto"/>
              <w:ind w:left="2"/>
              <w:rPr>
                <w:rFonts w:hint="eastAsia" w:ascii="宋体" w:hAnsi="宋体" w:cs="宋体"/>
                <w:color w:val="auto"/>
                <w:sz w:val="24"/>
                <w:highlight w:val="none"/>
              </w:rPr>
            </w:pPr>
            <w:r>
              <w:rPr>
                <w:rFonts w:hint="eastAsia" w:ascii="宋体" w:hAnsi="宋体" w:cs="宋体"/>
                <w:color w:val="auto"/>
                <w:sz w:val="24"/>
                <w:highlight w:val="none"/>
              </w:rPr>
              <w:t>冷库配备精密空调，室内环境温度为2</w:t>
            </w:r>
            <w:r>
              <w:rPr>
                <w:rFonts w:ascii="Arial" w:hAnsi="Arial" w:cs="Arial"/>
                <w:color w:val="auto"/>
                <w:sz w:val="24"/>
                <w:highlight w:val="none"/>
              </w:rPr>
              <w:t>～</w:t>
            </w:r>
            <w:r>
              <w:rPr>
                <w:rFonts w:hint="eastAsia" w:ascii="Arial" w:hAnsi="Arial" w:cs="Arial"/>
                <w:color w:val="auto"/>
                <w:sz w:val="24"/>
                <w:highlight w:val="none"/>
              </w:rPr>
              <w:t>8</w:t>
            </w:r>
            <w:r>
              <w:rPr>
                <w:rFonts w:hint="eastAsia" w:ascii="宋体" w:hAnsi="宋体" w:cs="宋体"/>
                <w:color w:val="auto"/>
                <w:sz w:val="24"/>
                <w:highlight w:val="none"/>
              </w:rPr>
              <w:t>℃</w:t>
            </w:r>
            <w:r>
              <w:rPr>
                <w:rFonts w:ascii="Arial" w:hAnsi="Arial" w:cs="Arial"/>
                <w:color w:val="auto"/>
                <w:sz w:val="24"/>
                <w:highlight w:val="none"/>
              </w:rPr>
              <w:t>、</w:t>
            </w:r>
            <w:r>
              <w:rPr>
                <w:rFonts w:hint="eastAsia" w:ascii="Arial" w:hAnsi="Arial" w:cs="Arial"/>
                <w:color w:val="auto"/>
                <w:sz w:val="24"/>
                <w:highlight w:val="none"/>
              </w:rPr>
              <w:t>湿度45</w:t>
            </w:r>
            <w:r>
              <w:rPr>
                <w:rFonts w:ascii="Arial" w:hAnsi="Arial" w:cs="Arial"/>
                <w:color w:val="auto"/>
                <w:sz w:val="24"/>
                <w:highlight w:val="none"/>
              </w:rPr>
              <w:t>～</w:t>
            </w:r>
            <w:r>
              <w:rPr>
                <w:rFonts w:hint="eastAsia" w:ascii="Arial" w:hAnsi="Arial" w:cs="Arial"/>
                <w:color w:val="auto"/>
                <w:sz w:val="24"/>
                <w:highlight w:val="none"/>
              </w:rPr>
              <w:t>60%</w:t>
            </w:r>
          </w:p>
        </w:tc>
        <w:tc>
          <w:tcPr>
            <w:tcW w:w="719" w:type="dxa"/>
          </w:tcPr>
          <w:p w14:paraId="7EB26AC2">
            <w:pPr>
              <w:rPr>
                <w:rFonts w:hint="eastAsia" w:ascii="宋体" w:hAnsi="宋体" w:cs="宋体"/>
                <w:color w:val="auto"/>
                <w:sz w:val="24"/>
                <w:highlight w:val="none"/>
              </w:rPr>
            </w:pPr>
          </w:p>
        </w:tc>
        <w:tc>
          <w:tcPr>
            <w:tcW w:w="1162" w:type="dxa"/>
            <w:vAlign w:val="center"/>
          </w:tcPr>
          <w:p w14:paraId="3EEEE2B1">
            <w:pPr>
              <w:spacing w:before="62" w:beforeLines="20" w:after="62" w:afterLines="20" w:line="276" w:lineRule="auto"/>
              <w:jc w:val="left"/>
              <w:rPr>
                <w:rFonts w:hint="eastAsia" w:ascii="宋体" w:hAnsi="宋体" w:cs="宋体"/>
                <w:color w:val="auto"/>
                <w:sz w:val="24"/>
                <w:highlight w:val="none"/>
              </w:rPr>
            </w:pPr>
          </w:p>
        </w:tc>
      </w:tr>
    </w:tbl>
    <w:p w14:paraId="58F9962B">
      <w:pPr>
        <w:spacing w:before="62" w:beforeLines="20" w:after="62" w:afterLines="20" w:line="276" w:lineRule="auto"/>
        <w:jc w:val="left"/>
        <w:rPr>
          <w:rFonts w:ascii="Arial" w:hAnsi="Arial" w:cs="Arial"/>
          <w:color w:val="auto"/>
          <w:sz w:val="24"/>
          <w:highlight w:val="none"/>
        </w:rPr>
      </w:pPr>
    </w:p>
    <w:p w14:paraId="27A7449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w:t>
      </w:r>
      <w:r>
        <w:rPr>
          <w:rFonts w:ascii="Arial" w:hAnsi="Arial" w:cs="Arial"/>
          <w:color w:val="auto"/>
          <w:sz w:val="24"/>
          <w:highlight w:val="none"/>
        </w:rPr>
        <w:t>5</w:t>
      </w:r>
      <w:r>
        <w:rPr>
          <w:rFonts w:hint="eastAsia" w:ascii="宋体" w:hAnsi="宋体" w:cs="宋体"/>
          <w:color w:val="auto"/>
          <w:sz w:val="24"/>
          <w:highlight w:val="none"/>
        </w:rPr>
        <w:t>工作环境及公用系统</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13FF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6A4C484C">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43FFAB78">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3F409A3C">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51B6A983">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58CB93F0">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3206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5618654D">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URS10.</w:t>
            </w:r>
            <w:r>
              <w:rPr>
                <w:rFonts w:ascii="宋体" w:hAnsi="宋体" w:cs="Arial"/>
                <w:color w:val="auto"/>
                <w:sz w:val="24"/>
                <w:highlight w:val="none"/>
              </w:rPr>
              <w:t>5</w:t>
            </w:r>
            <w:r>
              <w:rPr>
                <w:rFonts w:hint="eastAsia" w:ascii="宋体" w:hAnsi="宋体" w:cs="Arial"/>
                <w:color w:val="auto"/>
                <w:sz w:val="24"/>
                <w:highlight w:val="none"/>
              </w:rPr>
              <w:t>-01</w:t>
            </w:r>
          </w:p>
        </w:tc>
        <w:tc>
          <w:tcPr>
            <w:tcW w:w="5222" w:type="dxa"/>
            <w:vAlign w:val="center"/>
          </w:tcPr>
          <w:p w14:paraId="3E40DC6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电源为220V/380V，供电50HZ</w:t>
            </w:r>
          </w:p>
        </w:tc>
        <w:tc>
          <w:tcPr>
            <w:tcW w:w="719" w:type="dxa"/>
          </w:tcPr>
          <w:p w14:paraId="10586651">
            <w:pPr>
              <w:rPr>
                <w:color w:val="auto"/>
                <w:highlight w:val="none"/>
              </w:rPr>
            </w:pPr>
            <w:r>
              <w:rPr>
                <w:rFonts w:hint="eastAsia" w:ascii="宋体" w:hAnsi="宋体" w:cs="Arial"/>
                <w:color w:val="auto"/>
                <w:sz w:val="24"/>
                <w:highlight w:val="none"/>
              </w:rPr>
              <w:t>必需</w:t>
            </w:r>
          </w:p>
        </w:tc>
        <w:tc>
          <w:tcPr>
            <w:tcW w:w="1162" w:type="dxa"/>
            <w:vAlign w:val="center"/>
          </w:tcPr>
          <w:p w14:paraId="3C3A89AE">
            <w:pPr>
              <w:spacing w:before="62" w:beforeLines="20" w:after="62" w:afterLines="20" w:line="276" w:lineRule="auto"/>
              <w:jc w:val="left"/>
              <w:rPr>
                <w:rFonts w:hint="eastAsia" w:ascii="宋体" w:hAnsi="宋体" w:cs="Arial"/>
                <w:color w:val="auto"/>
                <w:sz w:val="24"/>
                <w:highlight w:val="none"/>
              </w:rPr>
            </w:pPr>
          </w:p>
        </w:tc>
      </w:tr>
      <w:tr w14:paraId="3308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51A8B5B4">
            <w:pPr>
              <w:spacing w:line="276" w:lineRule="auto"/>
              <w:rPr>
                <w:rFonts w:hint="eastAsia" w:ascii="宋体" w:hAnsi="宋体"/>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5</w:t>
            </w:r>
            <w:r>
              <w:rPr>
                <w:rFonts w:hint="eastAsia" w:ascii="宋体" w:hAnsi="宋体" w:cs="Arial"/>
                <w:color w:val="auto"/>
                <w:sz w:val="24"/>
                <w:highlight w:val="none"/>
              </w:rPr>
              <w:t>-02</w:t>
            </w:r>
          </w:p>
        </w:tc>
        <w:tc>
          <w:tcPr>
            <w:tcW w:w="5222" w:type="dxa"/>
            <w:vAlign w:val="center"/>
          </w:tcPr>
          <w:p w14:paraId="3B38707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工作环境温度为0～40</w:t>
            </w:r>
            <w:r>
              <w:rPr>
                <w:rFonts w:hint="eastAsia" w:ascii="宋体" w:hAnsi="宋体" w:cs="宋体"/>
                <w:color w:val="auto"/>
                <w:sz w:val="24"/>
                <w:highlight w:val="none"/>
              </w:rPr>
              <w:t>℃</w:t>
            </w:r>
            <w:r>
              <w:rPr>
                <w:rFonts w:ascii="Arial" w:hAnsi="Arial" w:cs="Arial"/>
                <w:color w:val="auto"/>
                <w:sz w:val="24"/>
                <w:highlight w:val="none"/>
              </w:rPr>
              <w:t>、</w:t>
            </w:r>
            <w:r>
              <w:rPr>
                <w:rFonts w:hint="eastAsia" w:ascii="Arial" w:hAnsi="Arial" w:cs="Arial"/>
                <w:color w:val="auto"/>
                <w:sz w:val="24"/>
                <w:highlight w:val="none"/>
              </w:rPr>
              <w:t>湿</w:t>
            </w:r>
            <w:r>
              <w:rPr>
                <w:rFonts w:ascii="Arial" w:hAnsi="Arial" w:cs="Arial"/>
                <w:color w:val="auto"/>
                <w:sz w:val="24"/>
                <w:highlight w:val="none"/>
              </w:rPr>
              <w:t>度＜90%</w:t>
            </w:r>
            <w:r>
              <w:rPr>
                <w:rFonts w:hint="eastAsia" w:ascii="Arial" w:hAnsi="Arial" w:cs="Arial"/>
                <w:color w:val="auto"/>
                <w:sz w:val="24"/>
                <w:highlight w:val="none"/>
              </w:rPr>
              <w:t>，</w:t>
            </w:r>
            <w:r>
              <w:rPr>
                <w:rFonts w:ascii="Arial" w:hAnsi="Arial" w:cs="Arial"/>
                <w:color w:val="auto"/>
                <w:sz w:val="24"/>
                <w:highlight w:val="none"/>
              </w:rPr>
              <w:t>工作环境压力为常压</w:t>
            </w:r>
          </w:p>
        </w:tc>
        <w:tc>
          <w:tcPr>
            <w:tcW w:w="719" w:type="dxa"/>
          </w:tcPr>
          <w:p w14:paraId="50571955">
            <w:pPr>
              <w:rPr>
                <w:color w:val="auto"/>
                <w:highlight w:val="none"/>
              </w:rPr>
            </w:pPr>
            <w:r>
              <w:rPr>
                <w:rFonts w:hint="eastAsia" w:ascii="宋体" w:hAnsi="宋体" w:cs="Arial"/>
                <w:color w:val="auto"/>
                <w:sz w:val="24"/>
                <w:highlight w:val="none"/>
              </w:rPr>
              <w:t>必需</w:t>
            </w:r>
          </w:p>
        </w:tc>
        <w:tc>
          <w:tcPr>
            <w:tcW w:w="1162" w:type="dxa"/>
            <w:vAlign w:val="center"/>
          </w:tcPr>
          <w:p w14:paraId="7912F7C5">
            <w:pPr>
              <w:spacing w:before="62" w:beforeLines="20" w:after="62" w:afterLines="20" w:line="276" w:lineRule="auto"/>
              <w:jc w:val="left"/>
              <w:rPr>
                <w:rFonts w:hint="eastAsia" w:ascii="宋体" w:hAnsi="宋体" w:cs="Arial"/>
                <w:color w:val="auto"/>
                <w:sz w:val="24"/>
                <w:highlight w:val="none"/>
              </w:rPr>
            </w:pPr>
          </w:p>
        </w:tc>
      </w:tr>
      <w:tr w14:paraId="6512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62EB074">
            <w:pPr>
              <w:spacing w:line="276" w:lineRule="auto"/>
              <w:rPr>
                <w:rFonts w:hint="eastAsia" w:ascii="宋体" w:hAnsi="宋体"/>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5</w:t>
            </w:r>
            <w:r>
              <w:rPr>
                <w:rFonts w:hint="eastAsia" w:ascii="宋体" w:hAnsi="宋体" w:cs="Arial"/>
                <w:color w:val="auto"/>
                <w:sz w:val="24"/>
                <w:highlight w:val="none"/>
              </w:rPr>
              <w:t>-03</w:t>
            </w:r>
          </w:p>
        </w:tc>
        <w:tc>
          <w:tcPr>
            <w:tcW w:w="5222" w:type="dxa"/>
            <w:vAlign w:val="center"/>
          </w:tcPr>
          <w:p w14:paraId="68FE743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冷媒水压力为0.</w:t>
            </w:r>
            <w:r>
              <w:rPr>
                <w:rFonts w:hint="eastAsia" w:ascii="Arial" w:hAnsi="Arial" w:cs="Arial"/>
                <w:color w:val="auto"/>
                <w:sz w:val="24"/>
                <w:highlight w:val="none"/>
              </w:rPr>
              <w:t>3</w:t>
            </w:r>
            <w:r>
              <w:rPr>
                <w:rFonts w:ascii="Arial" w:hAnsi="Arial" w:cs="Arial"/>
                <w:color w:val="auto"/>
                <w:sz w:val="24"/>
                <w:highlight w:val="none"/>
              </w:rPr>
              <w:t>～0.</w:t>
            </w:r>
            <w:r>
              <w:rPr>
                <w:rFonts w:hint="eastAsia" w:ascii="Arial" w:hAnsi="Arial" w:cs="Arial"/>
                <w:color w:val="auto"/>
                <w:sz w:val="24"/>
                <w:highlight w:val="none"/>
              </w:rPr>
              <w:t>5</w:t>
            </w:r>
            <w:r>
              <w:rPr>
                <w:rFonts w:ascii="Arial" w:hAnsi="Arial" w:cs="Arial"/>
                <w:color w:val="auto"/>
                <w:sz w:val="24"/>
                <w:highlight w:val="none"/>
              </w:rPr>
              <w:t>MPa</w:t>
            </w:r>
          </w:p>
        </w:tc>
        <w:tc>
          <w:tcPr>
            <w:tcW w:w="719" w:type="dxa"/>
          </w:tcPr>
          <w:p w14:paraId="6EEE83A3">
            <w:pPr>
              <w:rPr>
                <w:color w:val="auto"/>
                <w:highlight w:val="none"/>
              </w:rPr>
            </w:pPr>
            <w:r>
              <w:rPr>
                <w:rFonts w:hint="eastAsia" w:ascii="宋体" w:hAnsi="宋体" w:cs="Arial"/>
                <w:color w:val="auto"/>
                <w:sz w:val="24"/>
                <w:highlight w:val="none"/>
              </w:rPr>
              <w:t>必需</w:t>
            </w:r>
          </w:p>
        </w:tc>
        <w:tc>
          <w:tcPr>
            <w:tcW w:w="1162" w:type="dxa"/>
            <w:vAlign w:val="center"/>
          </w:tcPr>
          <w:p w14:paraId="715A8973">
            <w:pPr>
              <w:spacing w:before="62" w:beforeLines="20" w:after="62" w:afterLines="20" w:line="276" w:lineRule="auto"/>
              <w:jc w:val="left"/>
              <w:rPr>
                <w:rFonts w:hint="eastAsia" w:ascii="宋体" w:hAnsi="宋体" w:cs="Arial"/>
                <w:color w:val="auto"/>
                <w:sz w:val="24"/>
                <w:highlight w:val="none"/>
              </w:rPr>
            </w:pPr>
          </w:p>
        </w:tc>
      </w:tr>
      <w:tr w14:paraId="568E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5E580A4">
            <w:pPr>
              <w:spacing w:line="276" w:lineRule="auto"/>
              <w:rPr>
                <w:rFonts w:hint="eastAsia" w:ascii="宋体" w:hAnsi="宋体"/>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5</w:t>
            </w:r>
            <w:r>
              <w:rPr>
                <w:rFonts w:hint="eastAsia" w:ascii="宋体" w:hAnsi="宋体" w:cs="Arial"/>
                <w:color w:val="auto"/>
                <w:sz w:val="24"/>
                <w:highlight w:val="none"/>
              </w:rPr>
              <w:t>-04</w:t>
            </w:r>
          </w:p>
        </w:tc>
        <w:tc>
          <w:tcPr>
            <w:tcW w:w="5222" w:type="dxa"/>
            <w:vAlign w:val="center"/>
          </w:tcPr>
          <w:p w14:paraId="68A6607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厂家自行评估温度设定</w:t>
            </w:r>
            <w:r>
              <w:rPr>
                <w:rFonts w:hint="eastAsia" w:ascii="Arial" w:hAnsi="Arial" w:cs="Arial"/>
                <w:color w:val="auto"/>
                <w:sz w:val="24"/>
                <w:highlight w:val="none"/>
              </w:rPr>
              <w:t>极限值</w:t>
            </w:r>
            <w:r>
              <w:rPr>
                <w:rFonts w:ascii="Arial" w:hAnsi="Arial" w:cs="Arial"/>
                <w:color w:val="auto"/>
                <w:sz w:val="24"/>
                <w:highlight w:val="none"/>
              </w:rPr>
              <w:t>，</w:t>
            </w:r>
            <w:r>
              <w:rPr>
                <w:rFonts w:hint="eastAsia" w:ascii="Arial" w:hAnsi="Arial" w:cs="Arial"/>
                <w:color w:val="auto"/>
                <w:sz w:val="24"/>
                <w:highlight w:val="none"/>
              </w:rPr>
              <w:t>超过设定无效，</w:t>
            </w:r>
            <w:r>
              <w:rPr>
                <w:rFonts w:ascii="Arial" w:hAnsi="Arial" w:cs="Arial"/>
                <w:color w:val="auto"/>
                <w:sz w:val="24"/>
                <w:highlight w:val="none"/>
              </w:rPr>
              <w:t>保证用户在日常操作中不会因参数设置异常导致设备极端运作损坏。</w:t>
            </w:r>
          </w:p>
        </w:tc>
        <w:tc>
          <w:tcPr>
            <w:tcW w:w="719" w:type="dxa"/>
          </w:tcPr>
          <w:p w14:paraId="51F5F37F">
            <w:pPr>
              <w:rPr>
                <w:color w:val="auto"/>
                <w:highlight w:val="none"/>
              </w:rPr>
            </w:pPr>
            <w:r>
              <w:rPr>
                <w:rFonts w:hint="eastAsia" w:ascii="宋体" w:hAnsi="宋体" w:cs="Arial"/>
                <w:color w:val="auto"/>
                <w:sz w:val="24"/>
                <w:highlight w:val="none"/>
              </w:rPr>
              <w:t>必需</w:t>
            </w:r>
          </w:p>
        </w:tc>
        <w:tc>
          <w:tcPr>
            <w:tcW w:w="1162" w:type="dxa"/>
            <w:vAlign w:val="center"/>
          </w:tcPr>
          <w:p w14:paraId="3C8C7768">
            <w:pPr>
              <w:spacing w:before="62" w:beforeLines="20" w:after="62" w:afterLines="20" w:line="276" w:lineRule="auto"/>
              <w:jc w:val="left"/>
              <w:rPr>
                <w:rFonts w:hint="eastAsia" w:ascii="宋体" w:hAnsi="宋体" w:cs="Arial"/>
                <w:color w:val="auto"/>
                <w:sz w:val="24"/>
                <w:highlight w:val="none"/>
              </w:rPr>
            </w:pPr>
          </w:p>
        </w:tc>
      </w:tr>
    </w:tbl>
    <w:p w14:paraId="668C0C3E">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w:t>
      </w:r>
      <w:r>
        <w:rPr>
          <w:rFonts w:ascii="Arial" w:hAnsi="Arial" w:cs="Arial"/>
          <w:color w:val="auto"/>
          <w:sz w:val="24"/>
          <w:highlight w:val="none"/>
        </w:rPr>
        <w:t>6设备焊接及表面处理</w:t>
      </w:r>
      <w:r>
        <w:rPr>
          <w:rFonts w:hint="eastAsia" w:ascii="Arial" w:hAnsi="Arial" w:cs="Arial"/>
          <w:color w:val="auto"/>
          <w:sz w:val="24"/>
          <w:highlight w:val="none"/>
        </w:rPr>
        <w:t>，材质</w:t>
      </w:r>
      <w:r>
        <w:rPr>
          <w:rFonts w:ascii="Arial" w:hAnsi="Arial" w:cs="Arial"/>
          <w:color w:val="auto"/>
          <w:sz w:val="24"/>
          <w:highlight w:val="none"/>
        </w:rPr>
        <w:t>要求</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6EAE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3090A5DB">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33EE70C0">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32D099BC">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397B84C5">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31C625DB">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7E8C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408F9AC8">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URS10.</w:t>
            </w:r>
            <w:r>
              <w:rPr>
                <w:rFonts w:ascii="宋体" w:hAnsi="宋体" w:cs="Arial"/>
                <w:color w:val="auto"/>
                <w:sz w:val="24"/>
                <w:highlight w:val="none"/>
              </w:rPr>
              <w:t>6</w:t>
            </w:r>
            <w:r>
              <w:rPr>
                <w:rFonts w:hint="eastAsia" w:ascii="宋体" w:hAnsi="宋体" w:cs="Arial"/>
                <w:color w:val="auto"/>
                <w:sz w:val="24"/>
                <w:highlight w:val="none"/>
              </w:rPr>
              <w:t>-01</w:t>
            </w:r>
          </w:p>
        </w:tc>
        <w:tc>
          <w:tcPr>
            <w:tcW w:w="5222" w:type="dxa"/>
            <w:vAlign w:val="center"/>
          </w:tcPr>
          <w:p w14:paraId="76AF7E1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设备要求内部各零部件光洁，不得有任何油污，灰尘及其它物质</w:t>
            </w:r>
            <w:r>
              <w:rPr>
                <w:rFonts w:hint="eastAsia" w:ascii="Arial" w:hAnsi="Arial" w:cs="Arial"/>
                <w:color w:val="auto"/>
                <w:sz w:val="24"/>
                <w:highlight w:val="none"/>
              </w:rPr>
              <w:t>。</w:t>
            </w:r>
          </w:p>
        </w:tc>
        <w:tc>
          <w:tcPr>
            <w:tcW w:w="719" w:type="dxa"/>
          </w:tcPr>
          <w:p w14:paraId="69F6E03B">
            <w:pPr>
              <w:rPr>
                <w:color w:val="auto"/>
                <w:highlight w:val="none"/>
              </w:rPr>
            </w:pPr>
            <w:r>
              <w:rPr>
                <w:rFonts w:hint="eastAsia" w:ascii="宋体" w:hAnsi="宋体" w:cs="Arial"/>
                <w:color w:val="auto"/>
                <w:sz w:val="24"/>
                <w:highlight w:val="none"/>
              </w:rPr>
              <w:t>必需</w:t>
            </w:r>
          </w:p>
        </w:tc>
        <w:tc>
          <w:tcPr>
            <w:tcW w:w="1162" w:type="dxa"/>
            <w:vAlign w:val="center"/>
          </w:tcPr>
          <w:p w14:paraId="4D489FF3">
            <w:pPr>
              <w:spacing w:before="62" w:beforeLines="20" w:after="62" w:afterLines="20" w:line="276" w:lineRule="auto"/>
              <w:jc w:val="left"/>
              <w:rPr>
                <w:rFonts w:hint="eastAsia" w:ascii="宋体" w:hAnsi="宋体" w:cs="Arial"/>
                <w:color w:val="auto"/>
                <w:sz w:val="24"/>
                <w:highlight w:val="none"/>
              </w:rPr>
            </w:pPr>
          </w:p>
        </w:tc>
      </w:tr>
      <w:tr w14:paraId="2710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6E6A492C">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6</w:t>
            </w:r>
            <w:r>
              <w:rPr>
                <w:rFonts w:hint="eastAsia" w:ascii="宋体" w:hAnsi="宋体" w:cs="Arial"/>
                <w:color w:val="auto"/>
                <w:sz w:val="24"/>
                <w:highlight w:val="none"/>
              </w:rPr>
              <w:t>-02</w:t>
            </w:r>
          </w:p>
        </w:tc>
        <w:tc>
          <w:tcPr>
            <w:tcW w:w="5222" w:type="dxa"/>
            <w:vAlign w:val="center"/>
          </w:tcPr>
          <w:p w14:paraId="365AA0D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设备要求表面光滑平整，不得有影响外观的缺陷</w:t>
            </w:r>
            <w:r>
              <w:rPr>
                <w:rFonts w:hint="eastAsia" w:ascii="Arial" w:hAnsi="Arial" w:cs="Arial"/>
                <w:color w:val="auto"/>
                <w:sz w:val="24"/>
                <w:highlight w:val="none"/>
              </w:rPr>
              <w:t>。</w:t>
            </w:r>
          </w:p>
        </w:tc>
        <w:tc>
          <w:tcPr>
            <w:tcW w:w="719" w:type="dxa"/>
          </w:tcPr>
          <w:p w14:paraId="5B35917F">
            <w:pPr>
              <w:rPr>
                <w:color w:val="auto"/>
                <w:highlight w:val="none"/>
              </w:rPr>
            </w:pPr>
            <w:r>
              <w:rPr>
                <w:rFonts w:hint="eastAsia" w:ascii="宋体" w:hAnsi="宋体" w:cs="Arial"/>
                <w:color w:val="auto"/>
                <w:sz w:val="24"/>
                <w:highlight w:val="none"/>
              </w:rPr>
              <w:t>必需</w:t>
            </w:r>
          </w:p>
        </w:tc>
        <w:tc>
          <w:tcPr>
            <w:tcW w:w="1162" w:type="dxa"/>
            <w:vAlign w:val="center"/>
          </w:tcPr>
          <w:p w14:paraId="10D7AE49">
            <w:pPr>
              <w:spacing w:before="62" w:beforeLines="20" w:after="62" w:afterLines="20" w:line="276" w:lineRule="auto"/>
              <w:jc w:val="left"/>
              <w:rPr>
                <w:rFonts w:hint="eastAsia" w:ascii="宋体" w:hAnsi="宋体" w:cs="Arial"/>
                <w:color w:val="auto"/>
                <w:sz w:val="24"/>
                <w:highlight w:val="none"/>
              </w:rPr>
            </w:pPr>
          </w:p>
        </w:tc>
      </w:tr>
      <w:tr w14:paraId="6C60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14B864EA">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6</w:t>
            </w:r>
            <w:r>
              <w:rPr>
                <w:rFonts w:hint="eastAsia" w:ascii="宋体" w:hAnsi="宋体" w:cs="Arial"/>
                <w:color w:val="auto"/>
                <w:sz w:val="24"/>
                <w:highlight w:val="none"/>
              </w:rPr>
              <w:t>-03</w:t>
            </w:r>
          </w:p>
        </w:tc>
        <w:tc>
          <w:tcPr>
            <w:tcW w:w="5222" w:type="dxa"/>
            <w:vAlign w:val="center"/>
          </w:tcPr>
          <w:p w14:paraId="43177D1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设备各处保护、装饰涂层均匀，不存在起皮、剥落或其它缺陷</w:t>
            </w:r>
            <w:r>
              <w:rPr>
                <w:rFonts w:hint="eastAsia" w:ascii="Arial" w:hAnsi="Arial" w:cs="Arial"/>
                <w:color w:val="auto"/>
                <w:sz w:val="24"/>
                <w:highlight w:val="none"/>
              </w:rPr>
              <w:t>。</w:t>
            </w:r>
          </w:p>
        </w:tc>
        <w:tc>
          <w:tcPr>
            <w:tcW w:w="719" w:type="dxa"/>
          </w:tcPr>
          <w:p w14:paraId="7343F9F7">
            <w:pPr>
              <w:rPr>
                <w:color w:val="auto"/>
                <w:highlight w:val="none"/>
              </w:rPr>
            </w:pPr>
            <w:r>
              <w:rPr>
                <w:rFonts w:hint="eastAsia" w:ascii="宋体" w:hAnsi="宋体" w:cs="Arial"/>
                <w:color w:val="auto"/>
                <w:sz w:val="24"/>
                <w:highlight w:val="none"/>
              </w:rPr>
              <w:t>必需</w:t>
            </w:r>
          </w:p>
        </w:tc>
        <w:tc>
          <w:tcPr>
            <w:tcW w:w="1162" w:type="dxa"/>
            <w:vAlign w:val="center"/>
          </w:tcPr>
          <w:p w14:paraId="70E7EAC4">
            <w:pPr>
              <w:spacing w:before="62" w:beforeLines="20" w:after="62" w:afterLines="20" w:line="276" w:lineRule="auto"/>
              <w:jc w:val="left"/>
              <w:rPr>
                <w:rFonts w:hint="eastAsia" w:ascii="宋体" w:hAnsi="宋体" w:cs="Arial"/>
                <w:color w:val="auto"/>
                <w:sz w:val="24"/>
                <w:highlight w:val="none"/>
              </w:rPr>
            </w:pPr>
          </w:p>
        </w:tc>
      </w:tr>
      <w:tr w14:paraId="63B2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28388242">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6</w:t>
            </w:r>
            <w:r>
              <w:rPr>
                <w:rFonts w:hint="eastAsia" w:ascii="宋体" w:hAnsi="宋体" w:cs="Arial"/>
                <w:color w:val="auto"/>
                <w:sz w:val="24"/>
                <w:highlight w:val="none"/>
              </w:rPr>
              <w:t>-04</w:t>
            </w:r>
          </w:p>
        </w:tc>
        <w:tc>
          <w:tcPr>
            <w:tcW w:w="5222" w:type="dxa"/>
            <w:vAlign w:val="center"/>
          </w:tcPr>
          <w:p w14:paraId="6E50705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机组外观应具有外观美观、耐气候变化、抗腐防锈、强度好、蒸发器保温性能佳</w:t>
            </w:r>
            <w:r>
              <w:rPr>
                <w:rFonts w:hint="eastAsia" w:ascii="Arial" w:hAnsi="Arial" w:cs="Arial"/>
                <w:color w:val="auto"/>
                <w:sz w:val="24"/>
                <w:highlight w:val="none"/>
              </w:rPr>
              <w:t>。</w:t>
            </w:r>
          </w:p>
        </w:tc>
        <w:tc>
          <w:tcPr>
            <w:tcW w:w="719" w:type="dxa"/>
          </w:tcPr>
          <w:p w14:paraId="7E0F11C1">
            <w:pPr>
              <w:rPr>
                <w:color w:val="auto"/>
                <w:highlight w:val="none"/>
              </w:rPr>
            </w:pPr>
            <w:r>
              <w:rPr>
                <w:rFonts w:hint="eastAsia" w:ascii="宋体" w:hAnsi="宋体" w:cs="Arial"/>
                <w:color w:val="auto"/>
                <w:sz w:val="24"/>
                <w:highlight w:val="none"/>
              </w:rPr>
              <w:t>必需</w:t>
            </w:r>
          </w:p>
        </w:tc>
        <w:tc>
          <w:tcPr>
            <w:tcW w:w="1162" w:type="dxa"/>
            <w:vAlign w:val="center"/>
          </w:tcPr>
          <w:p w14:paraId="414E81D7">
            <w:pPr>
              <w:spacing w:before="62" w:beforeLines="20" w:after="62" w:afterLines="20" w:line="276" w:lineRule="auto"/>
              <w:jc w:val="left"/>
              <w:rPr>
                <w:rFonts w:hint="eastAsia" w:ascii="宋体" w:hAnsi="宋体" w:cs="Arial"/>
                <w:color w:val="auto"/>
                <w:sz w:val="24"/>
                <w:highlight w:val="none"/>
              </w:rPr>
            </w:pPr>
          </w:p>
        </w:tc>
      </w:tr>
      <w:tr w14:paraId="5F56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55EF3284">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6</w:t>
            </w:r>
            <w:r>
              <w:rPr>
                <w:rFonts w:hint="eastAsia" w:ascii="宋体" w:hAnsi="宋体" w:cs="Arial"/>
                <w:color w:val="auto"/>
                <w:sz w:val="24"/>
                <w:highlight w:val="none"/>
              </w:rPr>
              <w:t>-05</w:t>
            </w:r>
          </w:p>
        </w:tc>
        <w:tc>
          <w:tcPr>
            <w:tcW w:w="5222" w:type="dxa"/>
            <w:vAlign w:val="center"/>
          </w:tcPr>
          <w:p w14:paraId="6346D02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设备底架采用</w:t>
            </w:r>
            <w:r>
              <w:rPr>
                <w:rFonts w:hint="eastAsia" w:ascii="Arial" w:hAnsi="Arial" w:cs="Arial"/>
                <w:color w:val="auto"/>
                <w:sz w:val="24"/>
                <w:highlight w:val="none"/>
              </w:rPr>
              <w:t>防锈处理的</w:t>
            </w:r>
            <w:r>
              <w:rPr>
                <w:rFonts w:ascii="Arial" w:hAnsi="Arial" w:cs="Arial"/>
                <w:color w:val="auto"/>
                <w:sz w:val="24"/>
                <w:highlight w:val="none"/>
              </w:rPr>
              <w:t>槽钢，框架采用镀锌槽钢型材</w:t>
            </w:r>
          </w:p>
        </w:tc>
        <w:tc>
          <w:tcPr>
            <w:tcW w:w="719" w:type="dxa"/>
          </w:tcPr>
          <w:p w14:paraId="15E44516">
            <w:pPr>
              <w:rPr>
                <w:color w:val="auto"/>
                <w:highlight w:val="none"/>
              </w:rPr>
            </w:pPr>
            <w:r>
              <w:rPr>
                <w:rFonts w:hint="eastAsia" w:ascii="宋体" w:hAnsi="宋体" w:cs="Arial"/>
                <w:color w:val="auto"/>
                <w:sz w:val="24"/>
                <w:highlight w:val="none"/>
              </w:rPr>
              <w:t>必需</w:t>
            </w:r>
          </w:p>
        </w:tc>
        <w:tc>
          <w:tcPr>
            <w:tcW w:w="1162" w:type="dxa"/>
            <w:vAlign w:val="center"/>
          </w:tcPr>
          <w:p w14:paraId="7B445979">
            <w:pPr>
              <w:spacing w:before="62" w:beforeLines="20" w:after="62" w:afterLines="20" w:line="276" w:lineRule="auto"/>
              <w:jc w:val="left"/>
              <w:rPr>
                <w:rFonts w:hint="eastAsia" w:ascii="宋体" w:hAnsi="宋体" w:cs="Arial"/>
                <w:color w:val="auto"/>
                <w:sz w:val="24"/>
                <w:highlight w:val="none"/>
              </w:rPr>
            </w:pPr>
          </w:p>
        </w:tc>
      </w:tr>
    </w:tbl>
    <w:p w14:paraId="3AEFBCE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w:t>
      </w:r>
      <w:r>
        <w:rPr>
          <w:rFonts w:ascii="Arial" w:hAnsi="Arial" w:cs="Arial"/>
          <w:color w:val="auto"/>
          <w:sz w:val="24"/>
          <w:highlight w:val="none"/>
        </w:rPr>
        <w:t>7设备技术要求</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5062"/>
        <w:gridCol w:w="679"/>
        <w:gridCol w:w="1122"/>
      </w:tblGrid>
      <w:tr w14:paraId="1A84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56" w:type="dxa"/>
            <w:tcBorders>
              <w:bottom w:val="single" w:color="auto" w:sz="4" w:space="0"/>
            </w:tcBorders>
            <w:shd w:val="pct20" w:color="auto" w:fill="FFFFFF"/>
            <w:vAlign w:val="center"/>
          </w:tcPr>
          <w:p w14:paraId="3087771A">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062" w:type="dxa"/>
            <w:tcBorders>
              <w:bottom w:val="single" w:color="auto" w:sz="4" w:space="0"/>
            </w:tcBorders>
            <w:shd w:val="pct20" w:color="auto" w:fill="FFFFFF"/>
            <w:vAlign w:val="center"/>
          </w:tcPr>
          <w:p w14:paraId="7F38F70A">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679" w:type="dxa"/>
            <w:tcBorders>
              <w:bottom w:val="single" w:color="auto" w:sz="4" w:space="0"/>
            </w:tcBorders>
            <w:shd w:val="pct20" w:color="auto" w:fill="FFFFFF"/>
            <w:vAlign w:val="center"/>
          </w:tcPr>
          <w:p w14:paraId="3B1694A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22" w:type="dxa"/>
            <w:tcBorders>
              <w:bottom w:val="single" w:color="auto" w:sz="4" w:space="0"/>
            </w:tcBorders>
            <w:shd w:val="pct20" w:color="auto" w:fill="FFFFFF"/>
          </w:tcPr>
          <w:p w14:paraId="0E9D61B1">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3960F48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00C2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Align w:val="center"/>
          </w:tcPr>
          <w:p w14:paraId="0FAB0E07">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▲URS10.</w:t>
            </w:r>
            <w:r>
              <w:rPr>
                <w:rFonts w:ascii="宋体" w:hAnsi="宋体" w:cs="Arial"/>
                <w:color w:val="auto"/>
                <w:sz w:val="24"/>
                <w:highlight w:val="none"/>
              </w:rPr>
              <w:t>7</w:t>
            </w:r>
            <w:r>
              <w:rPr>
                <w:rFonts w:hint="eastAsia" w:ascii="宋体" w:hAnsi="宋体" w:cs="Arial"/>
                <w:color w:val="auto"/>
                <w:sz w:val="24"/>
                <w:highlight w:val="none"/>
              </w:rPr>
              <w:t>-01</w:t>
            </w:r>
          </w:p>
        </w:tc>
        <w:tc>
          <w:tcPr>
            <w:tcW w:w="5062" w:type="dxa"/>
            <w:vAlign w:val="center"/>
          </w:tcPr>
          <w:p w14:paraId="597E206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制冷机组</w:t>
            </w:r>
            <w:r>
              <w:rPr>
                <w:rFonts w:hint="eastAsia" w:ascii="Arial" w:hAnsi="Arial" w:cs="Arial"/>
                <w:color w:val="auto"/>
                <w:sz w:val="24"/>
                <w:highlight w:val="none"/>
              </w:rPr>
              <w:t>采用变频螺杆式</w:t>
            </w:r>
            <w:r>
              <w:rPr>
                <w:rFonts w:ascii="Arial" w:hAnsi="Arial" w:cs="Arial"/>
                <w:color w:val="auto"/>
                <w:sz w:val="24"/>
                <w:highlight w:val="none"/>
              </w:rPr>
              <w:t>压缩机</w:t>
            </w:r>
            <w:r>
              <w:rPr>
                <w:rFonts w:hint="eastAsia" w:ascii="Arial" w:hAnsi="Arial" w:cs="Arial"/>
                <w:color w:val="auto"/>
                <w:sz w:val="24"/>
                <w:highlight w:val="none"/>
              </w:rPr>
              <w:t>，</w:t>
            </w:r>
            <w:r>
              <w:rPr>
                <w:rFonts w:ascii="Arial" w:hAnsi="Arial" w:cs="Arial"/>
                <w:color w:val="auto"/>
                <w:sz w:val="24"/>
                <w:highlight w:val="none"/>
              </w:rPr>
              <w:t>使用环保制冷剂</w:t>
            </w:r>
            <w:r>
              <w:rPr>
                <w:rFonts w:hint="eastAsia" w:ascii="Arial" w:hAnsi="Arial" w:cs="Arial"/>
                <w:color w:val="auto"/>
                <w:sz w:val="24"/>
                <w:highlight w:val="none"/>
              </w:rPr>
              <w:t>R134</w:t>
            </w:r>
            <w:r>
              <w:rPr>
                <w:rFonts w:ascii="Arial" w:hAnsi="Arial" w:cs="Arial"/>
                <w:color w:val="auto"/>
                <w:sz w:val="24"/>
                <w:highlight w:val="none"/>
              </w:rPr>
              <w:t>A</w:t>
            </w:r>
            <w:r>
              <w:rPr>
                <w:rFonts w:hint="eastAsia" w:ascii="Arial" w:hAnsi="Arial" w:cs="Arial"/>
                <w:color w:val="auto"/>
                <w:sz w:val="24"/>
                <w:highlight w:val="none"/>
              </w:rPr>
              <w:t>，变频自动</w:t>
            </w:r>
            <w:r>
              <w:rPr>
                <w:rFonts w:ascii="Arial" w:hAnsi="Arial" w:cs="Arial"/>
                <w:color w:val="auto"/>
                <w:sz w:val="24"/>
                <w:highlight w:val="none"/>
              </w:rPr>
              <w:t>调</w:t>
            </w:r>
            <w:r>
              <w:rPr>
                <w:rFonts w:hint="eastAsia" w:ascii="Arial" w:hAnsi="Arial" w:cs="Arial"/>
                <w:color w:val="auto"/>
                <w:sz w:val="24"/>
                <w:highlight w:val="none"/>
              </w:rPr>
              <w:t>速，</w:t>
            </w:r>
            <w:r>
              <w:rPr>
                <w:rFonts w:ascii="Arial" w:hAnsi="Arial" w:cs="Arial"/>
                <w:color w:val="auto"/>
                <w:sz w:val="24"/>
                <w:highlight w:val="none"/>
              </w:rPr>
              <w:t>采用</w:t>
            </w:r>
            <w:r>
              <w:rPr>
                <w:rFonts w:hint="eastAsia" w:ascii="Arial" w:hAnsi="Arial" w:cs="Arial"/>
                <w:color w:val="auto"/>
                <w:sz w:val="24"/>
                <w:highlight w:val="none"/>
              </w:rPr>
              <w:t>的</w:t>
            </w:r>
            <w:r>
              <w:rPr>
                <w:rFonts w:ascii="Arial" w:hAnsi="Arial" w:cs="Arial"/>
                <w:color w:val="auto"/>
                <w:sz w:val="24"/>
                <w:highlight w:val="none"/>
              </w:rPr>
              <w:t>控制</w:t>
            </w:r>
            <w:r>
              <w:rPr>
                <w:rFonts w:hint="eastAsia" w:ascii="Arial" w:hAnsi="Arial" w:cs="Arial"/>
                <w:color w:val="auto"/>
                <w:sz w:val="24"/>
                <w:highlight w:val="none"/>
              </w:rPr>
              <w:t>元件</w:t>
            </w:r>
            <w:r>
              <w:rPr>
                <w:rFonts w:ascii="Arial" w:hAnsi="Arial" w:cs="Arial"/>
                <w:color w:val="auto"/>
                <w:sz w:val="24"/>
                <w:highlight w:val="none"/>
              </w:rPr>
              <w:t>控制面板为全中文式界面</w:t>
            </w:r>
            <w:r>
              <w:rPr>
                <w:rFonts w:hint="eastAsia" w:ascii="Arial" w:hAnsi="Arial" w:cs="Arial"/>
                <w:color w:val="auto"/>
                <w:sz w:val="24"/>
                <w:highlight w:val="none"/>
              </w:rPr>
              <w:t>，</w:t>
            </w:r>
            <w:r>
              <w:rPr>
                <w:rFonts w:ascii="Arial" w:hAnsi="Arial" w:cs="Arial"/>
                <w:color w:val="auto"/>
                <w:sz w:val="24"/>
                <w:highlight w:val="none"/>
              </w:rPr>
              <w:t>应</w:t>
            </w:r>
            <w:r>
              <w:rPr>
                <w:rFonts w:hint="eastAsia" w:ascii="Arial" w:hAnsi="Arial" w:cs="Arial"/>
                <w:color w:val="auto"/>
                <w:sz w:val="24"/>
                <w:highlight w:val="none"/>
              </w:rPr>
              <w:t>配置通讯卡，</w:t>
            </w:r>
            <w:r>
              <w:rPr>
                <w:rFonts w:hint="eastAsia" w:ascii="Arial" w:hAnsi="Arial" w:cs="Arial"/>
                <w:b/>
                <w:bCs/>
                <w:color w:val="auto"/>
                <w:sz w:val="24"/>
                <w:highlight w:val="none"/>
              </w:rPr>
              <w:t>具有</w:t>
            </w:r>
            <w:r>
              <w:rPr>
                <w:rFonts w:ascii="Arial" w:hAnsi="Arial" w:cs="Arial"/>
                <w:b/>
                <w:bCs/>
                <w:color w:val="auto"/>
                <w:sz w:val="24"/>
                <w:highlight w:val="none"/>
              </w:rPr>
              <w:t>远程控制功能</w:t>
            </w:r>
            <w:r>
              <w:rPr>
                <w:rFonts w:hint="eastAsia" w:ascii="Arial" w:hAnsi="Arial" w:cs="Arial"/>
                <w:b/>
                <w:bCs/>
                <w:color w:val="auto"/>
                <w:sz w:val="24"/>
                <w:highlight w:val="none"/>
              </w:rPr>
              <w:t>。</w:t>
            </w:r>
          </w:p>
        </w:tc>
        <w:tc>
          <w:tcPr>
            <w:tcW w:w="679" w:type="dxa"/>
          </w:tcPr>
          <w:p w14:paraId="36E10D6F">
            <w:pPr>
              <w:rPr>
                <w:color w:val="auto"/>
                <w:highlight w:val="none"/>
              </w:rPr>
            </w:pPr>
            <w:r>
              <w:rPr>
                <w:rFonts w:hint="eastAsia" w:ascii="宋体" w:hAnsi="宋体" w:cs="Arial"/>
                <w:color w:val="auto"/>
                <w:sz w:val="24"/>
                <w:highlight w:val="none"/>
              </w:rPr>
              <w:t>必需</w:t>
            </w:r>
          </w:p>
        </w:tc>
        <w:tc>
          <w:tcPr>
            <w:tcW w:w="1122" w:type="dxa"/>
            <w:vAlign w:val="center"/>
          </w:tcPr>
          <w:p w14:paraId="2CE348DF">
            <w:pPr>
              <w:spacing w:before="62" w:beforeLines="20" w:after="62" w:afterLines="20" w:line="276" w:lineRule="auto"/>
              <w:jc w:val="left"/>
              <w:rPr>
                <w:rFonts w:hint="eastAsia" w:ascii="宋体" w:hAnsi="宋体" w:cs="Arial"/>
                <w:color w:val="auto"/>
                <w:sz w:val="24"/>
                <w:highlight w:val="none"/>
              </w:rPr>
            </w:pPr>
          </w:p>
        </w:tc>
      </w:tr>
      <w:tr w14:paraId="7ED0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4333880B">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7</w:t>
            </w:r>
            <w:r>
              <w:rPr>
                <w:rFonts w:hint="eastAsia" w:ascii="宋体" w:hAnsi="宋体" w:cs="Arial"/>
                <w:color w:val="auto"/>
                <w:sz w:val="24"/>
                <w:highlight w:val="none"/>
              </w:rPr>
              <w:t>-02</w:t>
            </w:r>
          </w:p>
        </w:tc>
        <w:tc>
          <w:tcPr>
            <w:tcW w:w="5062" w:type="dxa"/>
            <w:vAlign w:val="center"/>
          </w:tcPr>
          <w:p w14:paraId="57C7CC2A">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配有单独的</w:t>
            </w:r>
            <w:r>
              <w:rPr>
                <w:rFonts w:hint="eastAsia" w:ascii="Arial" w:hAnsi="Arial" w:cs="Arial"/>
                <w:color w:val="auto"/>
                <w:sz w:val="24"/>
                <w:highlight w:val="none"/>
              </w:rPr>
              <w:t>启动</w:t>
            </w:r>
            <w:r>
              <w:rPr>
                <w:rFonts w:ascii="Arial" w:hAnsi="Arial" w:cs="Arial"/>
                <w:color w:val="auto"/>
                <w:sz w:val="24"/>
                <w:highlight w:val="none"/>
              </w:rPr>
              <w:t>柜和</w:t>
            </w:r>
            <w:r>
              <w:rPr>
                <w:rFonts w:hint="eastAsia" w:ascii="Arial" w:hAnsi="Arial" w:cs="Arial"/>
                <w:color w:val="auto"/>
                <w:sz w:val="24"/>
                <w:highlight w:val="none"/>
              </w:rPr>
              <w:t>变频</w:t>
            </w:r>
            <w:r>
              <w:rPr>
                <w:rFonts w:ascii="Arial" w:hAnsi="Arial" w:cs="Arial"/>
                <w:color w:val="auto"/>
                <w:sz w:val="24"/>
                <w:highlight w:val="none"/>
              </w:rPr>
              <w:t>控制柜，必须有紧急停机装置</w:t>
            </w:r>
          </w:p>
        </w:tc>
        <w:tc>
          <w:tcPr>
            <w:tcW w:w="679" w:type="dxa"/>
          </w:tcPr>
          <w:p w14:paraId="44DE5930">
            <w:pPr>
              <w:rPr>
                <w:color w:val="auto"/>
                <w:highlight w:val="none"/>
              </w:rPr>
            </w:pPr>
            <w:r>
              <w:rPr>
                <w:rFonts w:hint="eastAsia" w:ascii="宋体" w:hAnsi="宋体" w:cs="Arial"/>
                <w:color w:val="auto"/>
                <w:sz w:val="24"/>
                <w:highlight w:val="none"/>
              </w:rPr>
              <w:t>必需</w:t>
            </w:r>
          </w:p>
        </w:tc>
        <w:tc>
          <w:tcPr>
            <w:tcW w:w="1122" w:type="dxa"/>
            <w:vAlign w:val="center"/>
          </w:tcPr>
          <w:p w14:paraId="77C93D24">
            <w:pPr>
              <w:spacing w:before="62" w:beforeLines="20" w:after="62" w:afterLines="20" w:line="276" w:lineRule="auto"/>
              <w:jc w:val="left"/>
              <w:rPr>
                <w:rFonts w:hint="eastAsia" w:ascii="宋体" w:hAnsi="宋体" w:cs="Arial"/>
                <w:color w:val="auto"/>
                <w:sz w:val="24"/>
                <w:highlight w:val="none"/>
              </w:rPr>
            </w:pPr>
          </w:p>
        </w:tc>
      </w:tr>
      <w:tr w14:paraId="4E22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60CA4C79">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7</w:t>
            </w:r>
            <w:r>
              <w:rPr>
                <w:rFonts w:hint="eastAsia" w:ascii="宋体" w:hAnsi="宋体" w:cs="Arial"/>
                <w:color w:val="auto"/>
                <w:sz w:val="24"/>
                <w:highlight w:val="none"/>
              </w:rPr>
              <w:t>-03</w:t>
            </w:r>
          </w:p>
        </w:tc>
        <w:tc>
          <w:tcPr>
            <w:tcW w:w="5062" w:type="dxa"/>
            <w:vAlign w:val="center"/>
          </w:tcPr>
          <w:p w14:paraId="4C0EF8AD">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机组结构合理紧凑，两段连接，不得现场组装</w:t>
            </w:r>
          </w:p>
        </w:tc>
        <w:tc>
          <w:tcPr>
            <w:tcW w:w="679" w:type="dxa"/>
          </w:tcPr>
          <w:p w14:paraId="2400481E">
            <w:pPr>
              <w:rPr>
                <w:color w:val="auto"/>
                <w:highlight w:val="none"/>
              </w:rPr>
            </w:pPr>
            <w:r>
              <w:rPr>
                <w:rFonts w:hint="eastAsia" w:ascii="宋体" w:hAnsi="宋体" w:cs="Arial"/>
                <w:color w:val="auto"/>
                <w:sz w:val="24"/>
                <w:highlight w:val="none"/>
              </w:rPr>
              <w:t>必需</w:t>
            </w:r>
          </w:p>
        </w:tc>
        <w:tc>
          <w:tcPr>
            <w:tcW w:w="1122" w:type="dxa"/>
            <w:vAlign w:val="center"/>
          </w:tcPr>
          <w:p w14:paraId="7DE9EF1F">
            <w:pPr>
              <w:spacing w:before="62" w:beforeLines="20" w:after="62" w:afterLines="20" w:line="276" w:lineRule="auto"/>
              <w:jc w:val="left"/>
              <w:rPr>
                <w:rFonts w:hint="eastAsia" w:ascii="宋体" w:hAnsi="宋体" w:cs="Arial"/>
                <w:color w:val="auto"/>
                <w:sz w:val="24"/>
                <w:highlight w:val="none"/>
              </w:rPr>
            </w:pPr>
          </w:p>
        </w:tc>
      </w:tr>
      <w:tr w14:paraId="4D41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41DA5191">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7</w:t>
            </w:r>
            <w:r>
              <w:rPr>
                <w:rFonts w:hint="eastAsia" w:ascii="宋体" w:hAnsi="宋体" w:cs="Arial"/>
                <w:color w:val="auto"/>
                <w:sz w:val="24"/>
                <w:highlight w:val="none"/>
              </w:rPr>
              <w:t>-04</w:t>
            </w:r>
          </w:p>
        </w:tc>
        <w:tc>
          <w:tcPr>
            <w:tcW w:w="5062" w:type="dxa"/>
            <w:vAlign w:val="center"/>
          </w:tcPr>
          <w:p w14:paraId="7F623D3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要求机组出厂前必须加注好润滑油</w:t>
            </w:r>
            <w:r>
              <w:rPr>
                <w:rFonts w:hint="eastAsia" w:ascii="Arial" w:hAnsi="Arial" w:cs="Arial"/>
                <w:color w:val="auto"/>
                <w:sz w:val="24"/>
                <w:highlight w:val="none"/>
              </w:rPr>
              <w:t>（冷冻油）</w:t>
            </w:r>
            <w:r>
              <w:rPr>
                <w:rFonts w:ascii="Arial" w:hAnsi="Arial" w:cs="Arial"/>
                <w:color w:val="auto"/>
                <w:sz w:val="24"/>
                <w:highlight w:val="none"/>
              </w:rPr>
              <w:t>和冷媒</w:t>
            </w:r>
            <w:r>
              <w:rPr>
                <w:rFonts w:hint="eastAsia" w:ascii="Arial" w:hAnsi="Arial" w:cs="Arial"/>
                <w:color w:val="auto"/>
                <w:sz w:val="24"/>
                <w:highlight w:val="none"/>
              </w:rPr>
              <w:t>。</w:t>
            </w:r>
            <w:r>
              <w:rPr>
                <w:rFonts w:ascii="Arial" w:hAnsi="Arial" w:cs="Arial"/>
                <w:color w:val="auto"/>
                <w:sz w:val="24"/>
                <w:highlight w:val="none"/>
              </w:rPr>
              <w:t xml:space="preserve"> </w:t>
            </w:r>
          </w:p>
        </w:tc>
        <w:tc>
          <w:tcPr>
            <w:tcW w:w="679" w:type="dxa"/>
          </w:tcPr>
          <w:p w14:paraId="46FB8A94">
            <w:pPr>
              <w:rPr>
                <w:color w:val="auto"/>
                <w:highlight w:val="none"/>
              </w:rPr>
            </w:pPr>
            <w:r>
              <w:rPr>
                <w:rFonts w:hint="eastAsia" w:ascii="宋体" w:hAnsi="宋体" w:cs="Arial"/>
                <w:color w:val="auto"/>
                <w:sz w:val="24"/>
                <w:highlight w:val="none"/>
              </w:rPr>
              <w:t>必需</w:t>
            </w:r>
          </w:p>
        </w:tc>
        <w:tc>
          <w:tcPr>
            <w:tcW w:w="1122" w:type="dxa"/>
            <w:vAlign w:val="center"/>
          </w:tcPr>
          <w:p w14:paraId="5F79624D">
            <w:pPr>
              <w:spacing w:before="62" w:beforeLines="20" w:after="62" w:afterLines="20" w:line="276" w:lineRule="auto"/>
              <w:jc w:val="left"/>
              <w:rPr>
                <w:rFonts w:hint="eastAsia" w:ascii="宋体" w:hAnsi="宋体" w:cs="Arial"/>
                <w:color w:val="auto"/>
                <w:sz w:val="24"/>
                <w:highlight w:val="none"/>
              </w:rPr>
            </w:pPr>
          </w:p>
        </w:tc>
      </w:tr>
      <w:tr w14:paraId="69D4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07748725">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7</w:t>
            </w:r>
            <w:r>
              <w:rPr>
                <w:rFonts w:hint="eastAsia" w:ascii="宋体" w:hAnsi="宋体" w:cs="Arial"/>
                <w:color w:val="auto"/>
                <w:sz w:val="24"/>
                <w:highlight w:val="none"/>
              </w:rPr>
              <w:t>-05</w:t>
            </w:r>
          </w:p>
        </w:tc>
        <w:tc>
          <w:tcPr>
            <w:tcW w:w="5062" w:type="dxa"/>
            <w:vAlign w:val="center"/>
          </w:tcPr>
          <w:p w14:paraId="71303CB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制冷量</w:t>
            </w:r>
            <w:r>
              <w:rPr>
                <w:rFonts w:hint="eastAsia" w:ascii="Arial" w:hAnsi="Arial" w:cs="Arial"/>
                <w:color w:val="auto"/>
                <w:sz w:val="24"/>
                <w:highlight w:val="none"/>
              </w:rPr>
              <w:t>、功率不可负偏差</w:t>
            </w:r>
          </w:p>
        </w:tc>
        <w:tc>
          <w:tcPr>
            <w:tcW w:w="679" w:type="dxa"/>
          </w:tcPr>
          <w:p w14:paraId="02DF217B">
            <w:pPr>
              <w:rPr>
                <w:color w:val="auto"/>
                <w:highlight w:val="none"/>
              </w:rPr>
            </w:pPr>
            <w:r>
              <w:rPr>
                <w:rFonts w:hint="eastAsia" w:ascii="宋体" w:hAnsi="宋体" w:cs="Arial"/>
                <w:color w:val="auto"/>
                <w:sz w:val="24"/>
                <w:highlight w:val="none"/>
              </w:rPr>
              <w:t>必需</w:t>
            </w:r>
          </w:p>
        </w:tc>
        <w:tc>
          <w:tcPr>
            <w:tcW w:w="1122" w:type="dxa"/>
            <w:vAlign w:val="center"/>
          </w:tcPr>
          <w:p w14:paraId="39876720">
            <w:pPr>
              <w:spacing w:before="62" w:beforeLines="20" w:after="62" w:afterLines="20" w:line="276" w:lineRule="auto"/>
              <w:jc w:val="left"/>
              <w:rPr>
                <w:rFonts w:hint="eastAsia" w:ascii="宋体" w:hAnsi="宋体" w:cs="Arial"/>
                <w:color w:val="auto"/>
                <w:sz w:val="24"/>
                <w:highlight w:val="none"/>
              </w:rPr>
            </w:pPr>
          </w:p>
        </w:tc>
      </w:tr>
    </w:tbl>
    <w:p w14:paraId="165E42A0">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w:t>
      </w:r>
      <w:r>
        <w:rPr>
          <w:rFonts w:ascii="Arial" w:hAnsi="Arial" w:cs="Arial"/>
          <w:color w:val="auto"/>
          <w:sz w:val="24"/>
          <w:highlight w:val="none"/>
        </w:rPr>
        <w:t>8自动控制</w:t>
      </w:r>
      <w:r>
        <w:rPr>
          <w:rFonts w:hint="eastAsia" w:ascii="Arial" w:hAnsi="Arial" w:cs="Arial"/>
          <w:color w:val="auto"/>
          <w:sz w:val="24"/>
          <w:highlight w:val="none"/>
        </w:rPr>
        <w:t>与安全控制</w:t>
      </w:r>
      <w:r>
        <w:rPr>
          <w:rFonts w:ascii="Arial" w:hAnsi="Arial" w:cs="Arial"/>
          <w:color w:val="auto"/>
          <w:sz w:val="24"/>
          <w:highlight w:val="none"/>
        </w:rPr>
        <w:t>部分要求</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5022"/>
        <w:gridCol w:w="639"/>
        <w:gridCol w:w="1082"/>
      </w:tblGrid>
      <w:tr w14:paraId="3EFE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776" w:type="dxa"/>
            <w:tcBorders>
              <w:bottom w:val="single" w:color="auto" w:sz="4" w:space="0"/>
            </w:tcBorders>
            <w:shd w:val="pct20" w:color="auto" w:fill="FFFFFF"/>
            <w:vAlign w:val="center"/>
          </w:tcPr>
          <w:p w14:paraId="6E284F36">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022" w:type="dxa"/>
            <w:tcBorders>
              <w:bottom w:val="single" w:color="auto" w:sz="4" w:space="0"/>
            </w:tcBorders>
            <w:shd w:val="pct20" w:color="auto" w:fill="FFFFFF"/>
            <w:vAlign w:val="center"/>
          </w:tcPr>
          <w:p w14:paraId="0180B769">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639" w:type="dxa"/>
            <w:tcBorders>
              <w:bottom w:val="single" w:color="auto" w:sz="4" w:space="0"/>
            </w:tcBorders>
            <w:shd w:val="pct20" w:color="auto" w:fill="FFFFFF"/>
            <w:vAlign w:val="center"/>
          </w:tcPr>
          <w:p w14:paraId="4CD1B68A">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082" w:type="dxa"/>
            <w:tcBorders>
              <w:bottom w:val="single" w:color="auto" w:sz="4" w:space="0"/>
            </w:tcBorders>
            <w:shd w:val="pct20" w:color="auto" w:fill="FFFFFF"/>
          </w:tcPr>
          <w:p w14:paraId="5C99F576">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77C1E5D7">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7A8D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vAlign w:val="center"/>
          </w:tcPr>
          <w:p w14:paraId="1F00C49F">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-01</w:t>
            </w:r>
          </w:p>
        </w:tc>
        <w:tc>
          <w:tcPr>
            <w:tcW w:w="5022" w:type="dxa"/>
            <w:vAlign w:val="center"/>
          </w:tcPr>
          <w:p w14:paraId="71EF8DD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机组控制系统应具备自诊断的功能并提供相关信息</w:t>
            </w:r>
            <w:r>
              <w:rPr>
                <w:rFonts w:hint="eastAsia" w:ascii="Arial" w:hAnsi="Arial" w:cs="Arial"/>
                <w:color w:val="auto"/>
                <w:sz w:val="24"/>
                <w:highlight w:val="none"/>
              </w:rPr>
              <w:t>;</w:t>
            </w:r>
            <w:r>
              <w:rPr>
                <w:rFonts w:ascii="Arial" w:hAnsi="Arial" w:cs="Arial"/>
                <w:color w:val="auto"/>
                <w:sz w:val="24"/>
                <w:highlight w:val="none"/>
              </w:rPr>
              <w:t xml:space="preserve"> 具有当前、历史故障信息存储功能，并保证断电不丢失</w:t>
            </w:r>
            <w:r>
              <w:rPr>
                <w:rFonts w:hint="eastAsia" w:ascii="Arial" w:hAnsi="Arial" w:cs="Arial"/>
                <w:color w:val="auto"/>
                <w:sz w:val="24"/>
                <w:highlight w:val="none"/>
              </w:rPr>
              <w:t>。</w:t>
            </w:r>
          </w:p>
        </w:tc>
        <w:tc>
          <w:tcPr>
            <w:tcW w:w="639" w:type="dxa"/>
          </w:tcPr>
          <w:p w14:paraId="5E3E0F1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必需</w:t>
            </w:r>
          </w:p>
        </w:tc>
        <w:tc>
          <w:tcPr>
            <w:tcW w:w="1082" w:type="dxa"/>
            <w:vAlign w:val="center"/>
          </w:tcPr>
          <w:p w14:paraId="7CC96DF1">
            <w:pPr>
              <w:spacing w:before="62" w:beforeLines="20" w:after="62" w:afterLines="20" w:line="276" w:lineRule="auto"/>
              <w:jc w:val="left"/>
              <w:rPr>
                <w:rFonts w:hint="eastAsia" w:ascii="宋体" w:hAnsi="宋体" w:cs="Arial"/>
                <w:color w:val="auto"/>
                <w:sz w:val="24"/>
                <w:highlight w:val="none"/>
              </w:rPr>
            </w:pPr>
          </w:p>
        </w:tc>
      </w:tr>
      <w:tr w14:paraId="7917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6B0F4385">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-02</w:t>
            </w:r>
          </w:p>
        </w:tc>
        <w:tc>
          <w:tcPr>
            <w:tcW w:w="5022" w:type="dxa"/>
            <w:vAlign w:val="center"/>
          </w:tcPr>
          <w:p w14:paraId="07B6FBA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控制方式要求：控制面板为全中文式界面、有故障报警显示和保护功能</w:t>
            </w:r>
            <w:r>
              <w:rPr>
                <w:rFonts w:hint="eastAsia" w:ascii="Arial" w:hAnsi="Arial" w:cs="Arial"/>
                <w:color w:val="auto"/>
                <w:sz w:val="24"/>
                <w:highlight w:val="none"/>
              </w:rPr>
              <w:t>。</w:t>
            </w:r>
          </w:p>
        </w:tc>
        <w:tc>
          <w:tcPr>
            <w:tcW w:w="639" w:type="dxa"/>
          </w:tcPr>
          <w:p w14:paraId="0B10FC1C">
            <w:pPr>
              <w:rPr>
                <w:color w:val="auto"/>
                <w:highlight w:val="none"/>
              </w:rPr>
            </w:pPr>
            <w:r>
              <w:rPr>
                <w:rFonts w:hint="eastAsia" w:ascii="Arial" w:hAnsi="Arial" w:cs="Arial"/>
                <w:color w:val="auto"/>
                <w:sz w:val="24"/>
                <w:highlight w:val="none"/>
              </w:rPr>
              <w:t>必需</w:t>
            </w:r>
          </w:p>
        </w:tc>
        <w:tc>
          <w:tcPr>
            <w:tcW w:w="1082" w:type="dxa"/>
            <w:vAlign w:val="center"/>
          </w:tcPr>
          <w:p w14:paraId="180572FA">
            <w:pPr>
              <w:spacing w:before="62" w:beforeLines="20" w:after="62" w:afterLines="20" w:line="276" w:lineRule="auto"/>
              <w:jc w:val="left"/>
              <w:rPr>
                <w:rFonts w:hint="eastAsia" w:ascii="宋体" w:hAnsi="宋体" w:cs="Arial"/>
                <w:color w:val="auto"/>
                <w:sz w:val="24"/>
                <w:highlight w:val="none"/>
              </w:rPr>
            </w:pPr>
          </w:p>
        </w:tc>
      </w:tr>
      <w:tr w14:paraId="053B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3D1BAAF3">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-03</w:t>
            </w:r>
          </w:p>
        </w:tc>
        <w:tc>
          <w:tcPr>
            <w:tcW w:w="5022" w:type="dxa"/>
            <w:vAlign w:val="center"/>
          </w:tcPr>
          <w:p w14:paraId="6BF78E1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要有高、低压保护装置</w:t>
            </w:r>
            <w:r>
              <w:rPr>
                <w:rFonts w:hint="eastAsia" w:ascii="Arial" w:hAnsi="Arial" w:cs="Arial"/>
                <w:color w:val="auto"/>
                <w:sz w:val="24"/>
                <w:highlight w:val="none"/>
              </w:rPr>
              <w:t>;</w:t>
            </w:r>
            <w:r>
              <w:rPr>
                <w:rFonts w:ascii="Arial" w:hAnsi="Arial" w:cs="Arial"/>
                <w:color w:val="auto"/>
                <w:sz w:val="24"/>
                <w:highlight w:val="none"/>
              </w:rPr>
              <w:t xml:space="preserve"> 有蒸发器防冻保护装置</w:t>
            </w:r>
            <w:r>
              <w:rPr>
                <w:rFonts w:hint="eastAsia" w:ascii="Arial" w:hAnsi="Arial" w:cs="Arial"/>
                <w:color w:val="auto"/>
                <w:sz w:val="24"/>
                <w:highlight w:val="none"/>
              </w:rPr>
              <w:t>;</w:t>
            </w:r>
            <w:r>
              <w:rPr>
                <w:rFonts w:ascii="Arial" w:hAnsi="Arial" w:cs="Arial"/>
                <w:color w:val="auto"/>
                <w:sz w:val="24"/>
                <w:highlight w:val="none"/>
              </w:rPr>
              <w:t xml:space="preserve"> 有压缩机过载、断水、排汽温度过高保护装置</w:t>
            </w:r>
            <w:r>
              <w:rPr>
                <w:rFonts w:hint="eastAsia" w:ascii="Arial" w:hAnsi="Arial" w:cs="Arial"/>
                <w:color w:val="auto"/>
                <w:sz w:val="24"/>
                <w:highlight w:val="none"/>
              </w:rPr>
              <w:t>;</w:t>
            </w:r>
            <w:r>
              <w:rPr>
                <w:rFonts w:ascii="Arial" w:hAnsi="Arial" w:cs="Arial"/>
                <w:color w:val="auto"/>
                <w:sz w:val="24"/>
                <w:highlight w:val="none"/>
              </w:rPr>
              <w:t xml:space="preserve"> 故障和报警有明显的报警指示（如声光指示）</w:t>
            </w:r>
            <w:r>
              <w:rPr>
                <w:rFonts w:hint="eastAsia" w:ascii="Arial" w:hAnsi="Arial" w:cs="Arial"/>
                <w:color w:val="auto"/>
                <w:sz w:val="24"/>
                <w:highlight w:val="none"/>
              </w:rPr>
              <w:t>。</w:t>
            </w:r>
          </w:p>
        </w:tc>
        <w:tc>
          <w:tcPr>
            <w:tcW w:w="639" w:type="dxa"/>
          </w:tcPr>
          <w:p w14:paraId="43958E35">
            <w:pPr>
              <w:rPr>
                <w:color w:val="auto"/>
                <w:highlight w:val="none"/>
              </w:rPr>
            </w:pPr>
            <w:r>
              <w:rPr>
                <w:rFonts w:hint="eastAsia" w:ascii="Arial" w:hAnsi="Arial" w:cs="Arial"/>
                <w:color w:val="auto"/>
                <w:sz w:val="24"/>
                <w:highlight w:val="none"/>
              </w:rPr>
              <w:t>必需</w:t>
            </w:r>
          </w:p>
        </w:tc>
        <w:tc>
          <w:tcPr>
            <w:tcW w:w="1082" w:type="dxa"/>
            <w:vAlign w:val="center"/>
          </w:tcPr>
          <w:p w14:paraId="2E73ACBF">
            <w:pPr>
              <w:spacing w:before="62" w:beforeLines="20" w:after="62" w:afterLines="20" w:line="276" w:lineRule="auto"/>
              <w:jc w:val="left"/>
              <w:rPr>
                <w:rFonts w:hint="eastAsia" w:ascii="宋体" w:hAnsi="宋体" w:cs="Arial"/>
                <w:color w:val="auto"/>
                <w:sz w:val="24"/>
                <w:highlight w:val="none"/>
              </w:rPr>
            </w:pPr>
          </w:p>
        </w:tc>
      </w:tr>
      <w:tr w14:paraId="2884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76" w:type="dxa"/>
          </w:tcPr>
          <w:p w14:paraId="0C449FF0">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-04</w:t>
            </w:r>
          </w:p>
        </w:tc>
        <w:tc>
          <w:tcPr>
            <w:tcW w:w="5022" w:type="dxa"/>
            <w:vAlign w:val="center"/>
          </w:tcPr>
          <w:p w14:paraId="6AECEE1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供应商应提供执行所有控制、调整、排序、互锁、报警和设备相关功能的调试记录</w:t>
            </w:r>
            <w:r>
              <w:rPr>
                <w:rFonts w:hint="eastAsia" w:ascii="Arial" w:hAnsi="Arial" w:cs="Arial"/>
                <w:color w:val="auto"/>
                <w:sz w:val="24"/>
                <w:highlight w:val="none"/>
              </w:rPr>
              <w:t>。</w:t>
            </w:r>
          </w:p>
        </w:tc>
        <w:tc>
          <w:tcPr>
            <w:tcW w:w="639" w:type="dxa"/>
          </w:tcPr>
          <w:p w14:paraId="17886588">
            <w:pPr>
              <w:rPr>
                <w:color w:val="auto"/>
                <w:highlight w:val="none"/>
              </w:rPr>
            </w:pPr>
            <w:r>
              <w:rPr>
                <w:rFonts w:hint="eastAsia" w:ascii="Arial" w:hAnsi="Arial" w:cs="Arial"/>
                <w:color w:val="auto"/>
                <w:sz w:val="24"/>
                <w:highlight w:val="none"/>
              </w:rPr>
              <w:t>必需</w:t>
            </w:r>
          </w:p>
        </w:tc>
        <w:tc>
          <w:tcPr>
            <w:tcW w:w="1082" w:type="dxa"/>
            <w:vAlign w:val="center"/>
          </w:tcPr>
          <w:p w14:paraId="2C70A0E0">
            <w:pPr>
              <w:spacing w:before="62" w:beforeLines="20" w:after="62" w:afterLines="20" w:line="276" w:lineRule="auto"/>
              <w:jc w:val="left"/>
              <w:rPr>
                <w:rFonts w:hint="eastAsia" w:ascii="宋体" w:hAnsi="宋体" w:cs="Arial"/>
                <w:color w:val="auto"/>
                <w:sz w:val="24"/>
                <w:highlight w:val="none"/>
              </w:rPr>
            </w:pPr>
          </w:p>
        </w:tc>
      </w:tr>
      <w:tr w14:paraId="07F5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4A5F66F5">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-05</w:t>
            </w:r>
          </w:p>
        </w:tc>
        <w:tc>
          <w:tcPr>
            <w:tcW w:w="5022" w:type="dxa"/>
            <w:vAlign w:val="center"/>
          </w:tcPr>
          <w:p w14:paraId="59DE8D8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控制系统应直接互锁，或经公用工程供应间间接互锁，以便防止在公用工程供应不足时开启设备</w:t>
            </w:r>
            <w:r>
              <w:rPr>
                <w:rFonts w:hint="eastAsia" w:ascii="Arial" w:hAnsi="Arial" w:cs="Arial"/>
                <w:color w:val="auto"/>
                <w:sz w:val="24"/>
                <w:highlight w:val="none"/>
              </w:rPr>
              <w:t>。</w:t>
            </w:r>
          </w:p>
        </w:tc>
        <w:tc>
          <w:tcPr>
            <w:tcW w:w="639" w:type="dxa"/>
          </w:tcPr>
          <w:p w14:paraId="5BA23B5E">
            <w:pPr>
              <w:rPr>
                <w:color w:val="auto"/>
                <w:highlight w:val="none"/>
              </w:rPr>
            </w:pPr>
            <w:r>
              <w:rPr>
                <w:rFonts w:hint="eastAsia" w:ascii="Arial" w:hAnsi="Arial" w:cs="Arial"/>
                <w:color w:val="auto"/>
                <w:sz w:val="24"/>
                <w:highlight w:val="none"/>
              </w:rPr>
              <w:t>必需</w:t>
            </w:r>
          </w:p>
        </w:tc>
        <w:tc>
          <w:tcPr>
            <w:tcW w:w="1082" w:type="dxa"/>
            <w:vAlign w:val="center"/>
          </w:tcPr>
          <w:p w14:paraId="4D127E88">
            <w:pPr>
              <w:spacing w:before="62" w:beforeLines="20" w:after="62" w:afterLines="20" w:line="276" w:lineRule="auto"/>
              <w:jc w:val="left"/>
              <w:rPr>
                <w:rFonts w:hint="eastAsia" w:ascii="宋体" w:hAnsi="宋体" w:cs="Arial"/>
                <w:color w:val="auto"/>
                <w:sz w:val="24"/>
                <w:highlight w:val="none"/>
              </w:rPr>
            </w:pPr>
          </w:p>
        </w:tc>
      </w:tr>
      <w:tr w14:paraId="70E5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20E5E424">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-061</w:t>
            </w:r>
          </w:p>
        </w:tc>
        <w:tc>
          <w:tcPr>
            <w:tcW w:w="5022" w:type="dxa"/>
            <w:vAlign w:val="center"/>
          </w:tcPr>
          <w:p w14:paraId="6E586967">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参数显示：</w:t>
            </w:r>
          </w:p>
          <w:p w14:paraId="7704671E">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1.冷冻水进/出口温度数字显示</w:t>
            </w:r>
          </w:p>
          <w:p w14:paraId="3AD381A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2.压缩机的运转负荷</w:t>
            </w:r>
          </w:p>
          <w:p w14:paraId="26A2A965">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3.异常信号</w:t>
            </w:r>
          </w:p>
          <w:p w14:paraId="35D7B443">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7.设定值和切断值：蒸发压力过低、排气压力和温度过低、电流过高或过低、冷冻水出水温度过低</w:t>
            </w:r>
            <w:r>
              <w:rPr>
                <w:rFonts w:hint="eastAsia" w:ascii="Arial" w:hAnsi="Arial" w:cs="Arial"/>
                <w:color w:val="auto"/>
                <w:sz w:val="24"/>
                <w:highlight w:val="none"/>
              </w:rPr>
              <w:t>。</w:t>
            </w:r>
          </w:p>
        </w:tc>
        <w:tc>
          <w:tcPr>
            <w:tcW w:w="639" w:type="dxa"/>
          </w:tcPr>
          <w:p w14:paraId="2630FD73">
            <w:pPr>
              <w:rPr>
                <w:color w:val="auto"/>
                <w:highlight w:val="none"/>
              </w:rPr>
            </w:pPr>
            <w:r>
              <w:rPr>
                <w:rFonts w:hint="eastAsia" w:ascii="Arial" w:hAnsi="Arial" w:cs="Arial"/>
                <w:color w:val="auto"/>
                <w:sz w:val="24"/>
                <w:highlight w:val="none"/>
              </w:rPr>
              <w:t>必需</w:t>
            </w:r>
          </w:p>
        </w:tc>
        <w:tc>
          <w:tcPr>
            <w:tcW w:w="1082" w:type="dxa"/>
            <w:vAlign w:val="center"/>
          </w:tcPr>
          <w:p w14:paraId="69A230E8">
            <w:pPr>
              <w:spacing w:before="62" w:beforeLines="20" w:after="62" w:afterLines="20" w:line="276" w:lineRule="auto"/>
              <w:jc w:val="left"/>
              <w:rPr>
                <w:rFonts w:hint="eastAsia" w:ascii="宋体" w:hAnsi="宋体" w:cs="Arial"/>
                <w:color w:val="auto"/>
                <w:sz w:val="24"/>
                <w:highlight w:val="none"/>
              </w:rPr>
            </w:pPr>
          </w:p>
        </w:tc>
      </w:tr>
      <w:tr w14:paraId="18D9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69782EE4">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-07</w:t>
            </w:r>
          </w:p>
        </w:tc>
        <w:tc>
          <w:tcPr>
            <w:tcW w:w="5022" w:type="dxa"/>
            <w:vAlign w:val="center"/>
          </w:tcPr>
          <w:p w14:paraId="44F0D7B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设备制程商应具备压力容器制造许可证，并提供生产压力容器的有关资料</w:t>
            </w:r>
            <w:r>
              <w:rPr>
                <w:rFonts w:hint="eastAsia" w:ascii="Arial" w:hAnsi="Arial" w:cs="Arial"/>
                <w:color w:val="auto"/>
                <w:sz w:val="24"/>
                <w:highlight w:val="none"/>
              </w:rPr>
              <w:t>，随机附带第三方压力容器检测报告。</w:t>
            </w:r>
          </w:p>
        </w:tc>
        <w:tc>
          <w:tcPr>
            <w:tcW w:w="639" w:type="dxa"/>
          </w:tcPr>
          <w:p w14:paraId="72E157D9">
            <w:pPr>
              <w:rPr>
                <w:color w:val="auto"/>
                <w:highlight w:val="none"/>
              </w:rPr>
            </w:pPr>
            <w:r>
              <w:rPr>
                <w:rFonts w:hint="eastAsia" w:ascii="Arial" w:hAnsi="Arial" w:cs="Arial"/>
                <w:color w:val="auto"/>
                <w:sz w:val="24"/>
                <w:highlight w:val="none"/>
              </w:rPr>
              <w:t>必需</w:t>
            </w:r>
          </w:p>
        </w:tc>
        <w:tc>
          <w:tcPr>
            <w:tcW w:w="1082" w:type="dxa"/>
            <w:vAlign w:val="center"/>
          </w:tcPr>
          <w:p w14:paraId="16DF61E9">
            <w:pPr>
              <w:spacing w:before="62" w:beforeLines="20" w:after="62" w:afterLines="20" w:line="276" w:lineRule="auto"/>
              <w:jc w:val="left"/>
              <w:rPr>
                <w:rFonts w:hint="eastAsia" w:ascii="宋体" w:hAnsi="宋体" w:cs="Arial"/>
                <w:color w:val="auto"/>
                <w:sz w:val="24"/>
                <w:highlight w:val="none"/>
              </w:rPr>
            </w:pPr>
          </w:p>
        </w:tc>
      </w:tr>
      <w:tr w14:paraId="73C3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49DB3CA2">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-08</w:t>
            </w:r>
          </w:p>
        </w:tc>
        <w:tc>
          <w:tcPr>
            <w:tcW w:w="5022" w:type="dxa"/>
            <w:vAlign w:val="center"/>
          </w:tcPr>
          <w:p w14:paraId="327E394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如果发生设备故障或失去公用工程支持，设备单元应含有必须的保护装置，确保设备和物品保持在一个安全的条件</w:t>
            </w:r>
            <w:r>
              <w:rPr>
                <w:rFonts w:hint="eastAsia" w:ascii="Arial" w:hAnsi="Arial" w:cs="Arial"/>
                <w:color w:val="auto"/>
                <w:sz w:val="24"/>
                <w:highlight w:val="none"/>
              </w:rPr>
              <w:t>。</w:t>
            </w:r>
          </w:p>
        </w:tc>
        <w:tc>
          <w:tcPr>
            <w:tcW w:w="639" w:type="dxa"/>
          </w:tcPr>
          <w:p w14:paraId="0D4BF9ED">
            <w:pPr>
              <w:rPr>
                <w:color w:val="auto"/>
                <w:highlight w:val="none"/>
              </w:rPr>
            </w:pPr>
            <w:r>
              <w:rPr>
                <w:rFonts w:hint="eastAsia" w:ascii="Arial" w:hAnsi="Arial" w:cs="Arial"/>
                <w:color w:val="auto"/>
                <w:sz w:val="24"/>
                <w:highlight w:val="none"/>
              </w:rPr>
              <w:t>必需</w:t>
            </w:r>
          </w:p>
        </w:tc>
        <w:tc>
          <w:tcPr>
            <w:tcW w:w="1082" w:type="dxa"/>
            <w:vAlign w:val="center"/>
          </w:tcPr>
          <w:p w14:paraId="4BC7CA55">
            <w:pPr>
              <w:spacing w:before="62" w:beforeLines="20" w:after="62" w:afterLines="20" w:line="276" w:lineRule="auto"/>
              <w:jc w:val="left"/>
              <w:rPr>
                <w:rFonts w:hint="eastAsia" w:ascii="宋体" w:hAnsi="宋体" w:cs="Arial"/>
                <w:color w:val="auto"/>
                <w:sz w:val="24"/>
                <w:highlight w:val="none"/>
              </w:rPr>
            </w:pPr>
          </w:p>
        </w:tc>
      </w:tr>
      <w:tr w14:paraId="1123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4B410C4B">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-09</w:t>
            </w:r>
          </w:p>
        </w:tc>
        <w:tc>
          <w:tcPr>
            <w:tcW w:w="5022" w:type="dxa"/>
            <w:vAlign w:val="center"/>
          </w:tcPr>
          <w:p w14:paraId="2F20F4A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设备必须安装应急停止开关，急停装置应安装在方便操作的位置</w:t>
            </w:r>
            <w:r>
              <w:rPr>
                <w:rFonts w:hint="eastAsia" w:ascii="Arial" w:hAnsi="Arial" w:cs="Arial"/>
                <w:color w:val="auto"/>
                <w:sz w:val="24"/>
                <w:highlight w:val="none"/>
              </w:rPr>
              <w:t>。</w:t>
            </w:r>
          </w:p>
        </w:tc>
        <w:tc>
          <w:tcPr>
            <w:tcW w:w="639" w:type="dxa"/>
          </w:tcPr>
          <w:p w14:paraId="2C47C720">
            <w:pPr>
              <w:rPr>
                <w:color w:val="auto"/>
                <w:highlight w:val="none"/>
              </w:rPr>
            </w:pPr>
            <w:r>
              <w:rPr>
                <w:rFonts w:hint="eastAsia" w:ascii="Arial" w:hAnsi="Arial" w:cs="Arial"/>
                <w:color w:val="auto"/>
                <w:sz w:val="24"/>
                <w:highlight w:val="none"/>
              </w:rPr>
              <w:t>必需</w:t>
            </w:r>
          </w:p>
        </w:tc>
        <w:tc>
          <w:tcPr>
            <w:tcW w:w="1082" w:type="dxa"/>
            <w:vAlign w:val="center"/>
          </w:tcPr>
          <w:p w14:paraId="7911EDB7">
            <w:pPr>
              <w:spacing w:before="62" w:beforeLines="20" w:after="62" w:afterLines="20" w:line="276" w:lineRule="auto"/>
              <w:jc w:val="left"/>
              <w:rPr>
                <w:rFonts w:hint="eastAsia" w:ascii="宋体" w:hAnsi="宋体" w:cs="Arial"/>
                <w:color w:val="auto"/>
                <w:sz w:val="24"/>
                <w:highlight w:val="none"/>
              </w:rPr>
            </w:pPr>
          </w:p>
        </w:tc>
      </w:tr>
      <w:tr w14:paraId="6D74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0CB66576">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-10</w:t>
            </w:r>
          </w:p>
        </w:tc>
        <w:tc>
          <w:tcPr>
            <w:tcW w:w="5022" w:type="dxa"/>
            <w:vAlign w:val="center"/>
          </w:tcPr>
          <w:p w14:paraId="72C4E0B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所有设备应配有主断电器控制柜，经主断电器控制装置可立即切断设备电源使设备停止运行</w:t>
            </w:r>
            <w:r>
              <w:rPr>
                <w:rFonts w:hint="eastAsia" w:ascii="Arial" w:hAnsi="Arial" w:cs="Arial"/>
                <w:color w:val="auto"/>
                <w:sz w:val="24"/>
                <w:highlight w:val="none"/>
              </w:rPr>
              <w:t>。</w:t>
            </w:r>
          </w:p>
        </w:tc>
        <w:tc>
          <w:tcPr>
            <w:tcW w:w="639" w:type="dxa"/>
          </w:tcPr>
          <w:p w14:paraId="487AC5EC">
            <w:pPr>
              <w:rPr>
                <w:color w:val="auto"/>
                <w:highlight w:val="none"/>
              </w:rPr>
            </w:pPr>
            <w:r>
              <w:rPr>
                <w:rFonts w:hint="eastAsia" w:ascii="Arial" w:hAnsi="Arial" w:cs="Arial"/>
                <w:color w:val="auto"/>
                <w:sz w:val="24"/>
                <w:highlight w:val="none"/>
              </w:rPr>
              <w:t>必需</w:t>
            </w:r>
          </w:p>
        </w:tc>
        <w:tc>
          <w:tcPr>
            <w:tcW w:w="1082" w:type="dxa"/>
            <w:vAlign w:val="center"/>
          </w:tcPr>
          <w:p w14:paraId="0F93319B">
            <w:pPr>
              <w:spacing w:before="62" w:beforeLines="20" w:after="62" w:afterLines="20" w:line="276" w:lineRule="auto"/>
              <w:jc w:val="left"/>
              <w:rPr>
                <w:rFonts w:hint="eastAsia" w:ascii="宋体" w:hAnsi="宋体" w:cs="Arial"/>
                <w:color w:val="auto"/>
                <w:sz w:val="24"/>
                <w:highlight w:val="none"/>
              </w:rPr>
            </w:pPr>
          </w:p>
        </w:tc>
      </w:tr>
      <w:tr w14:paraId="56A9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379E98DD">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-11</w:t>
            </w:r>
          </w:p>
        </w:tc>
        <w:tc>
          <w:tcPr>
            <w:tcW w:w="5022" w:type="dxa"/>
            <w:vAlign w:val="center"/>
          </w:tcPr>
          <w:p w14:paraId="1BE58AA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供应商应提供用于外部电缆的安全接地和屏蔽的控制柜内部联接地点</w:t>
            </w:r>
            <w:r>
              <w:rPr>
                <w:rFonts w:hint="eastAsia" w:ascii="Arial" w:hAnsi="Arial" w:cs="Arial"/>
                <w:color w:val="auto"/>
                <w:sz w:val="24"/>
                <w:highlight w:val="none"/>
              </w:rPr>
              <w:t>。</w:t>
            </w:r>
          </w:p>
        </w:tc>
        <w:tc>
          <w:tcPr>
            <w:tcW w:w="639" w:type="dxa"/>
          </w:tcPr>
          <w:p w14:paraId="219D39CF">
            <w:pPr>
              <w:rPr>
                <w:color w:val="auto"/>
                <w:highlight w:val="none"/>
              </w:rPr>
            </w:pPr>
            <w:r>
              <w:rPr>
                <w:rFonts w:hint="eastAsia" w:ascii="Arial" w:hAnsi="Arial" w:cs="Arial"/>
                <w:color w:val="auto"/>
                <w:sz w:val="24"/>
                <w:highlight w:val="none"/>
              </w:rPr>
              <w:t>必需</w:t>
            </w:r>
          </w:p>
        </w:tc>
        <w:tc>
          <w:tcPr>
            <w:tcW w:w="1082" w:type="dxa"/>
            <w:vAlign w:val="center"/>
          </w:tcPr>
          <w:p w14:paraId="57DD4913">
            <w:pPr>
              <w:spacing w:before="62" w:beforeLines="20" w:after="62" w:afterLines="20" w:line="276" w:lineRule="auto"/>
              <w:jc w:val="left"/>
              <w:rPr>
                <w:rFonts w:hint="eastAsia" w:ascii="宋体" w:hAnsi="宋体" w:cs="Arial"/>
                <w:color w:val="auto"/>
                <w:sz w:val="24"/>
                <w:highlight w:val="none"/>
              </w:rPr>
            </w:pPr>
          </w:p>
        </w:tc>
      </w:tr>
      <w:tr w14:paraId="62A4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4CE7410B">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-12</w:t>
            </w:r>
          </w:p>
        </w:tc>
        <w:tc>
          <w:tcPr>
            <w:tcW w:w="5022" w:type="dxa"/>
            <w:vAlign w:val="center"/>
          </w:tcPr>
          <w:p w14:paraId="710B4AA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所有电力系统应配有安全标志，设备电气箱接地装置应可靠，所有接线应坚固，要有明显警示标识</w:t>
            </w:r>
            <w:r>
              <w:rPr>
                <w:rFonts w:hint="eastAsia" w:ascii="Arial" w:hAnsi="Arial" w:cs="Arial"/>
                <w:color w:val="auto"/>
                <w:sz w:val="24"/>
                <w:highlight w:val="none"/>
              </w:rPr>
              <w:t>。</w:t>
            </w:r>
          </w:p>
        </w:tc>
        <w:tc>
          <w:tcPr>
            <w:tcW w:w="639" w:type="dxa"/>
          </w:tcPr>
          <w:p w14:paraId="3318D527">
            <w:pPr>
              <w:rPr>
                <w:color w:val="auto"/>
                <w:highlight w:val="none"/>
              </w:rPr>
            </w:pPr>
            <w:r>
              <w:rPr>
                <w:rFonts w:hint="eastAsia" w:ascii="Arial" w:hAnsi="Arial" w:cs="Arial"/>
                <w:color w:val="auto"/>
                <w:sz w:val="24"/>
                <w:highlight w:val="none"/>
              </w:rPr>
              <w:t>必需</w:t>
            </w:r>
          </w:p>
        </w:tc>
        <w:tc>
          <w:tcPr>
            <w:tcW w:w="1082" w:type="dxa"/>
            <w:vAlign w:val="center"/>
          </w:tcPr>
          <w:p w14:paraId="38CEBCC9">
            <w:pPr>
              <w:spacing w:before="62" w:beforeLines="20" w:after="62" w:afterLines="20" w:line="276" w:lineRule="auto"/>
              <w:jc w:val="left"/>
              <w:rPr>
                <w:rFonts w:hint="eastAsia" w:ascii="宋体" w:hAnsi="宋体" w:cs="Arial"/>
                <w:color w:val="auto"/>
                <w:sz w:val="24"/>
                <w:highlight w:val="none"/>
              </w:rPr>
            </w:pPr>
          </w:p>
        </w:tc>
      </w:tr>
      <w:tr w14:paraId="2F4A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Pr>
          <w:p w14:paraId="704FE0DE">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8</w:t>
            </w:r>
            <w:r>
              <w:rPr>
                <w:rFonts w:hint="eastAsia" w:ascii="宋体" w:hAnsi="宋体" w:cs="Arial"/>
                <w:color w:val="auto"/>
                <w:sz w:val="24"/>
                <w:highlight w:val="none"/>
              </w:rPr>
              <w:t>-13</w:t>
            </w:r>
          </w:p>
        </w:tc>
        <w:tc>
          <w:tcPr>
            <w:tcW w:w="5022" w:type="dxa"/>
            <w:vAlign w:val="center"/>
          </w:tcPr>
          <w:p w14:paraId="1BDBE1C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所有电机及泵均有短路和过载保护装置</w:t>
            </w:r>
            <w:r>
              <w:rPr>
                <w:rFonts w:hint="eastAsia" w:ascii="Arial" w:hAnsi="Arial" w:cs="Arial"/>
                <w:color w:val="auto"/>
                <w:sz w:val="24"/>
                <w:highlight w:val="none"/>
              </w:rPr>
              <w:t>。</w:t>
            </w:r>
          </w:p>
        </w:tc>
        <w:tc>
          <w:tcPr>
            <w:tcW w:w="639" w:type="dxa"/>
          </w:tcPr>
          <w:p w14:paraId="16E076D7">
            <w:pPr>
              <w:rPr>
                <w:color w:val="auto"/>
                <w:highlight w:val="none"/>
              </w:rPr>
            </w:pPr>
            <w:r>
              <w:rPr>
                <w:rFonts w:hint="eastAsia" w:ascii="Arial" w:hAnsi="Arial" w:cs="Arial"/>
                <w:color w:val="auto"/>
                <w:sz w:val="24"/>
                <w:highlight w:val="none"/>
              </w:rPr>
              <w:t>必需</w:t>
            </w:r>
          </w:p>
        </w:tc>
        <w:tc>
          <w:tcPr>
            <w:tcW w:w="1082" w:type="dxa"/>
            <w:vAlign w:val="center"/>
          </w:tcPr>
          <w:p w14:paraId="5802DC66">
            <w:pPr>
              <w:spacing w:before="62" w:beforeLines="20" w:after="62" w:afterLines="20" w:line="276" w:lineRule="auto"/>
              <w:jc w:val="left"/>
              <w:rPr>
                <w:rFonts w:hint="eastAsia" w:ascii="宋体" w:hAnsi="宋体" w:cs="Arial"/>
                <w:color w:val="auto"/>
                <w:sz w:val="24"/>
                <w:highlight w:val="none"/>
              </w:rPr>
            </w:pPr>
          </w:p>
        </w:tc>
      </w:tr>
    </w:tbl>
    <w:p w14:paraId="49A9D71F">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10.</w:t>
      </w:r>
      <w:r>
        <w:rPr>
          <w:rFonts w:ascii="Arial" w:hAnsi="Arial" w:cs="Arial"/>
          <w:color w:val="auto"/>
          <w:sz w:val="24"/>
          <w:highlight w:val="none"/>
        </w:rPr>
        <w:t>9维保操作</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06A4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396ED44A">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102116D2">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196473B0">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764CD1A6">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49778DC7">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66C0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50E5C3E6">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URS10.</w:t>
            </w:r>
            <w:r>
              <w:rPr>
                <w:rFonts w:ascii="宋体" w:hAnsi="宋体" w:cs="Arial"/>
                <w:color w:val="auto"/>
                <w:sz w:val="24"/>
                <w:highlight w:val="none"/>
              </w:rPr>
              <w:t>9</w:t>
            </w:r>
            <w:r>
              <w:rPr>
                <w:rFonts w:hint="eastAsia" w:ascii="宋体" w:hAnsi="宋体" w:cs="Arial"/>
                <w:color w:val="auto"/>
                <w:sz w:val="24"/>
                <w:highlight w:val="none"/>
              </w:rPr>
              <w:t>-01</w:t>
            </w:r>
          </w:p>
        </w:tc>
        <w:tc>
          <w:tcPr>
            <w:tcW w:w="5222" w:type="dxa"/>
            <w:vAlign w:val="center"/>
          </w:tcPr>
          <w:p w14:paraId="687B04A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设备冷热交换器（水炮）两端设计便于拆装清洁通炮</w:t>
            </w:r>
            <w:r>
              <w:rPr>
                <w:rFonts w:hint="eastAsia" w:ascii="Arial" w:hAnsi="Arial" w:cs="Arial"/>
                <w:color w:val="auto"/>
                <w:sz w:val="24"/>
                <w:highlight w:val="none"/>
              </w:rPr>
              <w:t>。</w:t>
            </w:r>
          </w:p>
        </w:tc>
        <w:tc>
          <w:tcPr>
            <w:tcW w:w="719" w:type="dxa"/>
          </w:tcPr>
          <w:p w14:paraId="3C6EF29F">
            <w:pPr>
              <w:rPr>
                <w:color w:val="auto"/>
                <w:highlight w:val="none"/>
              </w:rPr>
            </w:pPr>
            <w:r>
              <w:rPr>
                <w:rFonts w:hint="eastAsia" w:ascii="宋体" w:hAnsi="宋体" w:cs="Arial"/>
                <w:color w:val="auto"/>
                <w:sz w:val="24"/>
                <w:highlight w:val="none"/>
              </w:rPr>
              <w:t>必需</w:t>
            </w:r>
          </w:p>
        </w:tc>
        <w:tc>
          <w:tcPr>
            <w:tcW w:w="1162" w:type="dxa"/>
            <w:vAlign w:val="center"/>
          </w:tcPr>
          <w:p w14:paraId="13C3FA6C">
            <w:pPr>
              <w:spacing w:before="62" w:beforeLines="20" w:after="62" w:afterLines="20" w:line="276" w:lineRule="auto"/>
              <w:jc w:val="left"/>
              <w:rPr>
                <w:rFonts w:hint="eastAsia" w:ascii="宋体" w:hAnsi="宋体" w:cs="Arial"/>
                <w:color w:val="auto"/>
                <w:sz w:val="24"/>
                <w:highlight w:val="none"/>
              </w:rPr>
            </w:pPr>
          </w:p>
        </w:tc>
      </w:tr>
      <w:tr w14:paraId="4890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E1FA23B">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9</w:t>
            </w:r>
            <w:r>
              <w:rPr>
                <w:rFonts w:hint="eastAsia" w:ascii="宋体" w:hAnsi="宋体" w:cs="Arial"/>
                <w:color w:val="auto"/>
                <w:sz w:val="24"/>
                <w:highlight w:val="none"/>
              </w:rPr>
              <w:t>-02</w:t>
            </w:r>
          </w:p>
        </w:tc>
        <w:tc>
          <w:tcPr>
            <w:tcW w:w="5222" w:type="dxa"/>
            <w:vAlign w:val="center"/>
          </w:tcPr>
          <w:p w14:paraId="1673319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每台制冷设备预留合理的维修空间</w:t>
            </w:r>
            <w:r>
              <w:rPr>
                <w:rFonts w:hint="eastAsia" w:ascii="Arial" w:hAnsi="Arial" w:cs="Arial"/>
                <w:color w:val="auto"/>
                <w:sz w:val="24"/>
                <w:highlight w:val="none"/>
              </w:rPr>
              <w:t>。</w:t>
            </w:r>
          </w:p>
        </w:tc>
        <w:tc>
          <w:tcPr>
            <w:tcW w:w="719" w:type="dxa"/>
          </w:tcPr>
          <w:p w14:paraId="601D1121">
            <w:pPr>
              <w:rPr>
                <w:color w:val="auto"/>
                <w:highlight w:val="none"/>
              </w:rPr>
            </w:pPr>
            <w:r>
              <w:rPr>
                <w:rFonts w:hint="eastAsia" w:ascii="宋体" w:hAnsi="宋体" w:cs="Arial"/>
                <w:color w:val="auto"/>
                <w:sz w:val="24"/>
                <w:highlight w:val="none"/>
              </w:rPr>
              <w:t>必需</w:t>
            </w:r>
          </w:p>
        </w:tc>
        <w:tc>
          <w:tcPr>
            <w:tcW w:w="1162" w:type="dxa"/>
            <w:vAlign w:val="center"/>
          </w:tcPr>
          <w:p w14:paraId="53D9EB2A">
            <w:pPr>
              <w:spacing w:before="62" w:beforeLines="20" w:after="62" w:afterLines="20" w:line="276" w:lineRule="auto"/>
              <w:jc w:val="left"/>
              <w:rPr>
                <w:rFonts w:hint="eastAsia" w:ascii="宋体" w:hAnsi="宋体" w:cs="Arial"/>
                <w:color w:val="auto"/>
                <w:sz w:val="24"/>
                <w:highlight w:val="none"/>
              </w:rPr>
            </w:pPr>
          </w:p>
        </w:tc>
      </w:tr>
      <w:tr w14:paraId="3A3A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C5DEA81">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9</w:t>
            </w:r>
            <w:r>
              <w:rPr>
                <w:rFonts w:hint="eastAsia" w:ascii="宋体" w:hAnsi="宋体" w:cs="Arial"/>
                <w:color w:val="auto"/>
                <w:sz w:val="24"/>
                <w:highlight w:val="none"/>
              </w:rPr>
              <w:t>-03</w:t>
            </w:r>
          </w:p>
        </w:tc>
        <w:tc>
          <w:tcPr>
            <w:tcW w:w="5222" w:type="dxa"/>
            <w:vAlign w:val="center"/>
          </w:tcPr>
          <w:p w14:paraId="1019517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冷水循环系统具有自动补水功能</w:t>
            </w:r>
            <w:r>
              <w:rPr>
                <w:rFonts w:hint="eastAsia" w:ascii="Arial" w:hAnsi="Arial" w:cs="Arial"/>
                <w:color w:val="auto"/>
                <w:sz w:val="24"/>
                <w:highlight w:val="none"/>
              </w:rPr>
              <w:t>，有排空阀。</w:t>
            </w:r>
          </w:p>
        </w:tc>
        <w:tc>
          <w:tcPr>
            <w:tcW w:w="719" w:type="dxa"/>
          </w:tcPr>
          <w:p w14:paraId="566BCFBD">
            <w:pPr>
              <w:rPr>
                <w:color w:val="auto"/>
                <w:highlight w:val="none"/>
              </w:rPr>
            </w:pPr>
            <w:r>
              <w:rPr>
                <w:rFonts w:hint="eastAsia" w:ascii="宋体" w:hAnsi="宋体" w:cs="Arial"/>
                <w:color w:val="auto"/>
                <w:sz w:val="24"/>
                <w:highlight w:val="none"/>
              </w:rPr>
              <w:t>必需</w:t>
            </w:r>
          </w:p>
        </w:tc>
        <w:tc>
          <w:tcPr>
            <w:tcW w:w="1162" w:type="dxa"/>
            <w:vAlign w:val="center"/>
          </w:tcPr>
          <w:p w14:paraId="638C5B67">
            <w:pPr>
              <w:spacing w:before="62" w:beforeLines="20" w:after="62" w:afterLines="20" w:line="276" w:lineRule="auto"/>
              <w:jc w:val="left"/>
              <w:rPr>
                <w:rFonts w:hint="eastAsia" w:ascii="宋体" w:hAnsi="宋体" w:cs="Arial"/>
                <w:color w:val="auto"/>
                <w:sz w:val="24"/>
                <w:highlight w:val="none"/>
              </w:rPr>
            </w:pPr>
          </w:p>
        </w:tc>
      </w:tr>
      <w:tr w14:paraId="1B6E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06074DCD">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9</w:t>
            </w:r>
            <w:r>
              <w:rPr>
                <w:rFonts w:hint="eastAsia" w:ascii="宋体" w:hAnsi="宋体" w:cs="Arial"/>
                <w:color w:val="auto"/>
                <w:sz w:val="24"/>
                <w:highlight w:val="none"/>
              </w:rPr>
              <w:t>-04</w:t>
            </w:r>
          </w:p>
        </w:tc>
        <w:tc>
          <w:tcPr>
            <w:tcW w:w="5222" w:type="dxa"/>
            <w:vAlign w:val="center"/>
          </w:tcPr>
          <w:p w14:paraId="48EB8B62">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冷却水泵设</w:t>
            </w:r>
            <w:r>
              <w:rPr>
                <w:rFonts w:hint="eastAsia" w:ascii="Arial" w:hAnsi="Arial" w:cs="Arial"/>
                <w:color w:val="auto"/>
                <w:sz w:val="24"/>
                <w:highlight w:val="none"/>
              </w:rPr>
              <w:t>配套的旁通</w:t>
            </w:r>
            <w:r>
              <w:rPr>
                <w:rFonts w:ascii="Arial" w:hAnsi="Arial" w:cs="Arial"/>
                <w:color w:val="auto"/>
                <w:sz w:val="24"/>
                <w:highlight w:val="none"/>
              </w:rPr>
              <w:t>管道</w:t>
            </w:r>
            <w:r>
              <w:rPr>
                <w:rFonts w:hint="eastAsia" w:ascii="Arial" w:hAnsi="Arial" w:cs="Arial"/>
                <w:color w:val="auto"/>
                <w:sz w:val="24"/>
                <w:highlight w:val="none"/>
              </w:rPr>
              <w:t>单向阀与手动蝶阀。</w:t>
            </w:r>
          </w:p>
        </w:tc>
        <w:tc>
          <w:tcPr>
            <w:tcW w:w="719" w:type="dxa"/>
          </w:tcPr>
          <w:p w14:paraId="0984A698">
            <w:pPr>
              <w:rPr>
                <w:color w:val="auto"/>
                <w:highlight w:val="none"/>
              </w:rPr>
            </w:pPr>
            <w:r>
              <w:rPr>
                <w:rFonts w:hint="eastAsia" w:ascii="宋体" w:hAnsi="宋体" w:cs="Arial"/>
                <w:color w:val="auto"/>
                <w:sz w:val="24"/>
                <w:highlight w:val="none"/>
              </w:rPr>
              <w:t>必需</w:t>
            </w:r>
          </w:p>
        </w:tc>
        <w:tc>
          <w:tcPr>
            <w:tcW w:w="1162" w:type="dxa"/>
            <w:vAlign w:val="center"/>
          </w:tcPr>
          <w:p w14:paraId="342E398D">
            <w:pPr>
              <w:spacing w:before="62" w:beforeLines="20" w:after="62" w:afterLines="20" w:line="276" w:lineRule="auto"/>
              <w:jc w:val="left"/>
              <w:rPr>
                <w:rFonts w:hint="eastAsia" w:ascii="宋体" w:hAnsi="宋体" w:cs="Arial"/>
                <w:color w:val="auto"/>
                <w:sz w:val="24"/>
                <w:highlight w:val="none"/>
              </w:rPr>
            </w:pPr>
          </w:p>
        </w:tc>
      </w:tr>
      <w:tr w14:paraId="1AC0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2D4FFEA1">
            <w:pPr>
              <w:rPr>
                <w:color w:val="auto"/>
                <w:highlight w:val="none"/>
              </w:rPr>
            </w:pPr>
            <w:r>
              <w:rPr>
                <w:rFonts w:hint="eastAsia" w:ascii="宋体" w:hAnsi="宋体" w:cs="Arial"/>
                <w:color w:val="auto"/>
                <w:sz w:val="24"/>
                <w:highlight w:val="none"/>
              </w:rPr>
              <w:t>URS10.</w:t>
            </w:r>
            <w:r>
              <w:rPr>
                <w:rFonts w:ascii="宋体" w:hAnsi="宋体" w:cs="Arial"/>
                <w:color w:val="auto"/>
                <w:sz w:val="24"/>
                <w:highlight w:val="none"/>
              </w:rPr>
              <w:t>9</w:t>
            </w:r>
            <w:r>
              <w:rPr>
                <w:rFonts w:hint="eastAsia" w:ascii="宋体" w:hAnsi="宋体" w:cs="Arial"/>
                <w:color w:val="auto"/>
                <w:sz w:val="24"/>
                <w:highlight w:val="none"/>
              </w:rPr>
              <w:t>-05</w:t>
            </w:r>
          </w:p>
        </w:tc>
        <w:tc>
          <w:tcPr>
            <w:tcW w:w="5222" w:type="dxa"/>
            <w:vAlign w:val="center"/>
          </w:tcPr>
          <w:p w14:paraId="2CD04271">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冷冻水机组的冷交换管的进、出口，均配有压力表。</w:t>
            </w:r>
            <w:r>
              <w:rPr>
                <w:rFonts w:ascii="Arial" w:hAnsi="Arial" w:cs="Arial"/>
                <w:color w:val="auto"/>
                <w:sz w:val="24"/>
                <w:highlight w:val="none"/>
              </w:rPr>
              <w:t xml:space="preserve"> </w:t>
            </w:r>
          </w:p>
        </w:tc>
        <w:tc>
          <w:tcPr>
            <w:tcW w:w="719" w:type="dxa"/>
          </w:tcPr>
          <w:p w14:paraId="01890F74">
            <w:pPr>
              <w:rPr>
                <w:color w:val="auto"/>
                <w:highlight w:val="none"/>
              </w:rPr>
            </w:pPr>
            <w:r>
              <w:rPr>
                <w:rFonts w:hint="eastAsia" w:ascii="宋体" w:hAnsi="宋体" w:cs="Arial"/>
                <w:color w:val="auto"/>
                <w:sz w:val="24"/>
                <w:highlight w:val="none"/>
              </w:rPr>
              <w:t>必需</w:t>
            </w:r>
          </w:p>
        </w:tc>
        <w:tc>
          <w:tcPr>
            <w:tcW w:w="1162" w:type="dxa"/>
            <w:vAlign w:val="center"/>
          </w:tcPr>
          <w:p w14:paraId="5B925EF6">
            <w:pPr>
              <w:spacing w:before="62" w:beforeLines="20" w:after="62" w:afterLines="20" w:line="276" w:lineRule="auto"/>
              <w:jc w:val="left"/>
              <w:rPr>
                <w:rFonts w:hint="eastAsia" w:ascii="宋体" w:hAnsi="宋体" w:cs="Arial"/>
                <w:color w:val="auto"/>
                <w:sz w:val="24"/>
                <w:highlight w:val="none"/>
              </w:rPr>
            </w:pPr>
          </w:p>
        </w:tc>
      </w:tr>
    </w:tbl>
    <w:p w14:paraId="271AE099">
      <w:pPr>
        <w:spacing w:line="360" w:lineRule="auto"/>
        <w:rPr>
          <w:rFonts w:hint="eastAsia" w:ascii="宋体" w:hAnsi="宋体" w:cs="宋体"/>
          <w:color w:val="auto"/>
          <w:sz w:val="24"/>
          <w:highlight w:val="none"/>
        </w:rPr>
      </w:pPr>
      <w:bookmarkStart w:id="586" w:name="_Hlk142435809"/>
    </w:p>
    <w:p w14:paraId="6594A6D2">
      <w:pPr>
        <w:spacing w:line="360" w:lineRule="auto"/>
        <w:rPr>
          <w:rFonts w:hint="eastAsia" w:ascii="宋体" w:hAnsi="宋体" w:cs="宋体"/>
          <w:color w:val="auto"/>
          <w:sz w:val="24"/>
          <w:highlight w:val="none"/>
        </w:rPr>
      </w:pPr>
      <w:r>
        <w:rPr>
          <w:rFonts w:ascii="宋体" w:hAnsi="宋体" w:cs="宋体"/>
          <w:color w:val="auto"/>
          <w:sz w:val="24"/>
          <w:highlight w:val="none"/>
        </w:rPr>
        <w:t xml:space="preserve">10.10 </w:t>
      </w:r>
      <w:r>
        <w:rPr>
          <w:rFonts w:hint="eastAsia" w:ascii="宋体" w:hAnsi="宋体" w:cs="宋体"/>
          <w:color w:val="auto"/>
          <w:sz w:val="24"/>
          <w:highlight w:val="none"/>
        </w:rPr>
        <w:t>水泵</w:t>
      </w:r>
      <w:r>
        <w:rPr>
          <w:color w:val="auto"/>
          <w:sz w:val="24"/>
          <w:highlight w:val="none"/>
        </w:rPr>
        <w:t>技术要求</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696"/>
        <w:gridCol w:w="4341"/>
        <w:gridCol w:w="631"/>
        <w:gridCol w:w="1075"/>
      </w:tblGrid>
      <w:tr w14:paraId="521C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776" w:type="dxa"/>
            <w:tcBorders>
              <w:bottom w:val="single" w:color="auto" w:sz="4" w:space="0"/>
            </w:tcBorders>
            <w:shd w:val="pct20" w:color="auto" w:fill="FFFFFF"/>
            <w:vAlign w:val="center"/>
          </w:tcPr>
          <w:p w14:paraId="30761126">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序号</w:t>
            </w:r>
          </w:p>
        </w:tc>
        <w:tc>
          <w:tcPr>
            <w:tcW w:w="5037" w:type="dxa"/>
            <w:gridSpan w:val="2"/>
            <w:tcBorders>
              <w:bottom w:val="single" w:color="auto" w:sz="4" w:space="0"/>
            </w:tcBorders>
            <w:shd w:val="pct20" w:color="auto" w:fill="FFFFFF"/>
            <w:vAlign w:val="center"/>
          </w:tcPr>
          <w:p w14:paraId="2D2F4E34">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要求</w:t>
            </w:r>
          </w:p>
        </w:tc>
        <w:tc>
          <w:tcPr>
            <w:tcW w:w="631" w:type="dxa"/>
            <w:tcBorders>
              <w:bottom w:val="single" w:color="auto" w:sz="4" w:space="0"/>
            </w:tcBorders>
            <w:shd w:val="pct20" w:color="auto" w:fill="FFFFFF"/>
            <w:vAlign w:val="center"/>
          </w:tcPr>
          <w:p w14:paraId="7F80CF49">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必需/期望</w:t>
            </w:r>
          </w:p>
        </w:tc>
        <w:tc>
          <w:tcPr>
            <w:tcW w:w="1075" w:type="dxa"/>
            <w:tcBorders>
              <w:bottom w:val="single" w:color="auto" w:sz="4" w:space="0"/>
            </w:tcBorders>
            <w:shd w:val="pct20" w:color="auto" w:fill="FFFFFF"/>
          </w:tcPr>
          <w:p w14:paraId="214B0ECF">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回复</w:t>
            </w:r>
          </w:p>
          <w:p w14:paraId="66E4FB39">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响应/偏离</w:t>
            </w:r>
          </w:p>
        </w:tc>
      </w:tr>
      <w:tr w14:paraId="01F2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vAlign w:val="center"/>
          </w:tcPr>
          <w:p w14:paraId="04DD200E">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10.10</w:t>
            </w:r>
            <w:r>
              <w:rPr>
                <w:rFonts w:hint="eastAsia" w:ascii="宋体" w:hAnsi="宋体" w:cs="宋体"/>
                <w:color w:val="auto"/>
                <w:sz w:val="24"/>
                <w:highlight w:val="none"/>
              </w:rPr>
              <w:t>-01</w:t>
            </w:r>
          </w:p>
        </w:tc>
        <w:tc>
          <w:tcPr>
            <w:tcW w:w="696" w:type="dxa"/>
            <w:vAlign w:val="center"/>
          </w:tcPr>
          <w:p w14:paraId="6712EE45">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冷冻、冷却水泵</w:t>
            </w:r>
          </w:p>
        </w:tc>
        <w:tc>
          <w:tcPr>
            <w:tcW w:w="4341" w:type="dxa"/>
            <w:vAlign w:val="center"/>
          </w:tcPr>
          <w:p w14:paraId="71C50C92">
            <w:pPr>
              <w:numPr>
                <w:ilvl w:val="0"/>
                <w:numId w:val="7"/>
              </w:numPr>
              <w:rPr>
                <w:rFonts w:hint="eastAsia" w:ascii="宋体" w:hAnsi="宋体" w:cs="宋体"/>
                <w:color w:val="auto"/>
                <w:sz w:val="24"/>
                <w:highlight w:val="none"/>
              </w:rPr>
            </w:pPr>
            <w:r>
              <w:rPr>
                <w:rFonts w:hint="eastAsia" w:ascii="宋体" w:hAnsi="宋体" w:cs="宋体"/>
                <w:color w:val="auto"/>
                <w:sz w:val="24"/>
                <w:highlight w:val="none"/>
              </w:rPr>
              <w:t>数量：详见清单；</w:t>
            </w:r>
          </w:p>
          <w:p w14:paraId="1A6E7280">
            <w:pPr>
              <w:numPr>
                <w:ilvl w:val="0"/>
                <w:numId w:val="7"/>
              </w:numPr>
              <w:rPr>
                <w:rFonts w:hint="eastAsia" w:ascii="宋体" w:hAnsi="宋体" w:cs="宋体"/>
                <w:color w:val="auto"/>
                <w:sz w:val="24"/>
                <w:highlight w:val="none"/>
                <w:lang w:val="zh-TW"/>
              </w:rPr>
            </w:pPr>
            <w:r>
              <w:rPr>
                <w:rFonts w:ascii="宋体" w:hAnsi="宋体" w:cs="宋体"/>
                <w:color w:val="auto"/>
                <w:sz w:val="24"/>
                <w:highlight w:val="none"/>
                <w:lang w:val="zh-TW" w:eastAsia="zh-TW"/>
              </w:rPr>
              <w:t>泵轴采用</w:t>
            </w:r>
            <w:r>
              <w:rPr>
                <w:color w:val="auto"/>
                <w:sz w:val="24"/>
                <w:highlight w:val="none"/>
              </w:rPr>
              <w:t>304/316/416</w:t>
            </w:r>
            <w:r>
              <w:rPr>
                <w:rFonts w:ascii="宋体" w:hAnsi="宋体" w:cs="宋体"/>
                <w:color w:val="auto"/>
                <w:sz w:val="24"/>
                <w:highlight w:val="none"/>
                <w:lang w:val="zh-TW" w:eastAsia="zh-TW"/>
              </w:rPr>
              <w:t>实心不锈钢</w:t>
            </w:r>
            <w:r>
              <w:rPr>
                <w:rFonts w:hint="eastAsia" w:ascii="宋体" w:hAnsi="宋体" w:cs="宋体"/>
                <w:color w:val="auto"/>
                <w:sz w:val="24"/>
                <w:highlight w:val="none"/>
                <w:lang w:val="zh-TW"/>
              </w:rPr>
              <w:t>，</w:t>
            </w:r>
            <w:r>
              <w:rPr>
                <w:rFonts w:ascii="宋体" w:hAnsi="宋体" w:cs="宋体"/>
                <w:color w:val="auto"/>
                <w:sz w:val="24"/>
                <w:highlight w:val="none"/>
                <w:lang w:val="zh-TW" w:eastAsia="zh-TW"/>
              </w:rPr>
              <w:t>泵</w:t>
            </w:r>
            <w:r>
              <w:rPr>
                <w:rFonts w:hint="eastAsia" w:ascii="宋体" w:hAnsi="宋体" w:cs="宋体"/>
                <w:color w:val="auto"/>
                <w:sz w:val="24"/>
                <w:highlight w:val="none"/>
                <w:lang w:val="zh-TW"/>
              </w:rPr>
              <w:t>体</w:t>
            </w:r>
            <w:r>
              <w:rPr>
                <w:rFonts w:ascii="宋体" w:hAnsi="宋体" w:cs="宋体"/>
                <w:color w:val="auto"/>
                <w:sz w:val="24"/>
                <w:highlight w:val="none"/>
                <w:lang w:val="zh-TW" w:eastAsia="zh-TW"/>
              </w:rPr>
              <w:t>采用优质铸铁</w:t>
            </w:r>
            <w:r>
              <w:rPr>
                <w:rFonts w:hint="eastAsia" w:ascii="宋体" w:hAnsi="宋体" w:cs="宋体"/>
                <w:color w:val="auto"/>
                <w:sz w:val="24"/>
                <w:highlight w:val="none"/>
                <w:lang w:val="zh-TW"/>
              </w:rPr>
              <w:t>；</w:t>
            </w:r>
          </w:p>
          <w:p w14:paraId="275ABD94">
            <w:pPr>
              <w:numPr>
                <w:ilvl w:val="0"/>
                <w:numId w:val="7"/>
              </w:numPr>
              <w:rPr>
                <w:rFonts w:hint="eastAsia" w:ascii="宋体" w:hAnsi="宋体" w:cs="宋体"/>
                <w:color w:val="auto"/>
                <w:sz w:val="24"/>
                <w:highlight w:val="none"/>
                <w:lang w:val="zh-TW"/>
              </w:rPr>
            </w:pPr>
            <w:r>
              <w:rPr>
                <w:rFonts w:hint="eastAsia" w:ascii="宋体" w:hAnsi="宋体" w:cs="宋体"/>
                <w:color w:val="auto"/>
                <w:sz w:val="24"/>
                <w:highlight w:val="none"/>
              </w:rPr>
              <w:t>冷冻、冷却</w:t>
            </w:r>
            <w:r>
              <w:rPr>
                <w:rFonts w:ascii="宋体" w:hAnsi="宋体" w:cs="宋体"/>
                <w:color w:val="auto"/>
                <w:sz w:val="24"/>
                <w:highlight w:val="none"/>
                <w:lang w:val="zh-TW" w:eastAsia="zh-TW"/>
              </w:rPr>
              <w:t>水泵电机应为专用变频电机，适应变频运行</w:t>
            </w:r>
            <w:r>
              <w:rPr>
                <w:rFonts w:hint="eastAsia" w:ascii="宋体" w:hAnsi="宋体" w:cs="宋体"/>
                <w:color w:val="auto"/>
                <w:sz w:val="24"/>
                <w:highlight w:val="none"/>
                <w:lang w:val="zh-TW" w:eastAsia="zh-TW"/>
              </w:rPr>
              <w:t>。</w:t>
            </w:r>
          </w:p>
        </w:tc>
        <w:tc>
          <w:tcPr>
            <w:tcW w:w="631" w:type="dxa"/>
            <w:vAlign w:val="center"/>
          </w:tcPr>
          <w:p w14:paraId="2D8FD15C">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必需</w:t>
            </w:r>
          </w:p>
        </w:tc>
        <w:tc>
          <w:tcPr>
            <w:tcW w:w="1075" w:type="dxa"/>
            <w:vAlign w:val="center"/>
          </w:tcPr>
          <w:p w14:paraId="5A1264C0">
            <w:pPr>
              <w:spacing w:before="62" w:beforeLines="20" w:after="62" w:afterLines="20" w:line="276" w:lineRule="auto"/>
              <w:jc w:val="center"/>
              <w:rPr>
                <w:rFonts w:hint="eastAsia" w:ascii="宋体" w:hAnsi="宋体" w:cs="宋体"/>
                <w:color w:val="auto"/>
                <w:sz w:val="24"/>
                <w:highlight w:val="none"/>
              </w:rPr>
            </w:pPr>
          </w:p>
        </w:tc>
      </w:tr>
      <w:tr w14:paraId="0638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14:paraId="03C9B5AE">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▲URS</w:t>
            </w:r>
            <w:r>
              <w:rPr>
                <w:rFonts w:ascii="宋体" w:hAnsi="宋体" w:cs="宋体"/>
                <w:color w:val="auto"/>
                <w:sz w:val="24"/>
                <w:highlight w:val="none"/>
              </w:rPr>
              <w:t>10.10</w:t>
            </w:r>
            <w:r>
              <w:rPr>
                <w:rFonts w:hint="eastAsia" w:ascii="宋体" w:hAnsi="宋体" w:cs="宋体"/>
                <w:color w:val="auto"/>
                <w:sz w:val="24"/>
                <w:highlight w:val="none"/>
              </w:rPr>
              <w:t>-0</w:t>
            </w:r>
            <w:r>
              <w:rPr>
                <w:rFonts w:ascii="宋体" w:hAnsi="宋体" w:cs="宋体"/>
                <w:color w:val="auto"/>
                <w:sz w:val="24"/>
                <w:highlight w:val="none"/>
              </w:rPr>
              <w:t>2</w:t>
            </w:r>
          </w:p>
        </w:tc>
        <w:tc>
          <w:tcPr>
            <w:tcW w:w="696" w:type="dxa"/>
            <w:tcBorders>
              <w:top w:val="single" w:color="auto" w:sz="4" w:space="0"/>
              <w:left w:val="single" w:color="auto" w:sz="4" w:space="0"/>
              <w:bottom w:val="single" w:color="auto" w:sz="4" w:space="0"/>
              <w:right w:val="single" w:color="auto" w:sz="4" w:space="0"/>
            </w:tcBorders>
            <w:vAlign w:val="center"/>
          </w:tcPr>
          <w:p w14:paraId="1F4F42AE">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品牌</w:t>
            </w:r>
          </w:p>
        </w:tc>
        <w:tc>
          <w:tcPr>
            <w:tcW w:w="4341" w:type="dxa"/>
            <w:tcBorders>
              <w:top w:val="single" w:color="auto" w:sz="4" w:space="0"/>
              <w:left w:val="single" w:color="auto" w:sz="4" w:space="0"/>
              <w:bottom w:val="single" w:color="auto" w:sz="4" w:space="0"/>
              <w:right w:val="single" w:color="auto" w:sz="4" w:space="0"/>
            </w:tcBorders>
            <w:vAlign w:val="center"/>
          </w:tcPr>
          <w:p w14:paraId="202AC093">
            <w:pPr>
              <w:ind w:left="360"/>
              <w:rPr>
                <w:rFonts w:hint="eastAsia" w:ascii="宋体" w:hAnsi="宋体" w:cs="宋体"/>
                <w:color w:val="auto"/>
                <w:sz w:val="24"/>
                <w:highlight w:val="none"/>
              </w:rPr>
            </w:pPr>
            <w:r>
              <w:rPr>
                <w:rFonts w:hint="eastAsia" w:ascii="宋体" w:hAnsi="宋体" w:cs="宋体"/>
                <w:color w:val="auto"/>
                <w:sz w:val="24"/>
                <w:highlight w:val="none"/>
              </w:rPr>
              <w:t>按品牌表</w:t>
            </w:r>
          </w:p>
        </w:tc>
        <w:tc>
          <w:tcPr>
            <w:tcW w:w="631" w:type="dxa"/>
            <w:tcBorders>
              <w:top w:val="single" w:color="auto" w:sz="4" w:space="0"/>
              <w:left w:val="single" w:color="auto" w:sz="4" w:space="0"/>
              <w:bottom w:val="single" w:color="auto" w:sz="4" w:space="0"/>
              <w:right w:val="single" w:color="auto" w:sz="4" w:space="0"/>
            </w:tcBorders>
            <w:vAlign w:val="center"/>
          </w:tcPr>
          <w:p w14:paraId="59DCDF90">
            <w:pPr>
              <w:spacing w:before="62" w:beforeLines="20" w:after="62" w:afterLines="20" w:line="276" w:lineRule="auto"/>
              <w:jc w:val="left"/>
              <w:rPr>
                <w:rFonts w:hint="eastAsia" w:ascii="宋体" w:hAnsi="宋体" w:cs="宋体"/>
                <w:color w:val="auto"/>
                <w:sz w:val="24"/>
                <w:highlight w:val="none"/>
              </w:rPr>
            </w:pPr>
            <w:r>
              <w:rPr>
                <w:rFonts w:hint="eastAsia" w:ascii="宋体" w:hAnsi="宋体" w:cs="宋体"/>
                <w:color w:val="auto"/>
                <w:sz w:val="24"/>
                <w:highlight w:val="none"/>
              </w:rPr>
              <w:t>必需</w:t>
            </w:r>
          </w:p>
        </w:tc>
        <w:tc>
          <w:tcPr>
            <w:tcW w:w="1075" w:type="dxa"/>
            <w:tcBorders>
              <w:top w:val="single" w:color="auto" w:sz="4" w:space="0"/>
              <w:left w:val="single" w:color="auto" w:sz="4" w:space="0"/>
              <w:bottom w:val="single" w:color="auto" w:sz="4" w:space="0"/>
              <w:right w:val="single" w:color="auto" w:sz="4" w:space="0"/>
            </w:tcBorders>
            <w:vAlign w:val="center"/>
          </w:tcPr>
          <w:p w14:paraId="2BAB75F8">
            <w:pPr>
              <w:spacing w:before="62" w:beforeLines="20" w:after="62" w:afterLines="20" w:line="276" w:lineRule="auto"/>
              <w:jc w:val="center"/>
              <w:rPr>
                <w:rFonts w:hint="eastAsia" w:ascii="宋体" w:hAnsi="宋体" w:cs="宋体"/>
                <w:color w:val="auto"/>
                <w:sz w:val="24"/>
                <w:highlight w:val="none"/>
              </w:rPr>
            </w:pPr>
          </w:p>
        </w:tc>
      </w:tr>
    </w:tbl>
    <w:p w14:paraId="1E041712">
      <w:pPr>
        <w:spacing w:line="360" w:lineRule="auto"/>
        <w:rPr>
          <w:rFonts w:hint="eastAsia" w:ascii="宋体" w:hAnsi="宋体" w:cs="宋体"/>
          <w:color w:val="auto"/>
          <w:sz w:val="24"/>
          <w:highlight w:val="none"/>
        </w:rPr>
      </w:pPr>
    </w:p>
    <w:bookmarkEnd w:id="586"/>
    <w:p w14:paraId="4CF13A56">
      <w:pPr>
        <w:spacing w:before="62" w:beforeLines="20" w:after="62" w:afterLines="20" w:line="276" w:lineRule="auto"/>
        <w:jc w:val="left"/>
        <w:rPr>
          <w:rFonts w:ascii="Arial" w:hAnsi="Arial" w:cs="Arial"/>
          <w:b/>
          <w:color w:val="auto"/>
          <w:sz w:val="24"/>
          <w:highlight w:val="none"/>
        </w:rPr>
      </w:pPr>
    </w:p>
    <w:p w14:paraId="6CFD2BD5">
      <w:pPr>
        <w:spacing w:before="62" w:beforeLines="20" w:after="62" w:afterLines="20" w:line="276" w:lineRule="auto"/>
        <w:jc w:val="left"/>
        <w:rPr>
          <w:rFonts w:ascii="Arial" w:hAnsi="Arial" w:cs="Arial"/>
          <w:b/>
          <w:color w:val="auto"/>
          <w:sz w:val="24"/>
          <w:highlight w:val="none"/>
        </w:rPr>
      </w:pPr>
      <w:r>
        <w:rPr>
          <w:rFonts w:hint="eastAsia" w:ascii="Arial" w:hAnsi="Arial" w:cs="Arial"/>
          <w:b/>
          <w:color w:val="auto"/>
          <w:sz w:val="24"/>
          <w:highlight w:val="none"/>
        </w:rPr>
        <w:t>十一、</w:t>
      </w:r>
      <w:r>
        <w:rPr>
          <w:rFonts w:ascii="Arial" w:hAnsi="Arial" w:cs="Arial"/>
          <w:b/>
          <w:color w:val="auto"/>
          <w:sz w:val="24"/>
          <w:highlight w:val="none"/>
        </w:rPr>
        <w:t>洁净区恒温恒湿组合空调机组</w:t>
      </w:r>
    </w:p>
    <w:p w14:paraId="1D19517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11.1</w:t>
      </w:r>
      <w:r>
        <w:rPr>
          <w:rFonts w:hint="eastAsia" w:ascii="Arial Bold" w:hAnsi="Arial Bold"/>
          <w:caps/>
          <w:color w:val="auto"/>
          <w:kern w:val="32"/>
          <w:sz w:val="24"/>
          <w:highlight w:val="none"/>
        </w:rPr>
        <w:t>整机要求</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5062"/>
        <w:gridCol w:w="679"/>
        <w:gridCol w:w="1122"/>
      </w:tblGrid>
      <w:tr w14:paraId="2F8F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56" w:type="dxa"/>
            <w:tcBorders>
              <w:bottom w:val="single" w:color="auto" w:sz="4" w:space="0"/>
            </w:tcBorders>
            <w:shd w:val="pct20" w:color="auto" w:fill="FFFFFF"/>
            <w:vAlign w:val="center"/>
          </w:tcPr>
          <w:p w14:paraId="208B1841">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062" w:type="dxa"/>
            <w:tcBorders>
              <w:bottom w:val="single" w:color="auto" w:sz="4" w:space="0"/>
            </w:tcBorders>
            <w:shd w:val="pct20" w:color="auto" w:fill="FFFFFF"/>
            <w:vAlign w:val="center"/>
          </w:tcPr>
          <w:p w14:paraId="0729380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679" w:type="dxa"/>
            <w:tcBorders>
              <w:bottom w:val="single" w:color="auto" w:sz="4" w:space="0"/>
            </w:tcBorders>
            <w:shd w:val="pct20" w:color="auto" w:fill="FFFFFF"/>
            <w:vAlign w:val="center"/>
          </w:tcPr>
          <w:p w14:paraId="64F70478">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22" w:type="dxa"/>
            <w:tcBorders>
              <w:bottom w:val="single" w:color="auto" w:sz="4" w:space="0"/>
            </w:tcBorders>
            <w:shd w:val="pct20" w:color="auto" w:fill="FFFFFF"/>
          </w:tcPr>
          <w:p w14:paraId="4A36194E">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450B21D4">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2569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64BAD438">
            <w:pPr>
              <w:rPr>
                <w:color w:val="auto"/>
                <w:highlight w:val="none"/>
              </w:rPr>
            </w:pPr>
            <w:r>
              <w:rPr>
                <w:rFonts w:hint="eastAsia" w:ascii="宋体" w:hAnsi="宋体" w:cs="Arial"/>
                <w:color w:val="auto"/>
                <w:sz w:val="24"/>
                <w:highlight w:val="none"/>
              </w:rPr>
              <w:t>▲URS11.1-01</w:t>
            </w:r>
          </w:p>
        </w:tc>
        <w:tc>
          <w:tcPr>
            <w:tcW w:w="5062" w:type="dxa"/>
            <w:vAlign w:val="center"/>
          </w:tcPr>
          <w:p w14:paraId="63681080">
            <w:pPr>
              <w:ind w:left="31" w:leftChars="15"/>
              <w:rPr>
                <w:rFonts w:hint="eastAsia" w:ascii="宋体" w:hAnsi="宋体" w:cs="System"/>
                <w:color w:val="auto"/>
                <w:kern w:val="0"/>
                <w:sz w:val="24"/>
                <w:highlight w:val="none"/>
              </w:rPr>
            </w:pPr>
            <w:r>
              <w:rPr>
                <w:rFonts w:hint="eastAsia" w:ascii="宋体" w:hAnsi="宋体"/>
                <w:color w:val="auto"/>
                <w:sz w:val="24"/>
                <w:szCs w:val="20"/>
                <w:highlight w:val="none"/>
              </w:rPr>
              <w:t>所提供的空调风柜的性能应不低于</w:t>
            </w:r>
            <w:r>
              <w:rPr>
                <w:rFonts w:ascii="宋体" w:hAnsi="宋体"/>
                <w:color w:val="auto"/>
                <w:sz w:val="24"/>
                <w:szCs w:val="20"/>
                <w:highlight w:val="none"/>
              </w:rPr>
              <w:t>GB/T 14294-2008</w:t>
            </w:r>
            <w:r>
              <w:rPr>
                <w:rFonts w:hint="eastAsia" w:ascii="宋体" w:hAnsi="宋体"/>
                <w:color w:val="auto"/>
                <w:sz w:val="24"/>
                <w:szCs w:val="20"/>
                <w:highlight w:val="none"/>
              </w:rPr>
              <w:t>组合式空调风柜标准中所列的参考指标并完全符合药品生产</w:t>
            </w:r>
            <w:r>
              <w:rPr>
                <w:rFonts w:ascii="宋体" w:hAnsi="宋体"/>
                <w:color w:val="auto"/>
                <w:sz w:val="24"/>
                <w:szCs w:val="20"/>
                <w:highlight w:val="none"/>
              </w:rPr>
              <w:t>2023</w:t>
            </w:r>
            <w:r>
              <w:rPr>
                <w:rFonts w:hint="eastAsia" w:ascii="宋体" w:hAnsi="宋体"/>
                <w:color w:val="auto"/>
                <w:sz w:val="24"/>
                <w:szCs w:val="20"/>
                <w:highlight w:val="none"/>
              </w:rPr>
              <w:t>版</w:t>
            </w:r>
            <w:r>
              <w:rPr>
                <w:rFonts w:ascii="宋体" w:hAnsi="宋体"/>
                <w:color w:val="auto"/>
                <w:sz w:val="24"/>
                <w:szCs w:val="20"/>
                <w:highlight w:val="none"/>
              </w:rPr>
              <w:t>GMP</w:t>
            </w:r>
            <w:r>
              <w:rPr>
                <w:rFonts w:hint="eastAsia" w:ascii="宋体" w:hAnsi="宋体"/>
                <w:color w:val="auto"/>
                <w:sz w:val="24"/>
                <w:szCs w:val="20"/>
                <w:highlight w:val="none"/>
              </w:rPr>
              <w:t>要求。</w:t>
            </w:r>
          </w:p>
          <w:p w14:paraId="4DD32C74">
            <w:pPr>
              <w:ind w:left="31" w:leftChars="15"/>
              <w:rPr>
                <w:rFonts w:hint="eastAsia" w:ascii="宋体" w:hAnsi="宋体"/>
                <w:color w:val="auto"/>
                <w:sz w:val="24"/>
                <w:highlight w:val="none"/>
              </w:rPr>
            </w:pPr>
            <w:r>
              <w:rPr>
                <w:rFonts w:hint="eastAsia" w:ascii="宋体" w:hAnsi="宋体"/>
                <w:color w:val="auto"/>
                <w:sz w:val="24"/>
                <w:szCs w:val="20"/>
                <w:highlight w:val="none"/>
              </w:rPr>
              <w:t>所提供的空调机组满足</w:t>
            </w:r>
            <w:r>
              <w:rPr>
                <w:rFonts w:hint="eastAsia" w:ascii="宋体" w:hAnsi="宋体"/>
                <w:color w:val="auto"/>
                <w:kern w:val="0"/>
                <w:sz w:val="24"/>
                <w:szCs w:val="20"/>
                <w:highlight w:val="none"/>
              </w:rPr>
              <w:t>组合式空调风柜的基本功能段技术参数要求。（各功能段及技术参数详见附件的设备技术参数表。）</w:t>
            </w:r>
            <w:r>
              <w:rPr>
                <w:rFonts w:hint="eastAsia" w:ascii="宋体" w:hAnsi="宋体"/>
                <w:color w:val="auto"/>
                <w:sz w:val="24"/>
                <w:szCs w:val="20"/>
                <w:highlight w:val="none"/>
              </w:rPr>
              <w:t>组合式空调风柜框架采用内部充有</w:t>
            </w:r>
            <w:r>
              <w:rPr>
                <w:rFonts w:hint="eastAsia" w:ascii="宋体" w:hAnsi="宋体"/>
                <w:b/>
                <w:bCs/>
                <w:color w:val="auto"/>
                <w:sz w:val="24"/>
                <w:szCs w:val="20"/>
                <w:highlight w:val="none"/>
              </w:rPr>
              <w:t>高密度聚氨酯发泡铝合金榫头双柱结构</w:t>
            </w:r>
            <w:r>
              <w:rPr>
                <w:rFonts w:hint="eastAsia" w:ascii="宋体" w:hAnsi="宋体"/>
                <w:color w:val="auto"/>
                <w:sz w:val="24"/>
                <w:szCs w:val="20"/>
                <w:highlight w:val="none"/>
              </w:rPr>
              <w:t>结构，要保证机组的刚度和强度，机体在运转时不变形。采用最新一代的面板直接拼装结构，凹凸槽扣压式强制密封边框复合型材料，与箱板内外金属板通过高密度聚氨酯发泡形成整体，使得箱体板与板连接时可达到高密封性和高强度，避免了箱体内外形成冷桥和结露。机组的冷桥因子不低于TB1级。组合式空调风柜的外板采用</w:t>
            </w:r>
            <w:r>
              <w:rPr>
                <w:rFonts w:hint="eastAsia" w:ascii="宋体" w:hAnsi="宋体"/>
                <w:b/>
                <w:bCs/>
                <w:color w:val="auto"/>
                <w:sz w:val="24"/>
                <w:szCs w:val="20"/>
                <w:highlight w:val="none"/>
              </w:rPr>
              <w:t>灰白色烤漆镀锌宝钢板，</w:t>
            </w:r>
            <w:r>
              <w:rPr>
                <w:rFonts w:hint="eastAsia" w:ascii="宋体" w:hAnsi="宋体"/>
                <w:color w:val="auto"/>
                <w:sz w:val="24"/>
                <w:szCs w:val="20"/>
                <w:highlight w:val="none"/>
              </w:rPr>
              <w:t>镀锌板的锌含</w:t>
            </w:r>
            <w:r>
              <w:rPr>
                <w:rFonts w:ascii="宋体" w:hAnsi="宋体"/>
                <w:color w:val="auto"/>
                <w:sz w:val="24"/>
                <w:szCs w:val="20"/>
                <w:highlight w:val="none"/>
              </w:rPr>
              <w:t>量</w:t>
            </w:r>
            <w:r>
              <w:rPr>
                <w:rFonts w:hint="eastAsia" w:ascii="宋体" w:hAnsi="宋体"/>
                <w:b/>
                <w:bCs/>
                <w:color w:val="auto"/>
                <w:sz w:val="24"/>
                <w:szCs w:val="20"/>
                <w:highlight w:val="none"/>
              </w:rPr>
              <w:t>不低于</w:t>
            </w:r>
            <w:r>
              <w:rPr>
                <w:rFonts w:ascii="宋体" w:hAnsi="宋体"/>
                <w:b/>
                <w:bCs/>
                <w:color w:val="auto"/>
                <w:sz w:val="24"/>
                <w:szCs w:val="20"/>
                <w:highlight w:val="none"/>
              </w:rPr>
              <w:t>120g/m</w:t>
            </w:r>
            <w:r>
              <w:rPr>
                <w:rFonts w:ascii="宋体" w:hAnsi="宋体"/>
                <w:b/>
                <w:bCs/>
                <w:color w:val="auto"/>
                <w:sz w:val="24"/>
                <w:szCs w:val="20"/>
                <w:highlight w:val="none"/>
                <w:shd w:val="clear" w:color="auto" w:fill="FFFFFF"/>
                <w:vertAlign w:val="superscript"/>
              </w:rPr>
              <w:t>2</w:t>
            </w:r>
            <w:r>
              <w:rPr>
                <w:rFonts w:hint="eastAsia" w:ascii="宋体" w:hAnsi="宋体"/>
                <w:color w:val="auto"/>
                <w:sz w:val="24"/>
                <w:szCs w:val="20"/>
                <w:highlight w:val="none"/>
              </w:rPr>
              <w:t>，外壁板厚度</w:t>
            </w:r>
            <w:r>
              <w:rPr>
                <w:rFonts w:hint="eastAsia" w:ascii="宋体" w:hAnsi="宋体"/>
                <w:b/>
                <w:bCs/>
                <w:color w:val="auto"/>
                <w:sz w:val="24"/>
                <w:szCs w:val="20"/>
                <w:highlight w:val="none"/>
              </w:rPr>
              <w:t>≥</w:t>
            </w:r>
            <w:r>
              <w:rPr>
                <w:rFonts w:ascii="宋体" w:hAnsi="宋体"/>
                <w:b/>
                <w:bCs/>
                <w:color w:val="auto"/>
                <w:sz w:val="24"/>
                <w:szCs w:val="20"/>
                <w:highlight w:val="none"/>
              </w:rPr>
              <w:t>1.0</w:t>
            </w:r>
            <w:r>
              <w:rPr>
                <w:rFonts w:hint="eastAsia" w:ascii="宋体" w:hAnsi="宋体"/>
                <w:b/>
                <w:bCs/>
                <w:color w:val="auto"/>
                <w:sz w:val="24"/>
                <w:szCs w:val="20"/>
                <w:highlight w:val="none"/>
              </w:rPr>
              <w:t>mm</w:t>
            </w:r>
            <w:r>
              <w:rPr>
                <w:rFonts w:hint="eastAsia" w:ascii="宋体" w:hAnsi="宋体"/>
                <w:color w:val="auto"/>
                <w:sz w:val="24"/>
                <w:szCs w:val="20"/>
                <w:highlight w:val="none"/>
              </w:rPr>
              <w:t>。机组构件表面应作防锈和防腐处理，涂层厚度不低于50um。运转时正压、负压段壁板不变形。机组热绝缘性能保证应不低于T2级。风柜内部</w:t>
            </w:r>
            <w:r>
              <w:rPr>
                <w:rFonts w:hint="eastAsia" w:ascii="宋体" w:hAnsi="宋体"/>
                <w:b/>
                <w:bCs/>
                <w:color w:val="auto"/>
                <w:sz w:val="24"/>
                <w:szCs w:val="20"/>
                <w:highlight w:val="none"/>
              </w:rPr>
              <w:t>均使用304不锈钢</w:t>
            </w:r>
            <w:r>
              <w:rPr>
                <w:rFonts w:hint="eastAsia" w:ascii="宋体" w:hAnsi="宋体"/>
                <w:color w:val="auto"/>
                <w:sz w:val="24"/>
                <w:szCs w:val="20"/>
                <w:highlight w:val="none"/>
              </w:rPr>
              <w:t>材质（顶侧面板材厚度不小于0.5mm，底面板材不小于</w:t>
            </w:r>
            <w:r>
              <w:rPr>
                <w:rFonts w:ascii="宋体" w:hAnsi="宋体"/>
                <w:color w:val="auto"/>
                <w:sz w:val="24"/>
                <w:szCs w:val="20"/>
                <w:highlight w:val="none"/>
              </w:rPr>
              <w:t>1.0</w:t>
            </w:r>
            <w:r>
              <w:rPr>
                <w:rFonts w:hint="eastAsia" w:ascii="宋体" w:hAnsi="宋体"/>
                <w:color w:val="auto"/>
                <w:sz w:val="24"/>
                <w:szCs w:val="20"/>
                <w:highlight w:val="none"/>
              </w:rPr>
              <w:t>mm），同时底座等有色金属进行防锈镀锌。保温层厚度不小于50mm，内充填聚氨脂发泡保温（</w:t>
            </w:r>
            <w:r>
              <w:rPr>
                <w:rFonts w:hint="eastAsia" w:ascii="宋体" w:hAnsi="宋体"/>
                <w:b/>
                <w:bCs/>
                <w:color w:val="auto"/>
                <w:sz w:val="24"/>
                <w:szCs w:val="20"/>
                <w:highlight w:val="none"/>
              </w:rPr>
              <w:t>密度≥48kg/m3</w:t>
            </w:r>
            <w:r>
              <w:rPr>
                <w:rFonts w:hint="eastAsia" w:ascii="宋体" w:hAnsi="宋体"/>
                <w:color w:val="auto"/>
                <w:sz w:val="24"/>
                <w:szCs w:val="20"/>
                <w:highlight w:val="none"/>
              </w:rPr>
              <w:t>），改善隔热保温的质量，降低和避免冷量的损失。机组热绝缘性能保证应不低于T2级。</w:t>
            </w:r>
          </w:p>
        </w:tc>
        <w:tc>
          <w:tcPr>
            <w:tcW w:w="679" w:type="dxa"/>
          </w:tcPr>
          <w:p w14:paraId="29593522">
            <w:pPr>
              <w:rPr>
                <w:color w:val="auto"/>
                <w:highlight w:val="none"/>
              </w:rPr>
            </w:pPr>
            <w:r>
              <w:rPr>
                <w:rFonts w:hint="eastAsia" w:ascii="宋体" w:hAnsi="宋体" w:cs="Arial"/>
                <w:caps/>
                <w:color w:val="auto"/>
                <w:highlight w:val="none"/>
              </w:rPr>
              <w:t>必需</w:t>
            </w:r>
          </w:p>
        </w:tc>
        <w:tc>
          <w:tcPr>
            <w:tcW w:w="1122" w:type="dxa"/>
            <w:vAlign w:val="center"/>
          </w:tcPr>
          <w:p w14:paraId="7B4A592D">
            <w:pPr>
              <w:spacing w:before="62" w:beforeLines="20" w:after="62" w:afterLines="20" w:line="276" w:lineRule="auto"/>
              <w:jc w:val="left"/>
              <w:rPr>
                <w:rFonts w:hint="eastAsia" w:ascii="宋体" w:hAnsi="宋体" w:cs="Arial"/>
                <w:color w:val="auto"/>
                <w:sz w:val="24"/>
                <w:highlight w:val="none"/>
              </w:rPr>
            </w:pPr>
          </w:p>
        </w:tc>
      </w:tr>
      <w:tr w14:paraId="667B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671F4A8">
            <w:pPr>
              <w:rPr>
                <w:color w:val="auto"/>
                <w:highlight w:val="none"/>
              </w:rPr>
            </w:pPr>
            <w:r>
              <w:rPr>
                <w:rFonts w:hint="eastAsia" w:ascii="宋体" w:hAnsi="宋体" w:cs="Arial"/>
                <w:color w:val="auto"/>
                <w:sz w:val="24"/>
                <w:highlight w:val="none"/>
              </w:rPr>
              <w:t>▲URS11.1-02</w:t>
            </w:r>
          </w:p>
        </w:tc>
        <w:tc>
          <w:tcPr>
            <w:tcW w:w="5062" w:type="dxa"/>
            <w:vAlign w:val="center"/>
          </w:tcPr>
          <w:p w14:paraId="59C5FBD7">
            <w:pPr>
              <w:ind w:left="12" w:hanging="12" w:hangingChars="5"/>
              <w:rPr>
                <w:rFonts w:hint="eastAsia" w:ascii="宋体" w:hAnsi="宋体" w:cs="宋体"/>
                <w:color w:val="auto"/>
                <w:sz w:val="24"/>
                <w:highlight w:val="none"/>
              </w:rPr>
            </w:pPr>
            <w:r>
              <w:rPr>
                <w:rFonts w:hint="eastAsia" w:ascii="宋体" w:hAnsi="宋体" w:cs="宋体"/>
                <w:color w:val="auto"/>
                <w:sz w:val="24"/>
                <w:highlight w:val="none"/>
              </w:rPr>
              <w:t>温湿度要求：温度18-26℃，湿度45-65%，要求全年365天 温湿度不能超标，并且在范围内任何的设定值均可达到。</w:t>
            </w:r>
          </w:p>
        </w:tc>
        <w:tc>
          <w:tcPr>
            <w:tcW w:w="679" w:type="dxa"/>
          </w:tcPr>
          <w:p w14:paraId="762B5630">
            <w:pPr>
              <w:rPr>
                <w:color w:val="auto"/>
                <w:highlight w:val="none"/>
              </w:rPr>
            </w:pPr>
            <w:r>
              <w:rPr>
                <w:rFonts w:hint="eastAsia" w:ascii="宋体" w:hAnsi="宋体" w:cs="Arial"/>
                <w:caps/>
                <w:color w:val="auto"/>
                <w:highlight w:val="none"/>
              </w:rPr>
              <w:t>必需</w:t>
            </w:r>
          </w:p>
        </w:tc>
        <w:tc>
          <w:tcPr>
            <w:tcW w:w="1122" w:type="dxa"/>
            <w:vAlign w:val="center"/>
          </w:tcPr>
          <w:p w14:paraId="745CB56D">
            <w:pPr>
              <w:spacing w:before="62" w:beforeLines="20" w:after="62" w:afterLines="20" w:line="276" w:lineRule="auto"/>
              <w:jc w:val="left"/>
              <w:rPr>
                <w:rFonts w:hint="eastAsia" w:ascii="宋体" w:hAnsi="宋体" w:cs="Arial"/>
                <w:color w:val="auto"/>
                <w:sz w:val="24"/>
                <w:highlight w:val="none"/>
              </w:rPr>
            </w:pPr>
          </w:p>
        </w:tc>
      </w:tr>
      <w:tr w14:paraId="3594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1EE5B103">
            <w:pPr>
              <w:rPr>
                <w:color w:val="auto"/>
                <w:highlight w:val="none"/>
              </w:rPr>
            </w:pPr>
            <w:r>
              <w:rPr>
                <w:rFonts w:hint="eastAsia" w:ascii="宋体" w:hAnsi="宋体" w:cs="Arial"/>
                <w:color w:val="auto"/>
                <w:sz w:val="24"/>
                <w:highlight w:val="none"/>
              </w:rPr>
              <w:t>URS11.1-03</w:t>
            </w:r>
          </w:p>
        </w:tc>
        <w:tc>
          <w:tcPr>
            <w:tcW w:w="5062" w:type="dxa"/>
            <w:vAlign w:val="center"/>
          </w:tcPr>
          <w:p w14:paraId="7144187E">
            <w:pPr>
              <w:widowControl/>
              <w:tabs>
                <w:tab w:val="center" w:pos="2268"/>
                <w:tab w:val="right" w:pos="5387"/>
              </w:tabs>
              <w:spacing w:line="320" w:lineRule="atLeast"/>
              <w:jc w:val="left"/>
              <w:rPr>
                <w:rFonts w:hint="eastAsia" w:ascii="宋体" w:hAnsi="宋体" w:cs="Arial"/>
                <w:caps/>
                <w:color w:val="auto"/>
                <w:kern w:val="0"/>
                <w:sz w:val="24"/>
                <w:highlight w:val="none"/>
              </w:rPr>
            </w:pPr>
            <w:r>
              <w:rPr>
                <w:rFonts w:hint="eastAsia" w:ascii="宋体" w:hAnsi="宋体" w:cs="宋体"/>
                <w:caps/>
                <w:color w:val="auto"/>
                <w:kern w:val="0"/>
                <w:sz w:val="24"/>
                <w:highlight w:val="none"/>
                <w:lang w:val="en-GB"/>
              </w:rPr>
              <w:t>洁净区的压差按设计以及GMP的要求。</w:t>
            </w:r>
          </w:p>
        </w:tc>
        <w:tc>
          <w:tcPr>
            <w:tcW w:w="679" w:type="dxa"/>
          </w:tcPr>
          <w:p w14:paraId="42EA6BBE">
            <w:pPr>
              <w:rPr>
                <w:color w:val="auto"/>
                <w:highlight w:val="none"/>
              </w:rPr>
            </w:pPr>
            <w:r>
              <w:rPr>
                <w:rFonts w:hint="eastAsia" w:ascii="宋体" w:hAnsi="宋体" w:cs="Arial"/>
                <w:caps/>
                <w:color w:val="auto"/>
                <w:highlight w:val="none"/>
              </w:rPr>
              <w:t>必需</w:t>
            </w:r>
          </w:p>
        </w:tc>
        <w:tc>
          <w:tcPr>
            <w:tcW w:w="1122" w:type="dxa"/>
            <w:vAlign w:val="center"/>
          </w:tcPr>
          <w:p w14:paraId="5FFD1866">
            <w:pPr>
              <w:spacing w:before="62" w:beforeLines="20" w:after="62" w:afterLines="20" w:line="276" w:lineRule="auto"/>
              <w:jc w:val="left"/>
              <w:rPr>
                <w:rFonts w:hint="eastAsia" w:ascii="宋体" w:hAnsi="宋体" w:cs="Arial"/>
                <w:color w:val="auto"/>
                <w:sz w:val="24"/>
                <w:highlight w:val="none"/>
              </w:rPr>
            </w:pPr>
          </w:p>
        </w:tc>
      </w:tr>
      <w:tr w14:paraId="0837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B666F87">
            <w:pPr>
              <w:rPr>
                <w:color w:val="auto"/>
                <w:highlight w:val="none"/>
              </w:rPr>
            </w:pPr>
            <w:r>
              <w:rPr>
                <w:rFonts w:hint="eastAsia" w:ascii="宋体" w:hAnsi="宋体" w:cs="Arial"/>
                <w:color w:val="auto"/>
                <w:sz w:val="24"/>
                <w:highlight w:val="none"/>
              </w:rPr>
              <w:t>URS11.1-04</w:t>
            </w:r>
          </w:p>
        </w:tc>
        <w:tc>
          <w:tcPr>
            <w:tcW w:w="5062" w:type="dxa"/>
          </w:tcPr>
          <w:p w14:paraId="3A9A40B0">
            <w:pPr>
              <w:spacing w:line="320" w:lineRule="exact"/>
              <w:rPr>
                <w:rFonts w:hint="eastAsia" w:ascii="宋体" w:hAnsi="宋体" w:cs="Arial"/>
                <w:color w:val="auto"/>
                <w:sz w:val="24"/>
                <w:highlight w:val="none"/>
              </w:rPr>
            </w:pPr>
            <w:r>
              <w:rPr>
                <w:rFonts w:hint="eastAsia" w:ascii="宋体" w:hAnsi="宋体"/>
                <w:color w:val="auto"/>
                <w:sz w:val="24"/>
                <w:highlight w:val="none"/>
              </w:rPr>
              <w:t>自动控制，适应每天24小时连续稳定运行。</w:t>
            </w:r>
            <w:r>
              <w:rPr>
                <w:rFonts w:hint="eastAsia" w:ascii="宋体" w:hAnsi="宋体" w:cs="System"/>
                <w:color w:val="auto"/>
                <w:kern w:val="0"/>
                <w:sz w:val="24"/>
                <w:highlight w:val="none"/>
              </w:rPr>
              <w:t>洁净区送风机，排风机以及新风电动密闭阀应进行电气联锁，正压洁净室联锁程序为：先启动送风机，同时开启新风电动密闭阀，再启动排风机；关闭时联锁程序应相反。</w:t>
            </w:r>
          </w:p>
        </w:tc>
        <w:tc>
          <w:tcPr>
            <w:tcW w:w="679" w:type="dxa"/>
          </w:tcPr>
          <w:p w14:paraId="23E921EE">
            <w:pPr>
              <w:rPr>
                <w:color w:val="auto"/>
                <w:highlight w:val="none"/>
              </w:rPr>
            </w:pPr>
            <w:r>
              <w:rPr>
                <w:rFonts w:hint="eastAsia" w:ascii="宋体" w:hAnsi="宋体" w:cs="Arial"/>
                <w:caps/>
                <w:color w:val="auto"/>
                <w:highlight w:val="none"/>
              </w:rPr>
              <w:t>必需</w:t>
            </w:r>
          </w:p>
        </w:tc>
        <w:tc>
          <w:tcPr>
            <w:tcW w:w="1122" w:type="dxa"/>
            <w:vAlign w:val="center"/>
          </w:tcPr>
          <w:p w14:paraId="3F280D5A">
            <w:pPr>
              <w:spacing w:before="62" w:beforeLines="20" w:after="62" w:afterLines="20" w:line="276" w:lineRule="auto"/>
              <w:jc w:val="left"/>
              <w:rPr>
                <w:rFonts w:hint="eastAsia" w:ascii="宋体" w:hAnsi="宋体" w:cs="Arial"/>
                <w:color w:val="auto"/>
                <w:sz w:val="24"/>
                <w:highlight w:val="none"/>
              </w:rPr>
            </w:pPr>
          </w:p>
        </w:tc>
      </w:tr>
      <w:tr w14:paraId="4201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58EB8107">
            <w:pPr>
              <w:rPr>
                <w:color w:val="auto"/>
                <w:highlight w:val="none"/>
              </w:rPr>
            </w:pPr>
            <w:r>
              <w:rPr>
                <w:rFonts w:hint="eastAsia" w:ascii="宋体" w:hAnsi="宋体" w:cs="Arial"/>
                <w:color w:val="auto"/>
                <w:sz w:val="24"/>
                <w:highlight w:val="none"/>
              </w:rPr>
              <w:t>URS11.1-05</w:t>
            </w:r>
          </w:p>
        </w:tc>
        <w:tc>
          <w:tcPr>
            <w:tcW w:w="5062" w:type="dxa"/>
            <w:vAlign w:val="center"/>
          </w:tcPr>
          <w:p w14:paraId="00937939">
            <w:pPr>
              <w:rPr>
                <w:rFonts w:hint="eastAsia" w:ascii="宋体" w:hAnsi="宋体"/>
                <w:color w:val="auto"/>
                <w:sz w:val="24"/>
                <w:highlight w:val="none"/>
              </w:rPr>
            </w:pPr>
            <w:r>
              <w:rPr>
                <w:rFonts w:ascii="宋体" w:hAnsi="宋体"/>
                <w:color w:val="auto"/>
                <w:sz w:val="24"/>
                <w:highlight w:val="none"/>
              </w:rPr>
              <w:t>设备应符合国家环保要求，其在操作区域的噪音等级应低于70dB。</w:t>
            </w:r>
          </w:p>
        </w:tc>
        <w:tc>
          <w:tcPr>
            <w:tcW w:w="679" w:type="dxa"/>
          </w:tcPr>
          <w:p w14:paraId="1C22B708">
            <w:pPr>
              <w:rPr>
                <w:color w:val="auto"/>
                <w:highlight w:val="none"/>
              </w:rPr>
            </w:pPr>
            <w:r>
              <w:rPr>
                <w:rFonts w:hint="eastAsia" w:ascii="宋体" w:hAnsi="宋体" w:cs="Arial"/>
                <w:caps/>
                <w:color w:val="auto"/>
                <w:highlight w:val="none"/>
              </w:rPr>
              <w:t>必需</w:t>
            </w:r>
          </w:p>
        </w:tc>
        <w:tc>
          <w:tcPr>
            <w:tcW w:w="1122" w:type="dxa"/>
            <w:vAlign w:val="center"/>
          </w:tcPr>
          <w:p w14:paraId="03C4F2E6">
            <w:pPr>
              <w:spacing w:before="62" w:beforeLines="20" w:after="62" w:afterLines="20" w:line="276" w:lineRule="auto"/>
              <w:jc w:val="left"/>
              <w:rPr>
                <w:rFonts w:hint="eastAsia" w:ascii="宋体" w:hAnsi="宋体" w:cs="Arial"/>
                <w:color w:val="auto"/>
                <w:sz w:val="24"/>
                <w:highlight w:val="none"/>
              </w:rPr>
            </w:pPr>
          </w:p>
        </w:tc>
      </w:tr>
      <w:tr w14:paraId="0E2B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5DADF7AE">
            <w:pPr>
              <w:rPr>
                <w:color w:val="auto"/>
                <w:highlight w:val="none"/>
              </w:rPr>
            </w:pPr>
            <w:r>
              <w:rPr>
                <w:rFonts w:hint="eastAsia" w:ascii="宋体" w:hAnsi="宋体" w:cs="Arial"/>
                <w:color w:val="auto"/>
                <w:sz w:val="24"/>
                <w:highlight w:val="none"/>
              </w:rPr>
              <w:t>URS11.1-06</w:t>
            </w:r>
          </w:p>
        </w:tc>
        <w:tc>
          <w:tcPr>
            <w:tcW w:w="5062" w:type="dxa"/>
            <w:vAlign w:val="center"/>
          </w:tcPr>
          <w:p w14:paraId="651E8B5F">
            <w:pPr>
              <w:widowControl/>
              <w:tabs>
                <w:tab w:val="center" w:pos="2268"/>
                <w:tab w:val="right" w:pos="5387"/>
              </w:tabs>
              <w:jc w:val="left"/>
              <w:rPr>
                <w:rFonts w:hint="eastAsia" w:ascii="宋体" w:hAnsi="宋体"/>
                <w:color w:val="auto"/>
                <w:sz w:val="24"/>
                <w:highlight w:val="none"/>
              </w:rPr>
            </w:pPr>
            <w:r>
              <w:rPr>
                <w:rFonts w:hint="eastAsia" w:ascii="宋体" w:hAnsi="宋体"/>
                <w:caps/>
                <w:color w:val="auto"/>
                <w:kern w:val="0"/>
                <w:sz w:val="24"/>
                <w:highlight w:val="none"/>
              </w:rPr>
              <w:t>投标</w:t>
            </w:r>
            <w:r>
              <w:rPr>
                <w:rFonts w:ascii="宋体" w:hAnsi="宋体"/>
                <w:caps/>
                <w:color w:val="auto"/>
                <w:kern w:val="0"/>
                <w:sz w:val="24"/>
                <w:highlight w:val="none"/>
                <w:lang w:val="en-GB"/>
              </w:rPr>
              <w:t>方应提供设备详细所需动力系统和厂房设施配套要求，并协助用户完成</w:t>
            </w:r>
            <w:r>
              <w:rPr>
                <w:rFonts w:hint="eastAsia" w:ascii="宋体" w:hAnsi="宋体"/>
                <w:caps/>
                <w:color w:val="auto"/>
                <w:kern w:val="0"/>
                <w:sz w:val="24"/>
                <w:highlight w:val="none"/>
                <w:lang w:val="en-GB"/>
              </w:rPr>
              <w:t>现场</w:t>
            </w:r>
            <w:r>
              <w:rPr>
                <w:rFonts w:ascii="宋体" w:hAnsi="宋体"/>
                <w:caps/>
                <w:color w:val="auto"/>
                <w:kern w:val="0"/>
                <w:sz w:val="24"/>
                <w:highlight w:val="none"/>
                <w:lang w:val="en-GB"/>
              </w:rPr>
              <w:t>安装</w:t>
            </w:r>
            <w:r>
              <w:rPr>
                <w:rFonts w:hint="eastAsia" w:ascii="宋体" w:hAnsi="宋体"/>
                <w:caps/>
                <w:color w:val="auto"/>
                <w:kern w:val="0"/>
                <w:sz w:val="24"/>
                <w:highlight w:val="none"/>
                <w:lang w:val="en-GB"/>
              </w:rPr>
              <w:t>平面</w:t>
            </w:r>
            <w:r>
              <w:rPr>
                <w:rFonts w:ascii="宋体" w:hAnsi="宋体"/>
                <w:caps/>
                <w:color w:val="auto"/>
                <w:kern w:val="0"/>
                <w:sz w:val="24"/>
                <w:highlight w:val="none"/>
                <w:lang w:val="en-GB"/>
              </w:rPr>
              <w:t>图设计。</w:t>
            </w:r>
            <w:r>
              <w:rPr>
                <w:rFonts w:ascii="宋体" w:hAnsi="宋体"/>
                <w:caps/>
                <w:color w:val="auto"/>
                <w:kern w:val="0"/>
                <w:sz w:val="24"/>
                <w:szCs w:val="21"/>
                <w:highlight w:val="none"/>
                <w:lang w:val="en-GB"/>
              </w:rPr>
              <w:t>公用系统与客户连接图中应标明</w:t>
            </w:r>
            <w:r>
              <w:rPr>
                <w:rFonts w:hint="eastAsia" w:ascii="宋体" w:hAnsi="宋体"/>
                <w:caps/>
                <w:color w:val="auto"/>
                <w:kern w:val="0"/>
                <w:sz w:val="24"/>
                <w:szCs w:val="21"/>
                <w:highlight w:val="none"/>
                <w:lang w:val="en-GB"/>
              </w:rPr>
              <w:t>风管</w:t>
            </w:r>
            <w:r>
              <w:rPr>
                <w:rFonts w:ascii="宋体" w:hAnsi="宋体"/>
                <w:caps/>
                <w:color w:val="auto"/>
                <w:kern w:val="0"/>
                <w:sz w:val="24"/>
                <w:szCs w:val="21"/>
                <w:highlight w:val="none"/>
                <w:lang w:val="en-GB"/>
              </w:rPr>
              <w:t>连接位置、尺寸及连接方式。</w:t>
            </w:r>
          </w:p>
        </w:tc>
        <w:tc>
          <w:tcPr>
            <w:tcW w:w="679" w:type="dxa"/>
            <w:vAlign w:val="center"/>
          </w:tcPr>
          <w:p w14:paraId="70A33613">
            <w:pPr>
              <w:spacing w:line="320" w:lineRule="atLeast"/>
              <w:jc w:val="center"/>
              <w:rPr>
                <w:rFonts w:hint="eastAsia" w:ascii="宋体" w:hAnsi="宋体" w:cs="Arial"/>
                <w:color w:val="auto"/>
                <w:sz w:val="24"/>
                <w:highlight w:val="none"/>
                <w:lang w:val="en-GB"/>
              </w:rPr>
            </w:pPr>
            <w:r>
              <w:rPr>
                <w:rFonts w:hint="eastAsia" w:ascii="宋体" w:hAnsi="宋体" w:cs="Arial"/>
                <w:color w:val="auto"/>
                <w:sz w:val="24"/>
                <w:highlight w:val="none"/>
                <w:lang w:val="en-GB"/>
              </w:rPr>
              <w:t>必需</w:t>
            </w:r>
          </w:p>
        </w:tc>
        <w:tc>
          <w:tcPr>
            <w:tcW w:w="1122" w:type="dxa"/>
            <w:vAlign w:val="center"/>
          </w:tcPr>
          <w:p w14:paraId="506D4252">
            <w:pPr>
              <w:spacing w:before="62" w:beforeLines="20" w:after="62" w:afterLines="20" w:line="276" w:lineRule="auto"/>
              <w:jc w:val="left"/>
              <w:rPr>
                <w:rFonts w:hint="eastAsia" w:ascii="宋体" w:hAnsi="宋体" w:cs="Arial"/>
                <w:color w:val="auto"/>
                <w:sz w:val="24"/>
                <w:highlight w:val="none"/>
              </w:rPr>
            </w:pPr>
          </w:p>
        </w:tc>
      </w:tr>
      <w:tr w14:paraId="0113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5274D88">
            <w:pPr>
              <w:rPr>
                <w:color w:val="auto"/>
                <w:highlight w:val="none"/>
              </w:rPr>
            </w:pPr>
            <w:r>
              <w:rPr>
                <w:rFonts w:hint="eastAsia" w:ascii="宋体" w:hAnsi="宋体" w:cs="Arial"/>
                <w:color w:val="auto"/>
                <w:sz w:val="24"/>
                <w:highlight w:val="none"/>
              </w:rPr>
              <w:t>▲URS11.1-07</w:t>
            </w:r>
          </w:p>
        </w:tc>
        <w:tc>
          <w:tcPr>
            <w:tcW w:w="5062" w:type="dxa"/>
          </w:tcPr>
          <w:p w14:paraId="4337013A">
            <w:pPr>
              <w:tabs>
                <w:tab w:val="left" w:pos="360"/>
              </w:tabs>
              <w:rPr>
                <w:rFonts w:hint="eastAsia" w:ascii="宋体" w:hAnsi="宋体"/>
                <w:color w:val="auto"/>
                <w:sz w:val="24"/>
                <w:highlight w:val="none"/>
              </w:rPr>
            </w:pPr>
            <w:r>
              <w:rPr>
                <w:rFonts w:ascii="宋体" w:hAnsi="宋体"/>
                <w:color w:val="auto"/>
                <w:sz w:val="24"/>
                <w:highlight w:val="none"/>
              </w:rPr>
              <w:t>电源：三相五线制，AC</w:t>
            </w:r>
            <w:r>
              <w:rPr>
                <w:rFonts w:hint="eastAsia" w:ascii="宋体" w:hAnsi="宋体"/>
                <w:color w:val="auto"/>
                <w:sz w:val="24"/>
                <w:highlight w:val="none"/>
              </w:rPr>
              <w:t>，</w:t>
            </w:r>
            <w:r>
              <w:rPr>
                <w:rFonts w:ascii="宋体" w:hAnsi="宋体"/>
                <w:color w:val="auto"/>
                <w:sz w:val="24"/>
                <w:highlight w:val="none"/>
              </w:rPr>
              <w:t>380V，50Hz，供应商应提供设备所需总功率</w:t>
            </w:r>
            <w:r>
              <w:rPr>
                <w:rFonts w:hint="eastAsia" w:ascii="宋体" w:hAnsi="宋体"/>
                <w:color w:val="auto"/>
                <w:sz w:val="24"/>
                <w:highlight w:val="none"/>
              </w:rPr>
              <w:t>。</w:t>
            </w:r>
            <w:r>
              <w:rPr>
                <w:rFonts w:hint="eastAsia"/>
                <w:color w:val="auto"/>
                <w:kern w:val="0"/>
                <w:sz w:val="24"/>
                <w:highlight w:val="none"/>
                <w:lang w:val="en-CA"/>
              </w:rPr>
              <w:t>空调机组应采用合理的变频起动控制方案，需配置工频启动回路，可进行工频、变频及应急三个功能的回路切换。</w:t>
            </w:r>
          </w:p>
        </w:tc>
        <w:tc>
          <w:tcPr>
            <w:tcW w:w="679" w:type="dxa"/>
          </w:tcPr>
          <w:p w14:paraId="5276DEAD">
            <w:pPr>
              <w:rPr>
                <w:color w:val="auto"/>
                <w:highlight w:val="none"/>
              </w:rPr>
            </w:pPr>
            <w:r>
              <w:rPr>
                <w:rFonts w:hint="eastAsia" w:ascii="宋体" w:hAnsi="宋体" w:cs="Arial"/>
                <w:color w:val="auto"/>
                <w:sz w:val="24"/>
                <w:highlight w:val="none"/>
                <w:lang w:val="en-GB"/>
              </w:rPr>
              <w:t>必需</w:t>
            </w:r>
          </w:p>
        </w:tc>
        <w:tc>
          <w:tcPr>
            <w:tcW w:w="1122" w:type="dxa"/>
            <w:vAlign w:val="center"/>
          </w:tcPr>
          <w:p w14:paraId="619C8234">
            <w:pPr>
              <w:spacing w:before="62" w:beforeLines="20" w:after="62" w:afterLines="20" w:line="276" w:lineRule="auto"/>
              <w:jc w:val="left"/>
              <w:rPr>
                <w:rFonts w:hint="eastAsia" w:ascii="宋体" w:hAnsi="宋体" w:cs="Arial"/>
                <w:color w:val="auto"/>
                <w:sz w:val="24"/>
                <w:highlight w:val="none"/>
              </w:rPr>
            </w:pPr>
          </w:p>
        </w:tc>
      </w:tr>
      <w:tr w14:paraId="74CC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8163392">
            <w:pPr>
              <w:rPr>
                <w:color w:val="auto"/>
                <w:highlight w:val="none"/>
              </w:rPr>
            </w:pPr>
            <w:r>
              <w:rPr>
                <w:rFonts w:hint="eastAsia" w:ascii="宋体" w:hAnsi="宋体" w:cs="Arial"/>
                <w:color w:val="auto"/>
                <w:sz w:val="24"/>
                <w:highlight w:val="none"/>
              </w:rPr>
              <w:t>URS11.1-08</w:t>
            </w:r>
          </w:p>
        </w:tc>
        <w:tc>
          <w:tcPr>
            <w:tcW w:w="5062" w:type="dxa"/>
          </w:tcPr>
          <w:p w14:paraId="72D4859C">
            <w:pPr>
              <w:tabs>
                <w:tab w:val="left" w:pos="7380"/>
              </w:tabs>
              <w:spacing w:line="360" w:lineRule="auto"/>
              <w:rPr>
                <w:rFonts w:hint="eastAsia" w:ascii="宋体" w:hAnsi="宋体"/>
                <w:color w:val="auto"/>
                <w:sz w:val="24"/>
                <w:highlight w:val="none"/>
              </w:rPr>
            </w:pPr>
            <w:r>
              <w:rPr>
                <w:rFonts w:ascii="宋体" w:hAnsi="宋体"/>
                <w:color w:val="auto"/>
                <w:sz w:val="24"/>
                <w:highlight w:val="none"/>
              </w:rPr>
              <w:t>风量、全压、</w:t>
            </w:r>
            <w:r>
              <w:rPr>
                <w:rFonts w:hint="eastAsia" w:ascii="宋体" w:hAnsi="宋体"/>
                <w:color w:val="auto"/>
                <w:sz w:val="24"/>
                <w:highlight w:val="none"/>
              </w:rPr>
              <w:t>余压、</w:t>
            </w:r>
            <w:r>
              <w:rPr>
                <w:rFonts w:ascii="宋体" w:hAnsi="宋体"/>
                <w:color w:val="auto"/>
                <w:sz w:val="24"/>
                <w:highlight w:val="none"/>
              </w:rPr>
              <w:t>噪声、漏风率</w:t>
            </w:r>
            <w:r>
              <w:rPr>
                <w:rFonts w:hint="eastAsia" w:ascii="宋体" w:hAnsi="宋体"/>
                <w:color w:val="auto"/>
                <w:sz w:val="24"/>
                <w:highlight w:val="none"/>
              </w:rPr>
              <w:t>应≤0.1%</w:t>
            </w:r>
            <w:r>
              <w:rPr>
                <w:rFonts w:ascii="宋体" w:hAnsi="宋体"/>
                <w:color w:val="auto"/>
                <w:sz w:val="24"/>
                <w:highlight w:val="none"/>
              </w:rPr>
              <w:t>符合设计要求。</w:t>
            </w:r>
          </w:p>
        </w:tc>
        <w:tc>
          <w:tcPr>
            <w:tcW w:w="679" w:type="dxa"/>
          </w:tcPr>
          <w:p w14:paraId="5D7C3852">
            <w:pPr>
              <w:rPr>
                <w:color w:val="auto"/>
                <w:highlight w:val="none"/>
              </w:rPr>
            </w:pPr>
            <w:r>
              <w:rPr>
                <w:rFonts w:hint="eastAsia" w:ascii="宋体" w:hAnsi="宋体" w:cs="Arial"/>
                <w:color w:val="auto"/>
                <w:sz w:val="24"/>
                <w:highlight w:val="none"/>
                <w:lang w:val="en-GB"/>
              </w:rPr>
              <w:t>必需</w:t>
            </w:r>
          </w:p>
        </w:tc>
        <w:tc>
          <w:tcPr>
            <w:tcW w:w="1122" w:type="dxa"/>
            <w:vAlign w:val="center"/>
          </w:tcPr>
          <w:p w14:paraId="6795AFB2">
            <w:pPr>
              <w:spacing w:before="62" w:beforeLines="20" w:after="62" w:afterLines="20" w:line="276" w:lineRule="auto"/>
              <w:jc w:val="left"/>
              <w:rPr>
                <w:rFonts w:hint="eastAsia" w:ascii="宋体" w:hAnsi="宋体" w:cs="Arial"/>
                <w:color w:val="auto"/>
                <w:sz w:val="24"/>
                <w:highlight w:val="none"/>
              </w:rPr>
            </w:pPr>
          </w:p>
        </w:tc>
      </w:tr>
      <w:tr w14:paraId="4549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827EA40">
            <w:pPr>
              <w:rPr>
                <w:color w:val="auto"/>
                <w:highlight w:val="none"/>
              </w:rPr>
            </w:pPr>
            <w:r>
              <w:rPr>
                <w:rFonts w:hint="eastAsia" w:ascii="宋体" w:hAnsi="宋体" w:cs="Arial"/>
                <w:color w:val="auto"/>
                <w:sz w:val="24"/>
                <w:highlight w:val="none"/>
              </w:rPr>
              <w:t>URS11.1-09</w:t>
            </w:r>
          </w:p>
        </w:tc>
        <w:tc>
          <w:tcPr>
            <w:tcW w:w="5062" w:type="dxa"/>
          </w:tcPr>
          <w:p w14:paraId="6F2E7C69">
            <w:pPr>
              <w:rPr>
                <w:rFonts w:hint="eastAsia" w:ascii="宋体" w:hAnsi="宋体"/>
                <w:color w:val="auto"/>
                <w:sz w:val="24"/>
                <w:highlight w:val="none"/>
              </w:rPr>
            </w:pPr>
            <w:r>
              <w:rPr>
                <w:rFonts w:hint="eastAsia" w:ascii="宋体" w:hAnsi="宋体"/>
                <w:color w:val="auto"/>
                <w:sz w:val="24"/>
                <w:highlight w:val="none"/>
              </w:rPr>
              <w:t>空调机组应方便进行整体组装或现场拆装。面板固定应牢固，应当采取可靠的密封措施。</w:t>
            </w:r>
          </w:p>
        </w:tc>
        <w:tc>
          <w:tcPr>
            <w:tcW w:w="679" w:type="dxa"/>
          </w:tcPr>
          <w:p w14:paraId="0C298D7C">
            <w:pPr>
              <w:rPr>
                <w:color w:val="auto"/>
                <w:highlight w:val="none"/>
              </w:rPr>
            </w:pPr>
            <w:r>
              <w:rPr>
                <w:rFonts w:hint="eastAsia" w:ascii="宋体" w:hAnsi="宋体" w:cs="Arial"/>
                <w:color w:val="auto"/>
                <w:sz w:val="24"/>
                <w:highlight w:val="none"/>
                <w:lang w:val="en-GB"/>
              </w:rPr>
              <w:t>必需</w:t>
            </w:r>
          </w:p>
        </w:tc>
        <w:tc>
          <w:tcPr>
            <w:tcW w:w="1122" w:type="dxa"/>
            <w:vAlign w:val="center"/>
          </w:tcPr>
          <w:p w14:paraId="2979B7F0">
            <w:pPr>
              <w:spacing w:before="62" w:beforeLines="20" w:after="62" w:afterLines="20" w:line="276" w:lineRule="auto"/>
              <w:jc w:val="left"/>
              <w:rPr>
                <w:rFonts w:hint="eastAsia" w:ascii="宋体" w:hAnsi="宋体" w:cs="Arial"/>
                <w:color w:val="auto"/>
                <w:sz w:val="24"/>
                <w:highlight w:val="none"/>
              </w:rPr>
            </w:pPr>
          </w:p>
        </w:tc>
      </w:tr>
      <w:tr w14:paraId="43E5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0A7C2563">
            <w:pPr>
              <w:rPr>
                <w:color w:val="auto"/>
                <w:highlight w:val="none"/>
              </w:rPr>
            </w:pPr>
            <w:r>
              <w:rPr>
                <w:rFonts w:hint="eastAsia" w:ascii="宋体" w:hAnsi="宋体" w:cs="Arial"/>
                <w:color w:val="auto"/>
                <w:sz w:val="24"/>
                <w:highlight w:val="none"/>
              </w:rPr>
              <w:t>URS11.1-10</w:t>
            </w:r>
          </w:p>
        </w:tc>
        <w:tc>
          <w:tcPr>
            <w:tcW w:w="5062" w:type="dxa"/>
          </w:tcPr>
          <w:p w14:paraId="2FCC3C9F">
            <w:pPr>
              <w:rPr>
                <w:rFonts w:hint="eastAsia" w:ascii="宋体" w:hAnsi="宋体"/>
                <w:color w:val="auto"/>
                <w:sz w:val="24"/>
                <w:highlight w:val="none"/>
              </w:rPr>
            </w:pPr>
            <w:r>
              <w:rPr>
                <w:rFonts w:hint="eastAsia" w:ascii="宋体" w:hAnsi="宋体"/>
                <w:color w:val="auto"/>
                <w:sz w:val="24"/>
                <w:highlight w:val="none"/>
              </w:rPr>
              <w:t>机组内板和外壁要求表面应保持光洁</w:t>
            </w:r>
            <w:r>
              <w:rPr>
                <w:rFonts w:ascii="宋体" w:hAnsi="宋体"/>
                <w:color w:val="auto"/>
                <w:sz w:val="24"/>
                <w:highlight w:val="none"/>
              </w:rPr>
              <w:t>,</w:t>
            </w:r>
            <w:r>
              <w:rPr>
                <w:rFonts w:hint="eastAsia" w:ascii="宋体" w:hAnsi="宋体"/>
                <w:color w:val="auto"/>
                <w:sz w:val="24"/>
                <w:highlight w:val="none"/>
              </w:rPr>
              <w:t>不应有明显划痕或损伤；</w:t>
            </w:r>
          </w:p>
        </w:tc>
        <w:tc>
          <w:tcPr>
            <w:tcW w:w="679" w:type="dxa"/>
          </w:tcPr>
          <w:p w14:paraId="677E3C4A">
            <w:pPr>
              <w:rPr>
                <w:color w:val="auto"/>
                <w:highlight w:val="none"/>
              </w:rPr>
            </w:pPr>
            <w:r>
              <w:rPr>
                <w:rFonts w:hint="eastAsia" w:ascii="宋体" w:hAnsi="宋体" w:cs="Arial"/>
                <w:color w:val="auto"/>
                <w:sz w:val="24"/>
                <w:highlight w:val="none"/>
                <w:lang w:val="en-GB"/>
              </w:rPr>
              <w:t>必需</w:t>
            </w:r>
          </w:p>
        </w:tc>
        <w:tc>
          <w:tcPr>
            <w:tcW w:w="1122" w:type="dxa"/>
            <w:vAlign w:val="center"/>
          </w:tcPr>
          <w:p w14:paraId="5061A2BA">
            <w:pPr>
              <w:spacing w:before="62" w:beforeLines="20" w:after="62" w:afterLines="20" w:line="276" w:lineRule="auto"/>
              <w:jc w:val="left"/>
              <w:rPr>
                <w:rFonts w:hint="eastAsia" w:ascii="宋体" w:hAnsi="宋体" w:cs="Arial"/>
                <w:color w:val="auto"/>
                <w:sz w:val="24"/>
                <w:highlight w:val="none"/>
              </w:rPr>
            </w:pPr>
          </w:p>
        </w:tc>
      </w:tr>
      <w:tr w14:paraId="67B1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321E370">
            <w:pPr>
              <w:rPr>
                <w:color w:val="auto"/>
                <w:highlight w:val="none"/>
              </w:rPr>
            </w:pPr>
            <w:r>
              <w:rPr>
                <w:rFonts w:hint="eastAsia" w:ascii="宋体" w:hAnsi="宋体" w:cs="Arial"/>
                <w:color w:val="auto"/>
                <w:sz w:val="24"/>
                <w:highlight w:val="none"/>
              </w:rPr>
              <w:t>URS11.1-11</w:t>
            </w:r>
          </w:p>
        </w:tc>
        <w:tc>
          <w:tcPr>
            <w:tcW w:w="5062" w:type="dxa"/>
          </w:tcPr>
          <w:p w14:paraId="37DD60EB">
            <w:pPr>
              <w:rPr>
                <w:rFonts w:hint="eastAsia" w:ascii="宋体" w:hAnsi="宋体"/>
                <w:color w:val="auto"/>
                <w:sz w:val="24"/>
                <w:highlight w:val="none"/>
              </w:rPr>
            </w:pPr>
            <w:r>
              <w:rPr>
                <w:rFonts w:hint="eastAsia" w:ascii="宋体" w:hAnsi="宋体"/>
                <w:color w:val="auto"/>
                <w:sz w:val="24"/>
                <w:highlight w:val="none"/>
              </w:rPr>
              <w:t>机组要求有良好的保温性能和防冷桥性能，应符合相关标准中防外部凝露试验的有关要求；箱板厚度不应低于50MM。</w:t>
            </w:r>
          </w:p>
        </w:tc>
        <w:tc>
          <w:tcPr>
            <w:tcW w:w="679" w:type="dxa"/>
          </w:tcPr>
          <w:p w14:paraId="0A378CAE">
            <w:pPr>
              <w:rPr>
                <w:color w:val="auto"/>
                <w:highlight w:val="none"/>
              </w:rPr>
            </w:pPr>
            <w:r>
              <w:rPr>
                <w:rFonts w:hint="eastAsia" w:ascii="宋体" w:hAnsi="宋体" w:cs="Arial"/>
                <w:color w:val="auto"/>
                <w:sz w:val="24"/>
                <w:highlight w:val="none"/>
                <w:lang w:val="en-GB"/>
              </w:rPr>
              <w:t>必需</w:t>
            </w:r>
          </w:p>
        </w:tc>
        <w:tc>
          <w:tcPr>
            <w:tcW w:w="1122" w:type="dxa"/>
            <w:vAlign w:val="center"/>
          </w:tcPr>
          <w:p w14:paraId="1CD98E65">
            <w:pPr>
              <w:spacing w:before="62" w:beforeLines="20" w:after="62" w:afterLines="20" w:line="276" w:lineRule="auto"/>
              <w:jc w:val="left"/>
              <w:rPr>
                <w:rFonts w:hint="eastAsia" w:ascii="宋体" w:hAnsi="宋体" w:cs="Arial"/>
                <w:color w:val="auto"/>
                <w:sz w:val="24"/>
                <w:highlight w:val="none"/>
              </w:rPr>
            </w:pPr>
          </w:p>
        </w:tc>
      </w:tr>
      <w:tr w14:paraId="5738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29CDADFE">
            <w:pPr>
              <w:rPr>
                <w:color w:val="auto"/>
                <w:highlight w:val="none"/>
              </w:rPr>
            </w:pPr>
            <w:r>
              <w:rPr>
                <w:rFonts w:hint="eastAsia" w:ascii="宋体" w:hAnsi="宋体" w:cs="Arial"/>
                <w:color w:val="auto"/>
                <w:sz w:val="24"/>
                <w:highlight w:val="none"/>
              </w:rPr>
              <w:t>URS11.1-12</w:t>
            </w:r>
          </w:p>
        </w:tc>
        <w:tc>
          <w:tcPr>
            <w:tcW w:w="5062" w:type="dxa"/>
          </w:tcPr>
          <w:p w14:paraId="07FFD831">
            <w:pPr>
              <w:rPr>
                <w:rFonts w:hint="eastAsia" w:ascii="宋体" w:hAnsi="宋体"/>
                <w:color w:val="auto"/>
                <w:sz w:val="24"/>
                <w:highlight w:val="none"/>
              </w:rPr>
            </w:pPr>
            <w:r>
              <w:rPr>
                <w:rFonts w:hint="eastAsia" w:ascii="宋体" w:hAnsi="宋体"/>
                <w:color w:val="auto"/>
                <w:sz w:val="24"/>
                <w:highlight w:val="none"/>
              </w:rPr>
              <w:t>机组应有足够的设计强度，在最大设计静压下，能承受持久的压力扭曲而不产生永久变形；</w:t>
            </w:r>
          </w:p>
        </w:tc>
        <w:tc>
          <w:tcPr>
            <w:tcW w:w="679" w:type="dxa"/>
          </w:tcPr>
          <w:p w14:paraId="4AFE37DE">
            <w:pPr>
              <w:rPr>
                <w:color w:val="auto"/>
                <w:highlight w:val="none"/>
              </w:rPr>
            </w:pPr>
            <w:r>
              <w:rPr>
                <w:rFonts w:hint="eastAsia" w:ascii="宋体" w:hAnsi="宋体" w:cs="Arial"/>
                <w:color w:val="auto"/>
                <w:sz w:val="24"/>
                <w:highlight w:val="none"/>
                <w:lang w:val="en-GB"/>
              </w:rPr>
              <w:t>必需</w:t>
            </w:r>
          </w:p>
        </w:tc>
        <w:tc>
          <w:tcPr>
            <w:tcW w:w="1122" w:type="dxa"/>
            <w:vAlign w:val="center"/>
          </w:tcPr>
          <w:p w14:paraId="37691DFF">
            <w:pPr>
              <w:spacing w:before="62" w:beforeLines="20" w:after="62" w:afterLines="20" w:line="276" w:lineRule="auto"/>
              <w:jc w:val="left"/>
              <w:rPr>
                <w:rFonts w:hint="eastAsia" w:ascii="宋体" w:hAnsi="宋体" w:cs="Arial"/>
                <w:color w:val="auto"/>
                <w:sz w:val="24"/>
                <w:highlight w:val="none"/>
              </w:rPr>
            </w:pPr>
          </w:p>
        </w:tc>
      </w:tr>
      <w:tr w14:paraId="5512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0F313F4D">
            <w:pPr>
              <w:rPr>
                <w:color w:val="auto"/>
                <w:highlight w:val="none"/>
              </w:rPr>
            </w:pPr>
            <w:r>
              <w:rPr>
                <w:rFonts w:hint="eastAsia" w:ascii="宋体" w:hAnsi="宋体" w:cs="Arial"/>
                <w:color w:val="auto"/>
                <w:sz w:val="24"/>
                <w:highlight w:val="none"/>
              </w:rPr>
              <w:t>URS11.1-13</w:t>
            </w:r>
          </w:p>
        </w:tc>
        <w:tc>
          <w:tcPr>
            <w:tcW w:w="5062" w:type="dxa"/>
          </w:tcPr>
          <w:p w14:paraId="4F2698B4">
            <w:pPr>
              <w:rPr>
                <w:rFonts w:hint="eastAsia" w:ascii="宋体" w:hAnsi="宋体"/>
                <w:color w:val="auto"/>
                <w:sz w:val="24"/>
                <w:highlight w:val="none"/>
              </w:rPr>
            </w:pPr>
            <w:r>
              <w:rPr>
                <w:rFonts w:hint="eastAsia" w:ascii="宋体" w:hAnsi="宋体"/>
                <w:color w:val="auto"/>
                <w:sz w:val="24"/>
                <w:highlight w:val="none"/>
              </w:rPr>
              <w:t>机组应当有良好的密封性能，</w:t>
            </w:r>
            <w:r>
              <w:rPr>
                <w:rFonts w:ascii="宋体" w:hAnsi="宋体"/>
                <w:color w:val="auto"/>
                <w:sz w:val="24"/>
                <w:highlight w:val="none"/>
              </w:rPr>
              <w:t>1000Pa</w:t>
            </w:r>
            <w:r>
              <w:rPr>
                <w:rFonts w:hint="eastAsia" w:ascii="宋体" w:hAnsi="宋体"/>
                <w:color w:val="auto"/>
                <w:sz w:val="24"/>
                <w:highlight w:val="none"/>
              </w:rPr>
              <w:t>压差下漏风率应小于</w:t>
            </w:r>
            <w:r>
              <w:rPr>
                <w:rFonts w:ascii="宋体" w:hAnsi="宋体"/>
                <w:color w:val="auto"/>
                <w:sz w:val="24"/>
                <w:highlight w:val="none"/>
              </w:rPr>
              <w:t>0.</w:t>
            </w: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w:t>
            </w:r>
          </w:p>
        </w:tc>
        <w:tc>
          <w:tcPr>
            <w:tcW w:w="679" w:type="dxa"/>
            <w:vAlign w:val="center"/>
          </w:tcPr>
          <w:p w14:paraId="531BCDFB">
            <w:pPr>
              <w:rPr>
                <w:rFonts w:hint="eastAsia" w:ascii="宋体" w:hAnsi="宋体"/>
                <w:color w:val="auto"/>
                <w:sz w:val="24"/>
                <w:highlight w:val="none"/>
              </w:rPr>
            </w:pPr>
            <w:r>
              <w:rPr>
                <w:rFonts w:hint="eastAsia" w:ascii="宋体" w:hAnsi="宋体"/>
                <w:color w:val="auto"/>
                <w:sz w:val="24"/>
                <w:highlight w:val="none"/>
              </w:rPr>
              <w:t>必需</w:t>
            </w:r>
          </w:p>
        </w:tc>
        <w:tc>
          <w:tcPr>
            <w:tcW w:w="1122" w:type="dxa"/>
            <w:vAlign w:val="center"/>
          </w:tcPr>
          <w:p w14:paraId="7F545132">
            <w:pPr>
              <w:spacing w:before="62" w:beforeLines="20" w:after="62" w:afterLines="20" w:line="276" w:lineRule="auto"/>
              <w:jc w:val="left"/>
              <w:rPr>
                <w:rFonts w:hint="eastAsia" w:ascii="宋体" w:hAnsi="宋体" w:cs="Arial"/>
                <w:color w:val="auto"/>
                <w:sz w:val="24"/>
                <w:highlight w:val="none"/>
              </w:rPr>
            </w:pPr>
          </w:p>
        </w:tc>
      </w:tr>
      <w:tr w14:paraId="36A3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4EEEAF29">
            <w:pPr>
              <w:rPr>
                <w:color w:val="auto"/>
                <w:highlight w:val="none"/>
              </w:rPr>
            </w:pPr>
            <w:r>
              <w:rPr>
                <w:rFonts w:hint="eastAsia" w:ascii="宋体" w:hAnsi="宋体" w:cs="Arial"/>
                <w:color w:val="auto"/>
                <w:sz w:val="24"/>
                <w:highlight w:val="none"/>
              </w:rPr>
              <w:t>URS11.1-14</w:t>
            </w:r>
          </w:p>
        </w:tc>
        <w:tc>
          <w:tcPr>
            <w:tcW w:w="5062" w:type="dxa"/>
          </w:tcPr>
          <w:p w14:paraId="0467D933">
            <w:pPr>
              <w:rPr>
                <w:rFonts w:hint="eastAsia" w:ascii="宋体" w:hAnsi="宋体"/>
                <w:color w:val="auto"/>
                <w:sz w:val="24"/>
                <w:highlight w:val="none"/>
              </w:rPr>
            </w:pPr>
            <w:r>
              <w:rPr>
                <w:rFonts w:hint="eastAsia" w:ascii="宋体" w:hAnsi="宋体"/>
                <w:color w:val="auto"/>
                <w:sz w:val="24"/>
                <w:highlight w:val="none"/>
              </w:rPr>
              <w:t>机组应采取有效的凝水排放措施，保证内部不积水；</w:t>
            </w:r>
          </w:p>
        </w:tc>
        <w:tc>
          <w:tcPr>
            <w:tcW w:w="679" w:type="dxa"/>
          </w:tcPr>
          <w:p w14:paraId="5B4B700E">
            <w:pPr>
              <w:rPr>
                <w:color w:val="auto"/>
                <w:highlight w:val="none"/>
              </w:rPr>
            </w:pPr>
            <w:r>
              <w:rPr>
                <w:rFonts w:hint="eastAsia" w:ascii="宋体" w:hAnsi="宋体" w:cs="Arial"/>
                <w:color w:val="auto"/>
                <w:sz w:val="24"/>
                <w:highlight w:val="none"/>
                <w:lang w:val="en-GB"/>
              </w:rPr>
              <w:t>必需</w:t>
            </w:r>
          </w:p>
        </w:tc>
        <w:tc>
          <w:tcPr>
            <w:tcW w:w="1122" w:type="dxa"/>
            <w:vAlign w:val="center"/>
          </w:tcPr>
          <w:p w14:paraId="03DA51F5">
            <w:pPr>
              <w:spacing w:before="62" w:beforeLines="20" w:after="62" w:afterLines="20" w:line="276" w:lineRule="auto"/>
              <w:jc w:val="left"/>
              <w:rPr>
                <w:rFonts w:hint="eastAsia" w:ascii="宋体" w:hAnsi="宋体" w:cs="Arial"/>
                <w:color w:val="auto"/>
                <w:sz w:val="24"/>
                <w:highlight w:val="none"/>
              </w:rPr>
            </w:pPr>
          </w:p>
        </w:tc>
      </w:tr>
      <w:tr w14:paraId="3DA2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605C9850">
            <w:pPr>
              <w:rPr>
                <w:color w:val="auto"/>
                <w:highlight w:val="none"/>
              </w:rPr>
            </w:pPr>
            <w:r>
              <w:rPr>
                <w:rFonts w:hint="eastAsia" w:ascii="宋体" w:hAnsi="宋体" w:cs="Arial"/>
                <w:color w:val="auto"/>
                <w:sz w:val="24"/>
                <w:highlight w:val="none"/>
              </w:rPr>
              <w:t>URS11.1-15</w:t>
            </w:r>
          </w:p>
        </w:tc>
        <w:tc>
          <w:tcPr>
            <w:tcW w:w="5062" w:type="dxa"/>
          </w:tcPr>
          <w:p w14:paraId="5DC0AF0B">
            <w:pPr>
              <w:spacing w:line="360" w:lineRule="auto"/>
              <w:rPr>
                <w:rFonts w:hint="eastAsia" w:ascii="宋体" w:hAnsi="宋体"/>
                <w:color w:val="auto"/>
                <w:sz w:val="24"/>
                <w:highlight w:val="none"/>
              </w:rPr>
            </w:pPr>
            <w:r>
              <w:rPr>
                <w:rFonts w:hint="eastAsia" w:ascii="宋体" w:hAnsi="宋体"/>
                <w:color w:val="auto"/>
                <w:sz w:val="24"/>
                <w:highlight w:val="none"/>
              </w:rPr>
              <w:t>机组应采取内部减振措施，防止振动沿基础或风管传递；</w:t>
            </w:r>
          </w:p>
        </w:tc>
        <w:tc>
          <w:tcPr>
            <w:tcW w:w="679" w:type="dxa"/>
          </w:tcPr>
          <w:p w14:paraId="419B0E9D">
            <w:pPr>
              <w:rPr>
                <w:color w:val="auto"/>
                <w:highlight w:val="none"/>
              </w:rPr>
            </w:pPr>
            <w:r>
              <w:rPr>
                <w:rFonts w:hint="eastAsia" w:ascii="宋体" w:hAnsi="宋体" w:cs="Arial"/>
                <w:color w:val="auto"/>
                <w:sz w:val="24"/>
                <w:highlight w:val="none"/>
                <w:lang w:val="en-GB"/>
              </w:rPr>
              <w:t>必需</w:t>
            </w:r>
          </w:p>
        </w:tc>
        <w:tc>
          <w:tcPr>
            <w:tcW w:w="1122" w:type="dxa"/>
            <w:vAlign w:val="center"/>
          </w:tcPr>
          <w:p w14:paraId="6218A695">
            <w:pPr>
              <w:spacing w:before="62" w:beforeLines="20" w:after="62" w:afterLines="20" w:line="276" w:lineRule="auto"/>
              <w:jc w:val="left"/>
              <w:rPr>
                <w:rFonts w:hint="eastAsia" w:ascii="宋体" w:hAnsi="宋体" w:cs="Arial"/>
                <w:color w:val="auto"/>
                <w:sz w:val="24"/>
                <w:highlight w:val="none"/>
              </w:rPr>
            </w:pPr>
          </w:p>
        </w:tc>
      </w:tr>
      <w:tr w14:paraId="7222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6713593F">
            <w:pPr>
              <w:rPr>
                <w:color w:val="auto"/>
                <w:highlight w:val="none"/>
              </w:rPr>
            </w:pPr>
            <w:r>
              <w:rPr>
                <w:rFonts w:hint="eastAsia" w:ascii="宋体" w:hAnsi="宋体" w:cs="Arial"/>
                <w:color w:val="auto"/>
                <w:sz w:val="24"/>
                <w:highlight w:val="none"/>
              </w:rPr>
              <w:t>URS11.1-16</w:t>
            </w:r>
          </w:p>
        </w:tc>
        <w:tc>
          <w:tcPr>
            <w:tcW w:w="5062" w:type="dxa"/>
          </w:tcPr>
          <w:p w14:paraId="33171B63">
            <w:pPr>
              <w:rPr>
                <w:rFonts w:hint="eastAsia" w:ascii="宋体" w:hAnsi="宋体"/>
                <w:color w:val="auto"/>
                <w:sz w:val="24"/>
                <w:highlight w:val="none"/>
              </w:rPr>
            </w:pPr>
            <w:r>
              <w:rPr>
                <w:rFonts w:hint="eastAsia" w:ascii="宋体" w:hAnsi="宋体"/>
                <w:color w:val="auto"/>
                <w:sz w:val="24"/>
                <w:highlight w:val="none"/>
              </w:rPr>
              <w:t>每台机组应配一套安装于机组内的初、中效过滤器</w:t>
            </w:r>
          </w:p>
        </w:tc>
        <w:tc>
          <w:tcPr>
            <w:tcW w:w="679" w:type="dxa"/>
          </w:tcPr>
          <w:p w14:paraId="473FA437">
            <w:pPr>
              <w:rPr>
                <w:color w:val="auto"/>
                <w:highlight w:val="none"/>
              </w:rPr>
            </w:pPr>
            <w:r>
              <w:rPr>
                <w:rFonts w:hint="eastAsia" w:ascii="宋体" w:hAnsi="宋体" w:cs="Arial"/>
                <w:color w:val="auto"/>
                <w:sz w:val="24"/>
                <w:highlight w:val="none"/>
                <w:lang w:val="en-GB"/>
              </w:rPr>
              <w:t>必需</w:t>
            </w:r>
          </w:p>
        </w:tc>
        <w:tc>
          <w:tcPr>
            <w:tcW w:w="1122" w:type="dxa"/>
            <w:vAlign w:val="center"/>
          </w:tcPr>
          <w:p w14:paraId="17068414">
            <w:pPr>
              <w:spacing w:before="62" w:beforeLines="20" w:after="62" w:afterLines="20" w:line="276" w:lineRule="auto"/>
              <w:jc w:val="left"/>
              <w:rPr>
                <w:rFonts w:hint="eastAsia" w:ascii="宋体" w:hAnsi="宋体" w:cs="Arial"/>
                <w:color w:val="auto"/>
                <w:sz w:val="24"/>
                <w:highlight w:val="none"/>
              </w:rPr>
            </w:pPr>
          </w:p>
        </w:tc>
      </w:tr>
      <w:tr w14:paraId="0B41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011F644F">
            <w:pPr>
              <w:rPr>
                <w:color w:val="auto"/>
                <w:highlight w:val="none"/>
              </w:rPr>
            </w:pPr>
            <w:r>
              <w:rPr>
                <w:rFonts w:hint="eastAsia" w:ascii="宋体" w:hAnsi="宋体" w:cs="Arial"/>
                <w:color w:val="auto"/>
                <w:sz w:val="24"/>
                <w:highlight w:val="none"/>
              </w:rPr>
              <w:t>URS11.1-17</w:t>
            </w:r>
          </w:p>
        </w:tc>
        <w:tc>
          <w:tcPr>
            <w:tcW w:w="5062" w:type="dxa"/>
          </w:tcPr>
          <w:p w14:paraId="287B251B">
            <w:pPr>
              <w:spacing w:line="360" w:lineRule="auto"/>
              <w:rPr>
                <w:rFonts w:hint="eastAsia" w:ascii="宋体" w:hAnsi="宋体"/>
                <w:color w:val="auto"/>
                <w:sz w:val="24"/>
                <w:highlight w:val="none"/>
              </w:rPr>
            </w:pPr>
            <w:r>
              <w:rPr>
                <w:rFonts w:hint="eastAsia" w:ascii="宋体" w:hAnsi="宋体"/>
                <w:color w:val="auto"/>
                <w:sz w:val="24"/>
                <w:highlight w:val="none"/>
              </w:rPr>
              <w:t>配备新风电动调节阀、回风手动调节阀</w:t>
            </w:r>
            <w:r>
              <w:rPr>
                <w:rFonts w:ascii="宋体" w:hAnsi="宋体"/>
                <w:color w:val="auto"/>
                <w:sz w:val="24"/>
                <w:highlight w:val="none"/>
              </w:rPr>
              <w:t>;</w:t>
            </w:r>
            <w:r>
              <w:rPr>
                <w:rFonts w:hint="eastAsia" w:ascii="宋体" w:hAnsi="宋体"/>
                <w:color w:val="auto"/>
                <w:sz w:val="24"/>
                <w:highlight w:val="none"/>
              </w:rPr>
              <w:t>送风手动调节阀</w:t>
            </w:r>
          </w:p>
        </w:tc>
        <w:tc>
          <w:tcPr>
            <w:tcW w:w="679" w:type="dxa"/>
          </w:tcPr>
          <w:p w14:paraId="7936271E">
            <w:pPr>
              <w:rPr>
                <w:color w:val="auto"/>
                <w:highlight w:val="none"/>
              </w:rPr>
            </w:pPr>
            <w:r>
              <w:rPr>
                <w:rFonts w:hint="eastAsia" w:ascii="宋体" w:hAnsi="宋体" w:cs="Arial"/>
                <w:color w:val="auto"/>
                <w:sz w:val="24"/>
                <w:highlight w:val="none"/>
                <w:lang w:val="en-GB"/>
              </w:rPr>
              <w:t>必需</w:t>
            </w:r>
          </w:p>
        </w:tc>
        <w:tc>
          <w:tcPr>
            <w:tcW w:w="1122" w:type="dxa"/>
            <w:vAlign w:val="center"/>
          </w:tcPr>
          <w:p w14:paraId="2CA36CB6">
            <w:pPr>
              <w:spacing w:before="62" w:beforeLines="20" w:after="62" w:afterLines="20" w:line="276" w:lineRule="auto"/>
              <w:jc w:val="left"/>
              <w:rPr>
                <w:rFonts w:hint="eastAsia" w:ascii="宋体" w:hAnsi="宋体" w:cs="Arial"/>
                <w:color w:val="auto"/>
                <w:sz w:val="24"/>
                <w:highlight w:val="none"/>
              </w:rPr>
            </w:pPr>
          </w:p>
        </w:tc>
      </w:tr>
      <w:tr w14:paraId="57B8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08DCC24B">
            <w:pPr>
              <w:rPr>
                <w:color w:val="auto"/>
                <w:highlight w:val="none"/>
              </w:rPr>
            </w:pPr>
            <w:r>
              <w:rPr>
                <w:rFonts w:hint="eastAsia" w:ascii="宋体" w:hAnsi="宋体" w:cs="Arial"/>
                <w:color w:val="auto"/>
                <w:sz w:val="24"/>
                <w:highlight w:val="none"/>
              </w:rPr>
              <w:t>URS11.1-18</w:t>
            </w:r>
          </w:p>
        </w:tc>
        <w:tc>
          <w:tcPr>
            <w:tcW w:w="5062" w:type="dxa"/>
          </w:tcPr>
          <w:p w14:paraId="5D07D842">
            <w:pPr>
              <w:spacing w:line="360" w:lineRule="auto"/>
              <w:rPr>
                <w:rFonts w:hint="eastAsia" w:ascii="宋体" w:hAnsi="宋体"/>
                <w:color w:val="auto"/>
                <w:sz w:val="24"/>
                <w:highlight w:val="none"/>
              </w:rPr>
            </w:pPr>
            <w:r>
              <w:rPr>
                <w:rFonts w:hint="eastAsia" w:ascii="宋体" w:hAnsi="宋体"/>
                <w:color w:val="auto"/>
                <w:sz w:val="24"/>
                <w:highlight w:val="none"/>
              </w:rPr>
              <w:t>机组各检修位应设检修门，检修门配备观察窗，并配</w:t>
            </w:r>
            <w:r>
              <w:rPr>
                <w:rFonts w:ascii="宋体" w:hAnsi="宋体"/>
                <w:color w:val="auto"/>
                <w:sz w:val="24"/>
                <w:highlight w:val="none"/>
              </w:rPr>
              <w:t>24V</w:t>
            </w:r>
            <w:r>
              <w:rPr>
                <w:rFonts w:hint="eastAsia" w:ascii="宋体" w:hAnsi="宋体"/>
                <w:color w:val="auto"/>
                <w:sz w:val="24"/>
                <w:highlight w:val="none"/>
              </w:rPr>
              <w:t>防水照明灯。检查门设应设计严密、灵活、方便维修；</w:t>
            </w:r>
          </w:p>
        </w:tc>
        <w:tc>
          <w:tcPr>
            <w:tcW w:w="679" w:type="dxa"/>
          </w:tcPr>
          <w:p w14:paraId="4D1B4809">
            <w:pPr>
              <w:rPr>
                <w:color w:val="auto"/>
                <w:highlight w:val="none"/>
              </w:rPr>
            </w:pPr>
            <w:r>
              <w:rPr>
                <w:rFonts w:hint="eastAsia" w:ascii="宋体" w:hAnsi="宋体" w:cs="Arial"/>
                <w:color w:val="auto"/>
                <w:sz w:val="24"/>
                <w:highlight w:val="none"/>
                <w:lang w:val="en-GB"/>
              </w:rPr>
              <w:t>必需</w:t>
            </w:r>
          </w:p>
        </w:tc>
        <w:tc>
          <w:tcPr>
            <w:tcW w:w="1122" w:type="dxa"/>
            <w:vAlign w:val="center"/>
          </w:tcPr>
          <w:p w14:paraId="710518A5">
            <w:pPr>
              <w:spacing w:before="62" w:beforeLines="20" w:after="62" w:afterLines="20" w:line="276" w:lineRule="auto"/>
              <w:jc w:val="left"/>
              <w:rPr>
                <w:rFonts w:hint="eastAsia" w:ascii="宋体" w:hAnsi="宋体" w:cs="Arial"/>
                <w:color w:val="auto"/>
                <w:sz w:val="24"/>
                <w:highlight w:val="none"/>
              </w:rPr>
            </w:pPr>
          </w:p>
        </w:tc>
      </w:tr>
      <w:tr w14:paraId="6381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248406A9">
            <w:pPr>
              <w:rPr>
                <w:color w:val="auto"/>
                <w:highlight w:val="none"/>
              </w:rPr>
            </w:pPr>
            <w:r>
              <w:rPr>
                <w:rFonts w:hint="eastAsia" w:ascii="宋体" w:hAnsi="宋体" w:cs="Arial"/>
                <w:color w:val="auto"/>
                <w:sz w:val="24"/>
                <w:highlight w:val="none"/>
              </w:rPr>
              <w:t>URS11.1-19</w:t>
            </w:r>
          </w:p>
        </w:tc>
        <w:tc>
          <w:tcPr>
            <w:tcW w:w="5062" w:type="dxa"/>
          </w:tcPr>
          <w:p w14:paraId="5AD46828">
            <w:pPr>
              <w:rPr>
                <w:rFonts w:hint="eastAsia" w:ascii="宋体" w:hAnsi="宋体"/>
                <w:color w:val="auto"/>
                <w:sz w:val="24"/>
                <w:highlight w:val="none"/>
              </w:rPr>
            </w:pPr>
            <w:r>
              <w:rPr>
                <w:rFonts w:hint="eastAsia" w:ascii="宋体" w:hAnsi="宋体"/>
                <w:color w:val="auto"/>
                <w:sz w:val="24"/>
                <w:highlight w:val="none"/>
              </w:rPr>
              <w:t>投标人应提供国家权威机构出具的组合式空调机组检验报告。</w:t>
            </w:r>
          </w:p>
        </w:tc>
        <w:tc>
          <w:tcPr>
            <w:tcW w:w="679" w:type="dxa"/>
          </w:tcPr>
          <w:p w14:paraId="05866CD1">
            <w:pPr>
              <w:rPr>
                <w:color w:val="auto"/>
                <w:highlight w:val="none"/>
              </w:rPr>
            </w:pPr>
            <w:r>
              <w:rPr>
                <w:rFonts w:hint="eastAsia" w:ascii="宋体" w:hAnsi="宋体" w:cs="Arial"/>
                <w:color w:val="auto"/>
                <w:sz w:val="24"/>
                <w:highlight w:val="none"/>
                <w:lang w:val="en-GB"/>
              </w:rPr>
              <w:t>必需</w:t>
            </w:r>
          </w:p>
        </w:tc>
        <w:tc>
          <w:tcPr>
            <w:tcW w:w="1122" w:type="dxa"/>
            <w:vAlign w:val="center"/>
          </w:tcPr>
          <w:p w14:paraId="03C1C84B">
            <w:pPr>
              <w:spacing w:before="62" w:beforeLines="20" w:after="62" w:afterLines="20" w:line="276" w:lineRule="auto"/>
              <w:jc w:val="left"/>
              <w:rPr>
                <w:rFonts w:hint="eastAsia" w:ascii="宋体" w:hAnsi="宋体" w:cs="Arial"/>
                <w:color w:val="auto"/>
                <w:sz w:val="24"/>
                <w:highlight w:val="none"/>
              </w:rPr>
            </w:pPr>
          </w:p>
        </w:tc>
      </w:tr>
      <w:tr w14:paraId="762A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28F6F87A">
            <w:pPr>
              <w:rPr>
                <w:color w:val="auto"/>
                <w:highlight w:val="none"/>
              </w:rPr>
            </w:pPr>
            <w:r>
              <w:rPr>
                <w:rFonts w:hint="eastAsia" w:ascii="宋体" w:hAnsi="宋体" w:cs="Arial"/>
                <w:color w:val="auto"/>
                <w:sz w:val="24"/>
                <w:highlight w:val="none"/>
              </w:rPr>
              <w:t>URS11.1-20</w:t>
            </w:r>
          </w:p>
        </w:tc>
        <w:tc>
          <w:tcPr>
            <w:tcW w:w="5062" w:type="dxa"/>
          </w:tcPr>
          <w:p w14:paraId="2CB33812">
            <w:pPr>
              <w:spacing w:line="360" w:lineRule="auto"/>
              <w:rPr>
                <w:rFonts w:hint="eastAsia" w:ascii="宋体" w:hAnsi="宋体"/>
                <w:color w:val="auto"/>
                <w:sz w:val="24"/>
                <w:highlight w:val="none"/>
              </w:rPr>
            </w:pPr>
            <w:r>
              <w:rPr>
                <w:rFonts w:hint="eastAsia" w:ascii="宋体" w:hAnsi="宋体"/>
                <w:color w:val="auto"/>
                <w:sz w:val="24"/>
                <w:highlight w:val="none"/>
              </w:rPr>
              <w:t>金属板材：所有板材均要求采用进口或国产优质产品。内面板采用304不锈钢板，厚度应不小于</w:t>
            </w:r>
            <w:r>
              <w:rPr>
                <w:rFonts w:ascii="宋体" w:hAnsi="宋体"/>
                <w:color w:val="auto"/>
                <w:sz w:val="24"/>
                <w:highlight w:val="none"/>
              </w:rPr>
              <w:t>0.</w:t>
            </w:r>
            <w:r>
              <w:rPr>
                <w:rFonts w:hint="eastAsia" w:ascii="宋体" w:hAnsi="宋体"/>
                <w:color w:val="auto"/>
                <w:sz w:val="24"/>
                <w:highlight w:val="none"/>
              </w:rPr>
              <w:t>7</w:t>
            </w:r>
            <w:r>
              <w:rPr>
                <w:rFonts w:ascii="宋体" w:hAnsi="宋体"/>
                <w:color w:val="auto"/>
                <w:sz w:val="24"/>
                <w:highlight w:val="none"/>
              </w:rPr>
              <w:t>mm</w:t>
            </w:r>
            <w:r>
              <w:rPr>
                <w:rFonts w:hint="eastAsia" w:ascii="宋体" w:hAnsi="宋体"/>
                <w:color w:val="auto"/>
                <w:sz w:val="24"/>
                <w:highlight w:val="none"/>
              </w:rPr>
              <w:t>；</w:t>
            </w:r>
          </w:p>
        </w:tc>
        <w:tc>
          <w:tcPr>
            <w:tcW w:w="679" w:type="dxa"/>
          </w:tcPr>
          <w:p w14:paraId="2C67C065">
            <w:pPr>
              <w:rPr>
                <w:color w:val="auto"/>
                <w:highlight w:val="none"/>
              </w:rPr>
            </w:pPr>
            <w:r>
              <w:rPr>
                <w:rFonts w:hint="eastAsia" w:ascii="宋体" w:hAnsi="宋体" w:cs="Arial"/>
                <w:color w:val="auto"/>
                <w:sz w:val="24"/>
                <w:highlight w:val="none"/>
                <w:lang w:val="en-GB"/>
              </w:rPr>
              <w:t>必需</w:t>
            </w:r>
          </w:p>
        </w:tc>
        <w:tc>
          <w:tcPr>
            <w:tcW w:w="1122" w:type="dxa"/>
            <w:vAlign w:val="center"/>
          </w:tcPr>
          <w:p w14:paraId="06CD5FF8">
            <w:pPr>
              <w:spacing w:before="62" w:beforeLines="20" w:after="62" w:afterLines="20" w:line="276" w:lineRule="auto"/>
              <w:jc w:val="left"/>
              <w:rPr>
                <w:rFonts w:hint="eastAsia" w:ascii="宋体" w:hAnsi="宋体" w:cs="Arial"/>
                <w:color w:val="auto"/>
                <w:sz w:val="24"/>
                <w:highlight w:val="none"/>
              </w:rPr>
            </w:pPr>
          </w:p>
        </w:tc>
      </w:tr>
      <w:tr w14:paraId="314D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52E5093D">
            <w:pPr>
              <w:rPr>
                <w:color w:val="auto"/>
                <w:highlight w:val="none"/>
              </w:rPr>
            </w:pPr>
            <w:r>
              <w:rPr>
                <w:rFonts w:hint="eastAsia" w:ascii="宋体" w:hAnsi="宋体" w:cs="Arial"/>
                <w:color w:val="auto"/>
                <w:sz w:val="24"/>
                <w:highlight w:val="none"/>
              </w:rPr>
              <w:t>URS11.1-21</w:t>
            </w:r>
          </w:p>
        </w:tc>
        <w:tc>
          <w:tcPr>
            <w:tcW w:w="5062" w:type="dxa"/>
          </w:tcPr>
          <w:p w14:paraId="0CC7C9A0">
            <w:pPr>
              <w:spacing w:line="360" w:lineRule="auto"/>
              <w:rPr>
                <w:rFonts w:hint="eastAsia" w:ascii="宋体" w:hAnsi="宋体"/>
                <w:color w:val="auto"/>
                <w:sz w:val="24"/>
                <w:highlight w:val="none"/>
              </w:rPr>
            </w:pPr>
            <w:r>
              <w:rPr>
                <w:rFonts w:hint="eastAsia" w:ascii="宋体" w:hAnsi="宋体"/>
                <w:color w:val="auto"/>
                <w:sz w:val="24"/>
                <w:highlight w:val="none"/>
              </w:rPr>
              <w:t>保温材料：要求采用硬质聚氨酯直接发泡，不接受将内外面板粘贴在聚氨酯发泡板上的面板，保温层厚度应不小于</w:t>
            </w:r>
            <w:r>
              <w:rPr>
                <w:rFonts w:ascii="宋体" w:hAnsi="宋体"/>
                <w:color w:val="auto"/>
                <w:sz w:val="24"/>
                <w:highlight w:val="none"/>
              </w:rPr>
              <w:t>50mm</w:t>
            </w:r>
            <w:r>
              <w:rPr>
                <w:rFonts w:hint="eastAsia" w:ascii="宋体" w:hAnsi="宋体"/>
                <w:color w:val="auto"/>
                <w:sz w:val="24"/>
                <w:highlight w:val="none"/>
              </w:rPr>
              <w:t>；保温层与面板应结合牢固、无间隙。</w:t>
            </w:r>
          </w:p>
        </w:tc>
        <w:tc>
          <w:tcPr>
            <w:tcW w:w="679" w:type="dxa"/>
          </w:tcPr>
          <w:p w14:paraId="3F749C70">
            <w:pPr>
              <w:rPr>
                <w:color w:val="auto"/>
                <w:highlight w:val="none"/>
              </w:rPr>
            </w:pPr>
            <w:r>
              <w:rPr>
                <w:rFonts w:hint="eastAsia" w:ascii="宋体" w:hAnsi="宋体" w:cs="Arial"/>
                <w:color w:val="auto"/>
                <w:sz w:val="24"/>
                <w:highlight w:val="none"/>
                <w:lang w:val="en-GB"/>
              </w:rPr>
              <w:t>必需</w:t>
            </w:r>
          </w:p>
        </w:tc>
        <w:tc>
          <w:tcPr>
            <w:tcW w:w="1122" w:type="dxa"/>
            <w:vAlign w:val="center"/>
          </w:tcPr>
          <w:p w14:paraId="4803B392">
            <w:pPr>
              <w:spacing w:before="62" w:beforeLines="20" w:after="62" w:afterLines="20" w:line="276" w:lineRule="auto"/>
              <w:jc w:val="left"/>
              <w:rPr>
                <w:rFonts w:hint="eastAsia" w:ascii="宋体" w:hAnsi="宋体" w:cs="Arial"/>
                <w:color w:val="auto"/>
                <w:sz w:val="24"/>
                <w:highlight w:val="none"/>
              </w:rPr>
            </w:pPr>
          </w:p>
        </w:tc>
      </w:tr>
      <w:tr w14:paraId="4A0D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611E37F">
            <w:pPr>
              <w:rPr>
                <w:color w:val="auto"/>
                <w:highlight w:val="none"/>
              </w:rPr>
            </w:pPr>
            <w:r>
              <w:rPr>
                <w:rFonts w:hint="eastAsia" w:ascii="宋体" w:hAnsi="宋体" w:cs="Arial"/>
                <w:color w:val="auto"/>
                <w:sz w:val="24"/>
                <w:highlight w:val="none"/>
              </w:rPr>
              <w:t>URS11.1-22</w:t>
            </w:r>
          </w:p>
        </w:tc>
        <w:tc>
          <w:tcPr>
            <w:tcW w:w="5062" w:type="dxa"/>
          </w:tcPr>
          <w:p w14:paraId="1F93573A">
            <w:pPr>
              <w:spacing w:line="360" w:lineRule="auto"/>
              <w:rPr>
                <w:rFonts w:hint="eastAsia" w:ascii="宋体" w:hAnsi="宋体"/>
                <w:color w:val="auto"/>
                <w:sz w:val="24"/>
                <w:highlight w:val="none"/>
              </w:rPr>
            </w:pPr>
            <w:r>
              <w:rPr>
                <w:rFonts w:hint="eastAsia" w:ascii="宋体" w:hAnsi="宋体" w:cs="宋体"/>
                <w:color w:val="auto"/>
                <w:sz w:val="24"/>
                <w:highlight w:val="none"/>
              </w:rPr>
              <w:t>检修门：采用钢制检修门，平整不变形，外形美观，区分正压段门和负压段门的开启方向，密闭效果好，检修门带有可视观察窗；</w:t>
            </w:r>
          </w:p>
        </w:tc>
        <w:tc>
          <w:tcPr>
            <w:tcW w:w="679" w:type="dxa"/>
          </w:tcPr>
          <w:p w14:paraId="504576F8">
            <w:pPr>
              <w:rPr>
                <w:color w:val="auto"/>
                <w:highlight w:val="none"/>
              </w:rPr>
            </w:pPr>
            <w:r>
              <w:rPr>
                <w:rFonts w:hint="eastAsia" w:ascii="宋体" w:hAnsi="宋体" w:cs="Arial"/>
                <w:color w:val="auto"/>
                <w:sz w:val="24"/>
                <w:highlight w:val="none"/>
                <w:lang w:val="en-GB"/>
              </w:rPr>
              <w:t>必需</w:t>
            </w:r>
          </w:p>
        </w:tc>
        <w:tc>
          <w:tcPr>
            <w:tcW w:w="1122" w:type="dxa"/>
            <w:vAlign w:val="center"/>
          </w:tcPr>
          <w:p w14:paraId="0AAECFAF">
            <w:pPr>
              <w:spacing w:before="62" w:beforeLines="20" w:after="62" w:afterLines="20" w:line="276" w:lineRule="auto"/>
              <w:jc w:val="left"/>
              <w:rPr>
                <w:rFonts w:hint="eastAsia" w:ascii="宋体" w:hAnsi="宋体" w:cs="Arial"/>
                <w:color w:val="auto"/>
                <w:sz w:val="24"/>
                <w:highlight w:val="none"/>
              </w:rPr>
            </w:pPr>
          </w:p>
        </w:tc>
      </w:tr>
      <w:tr w14:paraId="0FBC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07226AAB">
            <w:pPr>
              <w:rPr>
                <w:color w:val="auto"/>
                <w:highlight w:val="none"/>
              </w:rPr>
            </w:pPr>
            <w:r>
              <w:rPr>
                <w:rFonts w:hint="eastAsia" w:ascii="宋体" w:hAnsi="宋体" w:cs="Arial"/>
                <w:color w:val="auto"/>
                <w:sz w:val="24"/>
                <w:highlight w:val="none"/>
              </w:rPr>
              <w:t>URS11.1-23</w:t>
            </w:r>
          </w:p>
        </w:tc>
        <w:tc>
          <w:tcPr>
            <w:tcW w:w="5062" w:type="dxa"/>
          </w:tcPr>
          <w:p w14:paraId="50761A46">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机组的混合段、回风段、送风段等需要与风管连接的功能段风口均配置碳钢法兰，风口尺寸按空调机条件图提的尺寸。</w:t>
            </w:r>
          </w:p>
        </w:tc>
        <w:tc>
          <w:tcPr>
            <w:tcW w:w="679" w:type="dxa"/>
            <w:vAlign w:val="center"/>
          </w:tcPr>
          <w:p w14:paraId="667DBCD9">
            <w:pPr>
              <w:jc w:val="center"/>
              <w:rPr>
                <w:rFonts w:hint="eastAsia" w:ascii="宋体" w:hAnsi="宋体"/>
                <w:color w:val="auto"/>
                <w:sz w:val="24"/>
                <w:highlight w:val="none"/>
              </w:rPr>
            </w:pPr>
            <w:r>
              <w:rPr>
                <w:rFonts w:hint="eastAsia" w:ascii="宋体" w:hAnsi="宋体" w:cs="Arial"/>
                <w:color w:val="auto"/>
                <w:sz w:val="24"/>
                <w:highlight w:val="none"/>
                <w:lang w:val="en-GB"/>
              </w:rPr>
              <w:t>必需</w:t>
            </w:r>
          </w:p>
        </w:tc>
        <w:tc>
          <w:tcPr>
            <w:tcW w:w="1122" w:type="dxa"/>
            <w:vAlign w:val="center"/>
          </w:tcPr>
          <w:p w14:paraId="12402023">
            <w:pPr>
              <w:spacing w:before="62" w:beforeLines="20" w:after="62" w:afterLines="20" w:line="276" w:lineRule="auto"/>
              <w:jc w:val="left"/>
              <w:rPr>
                <w:rFonts w:hint="eastAsia" w:ascii="宋体" w:hAnsi="宋体" w:cs="Arial"/>
                <w:color w:val="auto"/>
                <w:sz w:val="24"/>
                <w:highlight w:val="none"/>
              </w:rPr>
            </w:pPr>
          </w:p>
        </w:tc>
      </w:tr>
      <w:tr w14:paraId="1EE2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54A137D0">
            <w:pPr>
              <w:rPr>
                <w:rFonts w:hint="eastAsia" w:ascii="宋体" w:hAnsi="宋体" w:cs="Arial"/>
                <w:color w:val="auto"/>
                <w:sz w:val="24"/>
                <w:highlight w:val="none"/>
              </w:rPr>
            </w:pPr>
            <w:r>
              <w:rPr>
                <w:rFonts w:hint="eastAsia" w:ascii="宋体" w:hAnsi="宋体" w:cs="Arial"/>
                <w:color w:val="auto"/>
                <w:sz w:val="24"/>
                <w:highlight w:val="none"/>
              </w:rPr>
              <w:t>URS11.1-24</w:t>
            </w:r>
          </w:p>
        </w:tc>
        <w:tc>
          <w:tcPr>
            <w:tcW w:w="5062" w:type="dxa"/>
          </w:tcPr>
          <w:p w14:paraId="03655F6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洁净空调系统应至少提供3年维保服务，包括但不限于初效、中效、高效过滤器定期更换、年度检漏、风速风量年度验证等。</w:t>
            </w:r>
          </w:p>
        </w:tc>
        <w:tc>
          <w:tcPr>
            <w:tcW w:w="679" w:type="dxa"/>
            <w:vAlign w:val="center"/>
          </w:tcPr>
          <w:p w14:paraId="6C4788C9">
            <w:pPr>
              <w:jc w:val="center"/>
              <w:rPr>
                <w:rFonts w:hint="eastAsia" w:ascii="宋体" w:hAnsi="宋体" w:cs="Arial"/>
                <w:color w:val="auto"/>
                <w:sz w:val="24"/>
                <w:highlight w:val="none"/>
                <w:lang w:val="en-GB"/>
              </w:rPr>
            </w:pPr>
            <w:r>
              <w:rPr>
                <w:rFonts w:hint="eastAsia" w:ascii="宋体" w:hAnsi="宋体" w:cs="Arial"/>
                <w:color w:val="auto"/>
                <w:sz w:val="24"/>
                <w:highlight w:val="none"/>
                <w:lang w:val="en-GB"/>
              </w:rPr>
              <w:t>必需</w:t>
            </w:r>
          </w:p>
        </w:tc>
        <w:tc>
          <w:tcPr>
            <w:tcW w:w="1122" w:type="dxa"/>
            <w:vAlign w:val="center"/>
          </w:tcPr>
          <w:p w14:paraId="1583C8C4">
            <w:pPr>
              <w:spacing w:before="62" w:beforeLines="20" w:after="62" w:afterLines="20" w:line="276" w:lineRule="auto"/>
              <w:jc w:val="left"/>
              <w:rPr>
                <w:rFonts w:hint="eastAsia" w:ascii="宋体" w:hAnsi="宋体" w:cs="Arial"/>
                <w:color w:val="auto"/>
                <w:sz w:val="24"/>
                <w:highlight w:val="none"/>
              </w:rPr>
            </w:pPr>
          </w:p>
        </w:tc>
      </w:tr>
    </w:tbl>
    <w:p w14:paraId="4F9F5F4B">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11.2过滤器</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4953"/>
        <w:gridCol w:w="682"/>
        <w:gridCol w:w="1125"/>
      </w:tblGrid>
      <w:tr w14:paraId="4E4D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759" w:type="dxa"/>
            <w:tcBorders>
              <w:bottom w:val="single" w:color="auto" w:sz="4" w:space="0"/>
            </w:tcBorders>
            <w:shd w:val="pct20" w:color="auto" w:fill="FFFFFF"/>
            <w:vAlign w:val="center"/>
          </w:tcPr>
          <w:p w14:paraId="1FBBE97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4953" w:type="dxa"/>
            <w:tcBorders>
              <w:bottom w:val="single" w:color="auto" w:sz="4" w:space="0"/>
            </w:tcBorders>
            <w:shd w:val="pct20" w:color="auto" w:fill="FFFFFF"/>
            <w:vAlign w:val="center"/>
          </w:tcPr>
          <w:p w14:paraId="6EEB56B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2" w:type="dxa"/>
            <w:tcBorders>
              <w:bottom w:val="single" w:color="auto" w:sz="4" w:space="0"/>
            </w:tcBorders>
            <w:shd w:val="pct20" w:color="auto" w:fill="FFFFFF"/>
            <w:vAlign w:val="center"/>
          </w:tcPr>
          <w:p w14:paraId="24117DD4">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25" w:type="dxa"/>
            <w:tcBorders>
              <w:bottom w:val="single" w:color="auto" w:sz="4" w:space="0"/>
            </w:tcBorders>
            <w:shd w:val="pct20" w:color="auto" w:fill="FFFFFF"/>
          </w:tcPr>
          <w:p w14:paraId="66A79A6F">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69FDA141">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11B9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vAlign w:val="center"/>
          </w:tcPr>
          <w:p w14:paraId="1E6FE6BB">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.2-01</w:t>
            </w:r>
          </w:p>
        </w:tc>
        <w:tc>
          <w:tcPr>
            <w:tcW w:w="4953" w:type="dxa"/>
            <w:vAlign w:val="center"/>
          </w:tcPr>
          <w:p w14:paraId="5EBBC8E4">
            <w:pPr>
              <w:autoSpaceDE w:val="0"/>
              <w:autoSpaceDN w:val="0"/>
              <w:adjustRightInd w:val="0"/>
              <w:spacing w:line="360" w:lineRule="auto"/>
              <w:textAlignment w:val="baseline"/>
              <w:rPr>
                <w:rFonts w:ascii="Arial" w:hAnsi="Arial" w:cs="Arial"/>
                <w:color w:val="auto"/>
                <w:sz w:val="24"/>
                <w:highlight w:val="none"/>
              </w:rPr>
            </w:pPr>
            <w:r>
              <w:rPr>
                <w:rFonts w:ascii="Arial" w:hAnsi="Arial" w:cs="Arial"/>
                <w:color w:val="auto"/>
                <w:sz w:val="24"/>
                <w:highlight w:val="none"/>
              </w:rPr>
              <w:t>初效过滤器采用G4级板式过滤器，厚95mm；</w:t>
            </w:r>
          </w:p>
        </w:tc>
        <w:tc>
          <w:tcPr>
            <w:tcW w:w="682" w:type="dxa"/>
          </w:tcPr>
          <w:p w14:paraId="7718A96A">
            <w:pPr>
              <w:rPr>
                <w:rFonts w:ascii="Arial" w:hAnsi="Arial" w:cs="Arial"/>
                <w:color w:val="auto"/>
                <w:sz w:val="24"/>
                <w:highlight w:val="none"/>
              </w:rPr>
            </w:pPr>
            <w:r>
              <w:rPr>
                <w:rFonts w:hint="eastAsia" w:ascii="Arial" w:hAnsi="Arial" w:cs="Arial"/>
                <w:color w:val="auto"/>
                <w:sz w:val="24"/>
                <w:highlight w:val="none"/>
              </w:rPr>
              <w:t>必需</w:t>
            </w:r>
          </w:p>
        </w:tc>
        <w:tc>
          <w:tcPr>
            <w:tcW w:w="1125" w:type="dxa"/>
            <w:vAlign w:val="center"/>
          </w:tcPr>
          <w:p w14:paraId="4D1E0BEB">
            <w:pPr>
              <w:spacing w:before="62" w:beforeLines="20" w:after="62" w:afterLines="20" w:line="276" w:lineRule="auto"/>
              <w:jc w:val="left"/>
              <w:rPr>
                <w:rFonts w:ascii="Arial" w:hAnsi="Arial" w:cs="Arial"/>
                <w:color w:val="auto"/>
                <w:sz w:val="24"/>
                <w:highlight w:val="none"/>
              </w:rPr>
            </w:pPr>
          </w:p>
        </w:tc>
      </w:tr>
      <w:tr w14:paraId="6EB4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tcPr>
          <w:p w14:paraId="414A5833">
            <w:pPr>
              <w:rPr>
                <w:color w:val="auto"/>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2</w:t>
            </w:r>
          </w:p>
        </w:tc>
        <w:tc>
          <w:tcPr>
            <w:tcW w:w="4953" w:type="dxa"/>
            <w:vAlign w:val="center"/>
          </w:tcPr>
          <w:p w14:paraId="2AED7CCF">
            <w:pPr>
              <w:autoSpaceDE w:val="0"/>
              <w:autoSpaceDN w:val="0"/>
              <w:adjustRightInd w:val="0"/>
              <w:spacing w:line="360" w:lineRule="auto"/>
              <w:textAlignment w:val="baseline"/>
              <w:rPr>
                <w:rFonts w:ascii="Arial" w:hAnsi="Arial" w:cs="Arial"/>
                <w:color w:val="auto"/>
                <w:sz w:val="24"/>
                <w:highlight w:val="none"/>
              </w:rPr>
            </w:pPr>
            <w:r>
              <w:rPr>
                <w:rFonts w:ascii="Arial" w:hAnsi="Arial" w:cs="Arial"/>
                <w:color w:val="auto"/>
                <w:sz w:val="24"/>
                <w:highlight w:val="none"/>
              </w:rPr>
              <w:t>中效过滤器采用知名过滤器厂家生产的袋式过滤器（F8），袋长不小于530mm，袋数不小于8袋；</w:t>
            </w:r>
          </w:p>
        </w:tc>
        <w:tc>
          <w:tcPr>
            <w:tcW w:w="682" w:type="dxa"/>
          </w:tcPr>
          <w:p w14:paraId="5484DDE9">
            <w:pPr>
              <w:rPr>
                <w:color w:val="auto"/>
                <w:highlight w:val="none"/>
              </w:rPr>
            </w:pPr>
            <w:r>
              <w:rPr>
                <w:rFonts w:hint="eastAsia" w:ascii="Arial" w:hAnsi="Arial" w:cs="Arial"/>
                <w:color w:val="auto"/>
                <w:sz w:val="24"/>
                <w:highlight w:val="none"/>
              </w:rPr>
              <w:t>必需</w:t>
            </w:r>
          </w:p>
        </w:tc>
        <w:tc>
          <w:tcPr>
            <w:tcW w:w="1125" w:type="dxa"/>
            <w:vAlign w:val="center"/>
          </w:tcPr>
          <w:p w14:paraId="54723242">
            <w:pPr>
              <w:spacing w:before="62" w:beforeLines="20" w:after="62" w:afterLines="20" w:line="276" w:lineRule="auto"/>
              <w:jc w:val="left"/>
              <w:rPr>
                <w:rFonts w:ascii="Arial" w:hAnsi="Arial" w:cs="Arial"/>
                <w:color w:val="auto"/>
                <w:sz w:val="24"/>
                <w:highlight w:val="none"/>
              </w:rPr>
            </w:pPr>
          </w:p>
        </w:tc>
      </w:tr>
      <w:tr w14:paraId="7746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tcPr>
          <w:p w14:paraId="64DE775F">
            <w:pPr>
              <w:rPr>
                <w:color w:val="auto"/>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3</w:t>
            </w:r>
          </w:p>
        </w:tc>
        <w:tc>
          <w:tcPr>
            <w:tcW w:w="4953" w:type="dxa"/>
            <w:vAlign w:val="center"/>
          </w:tcPr>
          <w:p w14:paraId="18AE77DF">
            <w:pPr>
              <w:autoSpaceDE w:val="0"/>
              <w:autoSpaceDN w:val="0"/>
              <w:adjustRightInd w:val="0"/>
              <w:spacing w:line="360" w:lineRule="auto"/>
              <w:textAlignment w:val="baseline"/>
              <w:rPr>
                <w:rFonts w:ascii="Arial" w:hAnsi="Arial" w:cs="Arial"/>
                <w:color w:val="auto"/>
                <w:sz w:val="24"/>
                <w:highlight w:val="none"/>
              </w:rPr>
            </w:pPr>
            <w:r>
              <w:rPr>
                <w:rFonts w:ascii="Arial" w:hAnsi="Arial" w:cs="Arial"/>
                <w:color w:val="auto"/>
                <w:sz w:val="24"/>
                <w:highlight w:val="none"/>
              </w:rPr>
              <w:t>过滤器应方便拆装，初中效过滤器槽架应采取良好密封措施</w:t>
            </w:r>
          </w:p>
        </w:tc>
        <w:tc>
          <w:tcPr>
            <w:tcW w:w="682" w:type="dxa"/>
          </w:tcPr>
          <w:p w14:paraId="77BDE042">
            <w:pPr>
              <w:rPr>
                <w:color w:val="auto"/>
                <w:highlight w:val="none"/>
              </w:rPr>
            </w:pPr>
            <w:r>
              <w:rPr>
                <w:rFonts w:hint="eastAsia" w:ascii="Arial" w:hAnsi="Arial" w:cs="Arial"/>
                <w:color w:val="auto"/>
                <w:sz w:val="24"/>
                <w:highlight w:val="none"/>
              </w:rPr>
              <w:t>必需</w:t>
            </w:r>
          </w:p>
        </w:tc>
        <w:tc>
          <w:tcPr>
            <w:tcW w:w="1125" w:type="dxa"/>
            <w:vAlign w:val="center"/>
          </w:tcPr>
          <w:p w14:paraId="445145B4">
            <w:pPr>
              <w:spacing w:before="62" w:beforeLines="20" w:after="62" w:afterLines="20" w:line="276" w:lineRule="auto"/>
              <w:jc w:val="left"/>
              <w:rPr>
                <w:rFonts w:ascii="Arial" w:hAnsi="Arial" w:cs="Arial"/>
                <w:color w:val="auto"/>
                <w:sz w:val="24"/>
                <w:highlight w:val="none"/>
              </w:rPr>
            </w:pPr>
          </w:p>
        </w:tc>
      </w:tr>
      <w:tr w14:paraId="76F8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tcPr>
          <w:p w14:paraId="2343CB61">
            <w:pPr>
              <w:rPr>
                <w:color w:val="auto"/>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4</w:t>
            </w:r>
          </w:p>
        </w:tc>
        <w:tc>
          <w:tcPr>
            <w:tcW w:w="4953" w:type="dxa"/>
            <w:vAlign w:val="center"/>
          </w:tcPr>
          <w:p w14:paraId="440AEC3E">
            <w:pPr>
              <w:autoSpaceDE w:val="0"/>
              <w:autoSpaceDN w:val="0"/>
              <w:adjustRightInd w:val="0"/>
              <w:spacing w:line="276" w:lineRule="auto"/>
              <w:textAlignment w:val="baseline"/>
              <w:rPr>
                <w:rFonts w:ascii="Arial" w:hAnsi="Arial" w:cs="Arial"/>
                <w:color w:val="auto"/>
                <w:sz w:val="24"/>
                <w:highlight w:val="none"/>
              </w:rPr>
            </w:pPr>
            <w:r>
              <w:rPr>
                <w:rFonts w:ascii="Arial" w:hAnsi="Arial" w:cs="Arial"/>
                <w:color w:val="auto"/>
                <w:sz w:val="24"/>
                <w:highlight w:val="none"/>
              </w:rPr>
              <w:t>各级过滤器前后应设表盘式压差表，方便观察过滤器风阻力；同时设置电子式压差报警器，可设定压差值，达到设定压力自动报警。</w:t>
            </w:r>
          </w:p>
        </w:tc>
        <w:tc>
          <w:tcPr>
            <w:tcW w:w="682" w:type="dxa"/>
          </w:tcPr>
          <w:p w14:paraId="074799CC">
            <w:pPr>
              <w:rPr>
                <w:color w:val="auto"/>
                <w:highlight w:val="none"/>
              </w:rPr>
            </w:pPr>
            <w:r>
              <w:rPr>
                <w:rFonts w:hint="eastAsia" w:ascii="Arial" w:hAnsi="Arial" w:cs="Arial"/>
                <w:color w:val="auto"/>
                <w:sz w:val="24"/>
                <w:highlight w:val="none"/>
              </w:rPr>
              <w:t>必需</w:t>
            </w:r>
          </w:p>
        </w:tc>
        <w:tc>
          <w:tcPr>
            <w:tcW w:w="1125" w:type="dxa"/>
            <w:vAlign w:val="center"/>
          </w:tcPr>
          <w:p w14:paraId="59138221">
            <w:pPr>
              <w:spacing w:before="62" w:beforeLines="20" w:after="62" w:afterLines="20" w:line="276" w:lineRule="auto"/>
              <w:jc w:val="left"/>
              <w:rPr>
                <w:rFonts w:ascii="Arial" w:hAnsi="Arial" w:cs="Arial"/>
                <w:color w:val="auto"/>
                <w:sz w:val="24"/>
                <w:highlight w:val="none"/>
              </w:rPr>
            </w:pPr>
          </w:p>
        </w:tc>
      </w:tr>
      <w:tr w14:paraId="3858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tcPr>
          <w:p w14:paraId="04315D7D">
            <w:pPr>
              <w:rPr>
                <w:color w:val="auto"/>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5</w:t>
            </w:r>
          </w:p>
        </w:tc>
        <w:tc>
          <w:tcPr>
            <w:tcW w:w="4953" w:type="dxa"/>
          </w:tcPr>
          <w:p w14:paraId="2B26E5CC">
            <w:pPr>
              <w:spacing w:line="0" w:lineRule="atLeast"/>
              <w:rPr>
                <w:rFonts w:ascii="Arial" w:hAnsi="Arial" w:cs="Arial"/>
                <w:color w:val="auto"/>
                <w:sz w:val="24"/>
                <w:highlight w:val="none"/>
              </w:rPr>
            </w:pPr>
            <w:r>
              <w:rPr>
                <w:rFonts w:ascii="Arial" w:hAnsi="Arial" w:cs="Arial"/>
                <w:color w:val="auto"/>
                <w:sz w:val="24"/>
                <w:highlight w:val="none"/>
              </w:rPr>
              <w:t>过滤段配备的G4级初效过滤器为无纺布板式过滤袋，安装、拆卸方便，过滤袋本身带金属框。</w:t>
            </w:r>
          </w:p>
        </w:tc>
        <w:tc>
          <w:tcPr>
            <w:tcW w:w="682" w:type="dxa"/>
          </w:tcPr>
          <w:p w14:paraId="4F96E470">
            <w:pPr>
              <w:rPr>
                <w:rFonts w:ascii="Arial" w:hAnsi="Arial" w:cs="Arial"/>
                <w:color w:val="auto"/>
                <w:sz w:val="24"/>
                <w:highlight w:val="none"/>
              </w:rPr>
            </w:pPr>
            <w:r>
              <w:rPr>
                <w:rFonts w:hint="eastAsia" w:ascii="Arial" w:hAnsi="Arial" w:cs="Arial"/>
                <w:color w:val="auto"/>
                <w:sz w:val="24"/>
                <w:highlight w:val="none"/>
              </w:rPr>
              <w:t>期望</w:t>
            </w:r>
          </w:p>
        </w:tc>
        <w:tc>
          <w:tcPr>
            <w:tcW w:w="1125" w:type="dxa"/>
            <w:vAlign w:val="center"/>
          </w:tcPr>
          <w:p w14:paraId="51A08F3A">
            <w:pPr>
              <w:spacing w:before="62" w:beforeLines="20" w:after="62" w:afterLines="20" w:line="276" w:lineRule="auto"/>
              <w:jc w:val="left"/>
              <w:rPr>
                <w:rFonts w:ascii="Arial" w:hAnsi="Arial" w:cs="Arial"/>
                <w:color w:val="auto"/>
                <w:sz w:val="24"/>
                <w:highlight w:val="none"/>
              </w:rPr>
            </w:pPr>
          </w:p>
        </w:tc>
      </w:tr>
      <w:tr w14:paraId="1ABA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tcPr>
          <w:p w14:paraId="68F14E40">
            <w:pPr>
              <w:rPr>
                <w:color w:val="auto"/>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6</w:t>
            </w:r>
          </w:p>
        </w:tc>
        <w:tc>
          <w:tcPr>
            <w:tcW w:w="4953" w:type="dxa"/>
            <w:vAlign w:val="center"/>
          </w:tcPr>
          <w:p w14:paraId="35DA1AC8">
            <w:pPr>
              <w:autoSpaceDE w:val="0"/>
              <w:autoSpaceDN w:val="0"/>
              <w:adjustRightInd w:val="0"/>
              <w:spacing w:line="360" w:lineRule="auto"/>
              <w:textAlignment w:val="baseline"/>
              <w:rPr>
                <w:rFonts w:ascii="Arial" w:hAnsi="Arial" w:cs="Arial"/>
                <w:color w:val="auto"/>
                <w:sz w:val="24"/>
                <w:highlight w:val="none"/>
              </w:rPr>
            </w:pPr>
            <w:r>
              <w:rPr>
                <w:rFonts w:ascii="Arial" w:hAnsi="Arial" w:cs="Arial"/>
                <w:color w:val="auto"/>
                <w:sz w:val="24"/>
                <w:highlight w:val="none"/>
              </w:rPr>
              <w:t>过滤段配备的F8级中效过滤器为进口化纤袋式过滤袋，安装、拆卸方便，过滤袋本身带金属框。</w:t>
            </w:r>
          </w:p>
        </w:tc>
        <w:tc>
          <w:tcPr>
            <w:tcW w:w="682" w:type="dxa"/>
          </w:tcPr>
          <w:p w14:paraId="42B1869B">
            <w:pPr>
              <w:rPr>
                <w:rFonts w:ascii="Arial" w:hAnsi="Arial" w:cs="Arial"/>
                <w:color w:val="auto"/>
                <w:sz w:val="24"/>
                <w:highlight w:val="none"/>
              </w:rPr>
            </w:pPr>
            <w:r>
              <w:rPr>
                <w:rFonts w:hint="eastAsia" w:ascii="Arial" w:hAnsi="Arial" w:cs="Arial"/>
                <w:color w:val="auto"/>
                <w:sz w:val="24"/>
                <w:highlight w:val="none"/>
              </w:rPr>
              <w:t>期望</w:t>
            </w:r>
          </w:p>
        </w:tc>
        <w:tc>
          <w:tcPr>
            <w:tcW w:w="1125" w:type="dxa"/>
            <w:vAlign w:val="center"/>
          </w:tcPr>
          <w:p w14:paraId="5BAC362D">
            <w:pPr>
              <w:spacing w:before="62" w:beforeLines="20" w:after="62" w:afterLines="20" w:line="276" w:lineRule="auto"/>
              <w:jc w:val="left"/>
              <w:rPr>
                <w:rFonts w:ascii="Arial" w:hAnsi="Arial" w:cs="Arial"/>
                <w:color w:val="auto"/>
                <w:sz w:val="24"/>
                <w:highlight w:val="none"/>
              </w:rPr>
            </w:pPr>
          </w:p>
        </w:tc>
      </w:tr>
      <w:tr w14:paraId="6437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tcPr>
          <w:p w14:paraId="6618B0DC">
            <w:pPr>
              <w:rPr>
                <w:color w:val="auto"/>
                <w:highlight w:val="none"/>
              </w:rPr>
            </w:pPr>
            <w:r>
              <w:rPr>
                <w:rFonts w:hint="eastAsia" w:ascii="Arial" w:hAnsi="Arial" w:cs="Arial"/>
                <w:color w:val="auto"/>
                <w:sz w:val="24"/>
                <w:highlight w:val="none"/>
              </w:rPr>
              <w:t>▲</w:t>
            </w: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.2-0</w:t>
            </w:r>
            <w:r>
              <w:rPr>
                <w:rFonts w:hint="eastAsia" w:ascii="Arial" w:hAnsi="Arial" w:cs="Arial"/>
                <w:color w:val="auto"/>
                <w:sz w:val="24"/>
                <w:highlight w:val="none"/>
              </w:rPr>
              <w:t>7</w:t>
            </w:r>
          </w:p>
        </w:tc>
        <w:tc>
          <w:tcPr>
            <w:tcW w:w="4953" w:type="dxa"/>
            <w:vAlign w:val="center"/>
          </w:tcPr>
          <w:p w14:paraId="14C21466">
            <w:pPr>
              <w:autoSpaceDE w:val="0"/>
              <w:autoSpaceDN w:val="0"/>
              <w:adjustRightInd w:val="0"/>
              <w:spacing w:line="276" w:lineRule="auto"/>
              <w:textAlignment w:val="baseline"/>
              <w:rPr>
                <w:rFonts w:ascii="Arial" w:hAnsi="Arial" w:cs="Arial"/>
                <w:color w:val="auto"/>
                <w:sz w:val="24"/>
                <w:highlight w:val="none"/>
              </w:rPr>
            </w:pPr>
            <w:r>
              <w:rPr>
                <w:rFonts w:hint="eastAsia" w:ascii="Arial" w:hAnsi="Arial" w:cs="Arial"/>
                <w:color w:val="auto"/>
                <w:sz w:val="24"/>
                <w:highlight w:val="none"/>
              </w:rPr>
              <w:t>若采用亚初效+初效，亚中效+中效，的双过滤方式的，压差期望为：初效段30-50pa范围，中效段60-90pa范围。</w:t>
            </w:r>
          </w:p>
        </w:tc>
        <w:tc>
          <w:tcPr>
            <w:tcW w:w="682" w:type="dxa"/>
          </w:tcPr>
          <w:p w14:paraId="645A0238">
            <w:pPr>
              <w:rPr>
                <w:rFonts w:ascii="Arial" w:hAnsi="Arial" w:cs="Arial"/>
                <w:color w:val="auto"/>
                <w:sz w:val="24"/>
                <w:highlight w:val="none"/>
              </w:rPr>
            </w:pPr>
            <w:r>
              <w:rPr>
                <w:rFonts w:hint="eastAsia" w:ascii="Arial" w:hAnsi="Arial" w:cs="Arial"/>
                <w:color w:val="auto"/>
                <w:sz w:val="24"/>
                <w:highlight w:val="none"/>
              </w:rPr>
              <w:t>期望</w:t>
            </w:r>
          </w:p>
        </w:tc>
        <w:tc>
          <w:tcPr>
            <w:tcW w:w="1125" w:type="dxa"/>
            <w:vAlign w:val="center"/>
          </w:tcPr>
          <w:p w14:paraId="34410130">
            <w:pPr>
              <w:spacing w:before="62" w:beforeLines="20" w:after="62" w:afterLines="20" w:line="276" w:lineRule="auto"/>
              <w:jc w:val="left"/>
              <w:rPr>
                <w:rFonts w:ascii="Arial" w:hAnsi="Arial" w:cs="Arial"/>
                <w:color w:val="auto"/>
                <w:sz w:val="24"/>
                <w:highlight w:val="none"/>
              </w:rPr>
            </w:pPr>
          </w:p>
        </w:tc>
      </w:tr>
    </w:tbl>
    <w:p w14:paraId="4E5BEA83">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11.3蒸发盘管</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4953"/>
        <w:gridCol w:w="682"/>
        <w:gridCol w:w="1125"/>
      </w:tblGrid>
      <w:tr w14:paraId="6D34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759" w:type="dxa"/>
            <w:tcBorders>
              <w:bottom w:val="single" w:color="auto" w:sz="4" w:space="0"/>
            </w:tcBorders>
            <w:shd w:val="pct20" w:color="auto" w:fill="FFFFFF"/>
            <w:vAlign w:val="center"/>
          </w:tcPr>
          <w:p w14:paraId="576C1B89">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序号</w:t>
            </w:r>
          </w:p>
        </w:tc>
        <w:tc>
          <w:tcPr>
            <w:tcW w:w="4953" w:type="dxa"/>
            <w:tcBorders>
              <w:bottom w:val="single" w:color="auto" w:sz="4" w:space="0"/>
            </w:tcBorders>
            <w:shd w:val="pct20" w:color="auto" w:fill="FFFFFF"/>
            <w:vAlign w:val="center"/>
          </w:tcPr>
          <w:p w14:paraId="1BB2B210">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要求</w:t>
            </w:r>
          </w:p>
        </w:tc>
        <w:tc>
          <w:tcPr>
            <w:tcW w:w="682" w:type="dxa"/>
            <w:tcBorders>
              <w:bottom w:val="single" w:color="auto" w:sz="4" w:space="0"/>
            </w:tcBorders>
            <w:shd w:val="pct20" w:color="auto" w:fill="FFFFFF"/>
            <w:vAlign w:val="center"/>
          </w:tcPr>
          <w:p w14:paraId="4B4A26B6">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必需/期望</w:t>
            </w:r>
          </w:p>
        </w:tc>
        <w:tc>
          <w:tcPr>
            <w:tcW w:w="1125" w:type="dxa"/>
            <w:tcBorders>
              <w:bottom w:val="single" w:color="auto" w:sz="4" w:space="0"/>
            </w:tcBorders>
            <w:shd w:val="pct20" w:color="auto" w:fill="FFFFFF"/>
          </w:tcPr>
          <w:p w14:paraId="3DE55A8C">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回复</w:t>
            </w:r>
          </w:p>
          <w:p w14:paraId="0FE8DF98">
            <w:pPr>
              <w:spacing w:before="62" w:beforeLines="20" w:after="62" w:afterLines="20" w:line="276" w:lineRule="auto"/>
              <w:jc w:val="left"/>
              <w:rPr>
                <w:rFonts w:ascii="Arial" w:hAnsi="Arial" w:cs="Arial"/>
                <w:color w:val="auto"/>
                <w:sz w:val="24"/>
                <w:highlight w:val="none"/>
              </w:rPr>
            </w:pPr>
            <w:r>
              <w:rPr>
                <w:rFonts w:ascii="Arial" w:hAnsi="Arial" w:cs="Arial"/>
                <w:color w:val="auto"/>
                <w:sz w:val="24"/>
                <w:highlight w:val="none"/>
              </w:rPr>
              <w:t>响应/偏离</w:t>
            </w:r>
          </w:p>
        </w:tc>
      </w:tr>
      <w:tr w14:paraId="6CA0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vAlign w:val="center"/>
          </w:tcPr>
          <w:p w14:paraId="532CB39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w:t>
            </w: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.3-01</w:t>
            </w:r>
          </w:p>
        </w:tc>
        <w:tc>
          <w:tcPr>
            <w:tcW w:w="4953" w:type="dxa"/>
            <w:vAlign w:val="center"/>
          </w:tcPr>
          <w:p w14:paraId="50DAE2C5">
            <w:pPr>
              <w:widowControl/>
              <w:tabs>
                <w:tab w:val="center" w:pos="2268"/>
                <w:tab w:val="right" w:pos="5387"/>
              </w:tabs>
              <w:spacing w:line="320" w:lineRule="atLeast"/>
              <w:jc w:val="left"/>
              <w:rPr>
                <w:rFonts w:ascii="Arial" w:hAnsi="Arial" w:cs="Arial"/>
                <w:caps/>
                <w:color w:val="auto"/>
                <w:kern w:val="0"/>
                <w:sz w:val="24"/>
                <w:highlight w:val="none"/>
              </w:rPr>
            </w:pPr>
            <w:r>
              <w:rPr>
                <w:rFonts w:ascii="Arial" w:hAnsi="Arial" w:cs="Arial"/>
                <w:caps/>
                <w:color w:val="auto"/>
                <w:kern w:val="0"/>
                <w:sz w:val="24"/>
                <w:highlight w:val="none"/>
                <w:lang w:val="en-GB"/>
              </w:rPr>
              <w:t>采用优质铜管，翅片应采用</w:t>
            </w:r>
            <w:r>
              <w:rPr>
                <w:rFonts w:ascii="Arial" w:hAnsi="Arial" w:cs="Arial"/>
                <w:bCs/>
                <w:caps/>
                <w:color w:val="auto"/>
                <w:kern w:val="0"/>
                <w:sz w:val="24"/>
                <w:highlight w:val="none"/>
                <w:lang w:val="en-GB"/>
              </w:rPr>
              <w:t>带有防腐亲水涂层的优质铝箔</w:t>
            </w:r>
            <w:r>
              <w:rPr>
                <w:rFonts w:ascii="Arial" w:hAnsi="Arial" w:cs="Arial"/>
                <w:caps/>
                <w:color w:val="auto"/>
                <w:kern w:val="0"/>
                <w:sz w:val="24"/>
                <w:highlight w:val="none"/>
                <w:lang w:val="en-GB"/>
              </w:rPr>
              <w:t>，投标时应标明厚度，</w:t>
            </w:r>
            <w:r>
              <w:rPr>
                <w:rFonts w:ascii="Arial" w:hAnsi="Arial" w:cs="Arial"/>
                <w:caps/>
                <w:color w:val="auto"/>
                <w:kern w:val="0"/>
                <w:sz w:val="24"/>
                <w:highlight w:val="none"/>
              </w:rPr>
              <w:t xml:space="preserve"> </w:t>
            </w:r>
          </w:p>
        </w:tc>
        <w:tc>
          <w:tcPr>
            <w:tcW w:w="682" w:type="dxa"/>
          </w:tcPr>
          <w:p w14:paraId="5E48429C">
            <w:pPr>
              <w:rPr>
                <w:rFonts w:ascii="Arial" w:hAnsi="Arial" w:cs="Arial"/>
                <w:color w:val="auto"/>
                <w:sz w:val="24"/>
                <w:highlight w:val="none"/>
              </w:rPr>
            </w:pPr>
            <w:r>
              <w:rPr>
                <w:rFonts w:ascii="Arial" w:hAnsi="Arial" w:cs="Arial"/>
                <w:color w:val="auto"/>
                <w:sz w:val="24"/>
                <w:highlight w:val="none"/>
              </w:rPr>
              <w:t>必需</w:t>
            </w:r>
          </w:p>
        </w:tc>
        <w:tc>
          <w:tcPr>
            <w:tcW w:w="1125" w:type="dxa"/>
            <w:vAlign w:val="center"/>
          </w:tcPr>
          <w:p w14:paraId="2969AD0B">
            <w:pPr>
              <w:spacing w:before="62" w:beforeLines="20" w:after="62" w:afterLines="20" w:line="276" w:lineRule="auto"/>
              <w:jc w:val="left"/>
              <w:rPr>
                <w:rFonts w:ascii="Arial" w:hAnsi="Arial" w:cs="Arial"/>
                <w:color w:val="auto"/>
                <w:sz w:val="24"/>
                <w:highlight w:val="none"/>
              </w:rPr>
            </w:pPr>
          </w:p>
        </w:tc>
      </w:tr>
      <w:tr w14:paraId="17F8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tcPr>
          <w:p w14:paraId="45947C60">
            <w:pPr>
              <w:rPr>
                <w:rFonts w:ascii="Arial" w:hAnsi="Arial" w:cs="Arial"/>
                <w:color w:val="auto"/>
                <w:sz w:val="24"/>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.3-02</w:t>
            </w:r>
          </w:p>
        </w:tc>
        <w:tc>
          <w:tcPr>
            <w:tcW w:w="4953" w:type="dxa"/>
            <w:vAlign w:val="center"/>
          </w:tcPr>
          <w:p w14:paraId="34C0593A">
            <w:pPr>
              <w:widowControl/>
              <w:tabs>
                <w:tab w:val="center" w:pos="2268"/>
                <w:tab w:val="right" w:pos="5387"/>
              </w:tabs>
              <w:spacing w:line="320" w:lineRule="atLeast"/>
              <w:jc w:val="left"/>
              <w:rPr>
                <w:rFonts w:ascii="Arial" w:hAnsi="Arial" w:cs="Arial"/>
                <w:caps/>
                <w:color w:val="auto"/>
                <w:kern w:val="0"/>
                <w:sz w:val="24"/>
                <w:highlight w:val="none"/>
                <w:lang w:val="en-GB"/>
              </w:rPr>
            </w:pPr>
            <w:r>
              <w:rPr>
                <w:rFonts w:ascii="Arial" w:hAnsi="Arial" w:cs="Arial"/>
                <w:caps/>
                <w:color w:val="auto"/>
                <w:kern w:val="0"/>
                <w:sz w:val="24"/>
                <w:highlight w:val="none"/>
                <w:lang w:val="en-GB"/>
              </w:rPr>
              <w:t>盘管最大迎面风速不超过2.3m/s，盘管经经过严格电脑选型，保证满足设计需要；边框应采用镀锌钢板，厚度不小于1.2mm；</w:t>
            </w:r>
          </w:p>
        </w:tc>
        <w:tc>
          <w:tcPr>
            <w:tcW w:w="682" w:type="dxa"/>
          </w:tcPr>
          <w:p w14:paraId="002B3BB8">
            <w:pPr>
              <w:rPr>
                <w:rFonts w:ascii="Arial" w:hAnsi="Arial" w:cs="Arial"/>
                <w:color w:val="auto"/>
                <w:sz w:val="24"/>
                <w:highlight w:val="none"/>
              </w:rPr>
            </w:pPr>
            <w:r>
              <w:rPr>
                <w:rFonts w:ascii="Arial" w:hAnsi="Arial" w:cs="Arial"/>
                <w:color w:val="auto"/>
                <w:sz w:val="24"/>
                <w:highlight w:val="none"/>
              </w:rPr>
              <w:t>必需</w:t>
            </w:r>
          </w:p>
        </w:tc>
        <w:tc>
          <w:tcPr>
            <w:tcW w:w="1125" w:type="dxa"/>
            <w:vAlign w:val="center"/>
          </w:tcPr>
          <w:p w14:paraId="2D260FDD">
            <w:pPr>
              <w:spacing w:before="62" w:beforeLines="20" w:after="62" w:afterLines="20" w:line="276" w:lineRule="auto"/>
              <w:jc w:val="left"/>
              <w:rPr>
                <w:rFonts w:ascii="Arial" w:hAnsi="Arial" w:cs="Arial"/>
                <w:color w:val="auto"/>
                <w:sz w:val="24"/>
                <w:highlight w:val="none"/>
              </w:rPr>
            </w:pPr>
          </w:p>
        </w:tc>
      </w:tr>
      <w:tr w14:paraId="6E35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59" w:type="dxa"/>
          </w:tcPr>
          <w:p w14:paraId="6D53E75B">
            <w:pPr>
              <w:rPr>
                <w:rFonts w:ascii="Arial" w:hAnsi="Arial" w:cs="Arial"/>
                <w:color w:val="auto"/>
                <w:sz w:val="24"/>
                <w:highlight w:val="none"/>
              </w:rPr>
            </w:pPr>
            <w:r>
              <w:rPr>
                <w:rFonts w:ascii="Arial" w:hAnsi="Arial" w:cs="Arial"/>
                <w:color w:val="auto"/>
                <w:sz w:val="24"/>
                <w:highlight w:val="none"/>
              </w:rPr>
              <w:t>URS1</w:t>
            </w:r>
            <w:r>
              <w:rPr>
                <w:rFonts w:hint="eastAsia" w:ascii="Arial" w:hAnsi="Arial" w:cs="Arial"/>
                <w:color w:val="auto"/>
                <w:sz w:val="24"/>
                <w:highlight w:val="none"/>
              </w:rPr>
              <w:t>1</w:t>
            </w:r>
            <w:r>
              <w:rPr>
                <w:rFonts w:ascii="Arial" w:hAnsi="Arial" w:cs="Arial"/>
                <w:color w:val="auto"/>
                <w:sz w:val="24"/>
                <w:highlight w:val="none"/>
              </w:rPr>
              <w:t>.3-03</w:t>
            </w:r>
          </w:p>
        </w:tc>
        <w:tc>
          <w:tcPr>
            <w:tcW w:w="4953" w:type="dxa"/>
          </w:tcPr>
          <w:p w14:paraId="00101AFD">
            <w:pPr>
              <w:tabs>
                <w:tab w:val="left" w:pos="7380"/>
              </w:tabs>
              <w:spacing w:line="276" w:lineRule="auto"/>
              <w:rPr>
                <w:rFonts w:ascii="Arial" w:hAnsi="Arial" w:cs="Arial"/>
                <w:color w:val="auto"/>
                <w:sz w:val="24"/>
                <w:highlight w:val="none"/>
              </w:rPr>
            </w:pPr>
            <w:r>
              <w:rPr>
                <w:rFonts w:ascii="Arial" w:hAnsi="Arial" w:cs="Arial"/>
                <w:color w:val="auto"/>
                <w:sz w:val="24"/>
                <w:highlight w:val="none"/>
              </w:rPr>
              <w:t>盘管应方便清洗，投标时说明表冷器形式以及阻力；配备挡水板，投标时说明挡水板材质</w:t>
            </w:r>
          </w:p>
        </w:tc>
        <w:tc>
          <w:tcPr>
            <w:tcW w:w="682" w:type="dxa"/>
          </w:tcPr>
          <w:p w14:paraId="5EB51F01">
            <w:pPr>
              <w:rPr>
                <w:rFonts w:ascii="Arial" w:hAnsi="Arial" w:cs="Arial"/>
                <w:color w:val="auto"/>
                <w:sz w:val="24"/>
                <w:highlight w:val="none"/>
              </w:rPr>
            </w:pPr>
            <w:r>
              <w:rPr>
                <w:rFonts w:ascii="Arial" w:hAnsi="Arial" w:cs="Arial"/>
                <w:color w:val="auto"/>
                <w:sz w:val="24"/>
                <w:highlight w:val="none"/>
              </w:rPr>
              <w:t>必需</w:t>
            </w:r>
          </w:p>
        </w:tc>
        <w:tc>
          <w:tcPr>
            <w:tcW w:w="1125" w:type="dxa"/>
            <w:vAlign w:val="center"/>
          </w:tcPr>
          <w:p w14:paraId="73295F7E">
            <w:pPr>
              <w:spacing w:before="62" w:beforeLines="20" w:after="62" w:afterLines="20" w:line="276" w:lineRule="auto"/>
              <w:jc w:val="left"/>
              <w:rPr>
                <w:rFonts w:ascii="Arial" w:hAnsi="Arial" w:cs="Arial"/>
                <w:color w:val="auto"/>
                <w:sz w:val="24"/>
                <w:highlight w:val="none"/>
              </w:rPr>
            </w:pPr>
          </w:p>
        </w:tc>
      </w:tr>
    </w:tbl>
    <w:p w14:paraId="5109D118">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11.4积水盘</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3877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44D21934">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088AB18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00F75D1A">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4339EB95">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55893B68">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52DD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6580CA61">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w:t>
            </w:r>
            <w:r>
              <w:rPr>
                <w:rFonts w:hint="eastAsia" w:ascii="宋体" w:hAnsi="宋体" w:cs="Arial"/>
                <w:color w:val="auto"/>
                <w:sz w:val="24"/>
                <w:highlight w:val="none"/>
              </w:rPr>
              <w:t>11</w:t>
            </w:r>
            <w:r>
              <w:rPr>
                <w:rFonts w:ascii="宋体" w:hAnsi="宋体" w:cs="Arial"/>
                <w:color w:val="auto"/>
                <w:sz w:val="24"/>
                <w:highlight w:val="none"/>
              </w:rPr>
              <w:t>.</w:t>
            </w:r>
            <w:r>
              <w:rPr>
                <w:rFonts w:hint="eastAsia" w:ascii="宋体" w:hAnsi="宋体" w:cs="Arial"/>
                <w:color w:val="auto"/>
                <w:sz w:val="24"/>
                <w:highlight w:val="none"/>
              </w:rPr>
              <w:t>4</w:t>
            </w:r>
            <w:r>
              <w:rPr>
                <w:rFonts w:ascii="宋体" w:hAnsi="宋体" w:cs="Arial"/>
                <w:color w:val="auto"/>
                <w:sz w:val="24"/>
                <w:highlight w:val="none"/>
              </w:rPr>
              <w:t>-01</w:t>
            </w:r>
          </w:p>
        </w:tc>
        <w:tc>
          <w:tcPr>
            <w:tcW w:w="5222" w:type="dxa"/>
            <w:vAlign w:val="center"/>
          </w:tcPr>
          <w:p w14:paraId="68B2744B">
            <w:pPr>
              <w:widowControl/>
              <w:tabs>
                <w:tab w:val="center" w:pos="2268"/>
                <w:tab w:val="right" w:pos="5387"/>
              </w:tabs>
              <w:spacing w:line="320" w:lineRule="atLeast"/>
              <w:jc w:val="left"/>
              <w:rPr>
                <w:rFonts w:hint="eastAsia" w:ascii="宋体" w:hAnsi="宋体" w:cs="Arial"/>
                <w:caps/>
                <w:color w:val="auto"/>
                <w:kern w:val="0"/>
                <w:sz w:val="24"/>
                <w:highlight w:val="none"/>
                <w:lang w:val="en-GB"/>
              </w:rPr>
            </w:pPr>
            <w:r>
              <w:rPr>
                <w:rFonts w:hint="eastAsia" w:ascii="宋体" w:hAnsi="宋体"/>
                <w:caps/>
                <w:color w:val="auto"/>
                <w:kern w:val="0"/>
                <w:sz w:val="24"/>
                <w:highlight w:val="none"/>
                <w:lang w:val="en-GB"/>
              </w:rPr>
              <w:t>积水盘应采用</w:t>
            </w:r>
            <w:r>
              <w:rPr>
                <w:rFonts w:ascii="宋体" w:hAnsi="宋体"/>
                <w:caps/>
                <w:color w:val="auto"/>
                <w:kern w:val="0"/>
                <w:sz w:val="24"/>
                <w:highlight w:val="none"/>
                <w:lang w:val="en-GB"/>
              </w:rPr>
              <w:t>304#</w:t>
            </w:r>
            <w:r>
              <w:rPr>
                <w:rFonts w:hint="eastAsia" w:ascii="宋体" w:hAnsi="宋体"/>
                <w:bCs/>
                <w:caps/>
                <w:color w:val="auto"/>
                <w:kern w:val="0"/>
                <w:sz w:val="24"/>
                <w:highlight w:val="none"/>
                <w:lang w:val="en-GB"/>
              </w:rPr>
              <w:t>不锈钢板</w:t>
            </w:r>
          </w:p>
        </w:tc>
        <w:tc>
          <w:tcPr>
            <w:tcW w:w="719" w:type="dxa"/>
          </w:tcPr>
          <w:p w14:paraId="5089FF54">
            <w:pPr>
              <w:rPr>
                <w:rFonts w:hint="eastAsia" w:ascii="宋体" w:hAnsi="宋体" w:cs="Arial"/>
                <w:color w:val="auto"/>
                <w:sz w:val="24"/>
                <w:highlight w:val="none"/>
              </w:rPr>
            </w:pPr>
            <w:r>
              <w:rPr>
                <w:rFonts w:hint="eastAsia" w:ascii="宋体" w:hAnsi="宋体" w:cs="Arial"/>
                <w:color w:val="auto"/>
                <w:sz w:val="24"/>
                <w:highlight w:val="none"/>
              </w:rPr>
              <w:t>必需</w:t>
            </w:r>
          </w:p>
        </w:tc>
        <w:tc>
          <w:tcPr>
            <w:tcW w:w="1162" w:type="dxa"/>
            <w:vAlign w:val="center"/>
          </w:tcPr>
          <w:p w14:paraId="1E6A5473">
            <w:pPr>
              <w:spacing w:before="62" w:beforeLines="20" w:after="62" w:afterLines="20" w:line="276" w:lineRule="auto"/>
              <w:jc w:val="left"/>
              <w:rPr>
                <w:rFonts w:hint="eastAsia" w:ascii="宋体" w:hAnsi="宋体" w:cs="Arial"/>
                <w:color w:val="auto"/>
                <w:sz w:val="24"/>
                <w:highlight w:val="none"/>
              </w:rPr>
            </w:pPr>
          </w:p>
        </w:tc>
      </w:tr>
      <w:tr w14:paraId="0558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03784EC">
            <w:pPr>
              <w:rPr>
                <w:rFonts w:hint="eastAsia" w:ascii="宋体" w:hAnsi="宋体"/>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4</w:t>
            </w:r>
            <w:r>
              <w:rPr>
                <w:rFonts w:ascii="宋体" w:hAnsi="宋体" w:cs="Arial"/>
                <w:color w:val="auto"/>
                <w:sz w:val="24"/>
                <w:highlight w:val="none"/>
              </w:rPr>
              <w:t>-0</w:t>
            </w:r>
            <w:r>
              <w:rPr>
                <w:rFonts w:hint="eastAsia" w:ascii="宋体" w:hAnsi="宋体" w:cs="Arial"/>
                <w:color w:val="auto"/>
                <w:sz w:val="24"/>
                <w:highlight w:val="none"/>
              </w:rPr>
              <w:t>2</w:t>
            </w:r>
          </w:p>
        </w:tc>
        <w:tc>
          <w:tcPr>
            <w:tcW w:w="5222" w:type="dxa"/>
            <w:vAlign w:val="center"/>
          </w:tcPr>
          <w:p w14:paraId="1CB123DA">
            <w:pPr>
              <w:widowControl/>
              <w:tabs>
                <w:tab w:val="center" w:pos="2268"/>
                <w:tab w:val="right" w:pos="5387"/>
              </w:tabs>
              <w:spacing w:line="320" w:lineRule="atLeast"/>
              <w:jc w:val="left"/>
              <w:rPr>
                <w:rFonts w:hint="eastAsia" w:ascii="宋体" w:hAnsi="宋体" w:cs="Arial"/>
                <w:caps/>
                <w:color w:val="auto"/>
                <w:kern w:val="0"/>
                <w:sz w:val="24"/>
                <w:highlight w:val="none"/>
                <w:lang w:val="en-GB"/>
              </w:rPr>
            </w:pPr>
            <w:r>
              <w:rPr>
                <w:rFonts w:hint="eastAsia" w:ascii="宋体" w:hAnsi="宋体"/>
                <w:caps/>
                <w:color w:val="auto"/>
                <w:kern w:val="0"/>
                <w:sz w:val="24"/>
                <w:highlight w:val="none"/>
                <w:lang w:val="en-GB"/>
              </w:rPr>
              <w:t>应保证积水排放通畅，运行时水盘内无积水、无气流倒灌。</w:t>
            </w:r>
          </w:p>
        </w:tc>
        <w:tc>
          <w:tcPr>
            <w:tcW w:w="719" w:type="dxa"/>
          </w:tcPr>
          <w:p w14:paraId="0945B565">
            <w:pPr>
              <w:rPr>
                <w:rFonts w:hint="eastAsia" w:ascii="宋体" w:hAnsi="宋体"/>
                <w:color w:val="auto"/>
                <w:sz w:val="24"/>
                <w:highlight w:val="none"/>
              </w:rPr>
            </w:pPr>
            <w:r>
              <w:rPr>
                <w:rFonts w:hint="eastAsia" w:ascii="宋体" w:hAnsi="宋体" w:cs="Arial"/>
                <w:color w:val="auto"/>
                <w:sz w:val="24"/>
                <w:highlight w:val="none"/>
              </w:rPr>
              <w:t>必需</w:t>
            </w:r>
          </w:p>
        </w:tc>
        <w:tc>
          <w:tcPr>
            <w:tcW w:w="1162" w:type="dxa"/>
            <w:vAlign w:val="center"/>
          </w:tcPr>
          <w:p w14:paraId="151081A1">
            <w:pPr>
              <w:spacing w:before="62" w:beforeLines="20" w:after="62" w:afterLines="20" w:line="276" w:lineRule="auto"/>
              <w:jc w:val="left"/>
              <w:rPr>
                <w:rFonts w:hint="eastAsia" w:ascii="宋体" w:hAnsi="宋体" w:cs="Arial"/>
                <w:color w:val="auto"/>
                <w:sz w:val="24"/>
                <w:highlight w:val="none"/>
              </w:rPr>
            </w:pPr>
          </w:p>
        </w:tc>
      </w:tr>
      <w:tr w14:paraId="369E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21243AAB">
            <w:pPr>
              <w:rPr>
                <w:rFonts w:hint="eastAsia" w:ascii="宋体" w:hAnsi="宋体"/>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4</w:t>
            </w:r>
            <w:r>
              <w:rPr>
                <w:rFonts w:ascii="宋体" w:hAnsi="宋体" w:cs="Arial"/>
                <w:color w:val="auto"/>
                <w:sz w:val="24"/>
                <w:highlight w:val="none"/>
              </w:rPr>
              <w:t>-0</w:t>
            </w:r>
            <w:r>
              <w:rPr>
                <w:rFonts w:hint="eastAsia" w:ascii="宋体" w:hAnsi="宋体" w:cs="Arial"/>
                <w:color w:val="auto"/>
                <w:sz w:val="24"/>
                <w:highlight w:val="none"/>
              </w:rPr>
              <w:t>3</w:t>
            </w:r>
          </w:p>
        </w:tc>
        <w:tc>
          <w:tcPr>
            <w:tcW w:w="5222" w:type="dxa"/>
          </w:tcPr>
          <w:p w14:paraId="541645B0">
            <w:pPr>
              <w:tabs>
                <w:tab w:val="left" w:pos="7380"/>
              </w:tabs>
              <w:spacing w:line="360" w:lineRule="auto"/>
              <w:rPr>
                <w:rFonts w:hint="eastAsia" w:ascii="宋体" w:hAnsi="宋体"/>
                <w:color w:val="auto"/>
                <w:sz w:val="24"/>
                <w:highlight w:val="none"/>
              </w:rPr>
            </w:pPr>
            <w:r>
              <w:rPr>
                <w:rFonts w:hint="eastAsia" w:ascii="宋体" w:hAnsi="宋体"/>
                <w:color w:val="auto"/>
                <w:sz w:val="24"/>
                <w:highlight w:val="none"/>
              </w:rPr>
              <w:t>排水管径需足够大，保证积水盘中粉尘沉积物可排放通畅。</w:t>
            </w:r>
          </w:p>
        </w:tc>
        <w:tc>
          <w:tcPr>
            <w:tcW w:w="719" w:type="dxa"/>
          </w:tcPr>
          <w:p w14:paraId="74FB57B6">
            <w:pPr>
              <w:rPr>
                <w:rFonts w:hint="eastAsia" w:ascii="宋体" w:hAnsi="宋体"/>
                <w:color w:val="auto"/>
                <w:sz w:val="24"/>
                <w:highlight w:val="none"/>
              </w:rPr>
            </w:pPr>
            <w:r>
              <w:rPr>
                <w:rFonts w:hint="eastAsia" w:ascii="宋体" w:hAnsi="宋体" w:cs="Arial"/>
                <w:color w:val="auto"/>
                <w:sz w:val="24"/>
                <w:highlight w:val="none"/>
              </w:rPr>
              <w:t>必需</w:t>
            </w:r>
          </w:p>
        </w:tc>
        <w:tc>
          <w:tcPr>
            <w:tcW w:w="1162" w:type="dxa"/>
            <w:vAlign w:val="center"/>
          </w:tcPr>
          <w:p w14:paraId="290407B0">
            <w:pPr>
              <w:spacing w:before="62" w:beforeLines="20" w:after="62" w:afterLines="20" w:line="276" w:lineRule="auto"/>
              <w:jc w:val="left"/>
              <w:rPr>
                <w:rFonts w:hint="eastAsia" w:ascii="宋体" w:hAnsi="宋体" w:cs="Arial"/>
                <w:color w:val="auto"/>
                <w:sz w:val="24"/>
                <w:highlight w:val="none"/>
              </w:rPr>
            </w:pPr>
          </w:p>
        </w:tc>
      </w:tr>
      <w:tr w14:paraId="5885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187C7954">
            <w:pPr>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4</w:t>
            </w:r>
            <w:r>
              <w:rPr>
                <w:rFonts w:ascii="宋体" w:hAnsi="宋体" w:cs="Arial"/>
                <w:color w:val="auto"/>
                <w:sz w:val="24"/>
                <w:highlight w:val="none"/>
              </w:rPr>
              <w:t>-0</w:t>
            </w:r>
            <w:r>
              <w:rPr>
                <w:rFonts w:hint="eastAsia" w:ascii="宋体" w:hAnsi="宋体" w:cs="Arial"/>
                <w:color w:val="auto"/>
                <w:sz w:val="24"/>
                <w:highlight w:val="none"/>
              </w:rPr>
              <w:t>4</w:t>
            </w:r>
          </w:p>
        </w:tc>
        <w:tc>
          <w:tcPr>
            <w:tcW w:w="5222" w:type="dxa"/>
          </w:tcPr>
          <w:p w14:paraId="23263A16">
            <w:pPr>
              <w:spacing w:line="320" w:lineRule="atLeast"/>
              <w:rPr>
                <w:rFonts w:hint="eastAsia" w:ascii="宋体" w:hAnsi="宋体" w:cs="Arial"/>
                <w:color w:val="auto"/>
                <w:sz w:val="24"/>
                <w:highlight w:val="none"/>
              </w:rPr>
            </w:pPr>
            <w:r>
              <w:rPr>
                <w:rFonts w:hint="eastAsia" w:ascii="宋体" w:hAnsi="宋体"/>
                <w:color w:val="auto"/>
                <w:sz w:val="24"/>
                <w:highlight w:val="none"/>
              </w:rPr>
              <w:t>积水盘位置的设计应方便清洁</w:t>
            </w:r>
          </w:p>
        </w:tc>
        <w:tc>
          <w:tcPr>
            <w:tcW w:w="719" w:type="dxa"/>
          </w:tcPr>
          <w:p w14:paraId="17723050">
            <w:pPr>
              <w:rPr>
                <w:rFonts w:hint="eastAsia" w:ascii="宋体" w:hAnsi="宋体"/>
                <w:color w:val="auto"/>
                <w:sz w:val="24"/>
                <w:highlight w:val="none"/>
              </w:rPr>
            </w:pPr>
            <w:r>
              <w:rPr>
                <w:rFonts w:hint="eastAsia" w:ascii="宋体" w:hAnsi="宋体" w:cs="Arial"/>
                <w:color w:val="auto"/>
                <w:sz w:val="24"/>
                <w:highlight w:val="none"/>
              </w:rPr>
              <w:t>必需</w:t>
            </w:r>
          </w:p>
        </w:tc>
        <w:tc>
          <w:tcPr>
            <w:tcW w:w="1162" w:type="dxa"/>
            <w:vAlign w:val="center"/>
          </w:tcPr>
          <w:p w14:paraId="711AF39C">
            <w:pPr>
              <w:spacing w:before="62" w:beforeLines="20" w:after="62" w:afterLines="20" w:line="276" w:lineRule="auto"/>
              <w:jc w:val="left"/>
              <w:rPr>
                <w:rFonts w:hint="eastAsia" w:ascii="宋体" w:hAnsi="宋体" w:cs="Arial"/>
                <w:color w:val="auto"/>
                <w:sz w:val="24"/>
                <w:highlight w:val="none"/>
              </w:rPr>
            </w:pPr>
          </w:p>
        </w:tc>
      </w:tr>
    </w:tbl>
    <w:p w14:paraId="2EDC67DD">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11.5</w:t>
      </w:r>
      <w:r>
        <w:rPr>
          <w:rFonts w:hint="eastAsia" w:ascii="Arial Bold" w:hAnsi="Arial Bold"/>
          <w:caps/>
          <w:color w:val="auto"/>
          <w:kern w:val="32"/>
          <w:sz w:val="24"/>
          <w:highlight w:val="none"/>
        </w:rPr>
        <w:t>蒸汽加热盘管，加湿器</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400A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6DE3C559">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166FEC91">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44632F48">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1ED47433">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55398419">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5393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737C9E51">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5</w:t>
            </w:r>
            <w:r>
              <w:rPr>
                <w:rFonts w:ascii="宋体" w:hAnsi="宋体" w:cs="Arial"/>
                <w:color w:val="auto"/>
                <w:sz w:val="24"/>
                <w:highlight w:val="none"/>
              </w:rPr>
              <w:t>-01</w:t>
            </w:r>
          </w:p>
        </w:tc>
        <w:tc>
          <w:tcPr>
            <w:tcW w:w="5222" w:type="dxa"/>
            <w:vAlign w:val="center"/>
          </w:tcPr>
          <w:p w14:paraId="7702A4C9">
            <w:pPr>
              <w:widowControl/>
              <w:tabs>
                <w:tab w:val="center" w:pos="2268"/>
                <w:tab w:val="right" w:pos="5387"/>
              </w:tabs>
              <w:spacing w:line="320" w:lineRule="atLeast"/>
              <w:jc w:val="left"/>
              <w:rPr>
                <w:rFonts w:hint="eastAsia" w:ascii="宋体" w:hAnsi="宋体" w:cs="Arial"/>
                <w:caps/>
                <w:color w:val="auto"/>
                <w:kern w:val="0"/>
                <w:szCs w:val="21"/>
                <w:highlight w:val="none"/>
              </w:rPr>
            </w:pPr>
            <w:r>
              <w:rPr>
                <w:rFonts w:hint="eastAsia" w:ascii="Arial Bold" w:hAnsi="Arial Bold"/>
                <w:b/>
                <w:bCs/>
                <w:caps/>
                <w:color w:val="auto"/>
                <w:kern w:val="32"/>
                <w:sz w:val="24"/>
                <w:highlight w:val="none"/>
              </w:rPr>
              <w:t>304不锈钢绕片</w:t>
            </w:r>
          </w:p>
        </w:tc>
        <w:tc>
          <w:tcPr>
            <w:tcW w:w="719" w:type="dxa"/>
          </w:tcPr>
          <w:p w14:paraId="189E662F">
            <w:pPr>
              <w:rPr>
                <w:color w:val="auto"/>
                <w:highlight w:val="none"/>
              </w:rPr>
            </w:pPr>
            <w:r>
              <w:rPr>
                <w:rFonts w:hint="eastAsia" w:ascii="宋体" w:hAnsi="宋体" w:cs="Arial"/>
                <w:color w:val="auto"/>
                <w:sz w:val="24"/>
                <w:highlight w:val="none"/>
              </w:rPr>
              <w:t>必需</w:t>
            </w:r>
          </w:p>
        </w:tc>
        <w:tc>
          <w:tcPr>
            <w:tcW w:w="1162" w:type="dxa"/>
            <w:vAlign w:val="center"/>
          </w:tcPr>
          <w:p w14:paraId="4C65E799">
            <w:pPr>
              <w:spacing w:before="62" w:beforeLines="20" w:after="62" w:afterLines="20" w:line="276" w:lineRule="auto"/>
              <w:jc w:val="left"/>
              <w:rPr>
                <w:rFonts w:hint="eastAsia" w:ascii="宋体" w:hAnsi="宋体" w:cs="Arial"/>
                <w:color w:val="auto"/>
                <w:sz w:val="24"/>
                <w:highlight w:val="none"/>
              </w:rPr>
            </w:pPr>
          </w:p>
        </w:tc>
      </w:tr>
      <w:tr w14:paraId="3F68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00B112B4">
            <w:pPr>
              <w:rPr>
                <w:rFonts w:ascii="Arial Bold" w:hAnsi="Arial Bold"/>
                <w:caps/>
                <w:color w:val="auto"/>
                <w:kern w:val="32"/>
                <w:sz w:val="24"/>
                <w:highlight w:val="none"/>
              </w:rPr>
            </w:pPr>
            <w:r>
              <w:rPr>
                <w:rFonts w:hint="eastAsia" w:ascii="宋体" w:hAnsi="宋体" w:cs="Arial"/>
                <w:color w:val="auto"/>
                <w:sz w:val="24"/>
                <w:highlight w:val="none"/>
              </w:rPr>
              <w:t>URS11.5-02</w:t>
            </w:r>
          </w:p>
        </w:tc>
        <w:tc>
          <w:tcPr>
            <w:tcW w:w="5222" w:type="dxa"/>
            <w:vAlign w:val="center"/>
          </w:tcPr>
          <w:p w14:paraId="5A56773E">
            <w:pPr>
              <w:autoSpaceDE w:val="0"/>
              <w:autoSpaceDN w:val="0"/>
              <w:adjustRightInd w:val="0"/>
              <w:spacing w:line="360" w:lineRule="auto"/>
              <w:textAlignment w:val="baseline"/>
              <w:rPr>
                <w:rFonts w:ascii="Arial Bold" w:hAnsi="Arial Bold"/>
                <w:caps/>
                <w:color w:val="auto"/>
                <w:kern w:val="32"/>
                <w:sz w:val="24"/>
                <w:highlight w:val="none"/>
              </w:rPr>
            </w:pPr>
            <w:r>
              <w:rPr>
                <w:rFonts w:hint="eastAsia" w:ascii="Arial Bold" w:hAnsi="Arial Bold"/>
                <w:caps/>
                <w:color w:val="auto"/>
                <w:kern w:val="32"/>
                <w:sz w:val="24"/>
                <w:highlight w:val="none"/>
              </w:rPr>
              <w:t>应采取有效措施防止“水锤”破坏，保证蒸汽盘管安全运行。</w:t>
            </w:r>
          </w:p>
        </w:tc>
        <w:tc>
          <w:tcPr>
            <w:tcW w:w="719" w:type="dxa"/>
          </w:tcPr>
          <w:p w14:paraId="70504142">
            <w:pPr>
              <w:rPr>
                <w:color w:val="auto"/>
                <w:highlight w:val="none"/>
              </w:rPr>
            </w:pPr>
            <w:r>
              <w:rPr>
                <w:rFonts w:hint="eastAsia" w:ascii="宋体" w:hAnsi="宋体" w:cs="Arial"/>
                <w:color w:val="auto"/>
                <w:sz w:val="24"/>
                <w:highlight w:val="none"/>
              </w:rPr>
              <w:t>必需</w:t>
            </w:r>
          </w:p>
        </w:tc>
        <w:tc>
          <w:tcPr>
            <w:tcW w:w="1162" w:type="dxa"/>
            <w:vAlign w:val="center"/>
          </w:tcPr>
          <w:p w14:paraId="1A03F411">
            <w:pPr>
              <w:spacing w:before="62" w:beforeLines="20" w:after="62" w:afterLines="20" w:line="276" w:lineRule="auto"/>
              <w:jc w:val="left"/>
              <w:rPr>
                <w:rFonts w:hint="eastAsia" w:ascii="宋体" w:hAnsi="宋体" w:cs="Arial"/>
                <w:color w:val="auto"/>
                <w:sz w:val="24"/>
                <w:highlight w:val="none"/>
              </w:rPr>
            </w:pPr>
          </w:p>
        </w:tc>
      </w:tr>
      <w:tr w14:paraId="4B4E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79264498">
            <w:pPr>
              <w:rPr>
                <w:rFonts w:hint="eastAsia" w:ascii="宋体" w:hAnsi="宋体"/>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5</w:t>
            </w:r>
            <w:r>
              <w:rPr>
                <w:rFonts w:ascii="宋体" w:hAnsi="宋体" w:cs="Arial"/>
                <w:color w:val="auto"/>
                <w:sz w:val="24"/>
                <w:highlight w:val="none"/>
              </w:rPr>
              <w:t>-0</w:t>
            </w:r>
            <w:r>
              <w:rPr>
                <w:rFonts w:hint="eastAsia" w:ascii="宋体" w:hAnsi="宋体" w:cs="Arial"/>
                <w:color w:val="auto"/>
                <w:sz w:val="24"/>
                <w:highlight w:val="none"/>
              </w:rPr>
              <w:t>3</w:t>
            </w:r>
          </w:p>
        </w:tc>
        <w:tc>
          <w:tcPr>
            <w:tcW w:w="5222" w:type="dxa"/>
            <w:vAlign w:val="center"/>
          </w:tcPr>
          <w:p w14:paraId="62BC6D8A">
            <w:pPr>
              <w:widowControl/>
              <w:tabs>
                <w:tab w:val="center" w:pos="2268"/>
                <w:tab w:val="right" w:pos="5387"/>
              </w:tabs>
              <w:spacing w:line="320" w:lineRule="atLeast"/>
              <w:jc w:val="left"/>
              <w:rPr>
                <w:rFonts w:hint="eastAsia" w:ascii="宋体" w:hAnsi="宋体" w:cs="Arial"/>
                <w:caps/>
                <w:color w:val="auto"/>
                <w:kern w:val="0"/>
                <w:szCs w:val="21"/>
                <w:highlight w:val="none"/>
              </w:rPr>
            </w:pPr>
            <w:r>
              <w:rPr>
                <w:rFonts w:hint="eastAsia" w:ascii="Arial Bold" w:hAnsi="Arial Bold"/>
                <w:caps/>
                <w:color w:val="auto"/>
                <w:kern w:val="32"/>
                <w:sz w:val="24"/>
                <w:highlight w:val="none"/>
              </w:rPr>
              <w:t>蒸汽压力：0.2MPA~0.3MPa</w:t>
            </w:r>
          </w:p>
        </w:tc>
        <w:tc>
          <w:tcPr>
            <w:tcW w:w="719" w:type="dxa"/>
          </w:tcPr>
          <w:p w14:paraId="27FEC76B">
            <w:pPr>
              <w:rPr>
                <w:color w:val="auto"/>
                <w:highlight w:val="none"/>
              </w:rPr>
            </w:pPr>
            <w:r>
              <w:rPr>
                <w:rFonts w:hint="eastAsia" w:ascii="宋体" w:hAnsi="宋体" w:cs="Arial"/>
                <w:color w:val="auto"/>
                <w:sz w:val="24"/>
                <w:highlight w:val="none"/>
              </w:rPr>
              <w:t>必需</w:t>
            </w:r>
          </w:p>
        </w:tc>
        <w:tc>
          <w:tcPr>
            <w:tcW w:w="1162" w:type="dxa"/>
            <w:vAlign w:val="center"/>
          </w:tcPr>
          <w:p w14:paraId="2B7DDA5E">
            <w:pPr>
              <w:spacing w:before="62" w:beforeLines="20" w:after="62" w:afterLines="20" w:line="276" w:lineRule="auto"/>
              <w:jc w:val="left"/>
              <w:rPr>
                <w:rFonts w:hint="eastAsia" w:ascii="宋体" w:hAnsi="宋体" w:cs="Arial"/>
                <w:color w:val="auto"/>
                <w:sz w:val="24"/>
                <w:highlight w:val="none"/>
              </w:rPr>
            </w:pPr>
          </w:p>
        </w:tc>
      </w:tr>
      <w:tr w14:paraId="0618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1ACAC994">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5</w:t>
            </w:r>
            <w:r>
              <w:rPr>
                <w:rFonts w:ascii="宋体" w:hAnsi="宋体" w:cs="Arial"/>
                <w:color w:val="auto"/>
                <w:sz w:val="24"/>
                <w:highlight w:val="none"/>
              </w:rPr>
              <w:t>-0</w:t>
            </w:r>
            <w:r>
              <w:rPr>
                <w:rFonts w:hint="eastAsia" w:ascii="宋体" w:hAnsi="宋体" w:cs="Arial"/>
                <w:color w:val="auto"/>
                <w:sz w:val="24"/>
                <w:highlight w:val="none"/>
              </w:rPr>
              <w:t>4</w:t>
            </w:r>
          </w:p>
        </w:tc>
        <w:tc>
          <w:tcPr>
            <w:tcW w:w="5222" w:type="dxa"/>
            <w:vAlign w:val="center"/>
          </w:tcPr>
          <w:p w14:paraId="7726797A">
            <w:pPr>
              <w:widowControl/>
              <w:tabs>
                <w:tab w:val="center" w:pos="2268"/>
                <w:tab w:val="right" w:pos="5387"/>
              </w:tabs>
              <w:spacing w:line="320" w:lineRule="atLeast"/>
              <w:jc w:val="left"/>
              <w:rPr>
                <w:rFonts w:hint="eastAsia" w:ascii="宋体" w:hAnsi="宋体" w:cs="Arial"/>
                <w:caps/>
                <w:color w:val="auto"/>
                <w:kern w:val="0"/>
                <w:sz w:val="24"/>
                <w:highlight w:val="none"/>
              </w:rPr>
            </w:pPr>
            <w:r>
              <w:rPr>
                <w:rFonts w:hint="eastAsia" w:ascii="宋体" w:hAnsi="宋体"/>
                <w:caps/>
                <w:color w:val="auto"/>
                <w:kern w:val="0"/>
                <w:sz w:val="24"/>
                <w:highlight w:val="none"/>
                <w:lang w:val="en-GB"/>
              </w:rPr>
              <w:t>采用干蒸汽加湿器，说明标准加湿量，提供相关参数以及型号，提供厂家的出场报告。</w:t>
            </w:r>
          </w:p>
        </w:tc>
        <w:tc>
          <w:tcPr>
            <w:tcW w:w="719" w:type="dxa"/>
          </w:tcPr>
          <w:p w14:paraId="3723B703">
            <w:pPr>
              <w:rPr>
                <w:color w:val="auto"/>
                <w:highlight w:val="none"/>
              </w:rPr>
            </w:pPr>
            <w:r>
              <w:rPr>
                <w:rFonts w:hint="eastAsia" w:ascii="宋体" w:hAnsi="宋体" w:cs="Arial"/>
                <w:color w:val="auto"/>
                <w:sz w:val="24"/>
                <w:highlight w:val="none"/>
              </w:rPr>
              <w:t>必需</w:t>
            </w:r>
          </w:p>
        </w:tc>
        <w:tc>
          <w:tcPr>
            <w:tcW w:w="1162" w:type="dxa"/>
            <w:vAlign w:val="center"/>
          </w:tcPr>
          <w:p w14:paraId="4B25E3BC">
            <w:pPr>
              <w:spacing w:before="62" w:beforeLines="20" w:after="62" w:afterLines="20" w:line="276" w:lineRule="auto"/>
              <w:jc w:val="left"/>
              <w:rPr>
                <w:rFonts w:hint="eastAsia" w:ascii="宋体" w:hAnsi="宋体" w:cs="Arial"/>
                <w:color w:val="auto"/>
                <w:sz w:val="24"/>
                <w:highlight w:val="none"/>
              </w:rPr>
            </w:pPr>
          </w:p>
        </w:tc>
      </w:tr>
      <w:tr w14:paraId="4C69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6" w:type="dxa"/>
          </w:tcPr>
          <w:p w14:paraId="6586A219">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5</w:t>
            </w:r>
            <w:r>
              <w:rPr>
                <w:rFonts w:ascii="宋体" w:hAnsi="宋体" w:cs="Arial"/>
                <w:color w:val="auto"/>
                <w:sz w:val="24"/>
                <w:highlight w:val="none"/>
              </w:rPr>
              <w:t>-0</w:t>
            </w:r>
            <w:r>
              <w:rPr>
                <w:rFonts w:hint="eastAsia" w:ascii="宋体" w:hAnsi="宋体" w:cs="Arial"/>
                <w:color w:val="auto"/>
                <w:sz w:val="24"/>
                <w:highlight w:val="none"/>
              </w:rPr>
              <w:t>5</w:t>
            </w:r>
          </w:p>
        </w:tc>
        <w:tc>
          <w:tcPr>
            <w:tcW w:w="5222" w:type="dxa"/>
            <w:vAlign w:val="center"/>
          </w:tcPr>
          <w:p w14:paraId="7CF72940">
            <w:pPr>
              <w:widowControl/>
              <w:tabs>
                <w:tab w:val="center" w:pos="2268"/>
                <w:tab w:val="right" w:pos="5387"/>
              </w:tabs>
              <w:spacing w:line="320" w:lineRule="atLeast"/>
              <w:jc w:val="left"/>
              <w:rPr>
                <w:rFonts w:hint="eastAsia" w:ascii="宋体" w:hAnsi="宋体"/>
                <w:caps/>
                <w:color w:val="auto"/>
                <w:kern w:val="0"/>
                <w:sz w:val="24"/>
                <w:highlight w:val="none"/>
                <w:lang w:val="en-GB"/>
              </w:rPr>
            </w:pPr>
            <w:r>
              <w:rPr>
                <w:rFonts w:hint="eastAsia" w:ascii="宋体" w:hAnsi="宋体" w:cs="宋体"/>
                <w:caps/>
                <w:color w:val="auto"/>
                <w:kern w:val="0"/>
                <w:sz w:val="24"/>
                <w:highlight w:val="none"/>
                <w:lang w:val="en-GB"/>
              </w:rPr>
              <w:t>加湿器采用不锈钢材质制造，外型美观，耐腐蚀，加湿效率高、使用寿命长。</w:t>
            </w:r>
          </w:p>
        </w:tc>
        <w:tc>
          <w:tcPr>
            <w:tcW w:w="719" w:type="dxa"/>
          </w:tcPr>
          <w:p w14:paraId="3A00E6B4">
            <w:pPr>
              <w:rPr>
                <w:color w:val="auto"/>
                <w:highlight w:val="none"/>
              </w:rPr>
            </w:pPr>
            <w:r>
              <w:rPr>
                <w:rFonts w:hint="eastAsia" w:ascii="宋体" w:hAnsi="宋体" w:cs="Arial"/>
                <w:color w:val="auto"/>
                <w:sz w:val="24"/>
                <w:highlight w:val="none"/>
              </w:rPr>
              <w:t>必需</w:t>
            </w:r>
          </w:p>
        </w:tc>
        <w:tc>
          <w:tcPr>
            <w:tcW w:w="1162" w:type="dxa"/>
            <w:vAlign w:val="center"/>
          </w:tcPr>
          <w:p w14:paraId="119AAA9F">
            <w:pPr>
              <w:spacing w:before="62" w:beforeLines="20" w:after="62" w:afterLines="20" w:line="276" w:lineRule="auto"/>
              <w:jc w:val="left"/>
              <w:rPr>
                <w:rFonts w:hint="eastAsia" w:ascii="宋体" w:hAnsi="宋体" w:cs="Arial"/>
                <w:color w:val="auto"/>
                <w:sz w:val="24"/>
                <w:highlight w:val="none"/>
              </w:rPr>
            </w:pPr>
          </w:p>
        </w:tc>
      </w:tr>
      <w:tr w14:paraId="6688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6418BBCD">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5</w:t>
            </w:r>
            <w:r>
              <w:rPr>
                <w:rFonts w:ascii="宋体" w:hAnsi="宋体" w:cs="Arial"/>
                <w:color w:val="auto"/>
                <w:sz w:val="24"/>
                <w:highlight w:val="none"/>
              </w:rPr>
              <w:t>-0</w:t>
            </w:r>
            <w:r>
              <w:rPr>
                <w:rFonts w:hint="eastAsia" w:ascii="宋体" w:hAnsi="宋体" w:cs="Arial"/>
                <w:color w:val="auto"/>
                <w:sz w:val="24"/>
                <w:highlight w:val="none"/>
              </w:rPr>
              <w:t>6</w:t>
            </w:r>
          </w:p>
        </w:tc>
        <w:tc>
          <w:tcPr>
            <w:tcW w:w="5222" w:type="dxa"/>
            <w:vAlign w:val="center"/>
          </w:tcPr>
          <w:p w14:paraId="21045DFA">
            <w:pPr>
              <w:widowControl/>
              <w:tabs>
                <w:tab w:val="center" w:pos="2268"/>
                <w:tab w:val="right" w:pos="5387"/>
              </w:tabs>
              <w:spacing w:line="320" w:lineRule="atLeast"/>
              <w:jc w:val="left"/>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加湿器喷蒸汽孔距离最近功能部件应具有足够距离，防止湿蒸汽影响其他部件的使用。</w:t>
            </w:r>
          </w:p>
        </w:tc>
        <w:tc>
          <w:tcPr>
            <w:tcW w:w="719" w:type="dxa"/>
          </w:tcPr>
          <w:p w14:paraId="102E23DF">
            <w:pPr>
              <w:rPr>
                <w:color w:val="auto"/>
                <w:highlight w:val="none"/>
              </w:rPr>
            </w:pPr>
            <w:r>
              <w:rPr>
                <w:rFonts w:hint="eastAsia" w:ascii="宋体" w:hAnsi="宋体" w:cs="Arial"/>
                <w:color w:val="auto"/>
                <w:sz w:val="24"/>
                <w:highlight w:val="none"/>
              </w:rPr>
              <w:t>必需</w:t>
            </w:r>
          </w:p>
        </w:tc>
        <w:tc>
          <w:tcPr>
            <w:tcW w:w="1162" w:type="dxa"/>
            <w:vAlign w:val="center"/>
          </w:tcPr>
          <w:p w14:paraId="560F72B8">
            <w:pPr>
              <w:spacing w:before="62" w:beforeLines="20" w:after="62" w:afterLines="20" w:line="276" w:lineRule="auto"/>
              <w:jc w:val="left"/>
              <w:rPr>
                <w:rFonts w:hint="eastAsia" w:ascii="宋体" w:hAnsi="宋体" w:cs="Arial"/>
                <w:color w:val="auto"/>
                <w:sz w:val="24"/>
                <w:highlight w:val="none"/>
              </w:rPr>
            </w:pPr>
          </w:p>
        </w:tc>
      </w:tr>
    </w:tbl>
    <w:p w14:paraId="3F89C3E5">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11.6</w:t>
      </w:r>
      <w:r>
        <w:rPr>
          <w:rFonts w:hint="eastAsia" w:ascii="Arial Bold" w:hAnsi="Arial Bold"/>
          <w:caps/>
          <w:color w:val="auto"/>
          <w:kern w:val="32"/>
          <w:sz w:val="24"/>
          <w:highlight w:val="none"/>
        </w:rPr>
        <w:t>风机和电机</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221F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5A9327A3">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760A97C9">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4584107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10642C02">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5241BDB0">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4345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53B55425">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-01</w:t>
            </w:r>
          </w:p>
        </w:tc>
        <w:tc>
          <w:tcPr>
            <w:tcW w:w="5222" w:type="dxa"/>
          </w:tcPr>
          <w:p w14:paraId="383A7228">
            <w:pPr>
              <w:rPr>
                <w:rFonts w:hint="eastAsia" w:ascii="宋体" w:hAnsi="宋体"/>
                <w:color w:val="auto"/>
                <w:sz w:val="24"/>
                <w:highlight w:val="none"/>
              </w:rPr>
            </w:pPr>
            <w:r>
              <w:rPr>
                <w:rFonts w:hint="eastAsia" w:ascii="宋体" w:hAnsi="宋体"/>
                <w:color w:val="auto"/>
                <w:sz w:val="24"/>
                <w:highlight w:val="none"/>
              </w:rPr>
              <w:t>风机风量、全压符合要求。电机功率符合风机要求。防爆区配置的空调，</w:t>
            </w:r>
            <w:r>
              <w:rPr>
                <w:rFonts w:hint="eastAsia" w:ascii="Arial" w:hAnsi="Arial" w:cs="Arial"/>
                <w:caps/>
                <w:color w:val="auto"/>
                <w:kern w:val="32"/>
                <w:sz w:val="24"/>
                <w:highlight w:val="none"/>
              </w:rPr>
              <w:t>其风机</w:t>
            </w:r>
            <w:r>
              <w:rPr>
                <w:rFonts w:ascii="Arial" w:hAnsi="Arial" w:cs="Arial"/>
                <w:caps/>
                <w:color w:val="auto"/>
                <w:kern w:val="32"/>
                <w:sz w:val="24"/>
                <w:highlight w:val="none"/>
              </w:rPr>
              <w:t xml:space="preserve">防爆等级为Exd </w:t>
            </w:r>
            <w:r>
              <w:rPr>
                <w:rFonts w:hint="eastAsia" w:ascii="宋体" w:hAnsi="宋体" w:cs="宋体"/>
                <w:caps/>
                <w:color w:val="auto"/>
                <w:kern w:val="32"/>
                <w:sz w:val="24"/>
                <w:highlight w:val="none"/>
              </w:rPr>
              <w:t>Ⅱ</w:t>
            </w:r>
            <w:r>
              <w:rPr>
                <w:rFonts w:ascii="Arial" w:hAnsi="Arial" w:cs="Arial"/>
                <w:caps/>
                <w:color w:val="auto"/>
                <w:kern w:val="32"/>
                <w:sz w:val="24"/>
                <w:highlight w:val="none"/>
              </w:rPr>
              <w:t>BT4</w:t>
            </w:r>
            <w:r>
              <w:rPr>
                <w:rFonts w:hint="eastAsia" w:ascii="Arial" w:hAnsi="Arial" w:cs="Arial"/>
                <w:caps/>
                <w:color w:val="auto"/>
                <w:kern w:val="32"/>
                <w:sz w:val="24"/>
                <w:highlight w:val="none"/>
              </w:rPr>
              <w:t>。</w:t>
            </w:r>
          </w:p>
        </w:tc>
        <w:tc>
          <w:tcPr>
            <w:tcW w:w="719" w:type="dxa"/>
          </w:tcPr>
          <w:p w14:paraId="1D093F01">
            <w:pPr>
              <w:rPr>
                <w:rFonts w:hint="eastAsia" w:ascii="宋体" w:hAnsi="宋体" w:cs="Arial"/>
                <w:color w:val="auto"/>
                <w:sz w:val="24"/>
                <w:highlight w:val="none"/>
              </w:rPr>
            </w:pPr>
            <w:r>
              <w:rPr>
                <w:rFonts w:hint="eastAsia" w:ascii="宋体" w:hAnsi="宋体" w:cs="Arial"/>
                <w:color w:val="auto"/>
                <w:sz w:val="24"/>
                <w:highlight w:val="none"/>
              </w:rPr>
              <w:t>必需</w:t>
            </w:r>
          </w:p>
        </w:tc>
        <w:tc>
          <w:tcPr>
            <w:tcW w:w="1162" w:type="dxa"/>
            <w:vAlign w:val="center"/>
          </w:tcPr>
          <w:p w14:paraId="1DD5658A">
            <w:pPr>
              <w:spacing w:before="62" w:beforeLines="20" w:after="62" w:afterLines="20" w:line="276" w:lineRule="auto"/>
              <w:jc w:val="left"/>
              <w:rPr>
                <w:rFonts w:hint="eastAsia" w:ascii="宋体" w:hAnsi="宋体" w:cs="Arial"/>
                <w:color w:val="auto"/>
                <w:sz w:val="24"/>
                <w:highlight w:val="none"/>
              </w:rPr>
            </w:pPr>
          </w:p>
        </w:tc>
      </w:tr>
      <w:tr w14:paraId="545E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64ACFCE">
            <w:pPr>
              <w:rPr>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w:t>
            </w:r>
            <w:r>
              <w:rPr>
                <w:rFonts w:hint="eastAsia" w:ascii="宋体" w:hAnsi="宋体" w:cs="Arial"/>
                <w:color w:val="auto"/>
                <w:sz w:val="24"/>
                <w:highlight w:val="none"/>
              </w:rPr>
              <w:t>2</w:t>
            </w:r>
          </w:p>
        </w:tc>
        <w:tc>
          <w:tcPr>
            <w:tcW w:w="5222" w:type="dxa"/>
          </w:tcPr>
          <w:p w14:paraId="148BFAB5">
            <w:pPr>
              <w:rPr>
                <w:rFonts w:hint="eastAsia" w:ascii="宋体" w:hAnsi="宋体"/>
                <w:color w:val="auto"/>
                <w:sz w:val="24"/>
                <w:highlight w:val="none"/>
              </w:rPr>
            </w:pPr>
            <w:r>
              <w:rPr>
                <w:rFonts w:hint="eastAsia" w:ascii="宋体" w:hAnsi="宋体"/>
                <w:color w:val="auto"/>
                <w:sz w:val="24"/>
                <w:highlight w:val="none"/>
              </w:rPr>
              <w:t>风柜安全性能要求应符合GB10891的规定。风柜密闭性好，整机漏风率：在负400Pa工况下，箱体漏风等级不低于L1；在静压保持701Pa时，箱体漏风等级不低于L2。</w:t>
            </w:r>
          </w:p>
        </w:tc>
        <w:tc>
          <w:tcPr>
            <w:tcW w:w="719" w:type="dxa"/>
          </w:tcPr>
          <w:p w14:paraId="28BAC511">
            <w:pPr>
              <w:rPr>
                <w:color w:val="auto"/>
                <w:sz w:val="24"/>
                <w:highlight w:val="none"/>
              </w:rPr>
            </w:pPr>
            <w:r>
              <w:rPr>
                <w:rFonts w:hint="eastAsia" w:ascii="宋体" w:hAnsi="宋体" w:cs="Arial"/>
                <w:color w:val="auto"/>
                <w:sz w:val="24"/>
                <w:highlight w:val="none"/>
              </w:rPr>
              <w:t>必需</w:t>
            </w:r>
          </w:p>
        </w:tc>
        <w:tc>
          <w:tcPr>
            <w:tcW w:w="1162" w:type="dxa"/>
            <w:vAlign w:val="center"/>
          </w:tcPr>
          <w:p w14:paraId="5DCA3D2E">
            <w:pPr>
              <w:spacing w:before="62" w:beforeLines="20" w:after="62" w:afterLines="20" w:line="276" w:lineRule="auto"/>
              <w:jc w:val="left"/>
              <w:rPr>
                <w:rFonts w:hint="eastAsia" w:ascii="宋体" w:hAnsi="宋体" w:cs="Arial"/>
                <w:color w:val="auto"/>
                <w:sz w:val="24"/>
                <w:highlight w:val="none"/>
              </w:rPr>
            </w:pPr>
          </w:p>
        </w:tc>
      </w:tr>
      <w:tr w14:paraId="1AF6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ECC79A2">
            <w:pPr>
              <w:rPr>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w:t>
            </w:r>
            <w:r>
              <w:rPr>
                <w:rFonts w:hint="eastAsia" w:ascii="宋体" w:hAnsi="宋体" w:cs="Arial"/>
                <w:color w:val="auto"/>
                <w:sz w:val="24"/>
                <w:highlight w:val="none"/>
              </w:rPr>
              <w:t>3</w:t>
            </w:r>
          </w:p>
        </w:tc>
        <w:tc>
          <w:tcPr>
            <w:tcW w:w="5222" w:type="dxa"/>
            <w:vAlign w:val="center"/>
          </w:tcPr>
          <w:p w14:paraId="5920C966">
            <w:pPr>
              <w:autoSpaceDE w:val="0"/>
              <w:autoSpaceDN w:val="0"/>
              <w:adjustRightInd w:val="0"/>
              <w:spacing w:line="276" w:lineRule="auto"/>
              <w:textAlignment w:val="baseline"/>
              <w:rPr>
                <w:color w:val="auto"/>
                <w:sz w:val="24"/>
                <w:highlight w:val="none"/>
              </w:rPr>
            </w:pPr>
            <w:r>
              <w:rPr>
                <w:rFonts w:hint="eastAsia" w:ascii="宋体" w:hAnsi="宋体" w:cs="宋体"/>
                <w:color w:val="auto"/>
                <w:sz w:val="24"/>
                <w:highlight w:val="none"/>
              </w:rPr>
              <w:t>风机要求噪音低，效率高，耐使用；风机电机固定在减震台座上，台座下是高性能弹簧减震器，保证空调器在运行中达到平稳。</w:t>
            </w:r>
          </w:p>
        </w:tc>
        <w:tc>
          <w:tcPr>
            <w:tcW w:w="719" w:type="dxa"/>
          </w:tcPr>
          <w:p w14:paraId="6D891016">
            <w:pPr>
              <w:rPr>
                <w:color w:val="auto"/>
                <w:sz w:val="24"/>
                <w:highlight w:val="none"/>
              </w:rPr>
            </w:pPr>
            <w:r>
              <w:rPr>
                <w:rFonts w:hint="eastAsia" w:ascii="宋体" w:hAnsi="宋体" w:cs="Arial"/>
                <w:color w:val="auto"/>
                <w:sz w:val="24"/>
                <w:highlight w:val="none"/>
              </w:rPr>
              <w:t>必需</w:t>
            </w:r>
          </w:p>
        </w:tc>
        <w:tc>
          <w:tcPr>
            <w:tcW w:w="1162" w:type="dxa"/>
            <w:vAlign w:val="center"/>
          </w:tcPr>
          <w:p w14:paraId="0553419F">
            <w:pPr>
              <w:spacing w:before="62" w:beforeLines="20" w:after="62" w:afterLines="20" w:line="276" w:lineRule="auto"/>
              <w:jc w:val="left"/>
              <w:rPr>
                <w:rFonts w:hint="eastAsia" w:ascii="宋体" w:hAnsi="宋体" w:cs="Arial"/>
                <w:color w:val="auto"/>
                <w:sz w:val="24"/>
                <w:highlight w:val="none"/>
              </w:rPr>
            </w:pPr>
          </w:p>
        </w:tc>
      </w:tr>
      <w:tr w14:paraId="25D2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6823FCFC">
            <w:pPr>
              <w:rPr>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w:t>
            </w:r>
            <w:r>
              <w:rPr>
                <w:rFonts w:hint="eastAsia" w:ascii="宋体" w:hAnsi="宋体" w:cs="Arial"/>
                <w:color w:val="auto"/>
                <w:sz w:val="24"/>
                <w:highlight w:val="none"/>
              </w:rPr>
              <w:t>4</w:t>
            </w:r>
          </w:p>
        </w:tc>
        <w:tc>
          <w:tcPr>
            <w:tcW w:w="5222" w:type="dxa"/>
            <w:vAlign w:val="center"/>
          </w:tcPr>
          <w:p w14:paraId="60FCCA15">
            <w:pPr>
              <w:autoSpaceDE w:val="0"/>
              <w:autoSpaceDN w:val="0"/>
              <w:adjustRightInd w:val="0"/>
              <w:spacing w:line="276" w:lineRule="auto"/>
              <w:textAlignment w:val="baseline"/>
              <w:rPr>
                <w:color w:val="auto"/>
                <w:sz w:val="24"/>
                <w:highlight w:val="none"/>
              </w:rPr>
            </w:pPr>
            <w:r>
              <w:rPr>
                <w:rFonts w:hint="eastAsia"/>
                <w:color w:val="auto"/>
                <w:sz w:val="24"/>
                <w:highlight w:val="none"/>
              </w:rPr>
              <w:t>风机、电机轴承要求保障高质量品质。</w:t>
            </w:r>
            <w:r>
              <w:rPr>
                <w:rFonts w:hint="eastAsia" w:ascii="宋体" w:hAnsi="宋体" w:cs="宋体"/>
                <w:color w:val="auto"/>
                <w:szCs w:val="21"/>
                <w:highlight w:val="none"/>
              </w:rPr>
              <w:t>正常使用可免保养。</w:t>
            </w:r>
          </w:p>
        </w:tc>
        <w:tc>
          <w:tcPr>
            <w:tcW w:w="719" w:type="dxa"/>
          </w:tcPr>
          <w:p w14:paraId="48B6989F">
            <w:pPr>
              <w:rPr>
                <w:color w:val="auto"/>
                <w:sz w:val="24"/>
                <w:highlight w:val="none"/>
              </w:rPr>
            </w:pPr>
            <w:r>
              <w:rPr>
                <w:rFonts w:hint="eastAsia" w:ascii="宋体" w:hAnsi="宋体" w:cs="Arial"/>
                <w:color w:val="auto"/>
                <w:sz w:val="24"/>
                <w:highlight w:val="none"/>
              </w:rPr>
              <w:t>必需</w:t>
            </w:r>
          </w:p>
        </w:tc>
        <w:tc>
          <w:tcPr>
            <w:tcW w:w="1162" w:type="dxa"/>
            <w:vAlign w:val="center"/>
          </w:tcPr>
          <w:p w14:paraId="78CB9C3F">
            <w:pPr>
              <w:spacing w:before="62" w:beforeLines="20" w:after="62" w:afterLines="20" w:line="276" w:lineRule="auto"/>
              <w:jc w:val="left"/>
              <w:rPr>
                <w:rFonts w:hint="eastAsia" w:ascii="宋体" w:hAnsi="宋体" w:cs="Arial"/>
                <w:color w:val="auto"/>
                <w:sz w:val="24"/>
                <w:highlight w:val="none"/>
              </w:rPr>
            </w:pPr>
          </w:p>
        </w:tc>
      </w:tr>
      <w:tr w14:paraId="707C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40D4544">
            <w:pPr>
              <w:rPr>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w:t>
            </w:r>
            <w:r>
              <w:rPr>
                <w:rFonts w:hint="eastAsia" w:ascii="宋体" w:hAnsi="宋体" w:cs="Arial"/>
                <w:color w:val="auto"/>
                <w:sz w:val="24"/>
                <w:highlight w:val="none"/>
              </w:rPr>
              <w:t>5</w:t>
            </w:r>
          </w:p>
        </w:tc>
        <w:tc>
          <w:tcPr>
            <w:tcW w:w="5222" w:type="dxa"/>
            <w:vAlign w:val="center"/>
          </w:tcPr>
          <w:p w14:paraId="3EC4672F">
            <w:pPr>
              <w:autoSpaceDE w:val="0"/>
              <w:autoSpaceDN w:val="0"/>
              <w:adjustRightInd w:val="0"/>
              <w:spacing w:line="276" w:lineRule="auto"/>
              <w:textAlignment w:val="baseline"/>
              <w:rPr>
                <w:rFonts w:hint="eastAsia" w:ascii="宋体" w:hAnsi="宋体"/>
                <w:color w:val="auto"/>
                <w:sz w:val="24"/>
                <w:highlight w:val="none"/>
              </w:rPr>
            </w:pPr>
            <w:r>
              <w:rPr>
                <w:rFonts w:hint="eastAsia"/>
                <w:color w:val="auto"/>
                <w:sz w:val="24"/>
                <w:highlight w:val="none"/>
              </w:rPr>
              <w:t>电机采用</w:t>
            </w:r>
            <w:r>
              <w:rPr>
                <w:rFonts w:hint="eastAsia" w:ascii="宋体" w:hAnsi="宋体"/>
                <w:color w:val="auto"/>
                <w:sz w:val="24"/>
                <w:highlight w:val="none"/>
              </w:rPr>
              <w:t>三相异步电机，</w:t>
            </w:r>
            <w:r>
              <w:rPr>
                <w:rFonts w:hint="eastAsia"/>
                <w:color w:val="auto"/>
                <w:sz w:val="24"/>
                <w:highlight w:val="none"/>
              </w:rPr>
              <w:t>必须保障高质量品质</w:t>
            </w:r>
            <w:r>
              <w:rPr>
                <w:rFonts w:hint="eastAsia" w:ascii="宋体" w:hAnsi="宋体"/>
                <w:color w:val="auto"/>
                <w:sz w:val="24"/>
                <w:highlight w:val="none"/>
              </w:rPr>
              <w:t>。</w:t>
            </w:r>
            <w:r>
              <w:rPr>
                <w:rFonts w:hint="eastAsia"/>
                <w:color w:val="auto"/>
                <w:sz w:val="24"/>
                <w:highlight w:val="none"/>
              </w:rPr>
              <w:t>选用的电机应当与变频器有良好的适配性。</w:t>
            </w:r>
          </w:p>
        </w:tc>
        <w:tc>
          <w:tcPr>
            <w:tcW w:w="719" w:type="dxa"/>
          </w:tcPr>
          <w:p w14:paraId="50D4F7E3">
            <w:pPr>
              <w:rPr>
                <w:color w:val="auto"/>
                <w:sz w:val="24"/>
                <w:highlight w:val="none"/>
              </w:rPr>
            </w:pPr>
            <w:r>
              <w:rPr>
                <w:rFonts w:hint="eastAsia" w:ascii="宋体" w:hAnsi="宋体" w:cs="Arial"/>
                <w:color w:val="auto"/>
                <w:sz w:val="24"/>
                <w:highlight w:val="none"/>
              </w:rPr>
              <w:t>必需</w:t>
            </w:r>
          </w:p>
        </w:tc>
        <w:tc>
          <w:tcPr>
            <w:tcW w:w="1162" w:type="dxa"/>
            <w:vAlign w:val="center"/>
          </w:tcPr>
          <w:p w14:paraId="15C36040">
            <w:pPr>
              <w:spacing w:before="62" w:beforeLines="20" w:after="62" w:afterLines="20" w:line="276" w:lineRule="auto"/>
              <w:jc w:val="left"/>
              <w:rPr>
                <w:rFonts w:hint="eastAsia" w:ascii="宋体" w:hAnsi="宋体" w:cs="Arial"/>
                <w:color w:val="auto"/>
                <w:sz w:val="24"/>
                <w:highlight w:val="none"/>
              </w:rPr>
            </w:pPr>
          </w:p>
        </w:tc>
      </w:tr>
      <w:tr w14:paraId="3BAD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50CC49FA">
            <w:pPr>
              <w:rPr>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w:t>
            </w:r>
            <w:r>
              <w:rPr>
                <w:rFonts w:hint="eastAsia" w:ascii="宋体" w:hAnsi="宋体" w:cs="Arial"/>
                <w:color w:val="auto"/>
                <w:sz w:val="24"/>
                <w:highlight w:val="none"/>
              </w:rPr>
              <w:t>6</w:t>
            </w:r>
          </w:p>
        </w:tc>
        <w:tc>
          <w:tcPr>
            <w:tcW w:w="5222" w:type="dxa"/>
            <w:vAlign w:val="center"/>
          </w:tcPr>
          <w:p w14:paraId="6B758889">
            <w:pPr>
              <w:spacing w:line="276" w:lineRule="auto"/>
              <w:rPr>
                <w:rFonts w:hint="eastAsia" w:ascii="宋体" w:hAnsi="宋体" w:cs="宋体"/>
                <w:color w:val="auto"/>
                <w:sz w:val="24"/>
                <w:highlight w:val="none"/>
              </w:rPr>
            </w:pPr>
            <w:r>
              <w:rPr>
                <w:rFonts w:hint="eastAsia" w:ascii="宋体" w:hAnsi="宋体" w:cs="宋体"/>
                <w:color w:val="auto"/>
                <w:sz w:val="24"/>
                <w:highlight w:val="none"/>
              </w:rPr>
              <w:t>风机传动采用皮带传动。风机和电机底座及风机出口采取措施降低振动和噪音。</w:t>
            </w:r>
          </w:p>
        </w:tc>
        <w:tc>
          <w:tcPr>
            <w:tcW w:w="719" w:type="dxa"/>
          </w:tcPr>
          <w:p w14:paraId="72F698F6">
            <w:pPr>
              <w:rPr>
                <w:color w:val="auto"/>
                <w:sz w:val="24"/>
                <w:highlight w:val="none"/>
              </w:rPr>
            </w:pPr>
            <w:r>
              <w:rPr>
                <w:rFonts w:hint="eastAsia" w:ascii="宋体" w:hAnsi="宋体" w:cs="Arial"/>
                <w:color w:val="auto"/>
                <w:sz w:val="24"/>
                <w:highlight w:val="none"/>
              </w:rPr>
              <w:t>必需</w:t>
            </w:r>
          </w:p>
        </w:tc>
        <w:tc>
          <w:tcPr>
            <w:tcW w:w="1162" w:type="dxa"/>
            <w:vAlign w:val="center"/>
          </w:tcPr>
          <w:p w14:paraId="6C43D081">
            <w:pPr>
              <w:spacing w:before="62" w:beforeLines="20" w:after="62" w:afterLines="20" w:line="276" w:lineRule="auto"/>
              <w:jc w:val="left"/>
              <w:rPr>
                <w:rFonts w:hint="eastAsia" w:ascii="宋体" w:hAnsi="宋体" w:cs="Arial"/>
                <w:color w:val="auto"/>
                <w:sz w:val="24"/>
                <w:highlight w:val="none"/>
              </w:rPr>
            </w:pPr>
          </w:p>
        </w:tc>
      </w:tr>
      <w:tr w14:paraId="1F93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441B9518">
            <w:pPr>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6</w:t>
            </w:r>
            <w:r>
              <w:rPr>
                <w:rFonts w:ascii="宋体" w:hAnsi="宋体" w:cs="Arial"/>
                <w:color w:val="auto"/>
                <w:sz w:val="24"/>
                <w:highlight w:val="none"/>
              </w:rPr>
              <w:t>-0</w:t>
            </w:r>
            <w:r>
              <w:rPr>
                <w:rFonts w:hint="eastAsia" w:ascii="宋体" w:hAnsi="宋体" w:cs="Arial"/>
                <w:color w:val="auto"/>
                <w:sz w:val="24"/>
                <w:highlight w:val="none"/>
              </w:rPr>
              <w:t>7</w:t>
            </w:r>
          </w:p>
        </w:tc>
        <w:tc>
          <w:tcPr>
            <w:tcW w:w="5222" w:type="dxa"/>
            <w:vAlign w:val="center"/>
          </w:tcPr>
          <w:p w14:paraId="124DFF05">
            <w:pPr>
              <w:spacing w:line="276" w:lineRule="auto"/>
              <w:rPr>
                <w:rFonts w:hint="eastAsia" w:ascii="宋体" w:hAnsi="宋体" w:cs="宋体"/>
                <w:color w:val="auto"/>
                <w:sz w:val="24"/>
                <w:highlight w:val="none"/>
              </w:rPr>
            </w:pPr>
            <w:r>
              <w:rPr>
                <w:rFonts w:hint="eastAsia" w:ascii="宋体" w:hAnsi="宋体" w:cs="宋体"/>
                <w:color w:val="auto"/>
                <w:sz w:val="24"/>
                <w:highlight w:val="none"/>
              </w:rPr>
              <w:t>防护等级达到IP55 级以上，绝缘等级F 级，提供风机和电机性能测试报告和出厂性能检测合格证。</w:t>
            </w:r>
          </w:p>
        </w:tc>
        <w:tc>
          <w:tcPr>
            <w:tcW w:w="719" w:type="dxa"/>
          </w:tcPr>
          <w:p w14:paraId="05ECDA3C">
            <w:pPr>
              <w:rPr>
                <w:rFonts w:hint="eastAsia" w:ascii="宋体" w:hAnsi="宋体" w:cs="Arial"/>
                <w:color w:val="auto"/>
                <w:sz w:val="24"/>
                <w:highlight w:val="none"/>
              </w:rPr>
            </w:pPr>
            <w:r>
              <w:rPr>
                <w:rFonts w:hint="eastAsia" w:ascii="宋体" w:hAnsi="宋体" w:cs="Arial"/>
                <w:color w:val="auto"/>
                <w:sz w:val="24"/>
                <w:highlight w:val="none"/>
              </w:rPr>
              <w:t>必需</w:t>
            </w:r>
          </w:p>
        </w:tc>
        <w:tc>
          <w:tcPr>
            <w:tcW w:w="1162" w:type="dxa"/>
            <w:vAlign w:val="center"/>
          </w:tcPr>
          <w:p w14:paraId="5CE5D885">
            <w:pPr>
              <w:spacing w:before="62" w:beforeLines="20" w:after="62" w:afterLines="20" w:line="276" w:lineRule="auto"/>
              <w:jc w:val="left"/>
              <w:rPr>
                <w:rFonts w:hint="eastAsia" w:ascii="宋体" w:hAnsi="宋体" w:cs="Arial"/>
                <w:color w:val="auto"/>
                <w:sz w:val="24"/>
                <w:highlight w:val="none"/>
              </w:rPr>
            </w:pPr>
          </w:p>
        </w:tc>
      </w:tr>
    </w:tbl>
    <w:p w14:paraId="743008F4">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11.7</w:t>
      </w:r>
      <w:r>
        <w:rPr>
          <w:rFonts w:hint="eastAsia" w:ascii="Arial Bold" w:hAnsi="Arial Bold"/>
          <w:caps/>
          <w:color w:val="auto"/>
          <w:kern w:val="32"/>
          <w:sz w:val="24"/>
          <w:highlight w:val="none"/>
        </w:rPr>
        <w:t>风阀</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33D3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279C3587">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76AA96E9">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31D52F79">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249F5CD8">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63D7C793">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7D27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1435B7D3">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7</w:t>
            </w:r>
            <w:r>
              <w:rPr>
                <w:rFonts w:ascii="宋体" w:hAnsi="宋体" w:cs="Arial"/>
                <w:color w:val="auto"/>
                <w:sz w:val="24"/>
                <w:highlight w:val="none"/>
              </w:rPr>
              <w:t>-01</w:t>
            </w:r>
          </w:p>
        </w:tc>
        <w:tc>
          <w:tcPr>
            <w:tcW w:w="5222" w:type="dxa"/>
            <w:vAlign w:val="center"/>
          </w:tcPr>
          <w:p w14:paraId="0A489B9C">
            <w:pPr>
              <w:spacing w:line="276" w:lineRule="auto"/>
              <w:rPr>
                <w:rFonts w:hint="eastAsia" w:ascii="宋体" w:hAnsi="宋体" w:cs="宋体"/>
                <w:color w:val="auto"/>
                <w:sz w:val="24"/>
                <w:highlight w:val="none"/>
              </w:rPr>
            </w:pPr>
            <w:r>
              <w:rPr>
                <w:rFonts w:hint="eastAsia" w:ascii="宋体" w:hAnsi="宋体" w:cs="宋体"/>
                <w:color w:val="auto"/>
                <w:sz w:val="24"/>
                <w:highlight w:val="none"/>
              </w:rPr>
              <w:t>机组自带的调节风阀应当采用铝合金型材制作；</w:t>
            </w:r>
          </w:p>
        </w:tc>
        <w:tc>
          <w:tcPr>
            <w:tcW w:w="719" w:type="dxa"/>
          </w:tcPr>
          <w:p w14:paraId="79B3E459">
            <w:pPr>
              <w:rPr>
                <w:color w:val="auto"/>
                <w:highlight w:val="none"/>
              </w:rPr>
            </w:pPr>
            <w:r>
              <w:rPr>
                <w:rFonts w:hint="eastAsia" w:ascii="宋体" w:hAnsi="宋体" w:cs="Arial"/>
                <w:color w:val="auto"/>
                <w:sz w:val="24"/>
                <w:highlight w:val="none"/>
              </w:rPr>
              <w:t>必需</w:t>
            </w:r>
          </w:p>
        </w:tc>
        <w:tc>
          <w:tcPr>
            <w:tcW w:w="1162" w:type="dxa"/>
            <w:vAlign w:val="center"/>
          </w:tcPr>
          <w:p w14:paraId="63FA5AA8">
            <w:pPr>
              <w:spacing w:before="62" w:beforeLines="20" w:after="62" w:afterLines="20" w:line="276" w:lineRule="auto"/>
              <w:jc w:val="left"/>
              <w:rPr>
                <w:rFonts w:hint="eastAsia" w:ascii="宋体" w:hAnsi="宋体" w:cs="Arial"/>
                <w:color w:val="auto"/>
                <w:sz w:val="24"/>
                <w:highlight w:val="none"/>
              </w:rPr>
            </w:pPr>
          </w:p>
        </w:tc>
      </w:tr>
      <w:tr w14:paraId="3155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4CAAF991">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7</w:t>
            </w:r>
            <w:r>
              <w:rPr>
                <w:rFonts w:ascii="宋体" w:hAnsi="宋体" w:cs="Arial"/>
                <w:color w:val="auto"/>
                <w:sz w:val="24"/>
                <w:highlight w:val="none"/>
              </w:rPr>
              <w:t>-0</w:t>
            </w:r>
            <w:r>
              <w:rPr>
                <w:rFonts w:hint="eastAsia" w:ascii="宋体" w:hAnsi="宋体" w:cs="Arial"/>
                <w:color w:val="auto"/>
                <w:sz w:val="24"/>
                <w:highlight w:val="none"/>
              </w:rPr>
              <w:t>2</w:t>
            </w:r>
          </w:p>
        </w:tc>
        <w:tc>
          <w:tcPr>
            <w:tcW w:w="5222" w:type="dxa"/>
            <w:vAlign w:val="center"/>
          </w:tcPr>
          <w:p w14:paraId="717C5E9E">
            <w:pPr>
              <w:widowControl/>
              <w:tabs>
                <w:tab w:val="center" w:pos="2268"/>
                <w:tab w:val="right" w:pos="5387"/>
              </w:tabs>
              <w:spacing w:line="320" w:lineRule="atLeast"/>
              <w:jc w:val="left"/>
              <w:rPr>
                <w:rFonts w:hint="eastAsia" w:ascii="宋体" w:hAnsi="宋体" w:cs="宋体"/>
                <w:color w:val="auto"/>
                <w:sz w:val="24"/>
                <w:highlight w:val="none"/>
              </w:rPr>
            </w:pPr>
            <w:r>
              <w:rPr>
                <w:rFonts w:hint="eastAsia" w:ascii="宋体" w:hAnsi="宋体" w:cs="宋体"/>
                <w:color w:val="auto"/>
                <w:sz w:val="24"/>
                <w:highlight w:val="none"/>
              </w:rPr>
              <w:t>风阀经裁剪、折弯、焊接等工艺制作，无砂眼、烧穿等缺陷，焊缝需光滑平整；边角需经倒角处理，无钝边；阀体两端连接法兰需平整，保证加装密封垫安装后密闭无泄漏；</w:t>
            </w:r>
          </w:p>
        </w:tc>
        <w:tc>
          <w:tcPr>
            <w:tcW w:w="719" w:type="dxa"/>
          </w:tcPr>
          <w:p w14:paraId="4B4AF144">
            <w:pPr>
              <w:rPr>
                <w:color w:val="auto"/>
                <w:highlight w:val="none"/>
              </w:rPr>
            </w:pPr>
            <w:r>
              <w:rPr>
                <w:rFonts w:hint="eastAsia" w:ascii="宋体" w:hAnsi="宋体" w:cs="Arial"/>
                <w:color w:val="auto"/>
                <w:sz w:val="24"/>
                <w:highlight w:val="none"/>
              </w:rPr>
              <w:t>必需</w:t>
            </w:r>
          </w:p>
        </w:tc>
        <w:tc>
          <w:tcPr>
            <w:tcW w:w="1162" w:type="dxa"/>
            <w:vAlign w:val="center"/>
          </w:tcPr>
          <w:p w14:paraId="160FC828">
            <w:pPr>
              <w:spacing w:before="62" w:beforeLines="20" w:after="62" w:afterLines="20" w:line="276" w:lineRule="auto"/>
              <w:jc w:val="left"/>
              <w:rPr>
                <w:rFonts w:hint="eastAsia" w:ascii="宋体" w:hAnsi="宋体" w:cs="Arial"/>
                <w:color w:val="auto"/>
                <w:sz w:val="24"/>
                <w:highlight w:val="none"/>
              </w:rPr>
            </w:pPr>
          </w:p>
        </w:tc>
      </w:tr>
      <w:tr w14:paraId="268D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41D40E0F">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7</w:t>
            </w:r>
            <w:r>
              <w:rPr>
                <w:rFonts w:ascii="宋体" w:hAnsi="宋体" w:cs="Arial"/>
                <w:color w:val="auto"/>
                <w:sz w:val="24"/>
                <w:highlight w:val="none"/>
              </w:rPr>
              <w:t>-0</w:t>
            </w:r>
            <w:r>
              <w:rPr>
                <w:rFonts w:hint="eastAsia" w:ascii="宋体" w:hAnsi="宋体" w:cs="Arial"/>
                <w:color w:val="auto"/>
                <w:sz w:val="24"/>
                <w:highlight w:val="none"/>
              </w:rPr>
              <w:t>3</w:t>
            </w:r>
          </w:p>
        </w:tc>
        <w:tc>
          <w:tcPr>
            <w:tcW w:w="5222" w:type="dxa"/>
            <w:vAlign w:val="center"/>
          </w:tcPr>
          <w:p w14:paraId="4E0BA7E4">
            <w:pPr>
              <w:spacing w:line="276" w:lineRule="auto"/>
              <w:rPr>
                <w:rFonts w:hint="eastAsia" w:ascii="宋体" w:hAnsi="宋体" w:cs="宋体"/>
                <w:color w:val="auto"/>
                <w:sz w:val="24"/>
                <w:highlight w:val="none"/>
              </w:rPr>
            </w:pPr>
            <w:r>
              <w:rPr>
                <w:rFonts w:hint="eastAsia" w:ascii="宋体" w:hAnsi="宋体" w:cs="宋体"/>
                <w:color w:val="auto"/>
                <w:sz w:val="24"/>
                <w:highlight w:val="none"/>
              </w:rPr>
              <w:t>传动部件要求采用防锈材料，风阀叶片间应采取密封措施。</w:t>
            </w:r>
          </w:p>
        </w:tc>
        <w:tc>
          <w:tcPr>
            <w:tcW w:w="719" w:type="dxa"/>
          </w:tcPr>
          <w:p w14:paraId="250A1C51">
            <w:pPr>
              <w:rPr>
                <w:color w:val="auto"/>
                <w:highlight w:val="none"/>
              </w:rPr>
            </w:pPr>
            <w:r>
              <w:rPr>
                <w:rFonts w:hint="eastAsia" w:ascii="宋体" w:hAnsi="宋体" w:cs="Arial"/>
                <w:color w:val="auto"/>
                <w:sz w:val="24"/>
                <w:highlight w:val="none"/>
              </w:rPr>
              <w:t>必需</w:t>
            </w:r>
          </w:p>
        </w:tc>
        <w:tc>
          <w:tcPr>
            <w:tcW w:w="1162" w:type="dxa"/>
            <w:vAlign w:val="center"/>
          </w:tcPr>
          <w:p w14:paraId="0D426397">
            <w:pPr>
              <w:spacing w:before="62" w:beforeLines="20" w:after="62" w:afterLines="20" w:line="276" w:lineRule="auto"/>
              <w:jc w:val="left"/>
              <w:rPr>
                <w:rFonts w:hint="eastAsia" w:ascii="宋体" w:hAnsi="宋体" w:cs="Arial"/>
                <w:color w:val="auto"/>
                <w:sz w:val="24"/>
                <w:highlight w:val="none"/>
              </w:rPr>
            </w:pPr>
          </w:p>
        </w:tc>
      </w:tr>
      <w:tr w14:paraId="1A81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55D1C3E8">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7</w:t>
            </w:r>
            <w:r>
              <w:rPr>
                <w:rFonts w:ascii="宋体" w:hAnsi="宋体" w:cs="Arial"/>
                <w:color w:val="auto"/>
                <w:sz w:val="24"/>
                <w:highlight w:val="none"/>
              </w:rPr>
              <w:t>-0</w:t>
            </w:r>
            <w:r>
              <w:rPr>
                <w:rFonts w:hint="eastAsia" w:ascii="宋体" w:hAnsi="宋体" w:cs="Arial"/>
                <w:color w:val="auto"/>
                <w:sz w:val="24"/>
                <w:highlight w:val="none"/>
              </w:rPr>
              <w:t>4</w:t>
            </w:r>
          </w:p>
        </w:tc>
        <w:tc>
          <w:tcPr>
            <w:tcW w:w="5222" w:type="dxa"/>
            <w:vAlign w:val="center"/>
          </w:tcPr>
          <w:p w14:paraId="1002FA70">
            <w:pPr>
              <w:widowControl/>
              <w:tabs>
                <w:tab w:val="center" w:pos="2268"/>
                <w:tab w:val="right" w:pos="5387"/>
              </w:tabs>
              <w:spacing w:line="320" w:lineRule="atLeast"/>
              <w:jc w:val="left"/>
              <w:rPr>
                <w:rFonts w:hint="eastAsia" w:ascii="宋体" w:hAnsi="宋体" w:cs="宋体"/>
                <w:color w:val="auto"/>
                <w:sz w:val="24"/>
                <w:highlight w:val="none"/>
              </w:rPr>
            </w:pPr>
            <w:r>
              <w:rPr>
                <w:rFonts w:hint="eastAsia" w:ascii="宋体" w:hAnsi="宋体" w:cs="宋体"/>
                <w:color w:val="auto"/>
                <w:sz w:val="24"/>
                <w:highlight w:val="none"/>
              </w:rPr>
              <w:t>调节手柄开关灵活，开度指示正确。</w:t>
            </w:r>
          </w:p>
        </w:tc>
        <w:tc>
          <w:tcPr>
            <w:tcW w:w="719" w:type="dxa"/>
          </w:tcPr>
          <w:p w14:paraId="5C690018">
            <w:pPr>
              <w:rPr>
                <w:color w:val="auto"/>
                <w:highlight w:val="none"/>
              </w:rPr>
            </w:pPr>
            <w:r>
              <w:rPr>
                <w:rFonts w:hint="eastAsia" w:ascii="宋体" w:hAnsi="宋体" w:cs="Arial"/>
                <w:color w:val="auto"/>
                <w:sz w:val="24"/>
                <w:highlight w:val="none"/>
              </w:rPr>
              <w:t>必需</w:t>
            </w:r>
          </w:p>
        </w:tc>
        <w:tc>
          <w:tcPr>
            <w:tcW w:w="1162" w:type="dxa"/>
            <w:vAlign w:val="center"/>
          </w:tcPr>
          <w:p w14:paraId="53488CE4">
            <w:pPr>
              <w:spacing w:before="62" w:beforeLines="20" w:after="62" w:afterLines="20" w:line="276" w:lineRule="auto"/>
              <w:jc w:val="left"/>
              <w:rPr>
                <w:rFonts w:hint="eastAsia" w:ascii="宋体" w:hAnsi="宋体" w:cs="Arial"/>
                <w:color w:val="auto"/>
                <w:sz w:val="24"/>
                <w:highlight w:val="none"/>
              </w:rPr>
            </w:pPr>
          </w:p>
        </w:tc>
      </w:tr>
    </w:tbl>
    <w:p w14:paraId="10CB459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11.8控制功能及控制硬件要求</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4987"/>
        <w:gridCol w:w="716"/>
        <w:gridCol w:w="1160"/>
      </w:tblGrid>
      <w:tr w14:paraId="25D0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656" w:type="dxa"/>
            <w:tcBorders>
              <w:bottom w:val="single" w:color="auto" w:sz="4" w:space="0"/>
            </w:tcBorders>
            <w:shd w:val="pct20" w:color="auto" w:fill="FFFFFF"/>
            <w:vAlign w:val="center"/>
          </w:tcPr>
          <w:p w14:paraId="5B99A2E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4987" w:type="dxa"/>
            <w:tcBorders>
              <w:bottom w:val="single" w:color="auto" w:sz="4" w:space="0"/>
            </w:tcBorders>
            <w:shd w:val="pct20" w:color="auto" w:fill="FFFFFF"/>
            <w:vAlign w:val="center"/>
          </w:tcPr>
          <w:p w14:paraId="24AD0651">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6" w:type="dxa"/>
            <w:tcBorders>
              <w:bottom w:val="single" w:color="auto" w:sz="4" w:space="0"/>
            </w:tcBorders>
            <w:shd w:val="pct20" w:color="auto" w:fill="FFFFFF"/>
            <w:vAlign w:val="center"/>
          </w:tcPr>
          <w:p w14:paraId="50538784">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0" w:type="dxa"/>
            <w:tcBorders>
              <w:bottom w:val="single" w:color="auto" w:sz="4" w:space="0"/>
            </w:tcBorders>
            <w:shd w:val="pct20" w:color="auto" w:fill="FFFFFF"/>
          </w:tcPr>
          <w:p w14:paraId="55031A4A">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01A076B4">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11BA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Align w:val="center"/>
          </w:tcPr>
          <w:p w14:paraId="28E22D7C">
            <w:pPr>
              <w:spacing w:before="62" w:beforeLines="20" w:after="62" w:afterLines="20" w:line="276" w:lineRule="auto"/>
              <w:jc w:val="left"/>
              <w:rPr>
                <w:rFonts w:hint="eastAsia"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-01</w:t>
            </w:r>
          </w:p>
        </w:tc>
        <w:tc>
          <w:tcPr>
            <w:tcW w:w="4987" w:type="dxa"/>
            <w:vAlign w:val="center"/>
          </w:tcPr>
          <w:p w14:paraId="62A8A4D9">
            <w:pPr>
              <w:spacing w:line="276" w:lineRule="auto"/>
              <w:ind w:left="108"/>
              <w:outlineLvl w:val="3"/>
              <w:rPr>
                <w:rFonts w:hint="eastAsia" w:ascii="宋体" w:hAnsi="宋体" w:cs="宋体"/>
                <w:color w:val="auto"/>
                <w:sz w:val="24"/>
                <w:highlight w:val="none"/>
              </w:rPr>
            </w:pPr>
            <w:r>
              <w:rPr>
                <w:rFonts w:hint="eastAsia" w:ascii="宋体" w:hAnsi="宋体" w:cs="宋体"/>
                <w:color w:val="auto"/>
                <w:sz w:val="24"/>
                <w:highlight w:val="none"/>
              </w:rPr>
              <w:t>组合式空调控制部分采集监测功能</w:t>
            </w:r>
          </w:p>
          <w:p w14:paraId="62ACE588">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回风温湿度参数实时采集显示；</w:t>
            </w:r>
          </w:p>
          <w:p w14:paraId="4B44D943">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箱内温湿度实时采集显示；</w:t>
            </w:r>
          </w:p>
          <w:p w14:paraId="59F4812E">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送风机运行状态、故障状态监测；</w:t>
            </w:r>
          </w:p>
          <w:p w14:paraId="56A3FCEE">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室内排风机运行状态、故障状态监测；</w:t>
            </w:r>
          </w:p>
          <w:p w14:paraId="7D32E8D0">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送风机前后空气压差状态监测，用于系统缺风保护；</w:t>
            </w:r>
          </w:p>
          <w:p w14:paraId="57E6DE31">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冬夏工况状态实时检测，用于转换冬夏季控制逻辑；</w:t>
            </w:r>
          </w:p>
          <w:p w14:paraId="379F6EB7">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空调机组初、中效过滤器缺风压差监测；</w:t>
            </w:r>
          </w:p>
          <w:p w14:paraId="2159003C">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送风机、排风机累积运行时间及起动次数统计；</w:t>
            </w:r>
          </w:p>
          <w:p w14:paraId="06DD263D">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主机运行状态、故障状态监测；</w:t>
            </w:r>
          </w:p>
          <w:p w14:paraId="4DE4B0A5">
            <w:pPr>
              <w:numPr>
                <w:ilvl w:val="0"/>
                <w:numId w:val="8"/>
              </w:numPr>
              <w:spacing w:line="276" w:lineRule="auto"/>
              <w:rPr>
                <w:rFonts w:hint="eastAsia" w:ascii="宋体" w:hAnsi="宋体" w:cs="宋体"/>
                <w:color w:val="auto"/>
                <w:sz w:val="24"/>
                <w:highlight w:val="none"/>
              </w:rPr>
            </w:pPr>
            <w:r>
              <w:rPr>
                <w:rFonts w:hint="eastAsia" w:ascii="宋体" w:hAnsi="宋体" w:cs="宋体"/>
                <w:color w:val="auto"/>
                <w:sz w:val="24"/>
                <w:highlight w:val="none"/>
              </w:rPr>
              <w:t>进出水温度、压力的监测显示</w:t>
            </w:r>
          </w:p>
          <w:p w14:paraId="46A36558">
            <w:pPr>
              <w:numPr>
                <w:ilvl w:val="0"/>
                <w:numId w:val="9"/>
              </w:numPr>
              <w:tabs>
                <w:tab w:val="left" w:pos="945"/>
              </w:tabs>
              <w:adjustRightInd w:val="0"/>
              <w:snapToGrid w:val="0"/>
              <w:spacing w:line="276" w:lineRule="auto"/>
              <w:ind w:left="945"/>
              <w:jc w:val="left"/>
              <w:rPr>
                <w:rFonts w:hint="eastAsia" w:ascii="宋体" w:hAnsi="宋体" w:cs="宋体"/>
                <w:color w:val="auto"/>
                <w:sz w:val="24"/>
                <w:highlight w:val="none"/>
              </w:rPr>
            </w:pPr>
            <w:r>
              <w:rPr>
                <w:rFonts w:hint="eastAsia" w:ascii="宋体" w:hAnsi="宋体" w:cs="宋体"/>
                <w:color w:val="auto"/>
                <w:sz w:val="24"/>
                <w:highlight w:val="none"/>
              </w:rPr>
              <w:t>各种安全保护控制功能</w:t>
            </w:r>
          </w:p>
        </w:tc>
        <w:tc>
          <w:tcPr>
            <w:tcW w:w="716" w:type="dxa"/>
          </w:tcPr>
          <w:p w14:paraId="731CBA22">
            <w:pPr>
              <w:rPr>
                <w:color w:val="auto"/>
                <w:highlight w:val="none"/>
              </w:rPr>
            </w:pPr>
            <w:r>
              <w:rPr>
                <w:rFonts w:hint="eastAsia"/>
                <w:color w:val="auto"/>
                <w:highlight w:val="none"/>
              </w:rPr>
              <w:t>必需</w:t>
            </w:r>
          </w:p>
        </w:tc>
        <w:tc>
          <w:tcPr>
            <w:tcW w:w="1160" w:type="dxa"/>
            <w:vAlign w:val="center"/>
          </w:tcPr>
          <w:p w14:paraId="21BE221A">
            <w:pPr>
              <w:spacing w:before="62" w:beforeLines="20" w:after="62" w:afterLines="20" w:line="276" w:lineRule="auto"/>
              <w:jc w:val="left"/>
              <w:rPr>
                <w:rFonts w:hint="eastAsia" w:ascii="宋体" w:hAnsi="宋体" w:cs="Arial"/>
                <w:color w:val="auto"/>
                <w:sz w:val="24"/>
                <w:highlight w:val="none"/>
              </w:rPr>
            </w:pPr>
          </w:p>
        </w:tc>
      </w:tr>
      <w:tr w14:paraId="729F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D11900A">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2</w:t>
            </w:r>
          </w:p>
        </w:tc>
        <w:tc>
          <w:tcPr>
            <w:tcW w:w="4987" w:type="dxa"/>
            <w:vAlign w:val="center"/>
          </w:tcPr>
          <w:p w14:paraId="65E204FD">
            <w:pPr>
              <w:spacing w:line="276" w:lineRule="auto"/>
              <w:ind w:left="108"/>
              <w:outlineLvl w:val="3"/>
              <w:rPr>
                <w:rFonts w:hint="eastAsia" w:ascii="宋体" w:hAnsi="宋体" w:cs="宋体"/>
                <w:color w:val="auto"/>
                <w:sz w:val="24"/>
                <w:highlight w:val="none"/>
              </w:rPr>
            </w:pPr>
            <w:r>
              <w:rPr>
                <w:rFonts w:hint="eastAsia" w:ascii="宋体" w:hAnsi="宋体" w:cs="宋体"/>
                <w:color w:val="auto"/>
                <w:sz w:val="24"/>
                <w:highlight w:val="none"/>
              </w:rPr>
              <w:t>安全保护及报警功能</w:t>
            </w:r>
          </w:p>
          <w:p w14:paraId="53E7A4EB">
            <w:pPr>
              <w:spacing w:line="27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通过现场控制柜配套相关外围设备及软件策略，应可实现如下保护功能：缺风保护、停机延时、高压保护、变频器故障、送风机、排风机等过载保护、电气安全保护、水温保护、缺水保护。</w:t>
            </w:r>
          </w:p>
        </w:tc>
        <w:tc>
          <w:tcPr>
            <w:tcW w:w="716" w:type="dxa"/>
          </w:tcPr>
          <w:p w14:paraId="275144D8">
            <w:pPr>
              <w:rPr>
                <w:color w:val="auto"/>
                <w:highlight w:val="none"/>
              </w:rPr>
            </w:pPr>
            <w:r>
              <w:rPr>
                <w:rFonts w:hint="eastAsia"/>
                <w:color w:val="auto"/>
                <w:highlight w:val="none"/>
              </w:rPr>
              <w:t>必需</w:t>
            </w:r>
          </w:p>
        </w:tc>
        <w:tc>
          <w:tcPr>
            <w:tcW w:w="1160" w:type="dxa"/>
            <w:vAlign w:val="center"/>
          </w:tcPr>
          <w:p w14:paraId="5FB1692D">
            <w:pPr>
              <w:spacing w:before="62" w:beforeLines="20" w:after="62" w:afterLines="20" w:line="276" w:lineRule="auto"/>
              <w:jc w:val="left"/>
              <w:rPr>
                <w:rFonts w:hint="eastAsia" w:ascii="宋体" w:hAnsi="宋体" w:cs="Arial"/>
                <w:color w:val="auto"/>
                <w:sz w:val="24"/>
                <w:highlight w:val="none"/>
              </w:rPr>
            </w:pPr>
          </w:p>
        </w:tc>
      </w:tr>
      <w:tr w14:paraId="18B1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67EF0777">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3</w:t>
            </w:r>
          </w:p>
        </w:tc>
        <w:tc>
          <w:tcPr>
            <w:tcW w:w="4987" w:type="dxa"/>
            <w:vAlign w:val="center"/>
          </w:tcPr>
          <w:p w14:paraId="2C75C68F">
            <w:pPr>
              <w:spacing w:line="276" w:lineRule="auto"/>
              <w:ind w:left="102"/>
              <w:outlineLvl w:val="3"/>
              <w:rPr>
                <w:rFonts w:hint="eastAsia" w:ascii="宋体" w:hAnsi="宋体" w:cs="宋体"/>
                <w:color w:val="auto"/>
                <w:sz w:val="24"/>
                <w:highlight w:val="none"/>
              </w:rPr>
            </w:pPr>
            <w:r>
              <w:rPr>
                <w:rFonts w:hint="eastAsia" w:ascii="宋体" w:hAnsi="宋体" w:cs="宋体"/>
                <w:color w:val="auto"/>
                <w:sz w:val="24"/>
                <w:highlight w:val="none"/>
              </w:rPr>
              <w:t>组合式空调控制部分控制功能</w:t>
            </w:r>
          </w:p>
          <w:p w14:paraId="4823101A">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起停方式控制。包括自动起停、现场手动起停。有远程控制功能。</w:t>
            </w:r>
          </w:p>
          <w:p w14:paraId="4FBE6E34">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恒温恒湿控制。应可根据回风温湿度，自动控制压缩机的投入数量、蒸汽加热阀（电加热）、加湿量的投入量实现恒温恒湿自动控制。</w:t>
            </w:r>
          </w:p>
          <w:p w14:paraId="7FC8B19E">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送风恒风量控制 </w:t>
            </w:r>
          </w:p>
          <w:p w14:paraId="05E6B533">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新风控制，新风阀与风机联锁，停机时关闭新风阀。</w:t>
            </w:r>
          </w:p>
          <w:p w14:paraId="544E5D82">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各种安全保护控制功能</w:t>
            </w:r>
          </w:p>
          <w:p w14:paraId="685BD99D">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系统硬件故障自检及显示</w:t>
            </w:r>
          </w:p>
          <w:p w14:paraId="38C9BABB">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可进行空调系统控制参数设定与修改</w:t>
            </w:r>
          </w:p>
          <w:p w14:paraId="510698CF">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臭氧消毒联动控制功能</w:t>
            </w:r>
          </w:p>
          <w:p w14:paraId="712C979E">
            <w:pPr>
              <w:numPr>
                <w:ilvl w:val="0"/>
                <w:numId w:val="9"/>
              </w:numPr>
              <w:adjustRightInd w:val="0"/>
              <w:snapToGrid w:val="0"/>
              <w:spacing w:line="276" w:lineRule="auto"/>
              <w:jc w:val="left"/>
              <w:rPr>
                <w:rFonts w:hint="eastAsia" w:ascii="宋体" w:hAnsi="宋体" w:cs="宋体"/>
                <w:color w:val="auto"/>
                <w:sz w:val="24"/>
                <w:highlight w:val="none"/>
              </w:rPr>
            </w:pPr>
            <w:r>
              <w:rPr>
                <w:rFonts w:hint="eastAsia" w:ascii="宋体" w:hAnsi="宋体" w:cs="宋体"/>
                <w:color w:val="auto"/>
                <w:sz w:val="24"/>
                <w:highlight w:val="none"/>
              </w:rPr>
              <w:t>主机系统、除尘机、排风机联动功能（含手动与自动功能）</w:t>
            </w:r>
          </w:p>
        </w:tc>
        <w:tc>
          <w:tcPr>
            <w:tcW w:w="716" w:type="dxa"/>
          </w:tcPr>
          <w:p w14:paraId="37CAFEDB">
            <w:pPr>
              <w:rPr>
                <w:color w:val="auto"/>
                <w:highlight w:val="none"/>
              </w:rPr>
            </w:pPr>
            <w:r>
              <w:rPr>
                <w:rFonts w:hint="eastAsia"/>
                <w:color w:val="auto"/>
                <w:highlight w:val="none"/>
              </w:rPr>
              <w:t>必需</w:t>
            </w:r>
          </w:p>
        </w:tc>
        <w:tc>
          <w:tcPr>
            <w:tcW w:w="1160" w:type="dxa"/>
            <w:vAlign w:val="center"/>
          </w:tcPr>
          <w:p w14:paraId="1A0069CE">
            <w:pPr>
              <w:spacing w:before="62" w:beforeLines="20" w:after="62" w:afterLines="20" w:line="276" w:lineRule="auto"/>
              <w:jc w:val="left"/>
              <w:rPr>
                <w:rFonts w:hint="eastAsia" w:ascii="宋体" w:hAnsi="宋体" w:cs="Arial"/>
                <w:color w:val="auto"/>
                <w:sz w:val="24"/>
                <w:highlight w:val="none"/>
              </w:rPr>
            </w:pPr>
          </w:p>
        </w:tc>
      </w:tr>
      <w:tr w14:paraId="6A28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018B3ACF">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4</w:t>
            </w:r>
          </w:p>
        </w:tc>
        <w:tc>
          <w:tcPr>
            <w:tcW w:w="4987" w:type="dxa"/>
            <w:vAlign w:val="center"/>
          </w:tcPr>
          <w:p w14:paraId="1D56BE65">
            <w:pPr>
              <w:widowControl/>
              <w:tabs>
                <w:tab w:val="center" w:pos="2268"/>
                <w:tab w:val="right" w:pos="5387"/>
              </w:tabs>
              <w:spacing w:line="320" w:lineRule="atLeast"/>
              <w:jc w:val="left"/>
              <w:rPr>
                <w:rFonts w:hint="eastAsia" w:ascii="宋体" w:hAnsi="宋体" w:cs="宋体"/>
                <w:color w:val="auto"/>
                <w:sz w:val="24"/>
                <w:highlight w:val="none"/>
              </w:rPr>
            </w:pPr>
            <w:r>
              <w:rPr>
                <w:rFonts w:hint="eastAsia" w:ascii="宋体" w:hAnsi="宋体" w:cs="宋体"/>
                <w:color w:val="auto"/>
                <w:sz w:val="24"/>
                <w:highlight w:val="none"/>
                <w:lang w:val="en-GB"/>
              </w:rPr>
              <w:t>现场控制器采用SIEMENS PLC、WEINVIEW触摸屏控制面板（MT6070IH）、ABB变频器，投标方提供详细的参数以及说明</w:t>
            </w:r>
          </w:p>
        </w:tc>
        <w:tc>
          <w:tcPr>
            <w:tcW w:w="716" w:type="dxa"/>
          </w:tcPr>
          <w:p w14:paraId="73F9E2E4">
            <w:pPr>
              <w:rPr>
                <w:color w:val="auto"/>
                <w:highlight w:val="none"/>
              </w:rPr>
            </w:pPr>
            <w:r>
              <w:rPr>
                <w:rFonts w:hint="eastAsia"/>
                <w:color w:val="auto"/>
                <w:highlight w:val="none"/>
              </w:rPr>
              <w:t>必需</w:t>
            </w:r>
          </w:p>
        </w:tc>
        <w:tc>
          <w:tcPr>
            <w:tcW w:w="1160" w:type="dxa"/>
            <w:vAlign w:val="center"/>
          </w:tcPr>
          <w:p w14:paraId="364EFAD2">
            <w:pPr>
              <w:spacing w:before="62" w:beforeLines="20" w:after="62" w:afterLines="20" w:line="276" w:lineRule="auto"/>
              <w:jc w:val="left"/>
              <w:rPr>
                <w:rFonts w:hint="eastAsia" w:ascii="宋体" w:hAnsi="宋体" w:cs="Arial"/>
                <w:color w:val="auto"/>
                <w:sz w:val="24"/>
                <w:highlight w:val="none"/>
              </w:rPr>
            </w:pPr>
          </w:p>
        </w:tc>
      </w:tr>
      <w:tr w14:paraId="2483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5F57614E">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5</w:t>
            </w:r>
          </w:p>
        </w:tc>
        <w:tc>
          <w:tcPr>
            <w:tcW w:w="4987" w:type="dxa"/>
            <w:vAlign w:val="center"/>
          </w:tcPr>
          <w:p w14:paraId="7381538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风管内温湿度传感器应选用风道式温湿度传感器E+E品牌  </w:t>
            </w:r>
          </w:p>
          <w:p w14:paraId="2D187257">
            <w:pPr>
              <w:numPr>
                <w:ilvl w:val="0"/>
                <w:numId w:val="10"/>
              </w:numPr>
              <w:tabs>
                <w:tab w:val="left" w:pos="760"/>
              </w:tabs>
              <w:spacing w:line="360" w:lineRule="auto"/>
              <w:ind w:left="470" w:leftChars="224"/>
              <w:rPr>
                <w:rFonts w:hint="eastAsia" w:ascii="宋体" w:hAnsi="宋体" w:cs="宋体"/>
                <w:color w:val="auto"/>
                <w:sz w:val="24"/>
                <w:highlight w:val="none"/>
              </w:rPr>
            </w:pPr>
            <w:r>
              <w:rPr>
                <w:rFonts w:hint="eastAsia" w:ascii="宋体" w:hAnsi="宋体" w:cs="宋体"/>
                <w:color w:val="auto"/>
                <w:sz w:val="24"/>
                <w:highlight w:val="none"/>
              </w:rPr>
              <w:t>温度/湿度范围：0～50℃/0～95%RH</w:t>
            </w:r>
          </w:p>
          <w:p w14:paraId="19992944">
            <w:pPr>
              <w:numPr>
                <w:ilvl w:val="0"/>
                <w:numId w:val="10"/>
              </w:numPr>
              <w:tabs>
                <w:tab w:val="left" w:pos="760"/>
              </w:tabs>
              <w:spacing w:line="360" w:lineRule="auto"/>
              <w:ind w:left="470" w:leftChars="224"/>
              <w:rPr>
                <w:rFonts w:hint="eastAsia" w:ascii="宋体" w:hAnsi="宋体" w:cs="宋体"/>
                <w:color w:val="auto"/>
                <w:sz w:val="24"/>
                <w:highlight w:val="none"/>
              </w:rPr>
            </w:pPr>
            <w:r>
              <w:rPr>
                <w:rFonts w:hint="eastAsia" w:ascii="宋体" w:hAnsi="宋体" w:cs="宋体"/>
                <w:color w:val="auto"/>
                <w:sz w:val="24"/>
                <w:highlight w:val="none"/>
              </w:rPr>
              <w:t>温度/湿度精度：±1℃/±5％RH</w:t>
            </w:r>
          </w:p>
        </w:tc>
        <w:tc>
          <w:tcPr>
            <w:tcW w:w="716" w:type="dxa"/>
          </w:tcPr>
          <w:p w14:paraId="04FCEA78">
            <w:pPr>
              <w:rPr>
                <w:color w:val="auto"/>
                <w:highlight w:val="none"/>
              </w:rPr>
            </w:pPr>
            <w:r>
              <w:rPr>
                <w:rFonts w:hint="eastAsia"/>
                <w:color w:val="auto"/>
                <w:highlight w:val="none"/>
              </w:rPr>
              <w:t>必需</w:t>
            </w:r>
          </w:p>
        </w:tc>
        <w:tc>
          <w:tcPr>
            <w:tcW w:w="1160" w:type="dxa"/>
            <w:vAlign w:val="center"/>
          </w:tcPr>
          <w:p w14:paraId="7431AF2B">
            <w:pPr>
              <w:spacing w:before="62" w:beforeLines="20" w:after="62" w:afterLines="20" w:line="276" w:lineRule="auto"/>
              <w:jc w:val="left"/>
              <w:rPr>
                <w:rFonts w:hint="eastAsia" w:ascii="宋体" w:hAnsi="宋体" w:cs="Arial"/>
                <w:color w:val="auto"/>
                <w:sz w:val="24"/>
                <w:highlight w:val="none"/>
              </w:rPr>
            </w:pPr>
          </w:p>
        </w:tc>
      </w:tr>
      <w:tr w14:paraId="3698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5A7B56E6">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6</w:t>
            </w:r>
          </w:p>
        </w:tc>
        <w:tc>
          <w:tcPr>
            <w:tcW w:w="4987" w:type="dxa"/>
            <w:vAlign w:val="center"/>
          </w:tcPr>
          <w:p w14:paraId="5EECD571">
            <w:pPr>
              <w:spacing w:line="360" w:lineRule="auto"/>
              <w:rPr>
                <w:rFonts w:hint="eastAsia" w:ascii="宋体" w:hAnsi="宋体" w:cs="宋体"/>
                <w:color w:val="auto"/>
                <w:sz w:val="24"/>
                <w:highlight w:val="none"/>
              </w:rPr>
            </w:pPr>
            <w:r>
              <w:rPr>
                <w:rFonts w:hint="eastAsia" w:ascii="宋体" w:hAnsi="宋体" w:cs="宋体"/>
                <w:color w:val="auto"/>
                <w:sz w:val="24"/>
                <w:highlight w:val="none"/>
              </w:rPr>
              <w:t>压差传感器  采用的品牌</w:t>
            </w:r>
            <w:r>
              <w:rPr>
                <w:rFonts w:hint="eastAsia"/>
                <w:color w:val="auto"/>
                <w:sz w:val="24"/>
                <w:highlight w:val="none"/>
              </w:rPr>
              <w:t>详见工艺设备品牌推荐参考表</w:t>
            </w:r>
          </w:p>
          <w:p w14:paraId="72BF64AE">
            <w:pPr>
              <w:numPr>
                <w:ilvl w:val="0"/>
                <w:numId w:val="11"/>
              </w:numPr>
              <w:tabs>
                <w:tab w:val="left" w:pos="760"/>
              </w:tabs>
              <w:spacing w:line="360" w:lineRule="auto"/>
              <w:ind w:left="210" w:leftChars="100"/>
              <w:rPr>
                <w:rFonts w:hint="eastAsia" w:ascii="宋体" w:hAnsi="宋体" w:cs="宋体"/>
                <w:color w:val="auto"/>
                <w:sz w:val="24"/>
                <w:highlight w:val="none"/>
              </w:rPr>
            </w:pPr>
            <w:r>
              <w:rPr>
                <w:rFonts w:hint="eastAsia" w:ascii="宋体" w:hAnsi="宋体" w:cs="宋体"/>
                <w:color w:val="auto"/>
                <w:sz w:val="24"/>
                <w:highlight w:val="none"/>
              </w:rPr>
              <w:t>测量精度：±1%FS</w:t>
            </w:r>
          </w:p>
          <w:p w14:paraId="37FBDF1F">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压差开关  CONTROL</w:t>
            </w:r>
          </w:p>
          <w:p w14:paraId="013A13D4">
            <w:pPr>
              <w:spacing w:line="360" w:lineRule="auto"/>
              <w:rPr>
                <w:rFonts w:hint="eastAsia" w:ascii="宋体" w:hAnsi="宋体" w:cs="宋体"/>
                <w:color w:val="auto"/>
                <w:sz w:val="24"/>
                <w:highlight w:val="none"/>
              </w:rPr>
            </w:pPr>
            <w:r>
              <w:rPr>
                <w:rFonts w:hint="eastAsia" w:ascii="宋体" w:hAnsi="宋体" w:cs="宋体"/>
                <w:color w:val="auto"/>
                <w:sz w:val="24"/>
                <w:highlight w:val="none"/>
              </w:rPr>
              <w:t>风阀执行器  采用的品牌</w:t>
            </w:r>
            <w:r>
              <w:rPr>
                <w:rFonts w:hint="eastAsia"/>
                <w:color w:val="auto"/>
                <w:sz w:val="24"/>
                <w:highlight w:val="none"/>
              </w:rPr>
              <w:t>详见工艺设备品牌推荐参考表</w:t>
            </w:r>
          </w:p>
          <w:p w14:paraId="3FE6B5C0">
            <w:pPr>
              <w:spacing w:line="360" w:lineRule="auto"/>
              <w:rPr>
                <w:color w:val="auto"/>
                <w:highlight w:val="none"/>
              </w:rPr>
            </w:pPr>
            <w:r>
              <w:rPr>
                <w:rFonts w:hint="eastAsia" w:ascii="宋体" w:hAnsi="宋体" w:cs="宋体"/>
                <w:color w:val="auto"/>
                <w:sz w:val="24"/>
                <w:highlight w:val="none"/>
              </w:rPr>
              <w:t>三通冷水电动阀  采用的品牌</w:t>
            </w:r>
            <w:r>
              <w:rPr>
                <w:rFonts w:hint="eastAsia"/>
                <w:color w:val="auto"/>
                <w:sz w:val="24"/>
                <w:highlight w:val="none"/>
              </w:rPr>
              <w:t>详见工艺设备品牌推荐参考表</w:t>
            </w:r>
          </w:p>
          <w:p w14:paraId="1FEFADB9">
            <w:pPr>
              <w:spacing w:line="360" w:lineRule="auto"/>
              <w:rPr>
                <w:rFonts w:hint="eastAsia" w:ascii="宋体" w:hAnsi="宋体" w:cs="宋体"/>
                <w:color w:val="auto"/>
                <w:sz w:val="24"/>
                <w:highlight w:val="none"/>
              </w:rPr>
            </w:pPr>
            <w:r>
              <w:rPr>
                <w:rFonts w:hint="eastAsia" w:ascii="宋体" w:hAnsi="宋体" w:cs="宋体"/>
                <w:color w:val="auto"/>
                <w:sz w:val="24"/>
                <w:highlight w:val="none"/>
              </w:rPr>
              <w:t>蒸汽电动阀  采用的品牌</w:t>
            </w:r>
            <w:r>
              <w:rPr>
                <w:rFonts w:hint="eastAsia"/>
                <w:color w:val="auto"/>
                <w:sz w:val="24"/>
                <w:highlight w:val="none"/>
              </w:rPr>
              <w:t>详见工艺设备品牌推荐参考表</w:t>
            </w:r>
          </w:p>
        </w:tc>
        <w:tc>
          <w:tcPr>
            <w:tcW w:w="716" w:type="dxa"/>
          </w:tcPr>
          <w:p w14:paraId="43D34FDE">
            <w:pPr>
              <w:rPr>
                <w:color w:val="auto"/>
                <w:highlight w:val="none"/>
              </w:rPr>
            </w:pPr>
            <w:r>
              <w:rPr>
                <w:rFonts w:hint="eastAsia"/>
                <w:color w:val="auto"/>
                <w:highlight w:val="none"/>
              </w:rPr>
              <w:t>必需</w:t>
            </w:r>
          </w:p>
        </w:tc>
        <w:tc>
          <w:tcPr>
            <w:tcW w:w="1160" w:type="dxa"/>
            <w:vAlign w:val="center"/>
          </w:tcPr>
          <w:p w14:paraId="6CB62BE7">
            <w:pPr>
              <w:spacing w:before="62" w:beforeLines="20" w:after="62" w:afterLines="20" w:line="276" w:lineRule="auto"/>
              <w:jc w:val="left"/>
              <w:rPr>
                <w:rFonts w:hint="eastAsia" w:ascii="宋体" w:hAnsi="宋体" w:cs="Arial"/>
                <w:color w:val="auto"/>
                <w:sz w:val="24"/>
                <w:highlight w:val="none"/>
              </w:rPr>
            </w:pPr>
          </w:p>
        </w:tc>
      </w:tr>
      <w:tr w14:paraId="15EB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69D806A4">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7</w:t>
            </w:r>
          </w:p>
        </w:tc>
        <w:tc>
          <w:tcPr>
            <w:tcW w:w="4987" w:type="dxa"/>
            <w:vAlign w:val="center"/>
          </w:tcPr>
          <w:p w14:paraId="22E9F0E3">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配套落地或壁挂式控制柜或控制箱；</w:t>
            </w:r>
          </w:p>
        </w:tc>
        <w:tc>
          <w:tcPr>
            <w:tcW w:w="716" w:type="dxa"/>
          </w:tcPr>
          <w:p w14:paraId="1DB78C8A">
            <w:pPr>
              <w:rPr>
                <w:color w:val="auto"/>
                <w:highlight w:val="none"/>
              </w:rPr>
            </w:pPr>
            <w:r>
              <w:rPr>
                <w:rFonts w:hint="eastAsia"/>
                <w:color w:val="auto"/>
                <w:highlight w:val="none"/>
              </w:rPr>
              <w:t>必需</w:t>
            </w:r>
          </w:p>
        </w:tc>
        <w:tc>
          <w:tcPr>
            <w:tcW w:w="1160" w:type="dxa"/>
            <w:vAlign w:val="center"/>
          </w:tcPr>
          <w:p w14:paraId="53005405">
            <w:pPr>
              <w:spacing w:before="62" w:beforeLines="20" w:after="62" w:afterLines="20" w:line="276" w:lineRule="auto"/>
              <w:jc w:val="left"/>
              <w:rPr>
                <w:rFonts w:hint="eastAsia" w:ascii="宋体" w:hAnsi="宋体" w:cs="Arial"/>
                <w:color w:val="auto"/>
                <w:sz w:val="24"/>
                <w:highlight w:val="none"/>
              </w:rPr>
            </w:pPr>
          </w:p>
        </w:tc>
      </w:tr>
      <w:tr w14:paraId="58C9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71C8725E">
            <w:pPr>
              <w:rPr>
                <w:color w:val="auto"/>
                <w:highlight w:val="none"/>
              </w:rPr>
            </w:pPr>
            <w:r>
              <w:rPr>
                <w:rFonts w:hint="eastAsia" w:ascii="宋体" w:hAnsi="宋体" w:cs="Arial"/>
                <w:color w:val="auto"/>
                <w:sz w:val="24"/>
                <w:highlight w:val="none"/>
              </w:rPr>
              <w:t>▲</w:t>
            </w: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8</w:t>
            </w:r>
          </w:p>
        </w:tc>
        <w:tc>
          <w:tcPr>
            <w:tcW w:w="4987" w:type="dxa"/>
            <w:vAlign w:val="center"/>
          </w:tcPr>
          <w:p w14:paraId="78DED0E1">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空调机组应采用合理的变频起动控制方案，需配置工频启动回路，可进行工频、变频及应急三个功能的回路切换；</w:t>
            </w:r>
          </w:p>
        </w:tc>
        <w:tc>
          <w:tcPr>
            <w:tcW w:w="716" w:type="dxa"/>
          </w:tcPr>
          <w:p w14:paraId="4E370161">
            <w:pPr>
              <w:rPr>
                <w:color w:val="auto"/>
                <w:highlight w:val="none"/>
              </w:rPr>
            </w:pPr>
            <w:r>
              <w:rPr>
                <w:rFonts w:hint="eastAsia"/>
                <w:color w:val="auto"/>
                <w:highlight w:val="none"/>
              </w:rPr>
              <w:t>必需</w:t>
            </w:r>
          </w:p>
        </w:tc>
        <w:tc>
          <w:tcPr>
            <w:tcW w:w="1160" w:type="dxa"/>
            <w:vAlign w:val="center"/>
          </w:tcPr>
          <w:p w14:paraId="18B87E73">
            <w:pPr>
              <w:spacing w:before="62" w:beforeLines="20" w:after="62" w:afterLines="20" w:line="276" w:lineRule="auto"/>
              <w:jc w:val="left"/>
              <w:rPr>
                <w:rFonts w:hint="eastAsia" w:ascii="宋体" w:hAnsi="宋体" w:cs="Arial"/>
                <w:color w:val="auto"/>
                <w:sz w:val="24"/>
                <w:highlight w:val="none"/>
              </w:rPr>
            </w:pPr>
          </w:p>
        </w:tc>
      </w:tr>
      <w:tr w14:paraId="43A7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325668D6">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-0</w:t>
            </w:r>
            <w:r>
              <w:rPr>
                <w:rFonts w:hint="eastAsia" w:ascii="宋体" w:hAnsi="宋体" w:cs="Arial"/>
                <w:color w:val="auto"/>
                <w:sz w:val="24"/>
                <w:highlight w:val="none"/>
              </w:rPr>
              <w:t>9</w:t>
            </w:r>
          </w:p>
        </w:tc>
        <w:tc>
          <w:tcPr>
            <w:tcW w:w="4987" w:type="dxa"/>
            <w:vAlign w:val="center"/>
          </w:tcPr>
          <w:p w14:paraId="53D1F891">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空开、交流接触器等其它低压电气元件应采用的品牌</w:t>
            </w:r>
            <w:r>
              <w:rPr>
                <w:rFonts w:hint="eastAsia"/>
                <w:color w:val="auto"/>
                <w:sz w:val="24"/>
                <w:highlight w:val="none"/>
              </w:rPr>
              <w:t>详见工艺设备品牌推荐参考表</w:t>
            </w:r>
            <w:r>
              <w:rPr>
                <w:rFonts w:hint="eastAsia" w:ascii="宋体" w:hAnsi="宋体" w:cs="宋体"/>
                <w:color w:val="auto"/>
                <w:sz w:val="24"/>
                <w:highlight w:val="none"/>
              </w:rPr>
              <w:t>；</w:t>
            </w:r>
          </w:p>
        </w:tc>
        <w:tc>
          <w:tcPr>
            <w:tcW w:w="716" w:type="dxa"/>
          </w:tcPr>
          <w:p w14:paraId="45027EF2">
            <w:pPr>
              <w:rPr>
                <w:color w:val="auto"/>
                <w:highlight w:val="none"/>
              </w:rPr>
            </w:pPr>
            <w:r>
              <w:rPr>
                <w:rFonts w:hint="eastAsia"/>
                <w:color w:val="auto"/>
                <w:highlight w:val="none"/>
              </w:rPr>
              <w:t>必需</w:t>
            </w:r>
          </w:p>
        </w:tc>
        <w:tc>
          <w:tcPr>
            <w:tcW w:w="1160" w:type="dxa"/>
            <w:vAlign w:val="center"/>
          </w:tcPr>
          <w:p w14:paraId="292CBB47">
            <w:pPr>
              <w:spacing w:before="62" w:beforeLines="20" w:after="62" w:afterLines="20" w:line="276" w:lineRule="auto"/>
              <w:jc w:val="left"/>
              <w:rPr>
                <w:rFonts w:hint="eastAsia" w:ascii="宋体" w:hAnsi="宋体" w:cs="Arial"/>
                <w:color w:val="auto"/>
                <w:sz w:val="24"/>
                <w:highlight w:val="none"/>
              </w:rPr>
            </w:pPr>
          </w:p>
        </w:tc>
      </w:tr>
      <w:tr w14:paraId="551E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2EE9A134">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w:t>
            </w:r>
            <w:r>
              <w:rPr>
                <w:rFonts w:hint="eastAsia" w:ascii="宋体" w:hAnsi="宋体" w:cs="Arial"/>
                <w:color w:val="auto"/>
                <w:sz w:val="24"/>
                <w:highlight w:val="none"/>
              </w:rPr>
              <w:t>10</w:t>
            </w:r>
          </w:p>
        </w:tc>
        <w:tc>
          <w:tcPr>
            <w:tcW w:w="4987" w:type="dxa"/>
            <w:vAlign w:val="center"/>
          </w:tcPr>
          <w:p w14:paraId="7E1A5278">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控制柜面板上应有电源、运行及报警指示功能；</w:t>
            </w:r>
          </w:p>
        </w:tc>
        <w:tc>
          <w:tcPr>
            <w:tcW w:w="716" w:type="dxa"/>
          </w:tcPr>
          <w:p w14:paraId="243AC926">
            <w:pPr>
              <w:rPr>
                <w:color w:val="auto"/>
                <w:highlight w:val="none"/>
              </w:rPr>
            </w:pPr>
            <w:r>
              <w:rPr>
                <w:rFonts w:hint="eastAsia"/>
                <w:color w:val="auto"/>
                <w:highlight w:val="none"/>
              </w:rPr>
              <w:t>必需</w:t>
            </w:r>
          </w:p>
        </w:tc>
        <w:tc>
          <w:tcPr>
            <w:tcW w:w="1160" w:type="dxa"/>
            <w:vAlign w:val="center"/>
          </w:tcPr>
          <w:p w14:paraId="4038D10F">
            <w:pPr>
              <w:spacing w:before="62" w:beforeLines="20" w:after="62" w:afterLines="20" w:line="276" w:lineRule="auto"/>
              <w:jc w:val="left"/>
              <w:rPr>
                <w:rFonts w:hint="eastAsia" w:ascii="宋体" w:hAnsi="宋体" w:cs="Arial"/>
                <w:color w:val="auto"/>
                <w:sz w:val="24"/>
                <w:highlight w:val="none"/>
              </w:rPr>
            </w:pPr>
          </w:p>
        </w:tc>
      </w:tr>
      <w:tr w14:paraId="2099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tcPr>
          <w:p w14:paraId="52D0624B">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8</w:t>
            </w:r>
            <w:r>
              <w:rPr>
                <w:rFonts w:ascii="宋体" w:hAnsi="宋体" w:cs="Arial"/>
                <w:color w:val="auto"/>
                <w:sz w:val="24"/>
                <w:highlight w:val="none"/>
              </w:rPr>
              <w:t>-</w:t>
            </w:r>
            <w:r>
              <w:rPr>
                <w:rFonts w:hint="eastAsia" w:ascii="宋体" w:hAnsi="宋体" w:cs="Arial"/>
                <w:color w:val="auto"/>
                <w:sz w:val="24"/>
                <w:highlight w:val="none"/>
              </w:rPr>
              <w:t>11</w:t>
            </w:r>
          </w:p>
        </w:tc>
        <w:tc>
          <w:tcPr>
            <w:tcW w:w="4987" w:type="dxa"/>
            <w:vAlign w:val="center"/>
          </w:tcPr>
          <w:p w14:paraId="5CB07225">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控制柜上应设急停开关。</w:t>
            </w:r>
          </w:p>
        </w:tc>
        <w:tc>
          <w:tcPr>
            <w:tcW w:w="716" w:type="dxa"/>
          </w:tcPr>
          <w:p w14:paraId="57E1AA9F">
            <w:pPr>
              <w:rPr>
                <w:color w:val="auto"/>
                <w:highlight w:val="none"/>
              </w:rPr>
            </w:pPr>
            <w:r>
              <w:rPr>
                <w:rFonts w:hint="eastAsia"/>
                <w:color w:val="auto"/>
                <w:highlight w:val="none"/>
              </w:rPr>
              <w:t>必需</w:t>
            </w:r>
          </w:p>
        </w:tc>
        <w:tc>
          <w:tcPr>
            <w:tcW w:w="1160" w:type="dxa"/>
            <w:vAlign w:val="center"/>
          </w:tcPr>
          <w:p w14:paraId="751469D2">
            <w:pPr>
              <w:spacing w:before="62" w:beforeLines="20" w:after="62" w:afterLines="20" w:line="276" w:lineRule="auto"/>
              <w:jc w:val="left"/>
              <w:rPr>
                <w:rFonts w:hint="eastAsia" w:ascii="宋体" w:hAnsi="宋体" w:cs="Arial"/>
                <w:color w:val="auto"/>
                <w:sz w:val="24"/>
                <w:highlight w:val="none"/>
              </w:rPr>
            </w:pPr>
          </w:p>
        </w:tc>
      </w:tr>
    </w:tbl>
    <w:p w14:paraId="6BB52479">
      <w:pPr>
        <w:spacing w:before="62" w:beforeLines="20" w:after="62" w:afterLines="20" w:line="276" w:lineRule="auto"/>
        <w:jc w:val="left"/>
        <w:rPr>
          <w:rFonts w:ascii="Arial" w:hAnsi="Arial" w:cs="Arial"/>
          <w:color w:val="auto"/>
          <w:sz w:val="24"/>
          <w:highlight w:val="none"/>
        </w:rPr>
      </w:pPr>
      <w:r>
        <w:rPr>
          <w:rFonts w:hint="eastAsia" w:ascii="Arial" w:hAnsi="Arial" w:cs="Arial"/>
          <w:color w:val="auto"/>
          <w:sz w:val="24"/>
          <w:highlight w:val="none"/>
        </w:rPr>
        <w:t>11.9安全要求</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7049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16EC9795">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0835C22F">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1FB6BEFE">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77E33996">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4C134FD2">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578B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530B97BB">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-01</w:t>
            </w:r>
          </w:p>
        </w:tc>
        <w:tc>
          <w:tcPr>
            <w:tcW w:w="5222" w:type="dxa"/>
            <w:vAlign w:val="center"/>
          </w:tcPr>
          <w:p w14:paraId="4699DE3A">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lang w:val="en-GB"/>
              </w:rPr>
              <w:t>在设备使用说明书内，详细说明安全与职业卫生保护注意事项。</w:t>
            </w:r>
          </w:p>
        </w:tc>
        <w:tc>
          <w:tcPr>
            <w:tcW w:w="719" w:type="dxa"/>
          </w:tcPr>
          <w:p w14:paraId="170F3712">
            <w:pPr>
              <w:rPr>
                <w:color w:val="auto"/>
                <w:highlight w:val="none"/>
              </w:rPr>
            </w:pPr>
            <w:r>
              <w:rPr>
                <w:rFonts w:hint="eastAsia"/>
                <w:color w:val="auto"/>
                <w:highlight w:val="none"/>
              </w:rPr>
              <w:t>必需</w:t>
            </w:r>
          </w:p>
        </w:tc>
        <w:tc>
          <w:tcPr>
            <w:tcW w:w="1162" w:type="dxa"/>
            <w:vAlign w:val="center"/>
          </w:tcPr>
          <w:p w14:paraId="59F6E105">
            <w:pPr>
              <w:spacing w:before="62" w:beforeLines="20" w:after="62" w:afterLines="20" w:line="276" w:lineRule="auto"/>
              <w:jc w:val="left"/>
              <w:rPr>
                <w:rFonts w:hint="eastAsia" w:ascii="宋体" w:hAnsi="宋体" w:cs="Arial"/>
                <w:color w:val="auto"/>
                <w:sz w:val="24"/>
                <w:highlight w:val="none"/>
              </w:rPr>
            </w:pPr>
          </w:p>
        </w:tc>
      </w:tr>
      <w:tr w14:paraId="13A1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446AEBE9">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2</w:t>
            </w:r>
          </w:p>
        </w:tc>
        <w:tc>
          <w:tcPr>
            <w:tcW w:w="5222" w:type="dxa"/>
            <w:vAlign w:val="center"/>
          </w:tcPr>
          <w:p w14:paraId="51255D47">
            <w:pPr>
              <w:autoSpaceDE w:val="0"/>
              <w:autoSpaceDN w:val="0"/>
              <w:adjustRightInd w:val="0"/>
              <w:spacing w:line="360" w:lineRule="auto"/>
              <w:textAlignment w:val="baseline"/>
              <w:rPr>
                <w:rFonts w:hint="eastAsia" w:ascii="宋体" w:hAnsi="宋体" w:cs="宋体"/>
                <w:color w:val="auto"/>
                <w:sz w:val="24"/>
                <w:highlight w:val="none"/>
                <w:lang w:val="zh-CN"/>
              </w:rPr>
            </w:pPr>
            <w:r>
              <w:rPr>
                <w:rFonts w:hint="eastAsia" w:ascii="宋体" w:hAnsi="宋体" w:cs="宋体"/>
                <w:color w:val="auto"/>
                <w:sz w:val="24"/>
                <w:highlight w:val="none"/>
                <w:lang w:val="en-GB"/>
              </w:rPr>
              <w:t>必须具备必要的措施在设备功能失调或者失效的情况下，保证设备和产品仍然处于一个安全状态。</w:t>
            </w:r>
          </w:p>
        </w:tc>
        <w:tc>
          <w:tcPr>
            <w:tcW w:w="719" w:type="dxa"/>
          </w:tcPr>
          <w:p w14:paraId="2BA9CDC6">
            <w:pPr>
              <w:rPr>
                <w:color w:val="auto"/>
                <w:highlight w:val="none"/>
              </w:rPr>
            </w:pPr>
            <w:r>
              <w:rPr>
                <w:rFonts w:hint="eastAsia"/>
                <w:color w:val="auto"/>
                <w:highlight w:val="none"/>
              </w:rPr>
              <w:t>必需</w:t>
            </w:r>
          </w:p>
        </w:tc>
        <w:tc>
          <w:tcPr>
            <w:tcW w:w="1162" w:type="dxa"/>
            <w:vAlign w:val="center"/>
          </w:tcPr>
          <w:p w14:paraId="65930FB5">
            <w:pPr>
              <w:spacing w:before="62" w:beforeLines="20" w:after="62" w:afterLines="20" w:line="276" w:lineRule="auto"/>
              <w:jc w:val="left"/>
              <w:rPr>
                <w:rFonts w:hint="eastAsia" w:ascii="宋体" w:hAnsi="宋体" w:cs="Arial"/>
                <w:color w:val="auto"/>
                <w:sz w:val="24"/>
                <w:highlight w:val="none"/>
              </w:rPr>
            </w:pPr>
          </w:p>
        </w:tc>
      </w:tr>
      <w:tr w14:paraId="1116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650DFCBE">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3</w:t>
            </w:r>
          </w:p>
        </w:tc>
        <w:tc>
          <w:tcPr>
            <w:tcW w:w="5222" w:type="dxa"/>
            <w:vAlign w:val="center"/>
          </w:tcPr>
          <w:p w14:paraId="39D011F8">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涉及运动、触电的安全防护的门、盖、罩脱离应有安全位置状态时，所有运动必须得到禁止，带电体自动脱电并处于安全状态。</w:t>
            </w:r>
          </w:p>
        </w:tc>
        <w:tc>
          <w:tcPr>
            <w:tcW w:w="719" w:type="dxa"/>
          </w:tcPr>
          <w:p w14:paraId="5BA94C8E">
            <w:pPr>
              <w:rPr>
                <w:color w:val="auto"/>
                <w:highlight w:val="none"/>
              </w:rPr>
            </w:pPr>
            <w:r>
              <w:rPr>
                <w:rFonts w:hint="eastAsia"/>
                <w:color w:val="auto"/>
                <w:highlight w:val="none"/>
              </w:rPr>
              <w:t>必需</w:t>
            </w:r>
          </w:p>
        </w:tc>
        <w:tc>
          <w:tcPr>
            <w:tcW w:w="1162" w:type="dxa"/>
            <w:vAlign w:val="center"/>
          </w:tcPr>
          <w:p w14:paraId="55EF64A8">
            <w:pPr>
              <w:spacing w:before="62" w:beforeLines="20" w:after="62" w:afterLines="20" w:line="276" w:lineRule="auto"/>
              <w:jc w:val="left"/>
              <w:rPr>
                <w:rFonts w:hint="eastAsia" w:ascii="宋体" w:hAnsi="宋体" w:cs="Arial"/>
                <w:color w:val="auto"/>
                <w:sz w:val="24"/>
                <w:highlight w:val="none"/>
              </w:rPr>
            </w:pPr>
          </w:p>
        </w:tc>
      </w:tr>
      <w:tr w14:paraId="463E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7C7AB51B">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4</w:t>
            </w:r>
          </w:p>
        </w:tc>
        <w:tc>
          <w:tcPr>
            <w:tcW w:w="5222" w:type="dxa"/>
            <w:vAlign w:val="center"/>
          </w:tcPr>
          <w:p w14:paraId="03A8399B">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在检修附机时，有防止启动主机的连锁功能，避免误操作。</w:t>
            </w:r>
          </w:p>
        </w:tc>
        <w:tc>
          <w:tcPr>
            <w:tcW w:w="719" w:type="dxa"/>
          </w:tcPr>
          <w:p w14:paraId="456F13A1">
            <w:pPr>
              <w:rPr>
                <w:color w:val="auto"/>
                <w:highlight w:val="none"/>
              </w:rPr>
            </w:pPr>
            <w:r>
              <w:rPr>
                <w:rFonts w:hint="eastAsia"/>
                <w:color w:val="auto"/>
                <w:highlight w:val="none"/>
              </w:rPr>
              <w:t>必需</w:t>
            </w:r>
          </w:p>
        </w:tc>
        <w:tc>
          <w:tcPr>
            <w:tcW w:w="1162" w:type="dxa"/>
            <w:vAlign w:val="center"/>
          </w:tcPr>
          <w:p w14:paraId="054A81D6">
            <w:pPr>
              <w:spacing w:before="62" w:beforeLines="20" w:after="62" w:afterLines="20" w:line="276" w:lineRule="auto"/>
              <w:jc w:val="left"/>
              <w:rPr>
                <w:rFonts w:hint="eastAsia" w:ascii="宋体" w:hAnsi="宋体" w:cs="Arial"/>
                <w:color w:val="auto"/>
                <w:sz w:val="24"/>
                <w:highlight w:val="none"/>
              </w:rPr>
            </w:pPr>
          </w:p>
        </w:tc>
      </w:tr>
      <w:tr w14:paraId="0EC3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58A80548">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5</w:t>
            </w:r>
          </w:p>
        </w:tc>
        <w:tc>
          <w:tcPr>
            <w:tcW w:w="5222" w:type="dxa"/>
            <w:vAlign w:val="center"/>
          </w:tcPr>
          <w:p w14:paraId="2649D52E">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电力/动力出现故障时，设备应处于停止状态，系统会进入"安全状态"。</w:t>
            </w:r>
          </w:p>
          <w:p w14:paraId="0E1796B4">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 xml:space="preserve">电力/动力恢复时，设备系统应不能自动恢复运行，没有操作员介入确认，系统应不能重新开始。 </w:t>
            </w:r>
          </w:p>
          <w:p w14:paraId="22213C36">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在发生电力故障时，系统应以下列优先顺序加以保护：</w:t>
            </w:r>
          </w:p>
          <w:p w14:paraId="27DEDFD3">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1人员---2设备---3</w:t>
            </w:r>
            <w:r>
              <w:rPr>
                <w:rFonts w:hint="eastAsia" w:ascii="宋体" w:hAnsi="宋体" w:cs="宋体"/>
                <w:color w:val="auto"/>
                <w:sz w:val="24"/>
                <w:highlight w:val="none"/>
                <w:lang w:val="en-GB" w:eastAsia="en-US"/>
              </w:rPr>
              <w:t>产品</w:t>
            </w:r>
          </w:p>
        </w:tc>
        <w:tc>
          <w:tcPr>
            <w:tcW w:w="719" w:type="dxa"/>
          </w:tcPr>
          <w:p w14:paraId="3515F20E">
            <w:pPr>
              <w:rPr>
                <w:color w:val="auto"/>
                <w:highlight w:val="none"/>
              </w:rPr>
            </w:pPr>
            <w:r>
              <w:rPr>
                <w:rFonts w:hint="eastAsia"/>
                <w:color w:val="auto"/>
                <w:highlight w:val="none"/>
              </w:rPr>
              <w:t>必需</w:t>
            </w:r>
          </w:p>
        </w:tc>
        <w:tc>
          <w:tcPr>
            <w:tcW w:w="1162" w:type="dxa"/>
            <w:vAlign w:val="center"/>
          </w:tcPr>
          <w:p w14:paraId="3428ED57">
            <w:pPr>
              <w:spacing w:before="62" w:beforeLines="20" w:after="62" w:afterLines="20" w:line="276" w:lineRule="auto"/>
              <w:jc w:val="left"/>
              <w:rPr>
                <w:rFonts w:hint="eastAsia" w:ascii="宋体" w:hAnsi="宋体" w:cs="Arial"/>
                <w:color w:val="auto"/>
                <w:sz w:val="24"/>
                <w:highlight w:val="none"/>
              </w:rPr>
            </w:pPr>
          </w:p>
        </w:tc>
      </w:tr>
      <w:tr w14:paraId="240C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18C15774">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6</w:t>
            </w:r>
          </w:p>
        </w:tc>
        <w:tc>
          <w:tcPr>
            <w:tcW w:w="5222" w:type="dxa"/>
            <w:vAlign w:val="center"/>
          </w:tcPr>
          <w:p w14:paraId="25044F00">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电气绝缘防护应符合GB/T5226中规定；接地电阻不大于0.1</w:t>
            </w:r>
            <w:r>
              <w:rPr>
                <w:rFonts w:hint="eastAsia" w:ascii="宋体" w:hAnsi="宋体" w:cs="宋体"/>
                <w:color w:val="auto"/>
                <w:sz w:val="24"/>
                <w:highlight w:val="none"/>
                <w:lang w:val="en-GB" w:eastAsia="en-US"/>
              </w:rPr>
              <w:t>Ω</w:t>
            </w:r>
            <w:r>
              <w:rPr>
                <w:rFonts w:hint="eastAsia" w:ascii="宋体" w:hAnsi="宋体" w:cs="宋体"/>
                <w:color w:val="auto"/>
                <w:sz w:val="24"/>
                <w:highlight w:val="none"/>
                <w:lang w:val="en-GB"/>
              </w:rPr>
              <w:t>；绝缘等级F级。最低的IP保护等级为IP55</w:t>
            </w:r>
          </w:p>
        </w:tc>
        <w:tc>
          <w:tcPr>
            <w:tcW w:w="719" w:type="dxa"/>
          </w:tcPr>
          <w:p w14:paraId="465EF1E2">
            <w:pPr>
              <w:rPr>
                <w:color w:val="auto"/>
                <w:highlight w:val="none"/>
              </w:rPr>
            </w:pPr>
            <w:r>
              <w:rPr>
                <w:rFonts w:hint="eastAsia"/>
                <w:color w:val="auto"/>
                <w:highlight w:val="none"/>
              </w:rPr>
              <w:t>必需</w:t>
            </w:r>
          </w:p>
        </w:tc>
        <w:tc>
          <w:tcPr>
            <w:tcW w:w="1162" w:type="dxa"/>
            <w:vAlign w:val="center"/>
          </w:tcPr>
          <w:p w14:paraId="7BB9E7DE">
            <w:pPr>
              <w:spacing w:before="62" w:beforeLines="20" w:after="62" w:afterLines="20" w:line="276" w:lineRule="auto"/>
              <w:jc w:val="left"/>
              <w:rPr>
                <w:rFonts w:hint="eastAsia" w:ascii="宋体" w:hAnsi="宋体" w:cs="Arial"/>
                <w:color w:val="auto"/>
                <w:sz w:val="24"/>
                <w:highlight w:val="none"/>
              </w:rPr>
            </w:pPr>
          </w:p>
        </w:tc>
      </w:tr>
      <w:tr w14:paraId="026D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1A24DCFC">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7</w:t>
            </w:r>
          </w:p>
        </w:tc>
        <w:tc>
          <w:tcPr>
            <w:tcW w:w="5222" w:type="dxa"/>
            <w:vAlign w:val="center"/>
          </w:tcPr>
          <w:p w14:paraId="719C9571">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采取符合国家相关标准的防漏电及电气安全接地措施。</w:t>
            </w:r>
          </w:p>
          <w:p w14:paraId="590B26CB">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采取（粉尘）防静电配置和电器带静电接地措施。</w:t>
            </w:r>
          </w:p>
          <w:p w14:paraId="35E8E30B">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采取适当的预防电磁干扰措施。</w:t>
            </w:r>
          </w:p>
        </w:tc>
        <w:tc>
          <w:tcPr>
            <w:tcW w:w="719" w:type="dxa"/>
          </w:tcPr>
          <w:p w14:paraId="6ECE5735">
            <w:pPr>
              <w:rPr>
                <w:color w:val="auto"/>
                <w:highlight w:val="none"/>
              </w:rPr>
            </w:pPr>
            <w:r>
              <w:rPr>
                <w:rFonts w:hint="eastAsia"/>
                <w:color w:val="auto"/>
                <w:highlight w:val="none"/>
              </w:rPr>
              <w:t>必需</w:t>
            </w:r>
          </w:p>
        </w:tc>
        <w:tc>
          <w:tcPr>
            <w:tcW w:w="1162" w:type="dxa"/>
            <w:vAlign w:val="center"/>
          </w:tcPr>
          <w:p w14:paraId="6688CEAD">
            <w:pPr>
              <w:spacing w:before="62" w:beforeLines="20" w:after="62" w:afterLines="20" w:line="276" w:lineRule="auto"/>
              <w:jc w:val="left"/>
              <w:rPr>
                <w:rFonts w:hint="eastAsia" w:ascii="宋体" w:hAnsi="宋体" w:cs="Arial"/>
                <w:color w:val="auto"/>
                <w:sz w:val="24"/>
                <w:highlight w:val="none"/>
              </w:rPr>
            </w:pPr>
          </w:p>
        </w:tc>
      </w:tr>
      <w:tr w14:paraId="54D4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00D73A23">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8</w:t>
            </w:r>
          </w:p>
        </w:tc>
        <w:tc>
          <w:tcPr>
            <w:tcW w:w="5222" w:type="dxa"/>
            <w:vAlign w:val="center"/>
          </w:tcPr>
          <w:p w14:paraId="5E0EF781">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 xml:space="preserve">应采取恰当的故障检测和警报通知，通知可采用声光形式（提示灯或蜂鸣报警器）。 </w:t>
            </w:r>
          </w:p>
          <w:p w14:paraId="39A4A527">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所有电气部位、旋转部位、容易夹伤部位、发热部位、登高部位要有警告和警示。</w:t>
            </w:r>
          </w:p>
          <w:p w14:paraId="01CADA80">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所有机械运动、旋转部件，要有性能可靠的连锁防护和密闭措施，并在明显位置设置安全警示标识。</w:t>
            </w:r>
          </w:p>
          <w:p w14:paraId="56F08F4F">
            <w:pPr>
              <w:autoSpaceDE w:val="0"/>
              <w:autoSpaceDN w:val="0"/>
              <w:adjustRightInd w:val="0"/>
              <w:spacing w:line="360" w:lineRule="auto"/>
              <w:textAlignment w:val="baseline"/>
              <w:rPr>
                <w:rFonts w:hint="eastAsia" w:ascii="宋体" w:hAnsi="宋体" w:cs="宋体"/>
                <w:color w:val="auto"/>
                <w:sz w:val="24"/>
                <w:highlight w:val="none"/>
                <w:lang w:val="en-GB"/>
              </w:rPr>
            </w:pPr>
            <w:r>
              <w:rPr>
                <w:rFonts w:hint="eastAsia" w:ascii="宋体" w:hAnsi="宋体" w:cs="宋体"/>
                <w:color w:val="auto"/>
                <w:sz w:val="24"/>
                <w:highlight w:val="none"/>
                <w:lang w:val="en-GB"/>
              </w:rPr>
              <w:t>必须配置足够的、适当的仪表用于控制生产、安全和操作。</w:t>
            </w:r>
          </w:p>
        </w:tc>
        <w:tc>
          <w:tcPr>
            <w:tcW w:w="719" w:type="dxa"/>
          </w:tcPr>
          <w:p w14:paraId="2D8A4619">
            <w:pPr>
              <w:rPr>
                <w:color w:val="auto"/>
                <w:highlight w:val="none"/>
              </w:rPr>
            </w:pPr>
            <w:r>
              <w:rPr>
                <w:rFonts w:hint="eastAsia"/>
                <w:color w:val="auto"/>
                <w:highlight w:val="none"/>
              </w:rPr>
              <w:t>必需</w:t>
            </w:r>
          </w:p>
        </w:tc>
        <w:tc>
          <w:tcPr>
            <w:tcW w:w="1162" w:type="dxa"/>
            <w:vAlign w:val="center"/>
          </w:tcPr>
          <w:p w14:paraId="79091541">
            <w:pPr>
              <w:spacing w:before="62" w:beforeLines="20" w:after="62" w:afterLines="20" w:line="276" w:lineRule="auto"/>
              <w:jc w:val="left"/>
              <w:rPr>
                <w:rFonts w:hint="eastAsia" w:ascii="宋体" w:hAnsi="宋体" w:cs="Arial"/>
                <w:color w:val="auto"/>
                <w:sz w:val="24"/>
                <w:highlight w:val="none"/>
              </w:rPr>
            </w:pPr>
          </w:p>
        </w:tc>
      </w:tr>
      <w:tr w14:paraId="1057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2028B52C">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-0</w:t>
            </w:r>
            <w:r>
              <w:rPr>
                <w:rFonts w:hint="eastAsia" w:ascii="宋体" w:hAnsi="宋体" w:cs="Arial"/>
                <w:color w:val="auto"/>
                <w:sz w:val="24"/>
                <w:highlight w:val="none"/>
              </w:rPr>
              <w:t>9</w:t>
            </w:r>
          </w:p>
        </w:tc>
        <w:tc>
          <w:tcPr>
            <w:tcW w:w="5222" w:type="dxa"/>
            <w:vAlign w:val="center"/>
          </w:tcPr>
          <w:p w14:paraId="2CA22B27">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采取适当措施避免操作者直接面对产生粉尘的操作，如采取隔离、排风、合理的气流组织和过滤等措施。</w:t>
            </w:r>
          </w:p>
        </w:tc>
        <w:tc>
          <w:tcPr>
            <w:tcW w:w="719" w:type="dxa"/>
          </w:tcPr>
          <w:p w14:paraId="5361CAF1">
            <w:pPr>
              <w:rPr>
                <w:color w:val="auto"/>
                <w:highlight w:val="none"/>
              </w:rPr>
            </w:pPr>
            <w:r>
              <w:rPr>
                <w:rFonts w:hint="eastAsia"/>
                <w:color w:val="auto"/>
                <w:highlight w:val="none"/>
              </w:rPr>
              <w:t>必需</w:t>
            </w:r>
          </w:p>
        </w:tc>
        <w:tc>
          <w:tcPr>
            <w:tcW w:w="1162" w:type="dxa"/>
            <w:vAlign w:val="center"/>
          </w:tcPr>
          <w:p w14:paraId="11D95394">
            <w:pPr>
              <w:spacing w:before="62" w:beforeLines="20" w:after="62" w:afterLines="20" w:line="276" w:lineRule="auto"/>
              <w:jc w:val="left"/>
              <w:rPr>
                <w:rFonts w:hint="eastAsia" w:ascii="宋体" w:hAnsi="宋体" w:cs="Arial"/>
                <w:color w:val="auto"/>
                <w:sz w:val="24"/>
                <w:highlight w:val="none"/>
              </w:rPr>
            </w:pPr>
          </w:p>
        </w:tc>
      </w:tr>
      <w:tr w14:paraId="1E19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7640C8A5">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w:t>
            </w:r>
            <w:r>
              <w:rPr>
                <w:rFonts w:hint="eastAsia" w:ascii="宋体" w:hAnsi="宋体" w:cs="Arial"/>
                <w:color w:val="auto"/>
                <w:sz w:val="24"/>
                <w:highlight w:val="none"/>
              </w:rPr>
              <w:t>1</w:t>
            </w:r>
            <w:r>
              <w:rPr>
                <w:rFonts w:ascii="宋体" w:hAnsi="宋体" w:cs="Arial"/>
                <w:color w:val="auto"/>
                <w:sz w:val="24"/>
                <w:highlight w:val="none"/>
              </w:rPr>
              <w:t>0</w:t>
            </w:r>
          </w:p>
        </w:tc>
        <w:tc>
          <w:tcPr>
            <w:tcW w:w="5222" w:type="dxa"/>
            <w:vAlign w:val="center"/>
          </w:tcPr>
          <w:p w14:paraId="5B0548FD">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距离设备负载1m的噪音在75 db以下。</w:t>
            </w:r>
          </w:p>
        </w:tc>
        <w:tc>
          <w:tcPr>
            <w:tcW w:w="719" w:type="dxa"/>
          </w:tcPr>
          <w:p w14:paraId="75AD90C2">
            <w:pPr>
              <w:rPr>
                <w:color w:val="auto"/>
                <w:highlight w:val="none"/>
              </w:rPr>
            </w:pPr>
            <w:r>
              <w:rPr>
                <w:rFonts w:hint="eastAsia"/>
                <w:color w:val="auto"/>
                <w:highlight w:val="none"/>
              </w:rPr>
              <w:t>必需</w:t>
            </w:r>
          </w:p>
        </w:tc>
        <w:tc>
          <w:tcPr>
            <w:tcW w:w="1162" w:type="dxa"/>
            <w:vAlign w:val="center"/>
          </w:tcPr>
          <w:p w14:paraId="210C7594">
            <w:pPr>
              <w:spacing w:before="62" w:beforeLines="20" w:after="62" w:afterLines="20" w:line="276" w:lineRule="auto"/>
              <w:jc w:val="left"/>
              <w:rPr>
                <w:rFonts w:hint="eastAsia" w:ascii="宋体" w:hAnsi="宋体" w:cs="Arial"/>
                <w:color w:val="auto"/>
                <w:sz w:val="24"/>
                <w:highlight w:val="none"/>
              </w:rPr>
            </w:pPr>
          </w:p>
        </w:tc>
      </w:tr>
      <w:tr w14:paraId="0CCC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950D5D3">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w:t>
            </w:r>
            <w:r>
              <w:rPr>
                <w:rFonts w:hint="eastAsia" w:ascii="宋体" w:hAnsi="宋体" w:cs="Arial"/>
                <w:color w:val="auto"/>
                <w:sz w:val="24"/>
                <w:highlight w:val="none"/>
              </w:rPr>
              <w:t>11</w:t>
            </w:r>
          </w:p>
        </w:tc>
        <w:tc>
          <w:tcPr>
            <w:tcW w:w="5222" w:type="dxa"/>
            <w:vAlign w:val="center"/>
          </w:tcPr>
          <w:p w14:paraId="3F66633B">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设备任何部位不能有锋利的边缘和尖角。</w:t>
            </w:r>
          </w:p>
        </w:tc>
        <w:tc>
          <w:tcPr>
            <w:tcW w:w="719" w:type="dxa"/>
          </w:tcPr>
          <w:p w14:paraId="1166A419">
            <w:pPr>
              <w:rPr>
                <w:color w:val="auto"/>
                <w:highlight w:val="none"/>
              </w:rPr>
            </w:pPr>
            <w:r>
              <w:rPr>
                <w:rFonts w:hint="eastAsia"/>
                <w:color w:val="auto"/>
                <w:highlight w:val="none"/>
              </w:rPr>
              <w:t>必需</w:t>
            </w:r>
          </w:p>
        </w:tc>
        <w:tc>
          <w:tcPr>
            <w:tcW w:w="1162" w:type="dxa"/>
            <w:vAlign w:val="center"/>
          </w:tcPr>
          <w:p w14:paraId="6ECD98B3">
            <w:pPr>
              <w:spacing w:before="62" w:beforeLines="20" w:after="62" w:afterLines="20" w:line="276" w:lineRule="auto"/>
              <w:jc w:val="left"/>
              <w:rPr>
                <w:rFonts w:hint="eastAsia" w:ascii="宋体" w:hAnsi="宋体" w:cs="Arial"/>
                <w:color w:val="auto"/>
                <w:sz w:val="24"/>
                <w:highlight w:val="none"/>
              </w:rPr>
            </w:pPr>
          </w:p>
        </w:tc>
      </w:tr>
      <w:tr w14:paraId="0A96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0C1A0976">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w:t>
            </w:r>
            <w:r>
              <w:rPr>
                <w:rFonts w:hint="eastAsia" w:ascii="宋体" w:hAnsi="宋体" w:cs="Arial"/>
                <w:color w:val="auto"/>
                <w:sz w:val="24"/>
                <w:highlight w:val="none"/>
              </w:rPr>
              <w:t>12</w:t>
            </w:r>
          </w:p>
        </w:tc>
        <w:tc>
          <w:tcPr>
            <w:tcW w:w="5222" w:type="dxa"/>
            <w:vAlign w:val="center"/>
          </w:tcPr>
          <w:p w14:paraId="69196DDB">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设备的安全性能、电气系统的安全性能应符合相关的国家安全标准。</w:t>
            </w:r>
          </w:p>
        </w:tc>
        <w:tc>
          <w:tcPr>
            <w:tcW w:w="719" w:type="dxa"/>
          </w:tcPr>
          <w:p w14:paraId="7827154E">
            <w:pPr>
              <w:rPr>
                <w:color w:val="auto"/>
                <w:highlight w:val="none"/>
              </w:rPr>
            </w:pPr>
            <w:r>
              <w:rPr>
                <w:rFonts w:hint="eastAsia"/>
                <w:color w:val="auto"/>
                <w:highlight w:val="none"/>
              </w:rPr>
              <w:t>必需</w:t>
            </w:r>
          </w:p>
        </w:tc>
        <w:tc>
          <w:tcPr>
            <w:tcW w:w="1162" w:type="dxa"/>
            <w:vAlign w:val="center"/>
          </w:tcPr>
          <w:p w14:paraId="7C94C242">
            <w:pPr>
              <w:spacing w:before="62" w:beforeLines="20" w:after="62" w:afterLines="20" w:line="276" w:lineRule="auto"/>
              <w:jc w:val="left"/>
              <w:rPr>
                <w:rFonts w:hint="eastAsia" w:ascii="宋体" w:hAnsi="宋体" w:cs="Arial"/>
                <w:color w:val="auto"/>
                <w:sz w:val="24"/>
                <w:highlight w:val="none"/>
              </w:rPr>
            </w:pPr>
          </w:p>
        </w:tc>
      </w:tr>
      <w:tr w14:paraId="75F8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0913A68C">
            <w:pPr>
              <w:rPr>
                <w:color w:val="auto"/>
                <w:highlight w:val="none"/>
              </w:rPr>
            </w:pPr>
            <w:r>
              <w:rPr>
                <w:rFonts w:ascii="宋体" w:hAnsi="宋体" w:cs="Arial"/>
                <w:color w:val="auto"/>
                <w:sz w:val="24"/>
                <w:highlight w:val="none"/>
              </w:rPr>
              <w:t>URS1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9</w:t>
            </w:r>
            <w:r>
              <w:rPr>
                <w:rFonts w:ascii="宋体" w:hAnsi="宋体" w:cs="Arial"/>
                <w:color w:val="auto"/>
                <w:sz w:val="24"/>
                <w:highlight w:val="none"/>
              </w:rPr>
              <w:t>-</w:t>
            </w:r>
            <w:r>
              <w:rPr>
                <w:rFonts w:hint="eastAsia" w:ascii="宋体" w:hAnsi="宋体" w:cs="Arial"/>
                <w:color w:val="auto"/>
                <w:sz w:val="24"/>
                <w:highlight w:val="none"/>
              </w:rPr>
              <w:t>13</w:t>
            </w:r>
          </w:p>
        </w:tc>
        <w:tc>
          <w:tcPr>
            <w:tcW w:w="5222" w:type="dxa"/>
            <w:vAlign w:val="center"/>
          </w:tcPr>
          <w:p w14:paraId="17F94137">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“安全状态”的定义</w:t>
            </w:r>
          </w:p>
          <w:p w14:paraId="0CEE0A8E">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机器所有活动停止</w:t>
            </w:r>
          </w:p>
          <w:p w14:paraId="7C5CF51B">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机器重新开始前需复位</w:t>
            </w:r>
          </w:p>
          <w:p w14:paraId="49EC64BC">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机器到安全状态时不会对机器产品损坏</w:t>
            </w:r>
          </w:p>
          <w:p w14:paraId="39381507">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阀门和启动装置设到安全状态（界定）</w:t>
            </w:r>
          </w:p>
          <w:p w14:paraId="55D0456B">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没有产品损失</w:t>
            </w:r>
          </w:p>
          <w:p w14:paraId="3457AEF2">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重新开始不会丢失原（生产批次）状态数据。</w:t>
            </w:r>
          </w:p>
        </w:tc>
        <w:tc>
          <w:tcPr>
            <w:tcW w:w="719" w:type="dxa"/>
          </w:tcPr>
          <w:p w14:paraId="6F2A6E9B">
            <w:pPr>
              <w:rPr>
                <w:color w:val="auto"/>
                <w:highlight w:val="none"/>
              </w:rPr>
            </w:pPr>
            <w:r>
              <w:rPr>
                <w:rFonts w:hint="eastAsia"/>
                <w:color w:val="auto"/>
                <w:highlight w:val="none"/>
              </w:rPr>
              <w:t>必需</w:t>
            </w:r>
          </w:p>
        </w:tc>
        <w:tc>
          <w:tcPr>
            <w:tcW w:w="1162" w:type="dxa"/>
            <w:vAlign w:val="center"/>
          </w:tcPr>
          <w:p w14:paraId="5D80D2E7">
            <w:pPr>
              <w:spacing w:before="62" w:beforeLines="20" w:after="62" w:afterLines="20" w:line="276" w:lineRule="auto"/>
              <w:jc w:val="left"/>
              <w:rPr>
                <w:rFonts w:hint="eastAsia" w:ascii="宋体" w:hAnsi="宋体" w:cs="Arial"/>
                <w:color w:val="auto"/>
                <w:sz w:val="24"/>
                <w:highlight w:val="none"/>
              </w:rPr>
            </w:pPr>
          </w:p>
        </w:tc>
      </w:tr>
    </w:tbl>
    <w:p w14:paraId="02D5290E">
      <w:pPr>
        <w:spacing w:before="62" w:beforeLines="20" w:after="62" w:afterLines="20" w:line="276" w:lineRule="auto"/>
        <w:jc w:val="left"/>
        <w:rPr>
          <w:rFonts w:ascii="Arial" w:hAnsi="Arial" w:cs="Arial"/>
          <w:color w:val="auto"/>
          <w:sz w:val="24"/>
          <w:highlight w:val="none"/>
        </w:rPr>
      </w:pPr>
      <w:bookmarkStart w:id="587" w:name="_Hlk142435917"/>
      <w:r>
        <w:rPr>
          <w:rFonts w:hint="eastAsia" w:ascii="Arial" w:hAnsi="Arial" w:cs="Arial"/>
          <w:color w:val="auto"/>
          <w:sz w:val="24"/>
          <w:highlight w:val="none"/>
        </w:rPr>
        <w:t>12.0专业工程要求</w:t>
      </w:r>
    </w:p>
    <w:tbl>
      <w:tblPr>
        <w:tblStyle w:val="3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5222"/>
        <w:gridCol w:w="719"/>
        <w:gridCol w:w="1162"/>
      </w:tblGrid>
      <w:tr w14:paraId="2EE7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416" w:type="dxa"/>
            <w:tcBorders>
              <w:bottom w:val="single" w:color="auto" w:sz="4" w:space="0"/>
            </w:tcBorders>
            <w:shd w:val="pct20" w:color="auto" w:fill="FFFFFF"/>
            <w:vAlign w:val="center"/>
          </w:tcPr>
          <w:p w14:paraId="3459097F">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序号</w:t>
            </w:r>
          </w:p>
        </w:tc>
        <w:tc>
          <w:tcPr>
            <w:tcW w:w="5222" w:type="dxa"/>
            <w:tcBorders>
              <w:bottom w:val="single" w:color="auto" w:sz="4" w:space="0"/>
            </w:tcBorders>
            <w:shd w:val="pct20" w:color="auto" w:fill="FFFFFF"/>
            <w:vAlign w:val="center"/>
          </w:tcPr>
          <w:p w14:paraId="43E3A217">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要求</w:t>
            </w:r>
          </w:p>
        </w:tc>
        <w:tc>
          <w:tcPr>
            <w:tcW w:w="719" w:type="dxa"/>
            <w:tcBorders>
              <w:bottom w:val="single" w:color="auto" w:sz="4" w:space="0"/>
            </w:tcBorders>
            <w:shd w:val="pct20" w:color="auto" w:fill="FFFFFF"/>
            <w:vAlign w:val="center"/>
          </w:tcPr>
          <w:p w14:paraId="329228D5">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必需/期望</w:t>
            </w:r>
          </w:p>
        </w:tc>
        <w:tc>
          <w:tcPr>
            <w:tcW w:w="1162" w:type="dxa"/>
            <w:tcBorders>
              <w:bottom w:val="single" w:color="auto" w:sz="4" w:space="0"/>
            </w:tcBorders>
            <w:shd w:val="pct20" w:color="auto" w:fill="FFFFFF"/>
          </w:tcPr>
          <w:p w14:paraId="06CB9FCD">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回复</w:t>
            </w:r>
          </w:p>
          <w:p w14:paraId="3F4C20D7">
            <w:pPr>
              <w:spacing w:before="62" w:beforeLines="20" w:after="62" w:afterLines="20" w:line="276" w:lineRule="auto"/>
              <w:jc w:val="left"/>
              <w:rPr>
                <w:rFonts w:hint="eastAsia" w:ascii="宋体" w:hAnsi="宋体" w:cs="Arial"/>
                <w:color w:val="auto"/>
                <w:sz w:val="24"/>
                <w:highlight w:val="none"/>
              </w:rPr>
            </w:pPr>
            <w:r>
              <w:rPr>
                <w:rFonts w:ascii="宋体" w:hAnsi="宋体" w:cs="Arial"/>
                <w:color w:val="auto"/>
                <w:sz w:val="24"/>
                <w:highlight w:val="none"/>
              </w:rPr>
              <w:t>响应/偏离</w:t>
            </w:r>
          </w:p>
        </w:tc>
      </w:tr>
      <w:tr w14:paraId="5B83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vAlign w:val="center"/>
          </w:tcPr>
          <w:p w14:paraId="24EA48C5">
            <w:pPr>
              <w:spacing w:before="62" w:beforeLines="20" w:after="62" w:afterLines="20" w:line="276" w:lineRule="auto"/>
              <w:jc w:val="left"/>
              <w:rPr>
                <w:rFonts w:hint="eastAsia" w:ascii="宋体" w:hAnsi="宋体" w:cs="Arial"/>
                <w:color w:val="auto"/>
                <w:sz w:val="24"/>
                <w:highlight w:val="none"/>
              </w:rPr>
            </w:pPr>
          </w:p>
        </w:tc>
        <w:tc>
          <w:tcPr>
            <w:tcW w:w="5222" w:type="dxa"/>
            <w:vAlign w:val="center"/>
          </w:tcPr>
          <w:p w14:paraId="1A01CE55">
            <w:pPr>
              <w:autoSpaceDE w:val="0"/>
              <w:autoSpaceDN w:val="0"/>
              <w:adjustRightInd w:val="0"/>
              <w:spacing w:line="360" w:lineRule="auto"/>
              <w:textAlignment w:val="baseline"/>
              <w:rPr>
                <w:rFonts w:hint="eastAsia" w:ascii="宋体" w:hAnsi="宋体" w:cs="宋体"/>
                <w:color w:val="auto"/>
                <w:sz w:val="24"/>
                <w:highlight w:val="none"/>
              </w:rPr>
            </w:pPr>
          </w:p>
        </w:tc>
        <w:tc>
          <w:tcPr>
            <w:tcW w:w="719" w:type="dxa"/>
          </w:tcPr>
          <w:p w14:paraId="0907746A">
            <w:pPr>
              <w:rPr>
                <w:color w:val="auto"/>
                <w:highlight w:val="none"/>
              </w:rPr>
            </w:pPr>
          </w:p>
        </w:tc>
        <w:tc>
          <w:tcPr>
            <w:tcW w:w="1162" w:type="dxa"/>
            <w:vAlign w:val="center"/>
          </w:tcPr>
          <w:p w14:paraId="15E54A14">
            <w:pPr>
              <w:spacing w:before="62" w:beforeLines="20" w:after="62" w:afterLines="20" w:line="276" w:lineRule="auto"/>
              <w:jc w:val="left"/>
              <w:rPr>
                <w:rFonts w:hint="eastAsia" w:ascii="宋体" w:hAnsi="宋体" w:cs="Arial"/>
                <w:color w:val="auto"/>
                <w:sz w:val="24"/>
                <w:highlight w:val="none"/>
              </w:rPr>
            </w:pPr>
          </w:p>
        </w:tc>
      </w:tr>
      <w:tr w14:paraId="2661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66C8CC8A">
            <w:pPr>
              <w:rPr>
                <w:color w:val="auto"/>
                <w:highlight w:val="none"/>
              </w:rPr>
            </w:pPr>
            <w:r>
              <w:rPr>
                <w:rFonts w:ascii="宋体" w:hAnsi="宋体" w:cs="Arial"/>
                <w:color w:val="auto"/>
                <w:sz w:val="24"/>
                <w:highlight w:val="none"/>
              </w:rPr>
              <w:t>URS</w:t>
            </w:r>
            <w:r>
              <w:rPr>
                <w:rFonts w:hint="eastAsia" w:ascii="宋体" w:hAnsi="宋体" w:cs="Arial"/>
                <w:color w:val="auto"/>
                <w:sz w:val="24"/>
                <w:highlight w:val="none"/>
              </w:rPr>
              <w:t>12.0</w:t>
            </w:r>
            <w:r>
              <w:rPr>
                <w:rFonts w:ascii="宋体" w:hAnsi="宋体" w:cs="Arial"/>
                <w:color w:val="auto"/>
                <w:sz w:val="24"/>
                <w:highlight w:val="none"/>
              </w:rPr>
              <w:t>-0</w:t>
            </w:r>
            <w:r>
              <w:rPr>
                <w:rFonts w:hint="eastAsia" w:ascii="宋体" w:hAnsi="宋体" w:cs="Arial"/>
                <w:color w:val="auto"/>
                <w:sz w:val="24"/>
                <w:highlight w:val="none"/>
              </w:rPr>
              <w:t>2</w:t>
            </w:r>
          </w:p>
        </w:tc>
        <w:tc>
          <w:tcPr>
            <w:tcW w:w="5222" w:type="dxa"/>
            <w:vAlign w:val="center"/>
          </w:tcPr>
          <w:p w14:paraId="19F84A6C">
            <w:pPr>
              <w:autoSpaceDE w:val="0"/>
              <w:autoSpaceDN w:val="0"/>
              <w:adjustRightInd w:val="0"/>
              <w:spacing w:line="360" w:lineRule="auto"/>
              <w:textAlignment w:val="baseline"/>
              <w:rPr>
                <w:rFonts w:hint="eastAsia" w:ascii="宋体" w:hAnsi="宋体" w:cs="宋体"/>
                <w:color w:val="auto"/>
                <w:sz w:val="24"/>
                <w:highlight w:val="none"/>
                <w:lang w:val="zh-CN"/>
              </w:rPr>
            </w:pPr>
            <w:r>
              <w:rPr>
                <w:rFonts w:hint="eastAsia" w:ascii="宋体" w:hAnsi="宋体" w:cs="宋体"/>
                <w:color w:val="auto"/>
                <w:sz w:val="24"/>
                <w:highlight w:val="none"/>
              </w:rPr>
              <w:t>防水工程根据施工图及国家规范要求，完成相关内容。</w:t>
            </w:r>
          </w:p>
        </w:tc>
        <w:tc>
          <w:tcPr>
            <w:tcW w:w="719" w:type="dxa"/>
          </w:tcPr>
          <w:p w14:paraId="169F8A2A">
            <w:pPr>
              <w:rPr>
                <w:color w:val="auto"/>
                <w:highlight w:val="none"/>
              </w:rPr>
            </w:pPr>
            <w:r>
              <w:rPr>
                <w:rFonts w:hint="eastAsia"/>
                <w:color w:val="auto"/>
                <w:highlight w:val="none"/>
              </w:rPr>
              <w:t>必需</w:t>
            </w:r>
          </w:p>
        </w:tc>
        <w:tc>
          <w:tcPr>
            <w:tcW w:w="1162" w:type="dxa"/>
            <w:vAlign w:val="center"/>
          </w:tcPr>
          <w:p w14:paraId="12E7BC0B">
            <w:pPr>
              <w:spacing w:before="62" w:beforeLines="20" w:after="62" w:afterLines="20" w:line="276" w:lineRule="auto"/>
              <w:jc w:val="left"/>
              <w:rPr>
                <w:rFonts w:hint="eastAsia" w:ascii="宋体" w:hAnsi="宋体" w:cs="Arial"/>
                <w:color w:val="auto"/>
                <w:sz w:val="24"/>
                <w:highlight w:val="none"/>
              </w:rPr>
            </w:pPr>
          </w:p>
        </w:tc>
      </w:tr>
      <w:tr w14:paraId="0005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F31B9A9">
            <w:pPr>
              <w:rPr>
                <w:color w:val="auto"/>
                <w:highlight w:val="none"/>
              </w:rPr>
            </w:pPr>
          </w:p>
        </w:tc>
        <w:tc>
          <w:tcPr>
            <w:tcW w:w="5222" w:type="dxa"/>
            <w:vAlign w:val="center"/>
          </w:tcPr>
          <w:p w14:paraId="02A08ADB">
            <w:pPr>
              <w:autoSpaceDE w:val="0"/>
              <w:autoSpaceDN w:val="0"/>
              <w:adjustRightInd w:val="0"/>
              <w:spacing w:line="360" w:lineRule="auto"/>
              <w:textAlignment w:val="baseline"/>
              <w:rPr>
                <w:rFonts w:hint="eastAsia" w:ascii="宋体" w:hAnsi="宋体" w:cs="宋体"/>
                <w:color w:val="auto"/>
                <w:sz w:val="24"/>
                <w:highlight w:val="none"/>
              </w:rPr>
            </w:pPr>
          </w:p>
        </w:tc>
        <w:tc>
          <w:tcPr>
            <w:tcW w:w="719" w:type="dxa"/>
          </w:tcPr>
          <w:p w14:paraId="01B53152">
            <w:pPr>
              <w:rPr>
                <w:color w:val="auto"/>
                <w:highlight w:val="none"/>
              </w:rPr>
            </w:pPr>
          </w:p>
        </w:tc>
        <w:tc>
          <w:tcPr>
            <w:tcW w:w="1162" w:type="dxa"/>
            <w:vAlign w:val="center"/>
          </w:tcPr>
          <w:p w14:paraId="34057E8B">
            <w:pPr>
              <w:spacing w:before="62" w:beforeLines="20" w:after="62" w:afterLines="20" w:line="276" w:lineRule="auto"/>
              <w:jc w:val="left"/>
              <w:rPr>
                <w:rFonts w:hint="eastAsia" w:ascii="宋体" w:hAnsi="宋体" w:cs="Arial"/>
                <w:color w:val="auto"/>
                <w:sz w:val="24"/>
                <w:highlight w:val="none"/>
              </w:rPr>
            </w:pPr>
          </w:p>
        </w:tc>
      </w:tr>
      <w:tr w14:paraId="24F1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6" w:type="dxa"/>
          </w:tcPr>
          <w:p w14:paraId="3D765D61">
            <w:pPr>
              <w:rPr>
                <w:rFonts w:hint="eastAsia" w:ascii="宋体" w:hAnsi="宋体" w:cs="Arial"/>
                <w:color w:val="auto"/>
                <w:sz w:val="24"/>
                <w:highlight w:val="none"/>
              </w:rPr>
            </w:pPr>
            <w:r>
              <w:rPr>
                <w:rFonts w:ascii="宋体" w:hAnsi="宋体" w:cs="Arial"/>
                <w:color w:val="auto"/>
                <w:sz w:val="24"/>
                <w:highlight w:val="none"/>
              </w:rPr>
              <w:t>URS</w:t>
            </w:r>
            <w:r>
              <w:rPr>
                <w:rFonts w:hint="eastAsia" w:ascii="宋体" w:hAnsi="宋体" w:cs="Arial"/>
                <w:color w:val="auto"/>
                <w:sz w:val="24"/>
                <w:highlight w:val="none"/>
              </w:rPr>
              <w:t>12.0</w:t>
            </w:r>
            <w:r>
              <w:rPr>
                <w:rFonts w:ascii="宋体" w:hAnsi="宋体" w:cs="Arial"/>
                <w:color w:val="auto"/>
                <w:sz w:val="24"/>
                <w:highlight w:val="none"/>
              </w:rPr>
              <w:t>-0</w:t>
            </w:r>
            <w:r>
              <w:rPr>
                <w:rFonts w:hint="eastAsia" w:ascii="宋体" w:hAnsi="宋体" w:cs="Arial"/>
                <w:color w:val="auto"/>
                <w:sz w:val="24"/>
                <w:highlight w:val="none"/>
              </w:rPr>
              <w:t>4</w:t>
            </w:r>
          </w:p>
        </w:tc>
        <w:tc>
          <w:tcPr>
            <w:tcW w:w="5222" w:type="dxa"/>
            <w:vAlign w:val="center"/>
          </w:tcPr>
          <w:p w14:paraId="4D9CD6F6">
            <w:pPr>
              <w:autoSpaceDE w:val="0"/>
              <w:autoSpaceDN w:val="0"/>
              <w:adjustRightInd w:val="0"/>
              <w:spacing w:line="360" w:lineRule="auto"/>
              <w:textAlignment w:val="baseline"/>
              <w:rPr>
                <w:rFonts w:hint="eastAsia" w:ascii="宋体" w:hAnsi="宋体" w:cs="宋体"/>
                <w:color w:val="auto"/>
                <w:sz w:val="24"/>
                <w:highlight w:val="none"/>
              </w:rPr>
            </w:pPr>
            <w:r>
              <w:rPr>
                <w:rFonts w:hint="eastAsia" w:ascii="宋体" w:hAnsi="宋体" w:cs="宋体"/>
                <w:color w:val="auto"/>
                <w:sz w:val="24"/>
                <w:highlight w:val="none"/>
              </w:rPr>
              <w:t>甲供设备搬运需配合甲方要求，需要完成设备搬运、拆装、运行调试等相关内容。</w:t>
            </w:r>
          </w:p>
        </w:tc>
        <w:tc>
          <w:tcPr>
            <w:tcW w:w="719" w:type="dxa"/>
          </w:tcPr>
          <w:p w14:paraId="740E5A5B">
            <w:pPr>
              <w:rPr>
                <w:color w:val="auto"/>
                <w:highlight w:val="none"/>
              </w:rPr>
            </w:pPr>
            <w:r>
              <w:rPr>
                <w:rFonts w:hint="eastAsia"/>
                <w:color w:val="auto"/>
                <w:highlight w:val="none"/>
              </w:rPr>
              <w:t>必需</w:t>
            </w:r>
          </w:p>
        </w:tc>
        <w:tc>
          <w:tcPr>
            <w:tcW w:w="1162" w:type="dxa"/>
            <w:vAlign w:val="center"/>
          </w:tcPr>
          <w:p w14:paraId="03428525">
            <w:pPr>
              <w:spacing w:before="62" w:beforeLines="20" w:after="62" w:afterLines="20" w:line="276" w:lineRule="auto"/>
              <w:jc w:val="left"/>
              <w:rPr>
                <w:rFonts w:hint="eastAsia" w:ascii="宋体" w:hAnsi="宋体" w:cs="Arial"/>
                <w:color w:val="auto"/>
                <w:sz w:val="24"/>
                <w:highlight w:val="none"/>
              </w:rPr>
            </w:pPr>
          </w:p>
        </w:tc>
      </w:tr>
    </w:tbl>
    <w:p w14:paraId="6983FF0B">
      <w:pPr>
        <w:spacing w:before="62" w:beforeLines="20" w:after="62" w:afterLines="20" w:line="276" w:lineRule="auto"/>
        <w:jc w:val="left"/>
        <w:rPr>
          <w:rFonts w:ascii="Arial" w:hAnsi="Arial" w:cs="Arial"/>
          <w:b/>
          <w:color w:val="auto"/>
          <w:sz w:val="24"/>
          <w:highlight w:val="none"/>
        </w:rPr>
      </w:pPr>
    </w:p>
    <w:bookmarkEnd w:id="587"/>
    <w:tbl>
      <w:tblPr>
        <w:tblStyle w:val="37"/>
        <w:tblW w:w="8521" w:type="dxa"/>
        <w:tblInd w:w="120" w:type="dxa"/>
        <w:tblLayout w:type="fixed"/>
        <w:tblCellMar>
          <w:top w:w="0" w:type="dxa"/>
          <w:left w:w="108" w:type="dxa"/>
          <w:bottom w:w="0" w:type="dxa"/>
          <w:right w:w="108" w:type="dxa"/>
        </w:tblCellMar>
      </w:tblPr>
      <w:tblGrid>
        <w:gridCol w:w="630"/>
        <w:gridCol w:w="1768"/>
        <w:gridCol w:w="1717"/>
        <w:gridCol w:w="1477"/>
        <w:gridCol w:w="1576"/>
        <w:gridCol w:w="1353"/>
      </w:tblGrid>
      <w:tr w14:paraId="0F4BA365">
        <w:tblPrEx>
          <w:tblCellMar>
            <w:top w:w="0" w:type="dxa"/>
            <w:left w:w="108" w:type="dxa"/>
            <w:bottom w:w="0" w:type="dxa"/>
            <w:right w:w="108" w:type="dxa"/>
          </w:tblCellMar>
        </w:tblPrEx>
        <w:trPr>
          <w:trHeight w:val="420" w:hRule="atLeast"/>
        </w:trPr>
        <w:tc>
          <w:tcPr>
            <w:tcW w:w="8521" w:type="dxa"/>
            <w:gridSpan w:val="6"/>
            <w:tcBorders>
              <w:top w:val="nil"/>
              <w:left w:val="nil"/>
              <w:bottom w:val="nil"/>
              <w:right w:val="nil"/>
            </w:tcBorders>
            <w:noWrap/>
            <w:vAlign w:val="center"/>
          </w:tcPr>
          <w:p w14:paraId="4A80D9BC">
            <w:pPr>
              <w:widowControl/>
              <w:jc w:val="center"/>
              <w:textAlignment w:val="center"/>
              <w:rPr>
                <w:rFonts w:hint="eastAsia" w:ascii="宋体" w:hAnsi="宋体" w:cs="宋体"/>
                <w:b/>
                <w:bCs/>
                <w:color w:val="auto"/>
                <w:sz w:val="30"/>
                <w:szCs w:val="30"/>
                <w:highlight w:val="none"/>
              </w:rPr>
            </w:pPr>
            <w:r>
              <w:rPr>
                <w:rFonts w:hint="eastAsia" w:ascii="宋体" w:hAnsi="宋体" w:cs="宋体"/>
                <w:b/>
                <w:bCs/>
                <w:color w:val="auto"/>
                <w:kern w:val="0"/>
                <w:sz w:val="30"/>
                <w:szCs w:val="30"/>
                <w:highlight w:val="none"/>
                <w:lang w:bidi="ar"/>
              </w:rPr>
              <w:t>工艺设备品牌推荐参考表</w:t>
            </w:r>
          </w:p>
        </w:tc>
      </w:tr>
      <w:tr w14:paraId="32EA21B7">
        <w:tblPrEx>
          <w:tblCellMar>
            <w:top w:w="0" w:type="dxa"/>
            <w:left w:w="108" w:type="dxa"/>
            <w:bottom w:w="0" w:type="dxa"/>
            <w:right w:w="108" w:type="dxa"/>
          </w:tblCellMar>
        </w:tblPrEx>
        <w:trPr>
          <w:trHeight w:val="600" w:hRule="atLeast"/>
        </w:trPr>
        <w:tc>
          <w:tcPr>
            <w:tcW w:w="630" w:type="dxa"/>
            <w:tcBorders>
              <w:top w:val="single" w:color="000000" w:sz="8" w:space="0"/>
              <w:left w:val="single" w:color="000000" w:sz="8" w:space="0"/>
              <w:bottom w:val="single" w:color="000000" w:sz="8" w:space="0"/>
              <w:right w:val="single" w:color="000000" w:sz="4" w:space="0"/>
            </w:tcBorders>
            <w:vAlign w:val="center"/>
          </w:tcPr>
          <w:p w14:paraId="0D8D873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1768" w:type="dxa"/>
            <w:tcBorders>
              <w:top w:val="single" w:color="000000" w:sz="8" w:space="0"/>
              <w:left w:val="single" w:color="000000" w:sz="4" w:space="0"/>
              <w:bottom w:val="single" w:color="000000" w:sz="8" w:space="0"/>
              <w:right w:val="single" w:color="000000" w:sz="4" w:space="0"/>
            </w:tcBorders>
            <w:vAlign w:val="center"/>
          </w:tcPr>
          <w:p w14:paraId="263F5FB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材料设备名称</w:t>
            </w:r>
          </w:p>
        </w:tc>
        <w:tc>
          <w:tcPr>
            <w:tcW w:w="4770" w:type="dxa"/>
            <w:gridSpan w:val="3"/>
            <w:tcBorders>
              <w:top w:val="single" w:color="000000" w:sz="8" w:space="0"/>
              <w:left w:val="single" w:color="000000" w:sz="4" w:space="0"/>
              <w:bottom w:val="single" w:color="000000" w:sz="8" w:space="0"/>
              <w:right w:val="single" w:color="000000" w:sz="4" w:space="0"/>
            </w:tcBorders>
            <w:noWrap/>
            <w:vAlign w:val="center"/>
          </w:tcPr>
          <w:p w14:paraId="1E3ABE7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参考品牌、厂家(达到同等或以上要求)</w:t>
            </w:r>
          </w:p>
        </w:tc>
        <w:tc>
          <w:tcPr>
            <w:tcW w:w="1353" w:type="dxa"/>
            <w:tcBorders>
              <w:top w:val="single" w:color="000000" w:sz="8" w:space="0"/>
              <w:left w:val="single" w:color="000000" w:sz="4" w:space="0"/>
              <w:bottom w:val="single" w:color="000000" w:sz="8" w:space="0"/>
              <w:right w:val="single" w:color="000000" w:sz="8" w:space="0"/>
            </w:tcBorders>
            <w:vAlign w:val="center"/>
          </w:tcPr>
          <w:p w14:paraId="07E37BC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备注</w:t>
            </w:r>
          </w:p>
        </w:tc>
      </w:tr>
      <w:tr w14:paraId="519D747C">
        <w:tblPrEx>
          <w:tblCellMar>
            <w:top w:w="0" w:type="dxa"/>
            <w:left w:w="108" w:type="dxa"/>
            <w:bottom w:w="0" w:type="dxa"/>
            <w:right w:w="108" w:type="dxa"/>
          </w:tblCellMar>
        </w:tblPrEx>
        <w:trPr>
          <w:trHeight w:val="499" w:hRule="atLeast"/>
        </w:trPr>
        <w:tc>
          <w:tcPr>
            <w:tcW w:w="630" w:type="dxa"/>
            <w:tcBorders>
              <w:top w:val="nil"/>
              <w:left w:val="single" w:color="000000" w:sz="8" w:space="0"/>
              <w:bottom w:val="single" w:color="000000" w:sz="4" w:space="0"/>
              <w:right w:val="single" w:color="000000" w:sz="4" w:space="0"/>
            </w:tcBorders>
            <w:vAlign w:val="center"/>
          </w:tcPr>
          <w:p w14:paraId="1B11E42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w:t>
            </w:r>
          </w:p>
        </w:tc>
        <w:tc>
          <w:tcPr>
            <w:tcW w:w="1768" w:type="dxa"/>
            <w:tcBorders>
              <w:top w:val="nil"/>
              <w:left w:val="single" w:color="000000" w:sz="4" w:space="0"/>
              <w:bottom w:val="single" w:color="000000" w:sz="4" w:space="0"/>
              <w:right w:val="single" w:color="000000" w:sz="4" w:space="0"/>
            </w:tcBorders>
            <w:vAlign w:val="center"/>
          </w:tcPr>
          <w:p w14:paraId="53BA3090">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装修部分</w:t>
            </w:r>
          </w:p>
        </w:tc>
        <w:tc>
          <w:tcPr>
            <w:tcW w:w="1717" w:type="dxa"/>
            <w:tcBorders>
              <w:top w:val="nil"/>
              <w:left w:val="single" w:color="000000" w:sz="4" w:space="0"/>
              <w:bottom w:val="single" w:color="000000" w:sz="4" w:space="0"/>
              <w:right w:val="single" w:color="000000" w:sz="4" w:space="0"/>
            </w:tcBorders>
            <w:noWrap/>
            <w:vAlign w:val="center"/>
          </w:tcPr>
          <w:p w14:paraId="42FAB751">
            <w:pPr>
              <w:jc w:val="center"/>
              <w:rPr>
                <w:rFonts w:hint="eastAsia" w:ascii="宋体" w:hAnsi="宋体" w:cs="宋体"/>
                <w:color w:val="auto"/>
                <w:sz w:val="24"/>
                <w:highlight w:val="none"/>
              </w:rPr>
            </w:pPr>
          </w:p>
        </w:tc>
        <w:tc>
          <w:tcPr>
            <w:tcW w:w="1477" w:type="dxa"/>
            <w:tcBorders>
              <w:top w:val="nil"/>
              <w:left w:val="single" w:color="000000" w:sz="4" w:space="0"/>
              <w:bottom w:val="single" w:color="000000" w:sz="4" w:space="0"/>
              <w:right w:val="single" w:color="000000" w:sz="4" w:space="0"/>
            </w:tcBorders>
            <w:noWrap/>
            <w:vAlign w:val="center"/>
          </w:tcPr>
          <w:p w14:paraId="261A91F1">
            <w:pPr>
              <w:jc w:val="center"/>
              <w:rPr>
                <w:rFonts w:hint="eastAsia" w:ascii="宋体" w:hAnsi="宋体" w:cs="宋体"/>
                <w:color w:val="auto"/>
                <w:sz w:val="24"/>
                <w:highlight w:val="none"/>
              </w:rPr>
            </w:pPr>
          </w:p>
        </w:tc>
        <w:tc>
          <w:tcPr>
            <w:tcW w:w="1576" w:type="dxa"/>
            <w:tcBorders>
              <w:top w:val="nil"/>
              <w:left w:val="single" w:color="000000" w:sz="4" w:space="0"/>
              <w:bottom w:val="single" w:color="000000" w:sz="4" w:space="0"/>
              <w:right w:val="single" w:color="000000" w:sz="4" w:space="0"/>
            </w:tcBorders>
            <w:noWrap/>
            <w:vAlign w:val="center"/>
          </w:tcPr>
          <w:p w14:paraId="075AA568">
            <w:pPr>
              <w:jc w:val="center"/>
              <w:rPr>
                <w:rFonts w:hint="eastAsia" w:ascii="宋体" w:hAnsi="宋体" w:cs="宋体"/>
                <w:color w:val="auto"/>
                <w:sz w:val="24"/>
                <w:highlight w:val="none"/>
              </w:rPr>
            </w:pPr>
          </w:p>
        </w:tc>
        <w:tc>
          <w:tcPr>
            <w:tcW w:w="1353" w:type="dxa"/>
            <w:tcBorders>
              <w:top w:val="nil"/>
              <w:left w:val="single" w:color="000000" w:sz="4" w:space="0"/>
              <w:bottom w:val="single" w:color="000000" w:sz="4" w:space="0"/>
              <w:right w:val="single" w:color="000000" w:sz="8" w:space="0"/>
            </w:tcBorders>
            <w:noWrap/>
            <w:vAlign w:val="center"/>
          </w:tcPr>
          <w:p w14:paraId="7539796E">
            <w:pPr>
              <w:rPr>
                <w:rFonts w:hint="eastAsia" w:ascii="宋体" w:hAnsi="宋体" w:cs="宋体"/>
                <w:color w:val="auto"/>
                <w:sz w:val="24"/>
                <w:highlight w:val="none"/>
              </w:rPr>
            </w:pPr>
          </w:p>
        </w:tc>
      </w:tr>
      <w:tr w14:paraId="38BE8DCC">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43E2C1F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768" w:type="dxa"/>
            <w:tcBorders>
              <w:top w:val="single" w:color="000000" w:sz="4" w:space="0"/>
              <w:left w:val="single" w:color="000000" w:sz="4" w:space="0"/>
              <w:bottom w:val="single" w:color="000000" w:sz="4" w:space="0"/>
              <w:right w:val="single" w:color="000000" w:sz="4" w:space="0"/>
            </w:tcBorders>
            <w:vAlign w:val="center"/>
          </w:tcPr>
          <w:p w14:paraId="0F0DD80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PVC塑胶地板</w:t>
            </w:r>
          </w:p>
        </w:tc>
        <w:tc>
          <w:tcPr>
            <w:tcW w:w="1717" w:type="dxa"/>
            <w:tcBorders>
              <w:top w:val="single" w:color="000000" w:sz="4" w:space="0"/>
              <w:left w:val="single" w:color="000000" w:sz="4" w:space="0"/>
              <w:bottom w:val="single" w:color="000000" w:sz="4" w:space="0"/>
              <w:right w:val="single" w:color="000000" w:sz="4" w:space="0"/>
            </w:tcBorders>
            <w:vAlign w:val="center"/>
          </w:tcPr>
          <w:p w14:paraId="6FEA19D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法国洁福</w:t>
            </w:r>
          </w:p>
        </w:tc>
        <w:tc>
          <w:tcPr>
            <w:tcW w:w="1477" w:type="dxa"/>
            <w:tcBorders>
              <w:top w:val="single" w:color="000000" w:sz="4" w:space="0"/>
              <w:left w:val="single" w:color="000000" w:sz="4" w:space="0"/>
              <w:bottom w:val="single" w:color="000000" w:sz="4" w:space="0"/>
              <w:right w:val="single" w:color="000000" w:sz="4" w:space="0"/>
            </w:tcBorders>
            <w:vAlign w:val="center"/>
          </w:tcPr>
          <w:p w14:paraId="5D5D1CF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美国阿姆斯壮</w:t>
            </w:r>
          </w:p>
        </w:tc>
        <w:tc>
          <w:tcPr>
            <w:tcW w:w="1576" w:type="dxa"/>
            <w:tcBorders>
              <w:top w:val="single" w:color="000000" w:sz="4" w:space="0"/>
              <w:left w:val="single" w:color="000000" w:sz="4" w:space="0"/>
              <w:bottom w:val="single" w:color="000000" w:sz="4" w:space="0"/>
              <w:right w:val="single" w:color="000000" w:sz="4" w:space="0"/>
            </w:tcBorders>
            <w:vAlign w:val="center"/>
          </w:tcPr>
          <w:p w14:paraId="6BA40ABE">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LG</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24052326">
            <w:pPr>
              <w:rPr>
                <w:rFonts w:hint="eastAsia" w:ascii="宋体" w:hAnsi="宋体" w:cs="宋体"/>
                <w:color w:val="auto"/>
                <w:sz w:val="24"/>
                <w:highlight w:val="none"/>
              </w:rPr>
            </w:pPr>
          </w:p>
        </w:tc>
      </w:tr>
      <w:tr w14:paraId="75242722">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57DE4C4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768" w:type="dxa"/>
            <w:tcBorders>
              <w:top w:val="single" w:color="000000" w:sz="4" w:space="0"/>
              <w:left w:val="single" w:color="000000" w:sz="4" w:space="0"/>
              <w:bottom w:val="single" w:color="000000" w:sz="4" w:space="0"/>
              <w:right w:val="single" w:color="000000" w:sz="4" w:space="0"/>
            </w:tcBorders>
            <w:vAlign w:val="center"/>
          </w:tcPr>
          <w:p w14:paraId="357A011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抛光砖、防滑砖、墙面砖</w:t>
            </w:r>
          </w:p>
        </w:tc>
        <w:tc>
          <w:tcPr>
            <w:tcW w:w="1717" w:type="dxa"/>
            <w:tcBorders>
              <w:top w:val="single" w:color="000000" w:sz="4" w:space="0"/>
              <w:left w:val="single" w:color="000000" w:sz="4" w:space="0"/>
              <w:bottom w:val="single" w:color="000000" w:sz="4" w:space="0"/>
              <w:right w:val="single" w:color="000000" w:sz="4" w:space="0"/>
            </w:tcBorders>
            <w:vAlign w:val="center"/>
          </w:tcPr>
          <w:p w14:paraId="3B0B91D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东鹏</w:t>
            </w:r>
          </w:p>
        </w:tc>
        <w:tc>
          <w:tcPr>
            <w:tcW w:w="1477" w:type="dxa"/>
            <w:tcBorders>
              <w:top w:val="single" w:color="000000" w:sz="4" w:space="0"/>
              <w:left w:val="single" w:color="000000" w:sz="4" w:space="0"/>
              <w:bottom w:val="single" w:color="000000" w:sz="4" w:space="0"/>
              <w:right w:val="single" w:color="000000" w:sz="4" w:space="0"/>
            </w:tcBorders>
            <w:vAlign w:val="center"/>
          </w:tcPr>
          <w:p w14:paraId="6543F5D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蒙罗丽莎</w:t>
            </w:r>
          </w:p>
        </w:tc>
        <w:tc>
          <w:tcPr>
            <w:tcW w:w="1576" w:type="dxa"/>
            <w:tcBorders>
              <w:top w:val="single" w:color="000000" w:sz="4" w:space="0"/>
              <w:left w:val="single" w:color="000000" w:sz="4" w:space="0"/>
              <w:bottom w:val="single" w:color="000000" w:sz="4" w:space="0"/>
              <w:right w:val="single" w:color="000000" w:sz="4" w:space="0"/>
            </w:tcBorders>
            <w:vAlign w:val="center"/>
          </w:tcPr>
          <w:p w14:paraId="485E0D7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鹰牌</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9C29E2D">
            <w:pPr>
              <w:rPr>
                <w:rFonts w:hint="eastAsia" w:ascii="宋体" w:hAnsi="宋体" w:cs="宋体"/>
                <w:color w:val="auto"/>
                <w:sz w:val="24"/>
                <w:highlight w:val="none"/>
              </w:rPr>
            </w:pPr>
          </w:p>
        </w:tc>
      </w:tr>
      <w:tr w14:paraId="3A388DB6">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5AAA7B5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768" w:type="dxa"/>
            <w:tcBorders>
              <w:top w:val="single" w:color="000000" w:sz="4" w:space="0"/>
              <w:left w:val="single" w:color="000000" w:sz="4" w:space="0"/>
              <w:bottom w:val="single" w:color="000000" w:sz="4" w:space="0"/>
              <w:right w:val="single" w:color="000000" w:sz="4" w:space="0"/>
            </w:tcBorders>
            <w:vAlign w:val="center"/>
          </w:tcPr>
          <w:p w14:paraId="0E053C8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手工玻镁岩棉彩钢板</w:t>
            </w:r>
          </w:p>
        </w:tc>
        <w:tc>
          <w:tcPr>
            <w:tcW w:w="1717" w:type="dxa"/>
            <w:tcBorders>
              <w:top w:val="single" w:color="000000" w:sz="4" w:space="0"/>
              <w:left w:val="single" w:color="000000" w:sz="4" w:space="0"/>
              <w:bottom w:val="single" w:color="000000" w:sz="4" w:space="0"/>
              <w:right w:val="single" w:color="000000" w:sz="4" w:space="0"/>
            </w:tcBorders>
            <w:vAlign w:val="center"/>
          </w:tcPr>
          <w:p w14:paraId="55AAF7D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广东华翱</w:t>
            </w:r>
          </w:p>
        </w:tc>
        <w:tc>
          <w:tcPr>
            <w:tcW w:w="1477" w:type="dxa"/>
            <w:tcBorders>
              <w:top w:val="single" w:color="000000" w:sz="4" w:space="0"/>
              <w:left w:val="single" w:color="000000" w:sz="4" w:space="0"/>
              <w:bottom w:val="single" w:color="000000" w:sz="4" w:space="0"/>
              <w:right w:val="single" w:color="000000" w:sz="4" w:space="0"/>
            </w:tcBorders>
            <w:vAlign w:val="center"/>
          </w:tcPr>
          <w:p w14:paraId="3FD92EF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广东晓宝</w:t>
            </w:r>
          </w:p>
        </w:tc>
        <w:tc>
          <w:tcPr>
            <w:tcW w:w="1576" w:type="dxa"/>
            <w:tcBorders>
              <w:top w:val="single" w:color="000000" w:sz="4" w:space="0"/>
              <w:left w:val="single" w:color="000000" w:sz="4" w:space="0"/>
              <w:bottom w:val="single" w:color="000000" w:sz="4" w:space="0"/>
              <w:right w:val="single" w:color="000000" w:sz="4" w:space="0"/>
            </w:tcBorders>
            <w:vAlign w:val="center"/>
          </w:tcPr>
          <w:p w14:paraId="147D407A">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广东莱润</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AAEC67D">
            <w:pPr>
              <w:rPr>
                <w:rFonts w:hint="eastAsia" w:ascii="宋体" w:hAnsi="宋体" w:cs="宋体"/>
                <w:color w:val="auto"/>
                <w:sz w:val="24"/>
                <w:highlight w:val="none"/>
              </w:rPr>
            </w:pPr>
          </w:p>
        </w:tc>
      </w:tr>
      <w:tr w14:paraId="506409F3">
        <w:tblPrEx>
          <w:tblCellMar>
            <w:top w:w="0" w:type="dxa"/>
            <w:left w:w="108" w:type="dxa"/>
            <w:bottom w:w="0" w:type="dxa"/>
            <w:right w:w="108" w:type="dxa"/>
          </w:tblCellMar>
        </w:tblPrEx>
        <w:trPr>
          <w:trHeight w:val="522"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42D3616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768" w:type="dxa"/>
            <w:tcBorders>
              <w:top w:val="single" w:color="000000" w:sz="4" w:space="0"/>
              <w:left w:val="single" w:color="000000" w:sz="4" w:space="0"/>
              <w:bottom w:val="single" w:color="000000" w:sz="4" w:space="0"/>
              <w:right w:val="single" w:color="000000" w:sz="4" w:space="0"/>
            </w:tcBorders>
            <w:vAlign w:val="center"/>
          </w:tcPr>
          <w:p w14:paraId="64BBD08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铝扣板</w:t>
            </w:r>
          </w:p>
        </w:tc>
        <w:tc>
          <w:tcPr>
            <w:tcW w:w="1717" w:type="dxa"/>
            <w:tcBorders>
              <w:top w:val="single" w:color="000000" w:sz="4" w:space="0"/>
              <w:left w:val="single" w:color="000000" w:sz="4" w:space="0"/>
              <w:bottom w:val="single" w:color="000000" w:sz="4" w:space="0"/>
              <w:right w:val="single" w:color="000000" w:sz="4" w:space="0"/>
            </w:tcBorders>
            <w:vAlign w:val="center"/>
          </w:tcPr>
          <w:p w14:paraId="2D2465D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华狮龙</w:t>
            </w:r>
          </w:p>
        </w:tc>
        <w:tc>
          <w:tcPr>
            <w:tcW w:w="1477" w:type="dxa"/>
            <w:tcBorders>
              <w:top w:val="single" w:color="000000" w:sz="4" w:space="0"/>
              <w:left w:val="single" w:color="000000" w:sz="4" w:space="0"/>
              <w:bottom w:val="single" w:color="000000" w:sz="4" w:space="0"/>
              <w:right w:val="single" w:color="000000" w:sz="4" w:space="0"/>
            </w:tcBorders>
            <w:vAlign w:val="center"/>
          </w:tcPr>
          <w:p w14:paraId="284982A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巴迪斯</w:t>
            </w:r>
          </w:p>
        </w:tc>
        <w:tc>
          <w:tcPr>
            <w:tcW w:w="1576" w:type="dxa"/>
            <w:tcBorders>
              <w:top w:val="single" w:color="000000" w:sz="4" w:space="0"/>
              <w:left w:val="single" w:color="000000" w:sz="4" w:space="0"/>
              <w:bottom w:val="single" w:color="000000" w:sz="4" w:space="0"/>
              <w:right w:val="single" w:color="000000" w:sz="4" w:space="0"/>
            </w:tcBorders>
            <w:vAlign w:val="center"/>
          </w:tcPr>
          <w:p w14:paraId="0FC2198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金佰利</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3EEBD8D">
            <w:pPr>
              <w:rPr>
                <w:rFonts w:hint="eastAsia" w:ascii="宋体" w:hAnsi="宋体" w:cs="宋体"/>
                <w:color w:val="auto"/>
                <w:sz w:val="24"/>
                <w:highlight w:val="none"/>
              </w:rPr>
            </w:pPr>
          </w:p>
        </w:tc>
      </w:tr>
      <w:tr w14:paraId="42E43AFB">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8DBA97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1768" w:type="dxa"/>
            <w:tcBorders>
              <w:top w:val="single" w:color="000000" w:sz="4" w:space="0"/>
              <w:left w:val="single" w:color="000000" w:sz="4" w:space="0"/>
              <w:bottom w:val="single" w:color="000000" w:sz="4" w:space="0"/>
              <w:right w:val="single" w:color="000000" w:sz="4" w:space="0"/>
            </w:tcBorders>
            <w:vAlign w:val="center"/>
          </w:tcPr>
          <w:p w14:paraId="5394F1A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铝单板</w:t>
            </w:r>
          </w:p>
        </w:tc>
        <w:tc>
          <w:tcPr>
            <w:tcW w:w="1717" w:type="dxa"/>
            <w:tcBorders>
              <w:top w:val="single" w:color="000000" w:sz="4" w:space="0"/>
              <w:left w:val="single" w:color="000000" w:sz="4" w:space="0"/>
              <w:bottom w:val="single" w:color="000000" w:sz="4" w:space="0"/>
              <w:right w:val="single" w:color="000000" w:sz="4" w:space="0"/>
            </w:tcBorders>
            <w:vAlign w:val="center"/>
          </w:tcPr>
          <w:p w14:paraId="0ADA6F9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华狮龙</w:t>
            </w:r>
          </w:p>
        </w:tc>
        <w:tc>
          <w:tcPr>
            <w:tcW w:w="1477" w:type="dxa"/>
            <w:tcBorders>
              <w:top w:val="single" w:color="000000" w:sz="4" w:space="0"/>
              <w:left w:val="single" w:color="000000" w:sz="4" w:space="0"/>
              <w:bottom w:val="single" w:color="000000" w:sz="4" w:space="0"/>
              <w:right w:val="single" w:color="000000" w:sz="4" w:space="0"/>
            </w:tcBorders>
            <w:vAlign w:val="center"/>
          </w:tcPr>
          <w:p w14:paraId="6753052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巴迪斯</w:t>
            </w:r>
          </w:p>
        </w:tc>
        <w:tc>
          <w:tcPr>
            <w:tcW w:w="1576" w:type="dxa"/>
            <w:tcBorders>
              <w:top w:val="single" w:color="000000" w:sz="4" w:space="0"/>
              <w:left w:val="single" w:color="000000" w:sz="4" w:space="0"/>
              <w:bottom w:val="single" w:color="000000" w:sz="4" w:space="0"/>
              <w:right w:val="single" w:color="000000" w:sz="4" w:space="0"/>
            </w:tcBorders>
            <w:vAlign w:val="center"/>
          </w:tcPr>
          <w:p w14:paraId="685156F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金佰利</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5CCA4E6E">
            <w:pPr>
              <w:rPr>
                <w:rFonts w:hint="eastAsia" w:ascii="宋体" w:hAnsi="宋体" w:cs="宋体"/>
                <w:color w:val="auto"/>
                <w:sz w:val="24"/>
                <w:highlight w:val="none"/>
              </w:rPr>
            </w:pPr>
          </w:p>
        </w:tc>
      </w:tr>
      <w:tr w14:paraId="2CAD33B4">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2111807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1768" w:type="dxa"/>
            <w:tcBorders>
              <w:top w:val="single" w:color="000000" w:sz="4" w:space="0"/>
              <w:left w:val="single" w:color="000000" w:sz="4" w:space="0"/>
              <w:bottom w:val="single" w:color="000000" w:sz="4" w:space="0"/>
              <w:right w:val="single" w:color="000000" w:sz="4" w:space="0"/>
            </w:tcBorders>
            <w:vAlign w:val="center"/>
          </w:tcPr>
          <w:p w14:paraId="307B60ED">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传递窗、风淋室</w:t>
            </w:r>
          </w:p>
        </w:tc>
        <w:tc>
          <w:tcPr>
            <w:tcW w:w="1717" w:type="dxa"/>
            <w:tcBorders>
              <w:top w:val="single" w:color="000000" w:sz="4" w:space="0"/>
              <w:left w:val="single" w:color="000000" w:sz="4" w:space="0"/>
              <w:bottom w:val="single" w:color="000000" w:sz="4" w:space="0"/>
              <w:right w:val="single" w:color="000000" w:sz="4" w:space="0"/>
            </w:tcBorders>
            <w:vAlign w:val="center"/>
          </w:tcPr>
          <w:p w14:paraId="16A31F4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中境</w:t>
            </w:r>
          </w:p>
        </w:tc>
        <w:tc>
          <w:tcPr>
            <w:tcW w:w="1477" w:type="dxa"/>
            <w:tcBorders>
              <w:top w:val="single" w:color="000000" w:sz="4" w:space="0"/>
              <w:left w:val="single" w:color="000000" w:sz="4" w:space="0"/>
              <w:bottom w:val="single" w:color="000000" w:sz="4" w:space="0"/>
              <w:right w:val="single" w:color="000000" w:sz="4" w:space="0"/>
            </w:tcBorders>
            <w:vAlign w:val="center"/>
          </w:tcPr>
          <w:p w14:paraId="6306D0C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中科圣杰</w:t>
            </w:r>
          </w:p>
        </w:tc>
        <w:tc>
          <w:tcPr>
            <w:tcW w:w="1576" w:type="dxa"/>
            <w:tcBorders>
              <w:top w:val="single" w:color="000000" w:sz="4" w:space="0"/>
              <w:left w:val="single" w:color="000000" w:sz="4" w:space="0"/>
              <w:bottom w:val="single" w:color="000000" w:sz="4" w:space="0"/>
              <w:right w:val="single" w:color="000000" w:sz="4" w:space="0"/>
            </w:tcBorders>
            <w:vAlign w:val="center"/>
          </w:tcPr>
          <w:p w14:paraId="4013AB0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洁千里</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5203752">
            <w:pPr>
              <w:rPr>
                <w:rFonts w:hint="eastAsia" w:ascii="宋体" w:hAnsi="宋体" w:cs="宋体"/>
                <w:color w:val="auto"/>
                <w:sz w:val="24"/>
                <w:highlight w:val="none"/>
              </w:rPr>
            </w:pPr>
          </w:p>
        </w:tc>
      </w:tr>
      <w:tr w14:paraId="1F56C1CD">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6399828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1768" w:type="dxa"/>
            <w:tcBorders>
              <w:top w:val="single" w:color="000000" w:sz="4" w:space="0"/>
              <w:left w:val="single" w:color="000000" w:sz="4" w:space="0"/>
              <w:bottom w:val="single" w:color="000000" w:sz="4" w:space="0"/>
              <w:right w:val="single" w:color="000000" w:sz="4" w:space="0"/>
            </w:tcBorders>
            <w:vAlign w:val="center"/>
          </w:tcPr>
          <w:p w14:paraId="70D502D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洁净玻璃视窗</w:t>
            </w:r>
          </w:p>
        </w:tc>
        <w:tc>
          <w:tcPr>
            <w:tcW w:w="1717" w:type="dxa"/>
            <w:tcBorders>
              <w:top w:val="single" w:color="000000" w:sz="4" w:space="0"/>
              <w:left w:val="single" w:color="000000" w:sz="4" w:space="0"/>
              <w:bottom w:val="single" w:color="000000" w:sz="4" w:space="0"/>
              <w:right w:val="single" w:color="000000" w:sz="4" w:space="0"/>
            </w:tcBorders>
            <w:vAlign w:val="center"/>
          </w:tcPr>
          <w:p w14:paraId="3370817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易众</w:t>
            </w:r>
          </w:p>
        </w:tc>
        <w:tc>
          <w:tcPr>
            <w:tcW w:w="1477" w:type="dxa"/>
            <w:tcBorders>
              <w:top w:val="single" w:color="000000" w:sz="4" w:space="0"/>
              <w:left w:val="single" w:color="000000" w:sz="4" w:space="0"/>
              <w:bottom w:val="single" w:color="000000" w:sz="4" w:space="0"/>
              <w:right w:val="single" w:color="000000" w:sz="4" w:space="0"/>
            </w:tcBorders>
            <w:vAlign w:val="center"/>
          </w:tcPr>
          <w:p w14:paraId="6AE8152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华翱</w:t>
            </w:r>
          </w:p>
        </w:tc>
        <w:tc>
          <w:tcPr>
            <w:tcW w:w="1576" w:type="dxa"/>
            <w:tcBorders>
              <w:top w:val="single" w:color="000000" w:sz="4" w:space="0"/>
              <w:left w:val="single" w:color="000000" w:sz="4" w:space="0"/>
              <w:bottom w:val="single" w:color="000000" w:sz="4" w:space="0"/>
              <w:right w:val="single" w:color="000000" w:sz="4" w:space="0"/>
            </w:tcBorders>
            <w:vAlign w:val="center"/>
          </w:tcPr>
          <w:p w14:paraId="058B90D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广州林森</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24FEE35F">
            <w:pPr>
              <w:rPr>
                <w:rFonts w:hint="eastAsia" w:ascii="宋体" w:hAnsi="宋体" w:cs="宋体"/>
                <w:color w:val="auto"/>
                <w:sz w:val="24"/>
                <w:highlight w:val="none"/>
              </w:rPr>
            </w:pPr>
          </w:p>
        </w:tc>
      </w:tr>
      <w:tr w14:paraId="418064B3">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4A3BBD7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1768" w:type="dxa"/>
            <w:tcBorders>
              <w:top w:val="single" w:color="000000" w:sz="4" w:space="0"/>
              <w:left w:val="single" w:color="000000" w:sz="4" w:space="0"/>
              <w:bottom w:val="single" w:color="000000" w:sz="4" w:space="0"/>
              <w:right w:val="single" w:color="000000" w:sz="4" w:space="0"/>
            </w:tcBorders>
            <w:vAlign w:val="center"/>
          </w:tcPr>
          <w:p w14:paraId="797F29BF">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钢制气密门、安全门</w:t>
            </w:r>
          </w:p>
        </w:tc>
        <w:tc>
          <w:tcPr>
            <w:tcW w:w="1717" w:type="dxa"/>
            <w:tcBorders>
              <w:top w:val="single" w:color="000000" w:sz="4" w:space="0"/>
              <w:left w:val="single" w:color="000000" w:sz="4" w:space="0"/>
              <w:bottom w:val="single" w:color="000000" w:sz="4" w:space="0"/>
              <w:right w:val="single" w:color="000000" w:sz="4" w:space="0"/>
            </w:tcBorders>
            <w:vAlign w:val="center"/>
          </w:tcPr>
          <w:p w14:paraId="58D8447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易众</w:t>
            </w:r>
          </w:p>
        </w:tc>
        <w:tc>
          <w:tcPr>
            <w:tcW w:w="1477" w:type="dxa"/>
            <w:tcBorders>
              <w:top w:val="single" w:color="000000" w:sz="4" w:space="0"/>
              <w:left w:val="single" w:color="000000" w:sz="4" w:space="0"/>
              <w:bottom w:val="single" w:color="000000" w:sz="4" w:space="0"/>
              <w:right w:val="single" w:color="000000" w:sz="4" w:space="0"/>
            </w:tcBorders>
            <w:vAlign w:val="center"/>
          </w:tcPr>
          <w:p w14:paraId="1C7DB0E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华翱</w:t>
            </w:r>
          </w:p>
        </w:tc>
        <w:tc>
          <w:tcPr>
            <w:tcW w:w="1576" w:type="dxa"/>
            <w:tcBorders>
              <w:top w:val="single" w:color="000000" w:sz="4" w:space="0"/>
              <w:left w:val="single" w:color="000000" w:sz="4" w:space="0"/>
              <w:bottom w:val="single" w:color="000000" w:sz="4" w:space="0"/>
              <w:right w:val="single" w:color="000000" w:sz="4" w:space="0"/>
            </w:tcBorders>
            <w:vAlign w:val="center"/>
          </w:tcPr>
          <w:p w14:paraId="3F1EE22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广州林森</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9A2A0C7">
            <w:pPr>
              <w:rPr>
                <w:rFonts w:hint="eastAsia" w:ascii="宋体" w:hAnsi="宋体" w:cs="宋体"/>
                <w:color w:val="auto"/>
                <w:sz w:val="24"/>
                <w:highlight w:val="none"/>
              </w:rPr>
            </w:pPr>
          </w:p>
        </w:tc>
      </w:tr>
      <w:tr w14:paraId="5A7AF0E0">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666A1D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1768" w:type="dxa"/>
            <w:tcBorders>
              <w:top w:val="single" w:color="000000" w:sz="4" w:space="0"/>
              <w:left w:val="single" w:color="000000" w:sz="4" w:space="0"/>
              <w:bottom w:val="single" w:color="000000" w:sz="4" w:space="0"/>
              <w:right w:val="single" w:color="000000" w:sz="4" w:space="0"/>
            </w:tcBorders>
            <w:vAlign w:val="center"/>
          </w:tcPr>
          <w:p w14:paraId="7D51850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防火门</w:t>
            </w:r>
          </w:p>
        </w:tc>
        <w:tc>
          <w:tcPr>
            <w:tcW w:w="1717" w:type="dxa"/>
            <w:tcBorders>
              <w:top w:val="single" w:color="000000" w:sz="4" w:space="0"/>
              <w:left w:val="single" w:color="000000" w:sz="4" w:space="0"/>
              <w:bottom w:val="single" w:color="000000" w:sz="4" w:space="0"/>
              <w:right w:val="single" w:color="000000" w:sz="4" w:space="0"/>
            </w:tcBorders>
            <w:vAlign w:val="center"/>
          </w:tcPr>
          <w:p w14:paraId="7667D41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广州白云南粤</w:t>
            </w:r>
          </w:p>
        </w:tc>
        <w:tc>
          <w:tcPr>
            <w:tcW w:w="1477" w:type="dxa"/>
            <w:tcBorders>
              <w:top w:val="single" w:color="000000" w:sz="4" w:space="0"/>
              <w:left w:val="single" w:color="000000" w:sz="4" w:space="0"/>
              <w:bottom w:val="single" w:color="000000" w:sz="4" w:space="0"/>
              <w:right w:val="single" w:color="000000" w:sz="4" w:space="0"/>
            </w:tcBorders>
            <w:vAlign w:val="center"/>
          </w:tcPr>
          <w:p w14:paraId="312EA0D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广州泰昌实业</w:t>
            </w:r>
          </w:p>
        </w:tc>
        <w:tc>
          <w:tcPr>
            <w:tcW w:w="1576" w:type="dxa"/>
            <w:tcBorders>
              <w:top w:val="single" w:color="000000" w:sz="4" w:space="0"/>
              <w:left w:val="single" w:color="000000" w:sz="4" w:space="0"/>
              <w:bottom w:val="single" w:color="000000" w:sz="4" w:space="0"/>
              <w:right w:val="single" w:color="000000" w:sz="4" w:space="0"/>
            </w:tcBorders>
            <w:vAlign w:val="center"/>
          </w:tcPr>
          <w:p w14:paraId="6576F88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深圳市森林</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768AFED9">
            <w:pPr>
              <w:rPr>
                <w:rFonts w:hint="eastAsia" w:ascii="宋体" w:hAnsi="宋体" w:cs="宋体"/>
                <w:color w:val="auto"/>
                <w:sz w:val="24"/>
                <w:highlight w:val="none"/>
              </w:rPr>
            </w:pPr>
          </w:p>
        </w:tc>
      </w:tr>
      <w:tr w14:paraId="095E226E">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3D3180D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1768" w:type="dxa"/>
            <w:tcBorders>
              <w:top w:val="single" w:color="000000" w:sz="4" w:space="0"/>
              <w:left w:val="single" w:color="000000" w:sz="4" w:space="0"/>
              <w:bottom w:val="single" w:color="000000" w:sz="4" w:space="0"/>
              <w:right w:val="single" w:color="000000" w:sz="4" w:space="0"/>
            </w:tcBorders>
            <w:vAlign w:val="center"/>
          </w:tcPr>
          <w:p w14:paraId="776B0B7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乳胶漆</w:t>
            </w:r>
          </w:p>
        </w:tc>
        <w:tc>
          <w:tcPr>
            <w:tcW w:w="1717" w:type="dxa"/>
            <w:tcBorders>
              <w:top w:val="single" w:color="000000" w:sz="4" w:space="0"/>
              <w:left w:val="single" w:color="000000" w:sz="4" w:space="0"/>
              <w:bottom w:val="single" w:color="000000" w:sz="4" w:space="0"/>
              <w:right w:val="single" w:color="000000" w:sz="4" w:space="0"/>
            </w:tcBorders>
            <w:vAlign w:val="center"/>
          </w:tcPr>
          <w:p w14:paraId="09D3DDD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多乐士</w:t>
            </w:r>
          </w:p>
        </w:tc>
        <w:tc>
          <w:tcPr>
            <w:tcW w:w="1477" w:type="dxa"/>
            <w:tcBorders>
              <w:top w:val="single" w:color="000000" w:sz="4" w:space="0"/>
              <w:left w:val="single" w:color="000000" w:sz="4" w:space="0"/>
              <w:bottom w:val="single" w:color="000000" w:sz="4" w:space="0"/>
              <w:right w:val="single" w:color="000000" w:sz="4" w:space="0"/>
            </w:tcBorders>
            <w:vAlign w:val="center"/>
          </w:tcPr>
          <w:p w14:paraId="3AE4499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立邦</w:t>
            </w:r>
          </w:p>
        </w:tc>
        <w:tc>
          <w:tcPr>
            <w:tcW w:w="1576" w:type="dxa"/>
            <w:tcBorders>
              <w:top w:val="single" w:color="000000" w:sz="4" w:space="0"/>
              <w:left w:val="single" w:color="000000" w:sz="4" w:space="0"/>
              <w:bottom w:val="single" w:color="000000" w:sz="4" w:space="0"/>
              <w:right w:val="single" w:color="000000" w:sz="4" w:space="0"/>
            </w:tcBorders>
            <w:vAlign w:val="center"/>
          </w:tcPr>
          <w:p w14:paraId="2D8C8D4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华润</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F458A5E">
            <w:pPr>
              <w:rPr>
                <w:rFonts w:hint="eastAsia" w:ascii="宋体" w:hAnsi="宋体" w:cs="宋体"/>
                <w:color w:val="auto"/>
                <w:sz w:val="24"/>
                <w:highlight w:val="none"/>
              </w:rPr>
            </w:pPr>
          </w:p>
        </w:tc>
      </w:tr>
      <w:tr w14:paraId="21E24CD1">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054111B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二</w:t>
            </w:r>
          </w:p>
        </w:tc>
        <w:tc>
          <w:tcPr>
            <w:tcW w:w="1768" w:type="dxa"/>
            <w:tcBorders>
              <w:top w:val="single" w:color="000000" w:sz="4" w:space="0"/>
              <w:left w:val="single" w:color="000000" w:sz="4" w:space="0"/>
              <w:bottom w:val="single" w:color="000000" w:sz="4" w:space="0"/>
              <w:right w:val="single" w:color="000000" w:sz="4" w:space="0"/>
            </w:tcBorders>
            <w:vAlign w:val="center"/>
          </w:tcPr>
          <w:p w14:paraId="18BC680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给排水、洁具</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1142A60F">
            <w:pPr>
              <w:jc w:val="center"/>
              <w:rPr>
                <w:rFonts w:hint="eastAsia" w:ascii="宋体" w:hAnsi="宋体" w:cs="宋体"/>
                <w:color w:val="auto"/>
                <w:sz w:val="24"/>
                <w:highlight w:val="none"/>
              </w:rPr>
            </w:pPr>
          </w:p>
        </w:tc>
        <w:tc>
          <w:tcPr>
            <w:tcW w:w="1477" w:type="dxa"/>
            <w:tcBorders>
              <w:top w:val="single" w:color="000000" w:sz="4" w:space="0"/>
              <w:left w:val="single" w:color="000000" w:sz="4" w:space="0"/>
              <w:bottom w:val="single" w:color="000000" w:sz="4" w:space="0"/>
              <w:right w:val="single" w:color="000000" w:sz="4" w:space="0"/>
            </w:tcBorders>
            <w:noWrap/>
            <w:vAlign w:val="center"/>
          </w:tcPr>
          <w:p w14:paraId="21BCEA81">
            <w:pPr>
              <w:jc w:val="center"/>
              <w:rPr>
                <w:rFonts w:hint="eastAsia" w:ascii="宋体" w:hAnsi="宋体" w:cs="宋体"/>
                <w:color w:val="auto"/>
                <w:sz w:val="24"/>
                <w:highlight w:val="none"/>
              </w:rPr>
            </w:pP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2B2CE971">
            <w:pPr>
              <w:jc w:val="center"/>
              <w:rPr>
                <w:rFonts w:hint="eastAsia" w:ascii="宋体" w:hAnsi="宋体" w:cs="宋体"/>
                <w:color w:val="auto"/>
                <w:sz w:val="24"/>
                <w:highlight w:val="none"/>
              </w:rPr>
            </w:pP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716D37EF">
            <w:pPr>
              <w:rPr>
                <w:rFonts w:hint="eastAsia" w:ascii="宋体" w:hAnsi="宋体" w:cs="宋体"/>
                <w:color w:val="auto"/>
                <w:sz w:val="24"/>
                <w:highlight w:val="none"/>
              </w:rPr>
            </w:pPr>
          </w:p>
        </w:tc>
      </w:tr>
      <w:tr w14:paraId="2F577EB0">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1FEE165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768" w:type="dxa"/>
            <w:tcBorders>
              <w:top w:val="single" w:color="000000" w:sz="4" w:space="0"/>
              <w:left w:val="single" w:color="000000" w:sz="4" w:space="0"/>
              <w:bottom w:val="single" w:color="000000" w:sz="4" w:space="0"/>
              <w:right w:val="single" w:color="000000" w:sz="4" w:space="0"/>
            </w:tcBorders>
            <w:vAlign w:val="center"/>
          </w:tcPr>
          <w:p w14:paraId="22AD172A">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PPR给水管</w:t>
            </w:r>
          </w:p>
        </w:tc>
        <w:tc>
          <w:tcPr>
            <w:tcW w:w="1717" w:type="dxa"/>
            <w:tcBorders>
              <w:top w:val="single" w:color="000000" w:sz="4" w:space="0"/>
              <w:left w:val="single" w:color="000000" w:sz="4" w:space="0"/>
              <w:bottom w:val="single" w:color="000000" w:sz="4" w:space="0"/>
              <w:right w:val="single" w:color="000000" w:sz="4" w:space="0"/>
            </w:tcBorders>
            <w:vAlign w:val="center"/>
          </w:tcPr>
          <w:p w14:paraId="1D89A3B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联塑</w:t>
            </w:r>
          </w:p>
        </w:tc>
        <w:tc>
          <w:tcPr>
            <w:tcW w:w="1477" w:type="dxa"/>
            <w:tcBorders>
              <w:top w:val="single" w:color="000000" w:sz="4" w:space="0"/>
              <w:left w:val="single" w:color="000000" w:sz="4" w:space="0"/>
              <w:bottom w:val="single" w:color="000000" w:sz="4" w:space="0"/>
              <w:right w:val="single" w:color="000000" w:sz="4" w:space="0"/>
            </w:tcBorders>
            <w:vAlign w:val="center"/>
          </w:tcPr>
          <w:p w14:paraId="6BE618A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雄塑</w:t>
            </w:r>
          </w:p>
        </w:tc>
        <w:tc>
          <w:tcPr>
            <w:tcW w:w="1576" w:type="dxa"/>
            <w:tcBorders>
              <w:top w:val="single" w:color="000000" w:sz="4" w:space="0"/>
              <w:left w:val="single" w:color="000000" w:sz="4" w:space="0"/>
              <w:bottom w:val="single" w:color="000000" w:sz="4" w:space="0"/>
              <w:right w:val="single" w:color="000000" w:sz="4" w:space="0"/>
            </w:tcBorders>
            <w:vAlign w:val="center"/>
          </w:tcPr>
          <w:p w14:paraId="6D1F5B4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顾地</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663E656">
            <w:pPr>
              <w:rPr>
                <w:rFonts w:hint="eastAsia" w:ascii="宋体" w:hAnsi="宋体" w:cs="宋体"/>
                <w:color w:val="auto"/>
                <w:sz w:val="24"/>
                <w:highlight w:val="none"/>
              </w:rPr>
            </w:pPr>
          </w:p>
        </w:tc>
      </w:tr>
      <w:tr w14:paraId="3D595C19">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5B43F3C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768" w:type="dxa"/>
            <w:tcBorders>
              <w:top w:val="single" w:color="000000" w:sz="4" w:space="0"/>
              <w:left w:val="single" w:color="000000" w:sz="4" w:space="0"/>
              <w:bottom w:val="single" w:color="000000" w:sz="4" w:space="0"/>
              <w:right w:val="single" w:color="000000" w:sz="4" w:space="0"/>
            </w:tcBorders>
            <w:vAlign w:val="center"/>
          </w:tcPr>
          <w:p w14:paraId="6A79F3F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UPVC排水管</w:t>
            </w:r>
          </w:p>
        </w:tc>
        <w:tc>
          <w:tcPr>
            <w:tcW w:w="1717" w:type="dxa"/>
            <w:tcBorders>
              <w:top w:val="single" w:color="000000" w:sz="4" w:space="0"/>
              <w:left w:val="single" w:color="000000" w:sz="4" w:space="0"/>
              <w:bottom w:val="single" w:color="000000" w:sz="4" w:space="0"/>
              <w:right w:val="single" w:color="000000" w:sz="4" w:space="0"/>
            </w:tcBorders>
            <w:vAlign w:val="center"/>
          </w:tcPr>
          <w:p w14:paraId="2AD7C61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联塑</w:t>
            </w:r>
          </w:p>
        </w:tc>
        <w:tc>
          <w:tcPr>
            <w:tcW w:w="1477" w:type="dxa"/>
            <w:tcBorders>
              <w:top w:val="single" w:color="000000" w:sz="4" w:space="0"/>
              <w:left w:val="single" w:color="000000" w:sz="4" w:space="0"/>
              <w:bottom w:val="single" w:color="000000" w:sz="4" w:space="0"/>
              <w:right w:val="single" w:color="000000" w:sz="4" w:space="0"/>
            </w:tcBorders>
            <w:vAlign w:val="center"/>
          </w:tcPr>
          <w:p w14:paraId="0B1ACE9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雄塑</w:t>
            </w:r>
          </w:p>
        </w:tc>
        <w:tc>
          <w:tcPr>
            <w:tcW w:w="1576" w:type="dxa"/>
            <w:tcBorders>
              <w:top w:val="single" w:color="000000" w:sz="4" w:space="0"/>
              <w:left w:val="single" w:color="000000" w:sz="4" w:space="0"/>
              <w:bottom w:val="single" w:color="000000" w:sz="4" w:space="0"/>
              <w:right w:val="single" w:color="000000" w:sz="4" w:space="0"/>
            </w:tcBorders>
            <w:vAlign w:val="center"/>
          </w:tcPr>
          <w:p w14:paraId="07A06BF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顾地</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52D105F2">
            <w:pPr>
              <w:rPr>
                <w:rFonts w:hint="eastAsia" w:ascii="宋体" w:hAnsi="宋体" w:cs="宋体"/>
                <w:color w:val="auto"/>
                <w:sz w:val="24"/>
                <w:highlight w:val="none"/>
              </w:rPr>
            </w:pPr>
          </w:p>
        </w:tc>
      </w:tr>
      <w:tr w14:paraId="66E4D26E">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7DED83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768" w:type="dxa"/>
            <w:tcBorders>
              <w:top w:val="single" w:color="000000" w:sz="4" w:space="0"/>
              <w:left w:val="single" w:color="000000" w:sz="4" w:space="0"/>
              <w:bottom w:val="single" w:color="000000" w:sz="4" w:space="0"/>
              <w:right w:val="single" w:color="000000" w:sz="4" w:space="0"/>
            </w:tcBorders>
            <w:vAlign w:val="center"/>
          </w:tcPr>
          <w:p w14:paraId="35EA13CF">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PE排水管</w:t>
            </w:r>
          </w:p>
        </w:tc>
        <w:tc>
          <w:tcPr>
            <w:tcW w:w="1717" w:type="dxa"/>
            <w:tcBorders>
              <w:top w:val="single" w:color="000000" w:sz="4" w:space="0"/>
              <w:left w:val="single" w:color="000000" w:sz="4" w:space="0"/>
              <w:bottom w:val="single" w:color="000000" w:sz="4" w:space="0"/>
              <w:right w:val="single" w:color="000000" w:sz="4" w:space="0"/>
            </w:tcBorders>
            <w:vAlign w:val="center"/>
          </w:tcPr>
          <w:p w14:paraId="0B0D375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联塑</w:t>
            </w:r>
          </w:p>
        </w:tc>
        <w:tc>
          <w:tcPr>
            <w:tcW w:w="1477" w:type="dxa"/>
            <w:tcBorders>
              <w:top w:val="single" w:color="000000" w:sz="4" w:space="0"/>
              <w:left w:val="single" w:color="000000" w:sz="4" w:space="0"/>
              <w:bottom w:val="single" w:color="000000" w:sz="4" w:space="0"/>
              <w:right w:val="single" w:color="000000" w:sz="4" w:space="0"/>
            </w:tcBorders>
            <w:vAlign w:val="center"/>
          </w:tcPr>
          <w:p w14:paraId="6A49209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雄塑</w:t>
            </w:r>
          </w:p>
        </w:tc>
        <w:tc>
          <w:tcPr>
            <w:tcW w:w="1576" w:type="dxa"/>
            <w:tcBorders>
              <w:top w:val="single" w:color="000000" w:sz="4" w:space="0"/>
              <w:left w:val="single" w:color="000000" w:sz="4" w:space="0"/>
              <w:bottom w:val="single" w:color="000000" w:sz="4" w:space="0"/>
              <w:right w:val="single" w:color="000000" w:sz="4" w:space="0"/>
            </w:tcBorders>
            <w:vAlign w:val="center"/>
          </w:tcPr>
          <w:p w14:paraId="01158E5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顾地</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8386B73">
            <w:pPr>
              <w:rPr>
                <w:rFonts w:hint="eastAsia" w:ascii="宋体" w:hAnsi="宋体" w:cs="宋体"/>
                <w:color w:val="auto"/>
                <w:sz w:val="24"/>
                <w:highlight w:val="none"/>
              </w:rPr>
            </w:pPr>
          </w:p>
        </w:tc>
      </w:tr>
      <w:tr w14:paraId="353CF9CB">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2FDD2E4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768" w:type="dxa"/>
            <w:tcBorders>
              <w:top w:val="single" w:color="000000" w:sz="4" w:space="0"/>
              <w:left w:val="single" w:color="000000" w:sz="4" w:space="0"/>
              <w:bottom w:val="single" w:color="000000" w:sz="4" w:space="0"/>
              <w:right w:val="single" w:color="000000" w:sz="4" w:space="0"/>
            </w:tcBorders>
            <w:vAlign w:val="center"/>
          </w:tcPr>
          <w:p w14:paraId="7CF1BC4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水龙头、冲水器、洁具</w:t>
            </w:r>
          </w:p>
        </w:tc>
        <w:tc>
          <w:tcPr>
            <w:tcW w:w="1717" w:type="dxa"/>
            <w:tcBorders>
              <w:top w:val="single" w:color="000000" w:sz="4" w:space="0"/>
              <w:left w:val="single" w:color="000000" w:sz="4" w:space="0"/>
              <w:bottom w:val="single" w:color="000000" w:sz="4" w:space="0"/>
              <w:right w:val="single" w:color="000000" w:sz="4" w:space="0"/>
            </w:tcBorders>
            <w:vAlign w:val="center"/>
          </w:tcPr>
          <w:p w14:paraId="6108115D">
            <w:pPr>
              <w:widowControl/>
              <w:jc w:val="center"/>
              <w:textAlignment w:val="center"/>
              <w:rPr>
                <w:rFonts w:hint="eastAsia" w:ascii="宋体" w:hAnsi="宋体" w:cs="宋体"/>
                <w:color w:val="auto"/>
                <w:sz w:val="24"/>
                <w:highlight w:val="none"/>
              </w:rPr>
            </w:pPr>
            <w:r>
              <w:rPr>
                <w:rFonts w:hint="eastAsia"/>
                <w:color w:val="auto"/>
                <w:sz w:val="24"/>
                <w:highlight w:val="none"/>
              </w:rPr>
              <w:t>鹰卫浴</w:t>
            </w:r>
          </w:p>
        </w:tc>
        <w:tc>
          <w:tcPr>
            <w:tcW w:w="1477" w:type="dxa"/>
            <w:tcBorders>
              <w:top w:val="single" w:color="000000" w:sz="4" w:space="0"/>
              <w:left w:val="single" w:color="000000" w:sz="4" w:space="0"/>
              <w:bottom w:val="single" w:color="000000" w:sz="4" w:space="0"/>
              <w:right w:val="single" w:color="000000" w:sz="4" w:space="0"/>
            </w:tcBorders>
            <w:vAlign w:val="center"/>
          </w:tcPr>
          <w:p w14:paraId="746EC84F">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美标</w:t>
            </w:r>
          </w:p>
        </w:tc>
        <w:tc>
          <w:tcPr>
            <w:tcW w:w="1576" w:type="dxa"/>
            <w:tcBorders>
              <w:top w:val="single" w:color="000000" w:sz="4" w:space="0"/>
              <w:left w:val="single" w:color="000000" w:sz="4" w:space="0"/>
              <w:bottom w:val="single" w:color="000000" w:sz="4" w:space="0"/>
              <w:right w:val="single" w:color="000000" w:sz="4" w:space="0"/>
            </w:tcBorders>
            <w:vAlign w:val="center"/>
          </w:tcPr>
          <w:p w14:paraId="17BC5AC9">
            <w:pPr>
              <w:widowControl/>
              <w:jc w:val="center"/>
              <w:textAlignment w:val="center"/>
              <w:rPr>
                <w:rFonts w:hint="eastAsia" w:ascii="宋体" w:hAnsi="宋体" w:cs="宋体"/>
                <w:color w:val="auto"/>
                <w:sz w:val="24"/>
                <w:highlight w:val="none"/>
              </w:rPr>
            </w:pPr>
            <w:r>
              <w:rPr>
                <w:rFonts w:hint="eastAsia" w:ascii="宋体" w:hAnsi="宋体" w:eastAsia="宋体" w:cs="宋体"/>
                <w:i w:val="0"/>
                <w:iCs w:val="0"/>
                <w:color w:val="000000"/>
                <w:sz w:val="24"/>
                <w:szCs w:val="24"/>
                <w:u w:val="none"/>
                <w:lang w:eastAsia="zh-CN"/>
              </w:rPr>
              <w:t>九牧</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5843708C">
            <w:pPr>
              <w:rPr>
                <w:rFonts w:hint="eastAsia" w:ascii="宋体" w:hAnsi="宋体" w:cs="宋体"/>
                <w:color w:val="auto"/>
                <w:sz w:val="24"/>
                <w:highlight w:val="none"/>
              </w:rPr>
            </w:pPr>
          </w:p>
        </w:tc>
      </w:tr>
      <w:tr w14:paraId="4205F400">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00C6B79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w:t>
            </w:r>
          </w:p>
        </w:tc>
        <w:tc>
          <w:tcPr>
            <w:tcW w:w="1768" w:type="dxa"/>
            <w:tcBorders>
              <w:top w:val="single" w:color="000000" w:sz="4" w:space="0"/>
              <w:left w:val="single" w:color="000000" w:sz="4" w:space="0"/>
              <w:bottom w:val="single" w:color="000000" w:sz="4" w:space="0"/>
              <w:right w:val="single" w:color="000000" w:sz="4" w:space="0"/>
            </w:tcBorders>
            <w:vAlign w:val="center"/>
          </w:tcPr>
          <w:p w14:paraId="4738039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强电部分</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3631B3D2">
            <w:pPr>
              <w:jc w:val="center"/>
              <w:rPr>
                <w:rFonts w:hint="eastAsia" w:ascii="宋体" w:hAnsi="宋体" w:cs="宋体"/>
                <w:color w:val="auto"/>
                <w:sz w:val="24"/>
                <w:highlight w:val="none"/>
              </w:rPr>
            </w:pPr>
          </w:p>
        </w:tc>
        <w:tc>
          <w:tcPr>
            <w:tcW w:w="1477" w:type="dxa"/>
            <w:tcBorders>
              <w:top w:val="single" w:color="000000" w:sz="4" w:space="0"/>
              <w:left w:val="single" w:color="000000" w:sz="4" w:space="0"/>
              <w:bottom w:val="single" w:color="000000" w:sz="4" w:space="0"/>
              <w:right w:val="single" w:color="000000" w:sz="4" w:space="0"/>
            </w:tcBorders>
            <w:noWrap/>
            <w:vAlign w:val="center"/>
          </w:tcPr>
          <w:p w14:paraId="4E3D1883">
            <w:pPr>
              <w:jc w:val="center"/>
              <w:rPr>
                <w:rFonts w:hint="eastAsia" w:ascii="宋体" w:hAnsi="宋体" w:cs="宋体"/>
                <w:color w:val="auto"/>
                <w:sz w:val="24"/>
                <w:highlight w:val="none"/>
              </w:rPr>
            </w:pP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76442C89">
            <w:pPr>
              <w:jc w:val="center"/>
              <w:rPr>
                <w:rFonts w:hint="eastAsia" w:ascii="宋体" w:hAnsi="宋体" w:cs="宋体"/>
                <w:color w:val="auto"/>
                <w:sz w:val="24"/>
                <w:highlight w:val="none"/>
              </w:rPr>
            </w:pP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76646AEF">
            <w:pPr>
              <w:rPr>
                <w:rFonts w:hint="eastAsia" w:ascii="宋体" w:hAnsi="宋体" w:cs="宋体"/>
                <w:color w:val="auto"/>
                <w:sz w:val="24"/>
                <w:highlight w:val="none"/>
              </w:rPr>
            </w:pPr>
          </w:p>
        </w:tc>
      </w:tr>
      <w:tr w14:paraId="167D29F0">
        <w:tblPrEx>
          <w:tblCellMar>
            <w:top w:w="0" w:type="dxa"/>
            <w:left w:w="108" w:type="dxa"/>
            <w:bottom w:w="0" w:type="dxa"/>
            <w:right w:w="108" w:type="dxa"/>
          </w:tblCellMar>
        </w:tblPrEx>
        <w:trPr>
          <w:trHeight w:val="660"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468A1F8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768" w:type="dxa"/>
            <w:tcBorders>
              <w:top w:val="single" w:color="000000" w:sz="4" w:space="0"/>
              <w:left w:val="single" w:color="000000" w:sz="4" w:space="0"/>
              <w:bottom w:val="single" w:color="000000" w:sz="4" w:space="0"/>
              <w:right w:val="single" w:color="000000" w:sz="4" w:space="0"/>
            </w:tcBorders>
            <w:vAlign w:val="center"/>
          </w:tcPr>
          <w:p w14:paraId="48A6220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一体式配电箱体（开关元件及接地端子）</w:t>
            </w:r>
          </w:p>
        </w:tc>
        <w:tc>
          <w:tcPr>
            <w:tcW w:w="1717" w:type="dxa"/>
            <w:tcBorders>
              <w:top w:val="single" w:color="000000" w:sz="4" w:space="0"/>
              <w:left w:val="single" w:color="000000" w:sz="4" w:space="0"/>
              <w:bottom w:val="single" w:color="000000" w:sz="8" w:space="0"/>
              <w:right w:val="single" w:color="000000" w:sz="4" w:space="0"/>
            </w:tcBorders>
            <w:vAlign w:val="center"/>
          </w:tcPr>
          <w:p w14:paraId="2F69546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东莞基业</w:t>
            </w:r>
          </w:p>
        </w:tc>
        <w:tc>
          <w:tcPr>
            <w:tcW w:w="1477" w:type="dxa"/>
            <w:tcBorders>
              <w:top w:val="single" w:color="000000" w:sz="4" w:space="0"/>
              <w:left w:val="single" w:color="000000" w:sz="4" w:space="0"/>
              <w:bottom w:val="single" w:color="000000" w:sz="8" w:space="0"/>
              <w:right w:val="single" w:color="000000" w:sz="4" w:space="0"/>
            </w:tcBorders>
            <w:vAlign w:val="center"/>
          </w:tcPr>
          <w:p w14:paraId="6E61A1A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南洋电器厂</w:t>
            </w:r>
          </w:p>
        </w:tc>
        <w:tc>
          <w:tcPr>
            <w:tcW w:w="1576" w:type="dxa"/>
            <w:tcBorders>
              <w:top w:val="single" w:color="000000" w:sz="4" w:space="0"/>
              <w:left w:val="single" w:color="000000" w:sz="4" w:space="0"/>
              <w:bottom w:val="single" w:color="000000" w:sz="8" w:space="0"/>
              <w:right w:val="single" w:color="000000" w:sz="4" w:space="0"/>
            </w:tcBorders>
            <w:vAlign w:val="center"/>
          </w:tcPr>
          <w:p w14:paraId="2614EB0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白云电器</w:t>
            </w:r>
          </w:p>
        </w:tc>
        <w:tc>
          <w:tcPr>
            <w:tcW w:w="1353" w:type="dxa"/>
            <w:tcBorders>
              <w:top w:val="single" w:color="000000" w:sz="4" w:space="0"/>
              <w:left w:val="single" w:color="000000" w:sz="4" w:space="0"/>
              <w:bottom w:val="single" w:color="000000" w:sz="4" w:space="0"/>
              <w:right w:val="single" w:color="000000" w:sz="4" w:space="0"/>
            </w:tcBorders>
            <w:vAlign w:val="center"/>
          </w:tcPr>
          <w:p w14:paraId="7955B2A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元器件为施耐德、ABB、西门子</w:t>
            </w:r>
          </w:p>
        </w:tc>
      </w:tr>
      <w:tr w14:paraId="57387759">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277DB3F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768" w:type="dxa"/>
            <w:tcBorders>
              <w:top w:val="single" w:color="000000" w:sz="4" w:space="0"/>
              <w:left w:val="single" w:color="000000" w:sz="4" w:space="0"/>
              <w:bottom w:val="single" w:color="000000" w:sz="4" w:space="0"/>
              <w:right w:val="single" w:color="000000" w:sz="4" w:space="0"/>
            </w:tcBorders>
            <w:vAlign w:val="center"/>
          </w:tcPr>
          <w:p w14:paraId="096FA54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开关、插座、断路器，交流接触器、变频器</w:t>
            </w:r>
          </w:p>
        </w:tc>
        <w:tc>
          <w:tcPr>
            <w:tcW w:w="1717" w:type="dxa"/>
            <w:tcBorders>
              <w:top w:val="single" w:color="000000" w:sz="4" w:space="0"/>
              <w:left w:val="single" w:color="000000" w:sz="4" w:space="0"/>
              <w:bottom w:val="single" w:color="000000" w:sz="8" w:space="0"/>
              <w:right w:val="single" w:color="000000" w:sz="4" w:space="0"/>
            </w:tcBorders>
            <w:vAlign w:val="center"/>
          </w:tcPr>
          <w:p w14:paraId="51B16AE1">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ABB</w:t>
            </w:r>
          </w:p>
        </w:tc>
        <w:tc>
          <w:tcPr>
            <w:tcW w:w="1477" w:type="dxa"/>
            <w:tcBorders>
              <w:top w:val="single" w:color="000000" w:sz="4" w:space="0"/>
              <w:left w:val="single" w:color="000000" w:sz="4" w:space="0"/>
              <w:bottom w:val="single" w:color="000000" w:sz="8" w:space="0"/>
              <w:right w:val="single" w:color="000000" w:sz="4" w:space="0"/>
            </w:tcBorders>
            <w:vAlign w:val="center"/>
          </w:tcPr>
          <w:p w14:paraId="51BCD73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施耐德</w:t>
            </w:r>
          </w:p>
        </w:tc>
        <w:tc>
          <w:tcPr>
            <w:tcW w:w="1576" w:type="dxa"/>
            <w:tcBorders>
              <w:top w:val="single" w:color="000000" w:sz="4" w:space="0"/>
              <w:left w:val="single" w:color="000000" w:sz="4" w:space="0"/>
              <w:bottom w:val="single" w:color="000000" w:sz="8" w:space="0"/>
              <w:right w:val="single" w:color="000000" w:sz="4" w:space="0"/>
            </w:tcBorders>
            <w:vAlign w:val="center"/>
          </w:tcPr>
          <w:p w14:paraId="4AC00FF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西门子</w:t>
            </w:r>
          </w:p>
        </w:tc>
        <w:tc>
          <w:tcPr>
            <w:tcW w:w="1353" w:type="dxa"/>
            <w:tcBorders>
              <w:top w:val="single" w:color="000000" w:sz="4" w:space="0"/>
              <w:left w:val="single" w:color="000000" w:sz="4" w:space="0"/>
              <w:bottom w:val="single" w:color="000000" w:sz="4" w:space="0"/>
              <w:right w:val="single" w:color="000000" w:sz="4" w:space="0"/>
            </w:tcBorders>
            <w:vAlign w:val="center"/>
          </w:tcPr>
          <w:p w14:paraId="191F0C1D">
            <w:pPr>
              <w:jc w:val="left"/>
              <w:rPr>
                <w:rFonts w:hint="eastAsia" w:ascii="宋体" w:hAnsi="宋体" w:cs="宋体"/>
                <w:color w:val="auto"/>
                <w:sz w:val="24"/>
                <w:highlight w:val="none"/>
              </w:rPr>
            </w:pPr>
          </w:p>
        </w:tc>
      </w:tr>
      <w:tr w14:paraId="09D57F68">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1D557E4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768" w:type="dxa"/>
            <w:tcBorders>
              <w:top w:val="single" w:color="000000" w:sz="4" w:space="0"/>
              <w:left w:val="single" w:color="000000" w:sz="4" w:space="0"/>
              <w:bottom w:val="single" w:color="000000" w:sz="4" w:space="0"/>
              <w:right w:val="single" w:color="000000" w:sz="4" w:space="0"/>
            </w:tcBorders>
            <w:vAlign w:val="center"/>
          </w:tcPr>
          <w:p w14:paraId="3754AE8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电缆、电线</w:t>
            </w:r>
          </w:p>
        </w:tc>
        <w:tc>
          <w:tcPr>
            <w:tcW w:w="1717" w:type="dxa"/>
            <w:tcBorders>
              <w:top w:val="single" w:color="000000" w:sz="4" w:space="0"/>
              <w:left w:val="single" w:color="000000" w:sz="4" w:space="0"/>
              <w:bottom w:val="single" w:color="000000" w:sz="8" w:space="0"/>
              <w:right w:val="single" w:color="000000" w:sz="4" w:space="0"/>
            </w:tcBorders>
            <w:vAlign w:val="center"/>
          </w:tcPr>
          <w:p w14:paraId="6DBD97B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番禺电缆</w:t>
            </w:r>
          </w:p>
        </w:tc>
        <w:tc>
          <w:tcPr>
            <w:tcW w:w="1477" w:type="dxa"/>
            <w:tcBorders>
              <w:top w:val="single" w:color="000000" w:sz="4" w:space="0"/>
              <w:left w:val="single" w:color="000000" w:sz="4" w:space="0"/>
              <w:bottom w:val="single" w:color="000000" w:sz="8" w:space="0"/>
              <w:right w:val="single" w:color="000000" w:sz="4" w:space="0"/>
            </w:tcBorders>
            <w:vAlign w:val="center"/>
          </w:tcPr>
          <w:p w14:paraId="147858A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广州电缆厂</w:t>
            </w:r>
          </w:p>
        </w:tc>
        <w:tc>
          <w:tcPr>
            <w:tcW w:w="1576" w:type="dxa"/>
            <w:tcBorders>
              <w:top w:val="single" w:color="000000" w:sz="4" w:space="0"/>
              <w:left w:val="single" w:color="000000" w:sz="4" w:space="0"/>
              <w:bottom w:val="single" w:color="000000" w:sz="8" w:space="0"/>
              <w:right w:val="single" w:color="000000" w:sz="4" w:space="0"/>
            </w:tcBorders>
            <w:vAlign w:val="center"/>
          </w:tcPr>
          <w:p w14:paraId="77CE894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广州庆丰电线厂</w:t>
            </w:r>
          </w:p>
        </w:tc>
        <w:tc>
          <w:tcPr>
            <w:tcW w:w="1353" w:type="dxa"/>
            <w:tcBorders>
              <w:top w:val="single" w:color="000000" w:sz="4" w:space="0"/>
              <w:left w:val="single" w:color="000000" w:sz="4" w:space="0"/>
              <w:bottom w:val="single" w:color="000000" w:sz="4" w:space="0"/>
              <w:right w:val="single" w:color="000000" w:sz="4" w:space="0"/>
            </w:tcBorders>
            <w:vAlign w:val="center"/>
          </w:tcPr>
          <w:p w14:paraId="0253D943">
            <w:pPr>
              <w:jc w:val="left"/>
              <w:rPr>
                <w:rFonts w:hint="eastAsia" w:ascii="宋体" w:hAnsi="宋体" w:cs="宋体"/>
                <w:color w:val="auto"/>
                <w:sz w:val="24"/>
                <w:highlight w:val="none"/>
              </w:rPr>
            </w:pPr>
          </w:p>
        </w:tc>
      </w:tr>
      <w:tr w14:paraId="33E72646">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13108B7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768" w:type="dxa"/>
            <w:tcBorders>
              <w:top w:val="single" w:color="000000" w:sz="4" w:space="0"/>
              <w:left w:val="single" w:color="000000" w:sz="4" w:space="0"/>
              <w:bottom w:val="single" w:color="000000" w:sz="4" w:space="0"/>
              <w:right w:val="single" w:color="000000" w:sz="4" w:space="0"/>
            </w:tcBorders>
            <w:vAlign w:val="center"/>
          </w:tcPr>
          <w:p w14:paraId="341FEE0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LED洁净灯、LED平板</w:t>
            </w:r>
          </w:p>
        </w:tc>
        <w:tc>
          <w:tcPr>
            <w:tcW w:w="1717" w:type="dxa"/>
            <w:tcBorders>
              <w:top w:val="single" w:color="000000" w:sz="4" w:space="0"/>
              <w:left w:val="single" w:color="000000" w:sz="4" w:space="0"/>
              <w:bottom w:val="single" w:color="000000" w:sz="8" w:space="0"/>
              <w:right w:val="single" w:color="000000" w:sz="4" w:space="0"/>
            </w:tcBorders>
            <w:vAlign w:val="center"/>
          </w:tcPr>
          <w:p w14:paraId="0CC54E0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亿朗</w:t>
            </w:r>
          </w:p>
        </w:tc>
        <w:tc>
          <w:tcPr>
            <w:tcW w:w="1477" w:type="dxa"/>
            <w:tcBorders>
              <w:top w:val="single" w:color="000000" w:sz="4" w:space="0"/>
              <w:left w:val="single" w:color="000000" w:sz="4" w:space="0"/>
              <w:bottom w:val="single" w:color="000000" w:sz="8" w:space="0"/>
              <w:right w:val="single" w:color="000000" w:sz="4" w:space="0"/>
            </w:tcBorders>
            <w:vAlign w:val="center"/>
          </w:tcPr>
          <w:p w14:paraId="58DB9A5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洁千里</w:t>
            </w:r>
          </w:p>
        </w:tc>
        <w:tc>
          <w:tcPr>
            <w:tcW w:w="1576" w:type="dxa"/>
            <w:tcBorders>
              <w:top w:val="single" w:color="000000" w:sz="4" w:space="0"/>
              <w:left w:val="single" w:color="000000" w:sz="4" w:space="0"/>
              <w:bottom w:val="single" w:color="000000" w:sz="8" w:space="0"/>
              <w:right w:val="single" w:color="000000" w:sz="4" w:space="0"/>
            </w:tcBorders>
            <w:vAlign w:val="center"/>
          </w:tcPr>
          <w:p w14:paraId="31BF6DC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广东翔龙</w:t>
            </w:r>
          </w:p>
        </w:tc>
        <w:tc>
          <w:tcPr>
            <w:tcW w:w="1353" w:type="dxa"/>
            <w:tcBorders>
              <w:top w:val="single" w:color="000000" w:sz="4" w:space="0"/>
              <w:left w:val="single" w:color="000000" w:sz="4" w:space="0"/>
              <w:bottom w:val="single" w:color="000000" w:sz="4" w:space="0"/>
              <w:right w:val="single" w:color="000000" w:sz="4" w:space="0"/>
            </w:tcBorders>
            <w:vAlign w:val="center"/>
          </w:tcPr>
          <w:p w14:paraId="26B7A835">
            <w:pPr>
              <w:jc w:val="left"/>
              <w:rPr>
                <w:rFonts w:hint="eastAsia" w:ascii="宋体" w:hAnsi="宋体" w:cs="宋体"/>
                <w:color w:val="auto"/>
                <w:sz w:val="24"/>
                <w:highlight w:val="none"/>
              </w:rPr>
            </w:pPr>
          </w:p>
        </w:tc>
      </w:tr>
      <w:tr w14:paraId="3F95FDF8">
        <w:tblPrEx>
          <w:tblCellMar>
            <w:top w:w="0" w:type="dxa"/>
            <w:left w:w="108" w:type="dxa"/>
            <w:bottom w:w="0" w:type="dxa"/>
            <w:right w:w="108" w:type="dxa"/>
          </w:tblCellMar>
        </w:tblPrEx>
        <w:trPr>
          <w:trHeight w:val="615"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3AA887B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1768" w:type="dxa"/>
            <w:tcBorders>
              <w:top w:val="single" w:color="000000" w:sz="4" w:space="0"/>
              <w:left w:val="single" w:color="000000" w:sz="4" w:space="0"/>
              <w:bottom w:val="single" w:color="000000" w:sz="4" w:space="0"/>
              <w:right w:val="single" w:color="000000" w:sz="4" w:space="0"/>
            </w:tcBorders>
            <w:vAlign w:val="center"/>
          </w:tcPr>
          <w:p w14:paraId="2165BD0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LED筒灯\灯盘（含光源）</w:t>
            </w:r>
          </w:p>
        </w:tc>
        <w:tc>
          <w:tcPr>
            <w:tcW w:w="1717" w:type="dxa"/>
            <w:tcBorders>
              <w:top w:val="single" w:color="000000" w:sz="4" w:space="0"/>
              <w:left w:val="single" w:color="000000" w:sz="4" w:space="0"/>
              <w:bottom w:val="single" w:color="000000" w:sz="8" w:space="0"/>
              <w:right w:val="single" w:color="000000" w:sz="4" w:space="0"/>
            </w:tcBorders>
            <w:vAlign w:val="center"/>
          </w:tcPr>
          <w:p w14:paraId="64CBB71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飞利浦</w:t>
            </w:r>
          </w:p>
        </w:tc>
        <w:tc>
          <w:tcPr>
            <w:tcW w:w="1477" w:type="dxa"/>
            <w:tcBorders>
              <w:top w:val="single" w:color="000000" w:sz="4" w:space="0"/>
              <w:left w:val="single" w:color="000000" w:sz="4" w:space="0"/>
              <w:bottom w:val="single" w:color="000000" w:sz="8" w:space="0"/>
              <w:right w:val="single" w:color="000000" w:sz="4" w:space="0"/>
            </w:tcBorders>
            <w:vAlign w:val="center"/>
          </w:tcPr>
          <w:p w14:paraId="5B61FD4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三雄极光</w:t>
            </w:r>
          </w:p>
        </w:tc>
        <w:tc>
          <w:tcPr>
            <w:tcW w:w="1576" w:type="dxa"/>
            <w:tcBorders>
              <w:top w:val="single" w:color="000000" w:sz="4" w:space="0"/>
              <w:left w:val="single" w:color="000000" w:sz="4" w:space="0"/>
              <w:bottom w:val="single" w:color="000000" w:sz="8" w:space="0"/>
              <w:right w:val="single" w:color="000000" w:sz="4" w:space="0"/>
            </w:tcBorders>
            <w:vAlign w:val="center"/>
          </w:tcPr>
          <w:p w14:paraId="2778073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雷士</w:t>
            </w:r>
          </w:p>
        </w:tc>
        <w:tc>
          <w:tcPr>
            <w:tcW w:w="1353" w:type="dxa"/>
            <w:tcBorders>
              <w:top w:val="single" w:color="000000" w:sz="4" w:space="0"/>
              <w:left w:val="single" w:color="000000" w:sz="4" w:space="0"/>
              <w:bottom w:val="single" w:color="000000" w:sz="4" w:space="0"/>
              <w:right w:val="single" w:color="000000" w:sz="4" w:space="0"/>
            </w:tcBorders>
            <w:vAlign w:val="center"/>
          </w:tcPr>
          <w:p w14:paraId="399A3094">
            <w:pPr>
              <w:jc w:val="left"/>
              <w:rPr>
                <w:rFonts w:hint="eastAsia" w:ascii="宋体" w:hAnsi="宋体" w:cs="宋体"/>
                <w:color w:val="auto"/>
                <w:sz w:val="24"/>
                <w:highlight w:val="none"/>
              </w:rPr>
            </w:pPr>
          </w:p>
        </w:tc>
      </w:tr>
      <w:tr w14:paraId="7C71479B">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01D175A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1768" w:type="dxa"/>
            <w:tcBorders>
              <w:top w:val="single" w:color="000000" w:sz="4" w:space="0"/>
              <w:left w:val="single" w:color="000000" w:sz="4" w:space="0"/>
              <w:bottom w:val="single" w:color="000000" w:sz="4" w:space="0"/>
              <w:right w:val="single" w:color="000000" w:sz="4" w:space="0"/>
            </w:tcBorders>
            <w:vAlign w:val="center"/>
          </w:tcPr>
          <w:p w14:paraId="3D022C6D">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医用紫外线杀菌灯</w:t>
            </w:r>
          </w:p>
        </w:tc>
        <w:tc>
          <w:tcPr>
            <w:tcW w:w="1717" w:type="dxa"/>
            <w:tcBorders>
              <w:top w:val="single" w:color="000000" w:sz="4" w:space="0"/>
              <w:left w:val="single" w:color="000000" w:sz="4" w:space="0"/>
              <w:bottom w:val="single" w:color="000000" w:sz="8" w:space="0"/>
              <w:right w:val="single" w:color="000000" w:sz="4" w:space="0"/>
            </w:tcBorders>
            <w:vAlign w:val="center"/>
          </w:tcPr>
          <w:p w14:paraId="7AFBD37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亿朗</w:t>
            </w:r>
          </w:p>
        </w:tc>
        <w:tc>
          <w:tcPr>
            <w:tcW w:w="1477" w:type="dxa"/>
            <w:tcBorders>
              <w:top w:val="single" w:color="000000" w:sz="4" w:space="0"/>
              <w:left w:val="single" w:color="000000" w:sz="4" w:space="0"/>
              <w:bottom w:val="single" w:color="000000" w:sz="8" w:space="0"/>
              <w:right w:val="single" w:color="000000" w:sz="4" w:space="0"/>
            </w:tcBorders>
            <w:vAlign w:val="center"/>
          </w:tcPr>
          <w:p w14:paraId="4738993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洁千里</w:t>
            </w:r>
          </w:p>
        </w:tc>
        <w:tc>
          <w:tcPr>
            <w:tcW w:w="1576" w:type="dxa"/>
            <w:tcBorders>
              <w:top w:val="single" w:color="000000" w:sz="4" w:space="0"/>
              <w:left w:val="single" w:color="000000" w:sz="4" w:space="0"/>
              <w:bottom w:val="single" w:color="000000" w:sz="8" w:space="0"/>
              <w:right w:val="single" w:color="000000" w:sz="4" w:space="0"/>
            </w:tcBorders>
            <w:vAlign w:val="center"/>
          </w:tcPr>
          <w:p w14:paraId="1ECBDA41">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苏州华榕</w:t>
            </w:r>
          </w:p>
        </w:tc>
        <w:tc>
          <w:tcPr>
            <w:tcW w:w="1353" w:type="dxa"/>
            <w:tcBorders>
              <w:top w:val="single" w:color="000000" w:sz="4" w:space="0"/>
              <w:left w:val="single" w:color="000000" w:sz="4" w:space="0"/>
              <w:bottom w:val="single" w:color="000000" w:sz="4" w:space="0"/>
              <w:right w:val="single" w:color="000000" w:sz="4" w:space="0"/>
            </w:tcBorders>
            <w:vAlign w:val="center"/>
          </w:tcPr>
          <w:p w14:paraId="46EEA77F">
            <w:pPr>
              <w:jc w:val="left"/>
              <w:rPr>
                <w:rFonts w:hint="eastAsia" w:ascii="宋体" w:hAnsi="宋体" w:cs="宋体"/>
                <w:color w:val="auto"/>
                <w:sz w:val="24"/>
                <w:highlight w:val="none"/>
              </w:rPr>
            </w:pPr>
          </w:p>
        </w:tc>
      </w:tr>
      <w:tr w14:paraId="5B99BE8E">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59ECC4A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1768" w:type="dxa"/>
            <w:tcBorders>
              <w:top w:val="single" w:color="000000" w:sz="4" w:space="0"/>
              <w:left w:val="single" w:color="000000" w:sz="4" w:space="0"/>
              <w:bottom w:val="single" w:color="000000" w:sz="4" w:space="0"/>
              <w:right w:val="single" w:color="000000" w:sz="4" w:space="0"/>
            </w:tcBorders>
            <w:vAlign w:val="center"/>
          </w:tcPr>
          <w:p w14:paraId="16D16CA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综合布线(面板模块、六类非屏蔽网络线、配线架模块)</w:t>
            </w:r>
          </w:p>
        </w:tc>
        <w:tc>
          <w:tcPr>
            <w:tcW w:w="1717" w:type="dxa"/>
            <w:tcBorders>
              <w:top w:val="single" w:color="000000" w:sz="4" w:space="0"/>
              <w:left w:val="single" w:color="000000" w:sz="4" w:space="0"/>
              <w:bottom w:val="single" w:color="000000" w:sz="8" w:space="0"/>
              <w:right w:val="single" w:color="000000" w:sz="4" w:space="0"/>
            </w:tcBorders>
            <w:vAlign w:val="center"/>
          </w:tcPr>
          <w:p w14:paraId="1019100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安普(AMP)</w:t>
            </w:r>
          </w:p>
        </w:tc>
        <w:tc>
          <w:tcPr>
            <w:tcW w:w="1477" w:type="dxa"/>
            <w:tcBorders>
              <w:top w:val="single" w:color="000000" w:sz="4" w:space="0"/>
              <w:left w:val="single" w:color="000000" w:sz="4" w:space="0"/>
              <w:bottom w:val="single" w:color="000000" w:sz="8" w:space="0"/>
              <w:right w:val="single" w:color="000000" w:sz="4" w:space="0"/>
            </w:tcBorders>
            <w:vAlign w:val="center"/>
          </w:tcPr>
          <w:p w14:paraId="1D39700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美国西蒙</w:t>
            </w:r>
          </w:p>
        </w:tc>
        <w:tc>
          <w:tcPr>
            <w:tcW w:w="1576" w:type="dxa"/>
            <w:tcBorders>
              <w:top w:val="single" w:color="000000" w:sz="4" w:space="0"/>
              <w:left w:val="single" w:color="000000" w:sz="4" w:space="0"/>
              <w:bottom w:val="single" w:color="000000" w:sz="8" w:space="0"/>
              <w:right w:val="single" w:color="000000" w:sz="4" w:space="0"/>
            </w:tcBorders>
            <w:vAlign w:val="center"/>
          </w:tcPr>
          <w:p w14:paraId="160176B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德特威勒</w:t>
            </w:r>
          </w:p>
        </w:tc>
        <w:tc>
          <w:tcPr>
            <w:tcW w:w="1353" w:type="dxa"/>
            <w:tcBorders>
              <w:top w:val="single" w:color="000000" w:sz="4" w:space="0"/>
              <w:left w:val="single" w:color="000000" w:sz="4" w:space="0"/>
              <w:bottom w:val="single" w:color="000000" w:sz="4" w:space="0"/>
              <w:right w:val="single" w:color="000000" w:sz="4" w:space="0"/>
            </w:tcBorders>
            <w:vAlign w:val="center"/>
          </w:tcPr>
          <w:p w14:paraId="0D90B1D2">
            <w:pPr>
              <w:jc w:val="left"/>
              <w:rPr>
                <w:rFonts w:hint="eastAsia" w:ascii="宋体" w:hAnsi="宋体" w:cs="宋体"/>
                <w:color w:val="auto"/>
                <w:sz w:val="24"/>
                <w:highlight w:val="none"/>
              </w:rPr>
            </w:pPr>
          </w:p>
        </w:tc>
      </w:tr>
      <w:tr w14:paraId="1E730B76">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1A95D09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1768" w:type="dxa"/>
            <w:tcBorders>
              <w:top w:val="single" w:color="000000" w:sz="4" w:space="0"/>
              <w:left w:val="single" w:color="000000" w:sz="4" w:space="0"/>
              <w:bottom w:val="single" w:color="000000" w:sz="4" w:space="0"/>
              <w:right w:val="single" w:color="000000" w:sz="4" w:space="0"/>
            </w:tcBorders>
            <w:vAlign w:val="center"/>
          </w:tcPr>
          <w:p w14:paraId="40CF572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金属线槽、线管及桥架</w:t>
            </w:r>
          </w:p>
        </w:tc>
        <w:tc>
          <w:tcPr>
            <w:tcW w:w="1717" w:type="dxa"/>
            <w:tcBorders>
              <w:top w:val="single" w:color="000000" w:sz="4" w:space="0"/>
              <w:left w:val="single" w:color="000000" w:sz="4" w:space="0"/>
              <w:bottom w:val="single" w:color="000000" w:sz="8" w:space="0"/>
              <w:right w:val="single" w:color="000000" w:sz="4" w:space="0"/>
            </w:tcBorders>
            <w:vAlign w:val="center"/>
          </w:tcPr>
          <w:p w14:paraId="057F049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华捷</w:t>
            </w:r>
          </w:p>
        </w:tc>
        <w:tc>
          <w:tcPr>
            <w:tcW w:w="1477" w:type="dxa"/>
            <w:tcBorders>
              <w:top w:val="single" w:color="000000" w:sz="4" w:space="0"/>
              <w:left w:val="single" w:color="000000" w:sz="4" w:space="0"/>
              <w:bottom w:val="single" w:color="000000" w:sz="8" w:space="0"/>
              <w:right w:val="single" w:color="000000" w:sz="4" w:space="0"/>
            </w:tcBorders>
            <w:vAlign w:val="center"/>
          </w:tcPr>
          <w:p w14:paraId="7A96A0A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番禺桥架</w:t>
            </w:r>
          </w:p>
        </w:tc>
        <w:tc>
          <w:tcPr>
            <w:tcW w:w="1576" w:type="dxa"/>
            <w:tcBorders>
              <w:top w:val="single" w:color="000000" w:sz="4" w:space="0"/>
              <w:left w:val="single" w:color="000000" w:sz="4" w:space="0"/>
              <w:bottom w:val="single" w:color="000000" w:sz="8" w:space="0"/>
              <w:right w:val="single" w:color="000000" w:sz="4" w:space="0"/>
            </w:tcBorders>
            <w:vAlign w:val="center"/>
          </w:tcPr>
          <w:p w14:paraId="5DF4480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一通</w:t>
            </w:r>
          </w:p>
        </w:tc>
        <w:tc>
          <w:tcPr>
            <w:tcW w:w="1353" w:type="dxa"/>
            <w:tcBorders>
              <w:top w:val="single" w:color="000000" w:sz="4" w:space="0"/>
              <w:left w:val="single" w:color="000000" w:sz="4" w:space="0"/>
              <w:bottom w:val="single" w:color="000000" w:sz="4" w:space="0"/>
              <w:right w:val="single" w:color="000000" w:sz="4" w:space="0"/>
            </w:tcBorders>
            <w:vAlign w:val="center"/>
          </w:tcPr>
          <w:p w14:paraId="341C566A">
            <w:pPr>
              <w:jc w:val="left"/>
              <w:rPr>
                <w:rFonts w:hint="eastAsia" w:ascii="宋体" w:hAnsi="宋体" w:cs="宋体"/>
                <w:color w:val="auto"/>
                <w:sz w:val="24"/>
                <w:highlight w:val="none"/>
              </w:rPr>
            </w:pPr>
          </w:p>
        </w:tc>
      </w:tr>
      <w:tr w14:paraId="03BAFB78">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68DF2B0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四</w:t>
            </w:r>
          </w:p>
        </w:tc>
        <w:tc>
          <w:tcPr>
            <w:tcW w:w="1768" w:type="dxa"/>
            <w:tcBorders>
              <w:top w:val="single" w:color="000000" w:sz="4" w:space="0"/>
              <w:left w:val="single" w:color="000000" w:sz="4" w:space="0"/>
              <w:bottom w:val="single" w:color="000000" w:sz="4" w:space="0"/>
              <w:right w:val="single" w:color="000000" w:sz="4" w:space="0"/>
            </w:tcBorders>
            <w:vAlign w:val="center"/>
          </w:tcPr>
          <w:p w14:paraId="214B168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工艺暖通系统</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3D99FCE1">
            <w:pPr>
              <w:jc w:val="center"/>
              <w:rPr>
                <w:rFonts w:hint="eastAsia" w:ascii="宋体" w:hAnsi="宋体" w:cs="宋体"/>
                <w:color w:val="auto"/>
                <w:sz w:val="24"/>
                <w:highlight w:val="none"/>
              </w:rPr>
            </w:pPr>
          </w:p>
        </w:tc>
        <w:tc>
          <w:tcPr>
            <w:tcW w:w="1477" w:type="dxa"/>
            <w:tcBorders>
              <w:top w:val="single" w:color="000000" w:sz="4" w:space="0"/>
              <w:left w:val="single" w:color="000000" w:sz="4" w:space="0"/>
              <w:bottom w:val="single" w:color="000000" w:sz="4" w:space="0"/>
              <w:right w:val="single" w:color="000000" w:sz="4" w:space="0"/>
            </w:tcBorders>
            <w:noWrap/>
            <w:vAlign w:val="center"/>
          </w:tcPr>
          <w:p w14:paraId="6FF02B9E">
            <w:pPr>
              <w:jc w:val="center"/>
              <w:rPr>
                <w:rFonts w:hint="eastAsia" w:ascii="宋体" w:hAnsi="宋体" w:cs="宋体"/>
                <w:color w:val="auto"/>
                <w:sz w:val="24"/>
                <w:highlight w:val="none"/>
              </w:rPr>
            </w:pPr>
          </w:p>
        </w:tc>
        <w:tc>
          <w:tcPr>
            <w:tcW w:w="1576" w:type="dxa"/>
            <w:tcBorders>
              <w:top w:val="single" w:color="000000" w:sz="4" w:space="0"/>
              <w:left w:val="single" w:color="000000" w:sz="4" w:space="0"/>
              <w:bottom w:val="single" w:color="000000" w:sz="4" w:space="0"/>
              <w:right w:val="single" w:color="000000" w:sz="4" w:space="0"/>
            </w:tcBorders>
            <w:noWrap/>
            <w:vAlign w:val="center"/>
          </w:tcPr>
          <w:p w14:paraId="10A1FC55">
            <w:pPr>
              <w:jc w:val="center"/>
              <w:rPr>
                <w:rFonts w:hint="eastAsia" w:ascii="宋体" w:hAnsi="宋体" w:cs="宋体"/>
                <w:color w:val="auto"/>
                <w:sz w:val="24"/>
                <w:highlight w:val="none"/>
              </w:rPr>
            </w:pP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08DB020">
            <w:pPr>
              <w:rPr>
                <w:rFonts w:hint="eastAsia" w:ascii="宋体" w:hAnsi="宋体" w:cs="宋体"/>
                <w:color w:val="auto"/>
                <w:sz w:val="24"/>
                <w:highlight w:val="none"/>
              </w:rPr>
            </w:pPr>
          </w:p>
        </w:tc>
      </w:tr>
      <w:tr w14:paraId="1AE3DDB5">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27675C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768" w:type="dxa"/>
            <w:tcBorders>
              <w:top w:val="single" w:color="000000" w:sz="4" w:space="0"/>
              <w:left w:val="single" w:color="000000" w:sz="4" w:space="0"/>
              <w:bottom w:val="single" w:color="000000" w:sz="4" w:space="0"/>
              <w:right w:val="single" w:color="000000" w:sz="4" w:space="0"/>
            </w:tcBorders>
            <w:vAlign w:val="center"/>
          </w:tcPr>
          <w:p w14:paraId="4485738F">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中央空调主机</w:t>
            </w:r>
          </w:p>
        </w:tc>
        <w:tc>
          <w:tcPr>
            <w:tcW w:w="1717" w:type="dxa"/>
            <w:tcBorders>
              <w:top w:val="single" w:color="000000" w:sz="4" w:space="0"/>
              <w:left w:val="single" w:color="000000" w:sz="4" w:space="0"/>
              <w:bottom w:val="single" w:color="000000" w:sz="8" w:space="0"/>
              <w:right w:val="single" w:color="000000" w:sz="4" w:space="0"/>
            </w:tcBorders>
            <w:vAlign w:val="center"/>
          </w:tcPr>
          <w:p w14:paraId="6FE22A1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约克</w:t>
            </w:r>
          </w:p>
        </w:tc>
        <w:tc>
          <w:tcPr>
            <w:tcW w:w="1477" w:type="dxa"/>
            <w:tcBorders>
              <w:top w:val="single" w:color="000000" w:sz="4" w:space="0"/>
              <w:left w:val="single" w:color="000000" w:sz="4" w:space="0"/>
              <w:bottom w:val="single" w:color="000000" w:sz="8" w:space="0"/>
              <w:right w:val="single" w:color="000000" w:sz="4" w:space="0"/>
            </w:tcBorders>
            <w:vAlign w:val="center"/>
          </w:tcPr>
          <w:p w14:paraId="2A3C412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特灵</w:t>
            </w:r>
          </w:p>
        </w:tc>
        <w:tc>
          <w:tcPr>
            <w:tcW w:w="1576" w:type="dxa"/>
            <w:tcBorders>
              <w:top w:val="single" w:color="000000" w:sz="4" w:space="0"/>
              <w:left w:val="single" w:color="000000" w:sz="4" w:space="0"/>
              <w:bottom w:val="single" w:color="000000" w:sz="8" w:space="0"/>
              <w:right w:val="single" w:color="000000" w:sz="4" w:space="0"/>
            </w:tcBorders>
            <w:vAlign w:val="center"/>
          </w:tcPr>
          <w:p w14:paraId="1E97D9E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开利</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14ABD48">
            <w:pPr>
              <w:rPr>
                <w:rFonts w:hint="eastAsia" w:ascii="宋体" w:hAnsi="宋体" w:cs="宋体"/>
                <w:color w:val="auto"/>
                <w:sz w:val="24"/>
                <w:highlight w:val="none"/>
              </w:rPr>
            </w:pPr>
          </w:p>
        </w:tc>
      </w:tr>
      <w:tr w14:paraId="73576C14">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674FC33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768" w:type="dxa"/>
            <w:tcBorders>
              <w:top w:val="single" w:color="000000" w:sz="4" w:space="0"/>
              <w:left w:val="single" w:color="000000" w:sz="4" w:space="0"/>
              <w:bottom w:val="single" w:color="000000" w:sz="4" w:space="0"/>
              <w:right w:val="single" w:color="000000" w:sz="4" w:space="0"/>
            </w:tcBorders>
            <w:vAlign w:val="center"/>
          </w:tcPr>
          <w:p w14:paraId="236598A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多联机</w:t>
            </w:r>
          </w:p>
        </w:tc>
        <w:tc>
          <w:tcPr>
            <w:tcW w:w="1717" w:type="dxa"/>
            <w:tcBorders>
              <w:top w:val="single" w:color="000000" w:sz="4" w:space="0"/>
              <w:left w:val="single" w:color="000000" w:sz="4" w:space="0"/>
              <w:bottom w:val="single" w:color="000000" w:sz="8" w:space="0"/>
              <w:right w:val="single" w:color="000000" w:sz="4" w:space="0"/>
            </w:tcBorders>
            <w:vAlign w:val="center"/>
          </w:tcPr>
          <w:p w14:paraId="22F4780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大金</w:t>
            </w:r>
          </w:p>
        </w:tc>
        <w:tc>
          <w:tcPr>
            <w:tcW w:w="1477" w:type="dxa"/>
            <w:tcBorders>
              <w:top w:val="single" w:color="000000" w:sz="4" w:space="0"/>
              <w:left w:val="single" w:color="000000" w:sz="4" w:space="0"/>
              <w:bottom w:val="single" w:color="000000" w:sz="8" w:space="0"/>
              <w:right w:val="single" w:color="000000" w:sz="4" w:space="0"/>
            </w:tcBorders>
            <w:vAlign w:val="center"/>
          </w:tcPr>
          <w:p w14:paraId="60BB094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三菱电机</w:t>
            </w:r>
          </w:p>
        </w:tc>
        <w:tc>
          <w:tcPr>
            <w:tcW w:w="1576" w:type="dxa"/>
            <w:tcBorders>
              <w:top w:val="single" w:color="000000" w:sz="4" w:space="0"/>
              <w:left w:val="single" w:color="000000" w:sz="4" w:space="0"/>
              <w:bottom w:val="single" w:color="000000" w:sz="8" w:space="0"/>
              <w:right w:val="single" w:color="000000" w:sz="4" w:space="0"/>
            </w:tcBorders>
            <w:vAlign w:val="center"/>
          </w:tcPr>
          <w:p w14:paraId="6AC8AFC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三菱重工</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3C424CF1">
            <w:pPr>
              <w:rPr>
                <w:rFonts w:hint="eastAsia" w:ascii="宋体" w:hAnsi="宋体" w:cs="宋体"/>
                <w:color w:val="auto"/>
                <w:sz w:val="24"/>
                <w:highlight w:val="none"/>
              </w:rPr>
            </w:pPr>
          </w:p>
        </w:tc>
      </w:tr>
      <w:tr w14:paraId="7C6699AF">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387045D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768" w:type="dxa"/>
            <w:tcBorders>
              <w:top w:val="single" w:color="000000" w:sz="4" w:space="0"/>
              <w:left w:val="single" w:color="000000" w:sz="4" w:space="0"/>
              <w:bottom w:val="single" w:color="000000" w:sz="4" w:space="0"/>
              <w:right w:val="single" w:color="000000" w:sz="4" w:space="0"/>
            </w:tcBorders>
            <w:vAlign w:val="center"/>
          </w:tcPr>
          <w:p w14:paraId="23CE093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模块化风冷式冷/热水机组</w:t>
            </w:r>
          </w:p>
        </w:tc>
        <w:tc>
          <w:tcPr>
            <w:tcW w:w="1717" w:type="dxa"/>
            <w:tcBorders>
              <w:top w:val="single" w:color="000000" w:sz="4" w:space="0"/>
              <w:left w:val="single" w:color="000000" w:sz="4" w:space="0"/>
              <w:bottom w:val="single" w:color="000000" w:sz="8" w:space="0"/>
              <w:right w:val="single" w:color="000000" w:sz="4" w:space="0"/>
            </w:tcBorders>
            <w:vAlign w:val="center"/>
          </w:tcPr>
          <w:p w14:paraId="7041692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天加</w:t>
            </w:r>
          </w:p>
        </w:tc>
        <w:tc>
          <w:tcPr>
            <w:tcW w:w="1477" w:type="dxa"/>
            <w:tcBorders>
              <w:top w:val="single" w:color="000000" w:sz="4" w:space="0"/>
              <w:left w:val="single" w:color="000000" w:sz="4" w:space="0"/>
              <w:bottom w:val="single" w:color="000000" w:sz="8" w:space="0"/>
              <w:right w:val="single" w:color="000000" w:sz="4" w:space="0"/>
            </w:tcBorders>
            <w:vAlign w:val="center"/>
          </w:tcPr>
          <w:p w14:paraId="2861D08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申菱</w:t>
            </w:r>
          </w:p>
        </w:tc>
        <w:tc>
          <w:tcPr>
            <w:tcW w:w="1576" w:type="dxa"/>
            <w:tcBorders>
              <w:top w:val="single" w:color="000000" w:sz="4" w:space="0"/>
              <w:left w:val="single" w:color="000000" w:sz="4" w:space="0"/>
              <w:bottom w:val="single" w:color="000000" w:sz="8" w:space="0"/>
              <w:right w:val="single" w:color="000000" w:sz="4" w:space="0"/>
            </w:tcBorders>
            <w:vAlign w:val="center"/>
          </w:tcPr>
          <w:p w14:paraId="447718A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雅士</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39E379C">
            <w:pPr>
              <w:rPr>
                <w:rFonts w:hint="eastAsia" w:ascii="宋体" w:hAnsi="宋体" w:cs="宋体"/>
                <w:color w:val="auto"/>
                <w:sz w:val="24"/>
                <w:highlight w:val="none"/>
              </w:rPr>
            </w:pPr>
          </w:p>
        </w:tc>
      </w:tr>
      <w:tr w14:paraId="0A3DB0DA">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0A7A527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768" w:type="dxa"/>
            <w:tcBorders>
              <w:top w:val="single" w:color="000000" w:sz="4" w:space="0"/>
              <w:left w:val="single" w:color="000000" w:sz="4" w:space="0"/>
              <w:bottom w:val="single" w:color="000000" w:sz="4" w:space="0"/>
              <w:right w:val="single" w:color="000000" w:sz="4" w:space="0"/>
            </w:tcBorders>
            <w:vAlign w:val="center"/>
          </w:tcPr>
          <w:p w14:paraId="2544B10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组合式（净化）空气处理机组</w:t>
            </w:r>
          </w:p>
        </w:tc>
        <w:tc>
          <w:tcPr>
            <w:tcW w:w="1717" w:type="dxa"/>
            <w:tcBorders>
              <w:top w:val="single" w:color="000000" w:sz="4" w:space="0"/>
              <w:left w:val="single" w:color="000000" w:sz="4" w:space="0"/>
              <w:bottom w:val="single" w:color="000000" w:sz="8" w:space="0"/>
              <w:right w:val="single" w:color="000000" w:sz="4" w:space="0"/>
            </w:tcBorders>
            <w:vAlign w:val="center"/>
          </w:tcPr>
          <w:p w14:paraId="20F003F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天加</w:t>
            </w:r>
          </w:p>
        </w:tc>
        <w:tc>
          <w:tcPr>
            <w:tcW w:w="1477" w:type="dxa"/>
            <w:tcBorders>
              <w:top w:val="single" w:color="000000" w:sz="4" w:space="0"/>
              <w:left w:val="single" w:color="000000" w:sz="4" w:space="0"/>
              <w:bottom w:val="single" w:color="000000" w:sz="8" w:space="0"/>
              <w:right w:val="single" w:color="000000" w:sz="4" w:space="0"/>
            </w:tcBorders>
            <w:vAlign w:val="center"/>
          </w:tcPr>
          <w:p w14:paraId="03FA181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申菱</w:t>
            </w:r>
          </w:p>
        </w:tc>
        <w:tc>
          <w:tcPr>
            <w:tcW w:w="1576" w:type="dxa"/>
            <w:tcBorders>
              <w:top w:val="single" w:color="000000" w:sz="4" w:space="0"/>
              <w:left w:val="single" w:color="000000" w:sz="4" w:space="0"/>
              <w:bottom w:val="single" w:color="000000" w:sz="8" w:space="0"/>
              <w:right w:val="single" w:color="000000" w:sz="4" w:space="0"/>
            </w:tcBorders>
            <w:vAlign w:val="center"/>
          </w:tcPr>
          <w:p w14:paraId="231FB8B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雅士</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618A6A0">
            <w:pPr>
              <w:rPr>
                <w:rFonts w:hint="eastAsia" w:ascii="宋体" w:hAnsi="宋体" w:cs="宋体"/>
                <w:color w:val="auto"/>
                <w:sz w:val="24"/>
                <w:highlight w:val="none"/>
              </w:rPr>
            </w:pPr>
          </w:p>
        </w:tc>
      </w:tr>
      <w:tr w14:paraId="1C151129">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D75DBE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1768" w:type="dxa"/>
            <w:tcBorders>
              <w:top w:val="single" w:color="000000" w:sz="4" w:space="0"/>
              <w:left w:val="single" w:color="000000" w:sz="4" w:space="0"/>
              <w:bottom w:val="single" w:color="000000" w:sz="4" w:space="0"/>
              <w:right w:val="single" w:color="000000" w:sz="4" w:space="0"/>
            </w:tcBorders>
            <w:vAlign w:val="center"/>
          </w:tcPr>
          <w:p w14:paraId="3DCB8AD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风机盘管、空调机</w:t>
            </w:r>
          </w:p>
        </w:tc>
        <w:tc>
          <w:tcPr>
            <w:tcW w:w="1717" w:type="dxa"/>
            <w:tcBorders>
              <w:top w:val="single" w:color="000000" w:sz="4" w:space="0"/>
              <w:left w:val="single" w:color="000000" w:sz="4" w:space="0"/>
              <w:bottom w:val="single" w:color="000000" w:sz="8" w:space="0"/>
              <w:right w:val="single" w:color="000000" w:sz="4" w:space="0"/>
            </w:tcBorders>
            <w:vAlign w:val="center"/>
          </w:tcPr>
          <w:p w14:paraId="59D4796F">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大金</w:t>
            </w:r>
          </w:p>
        </w:tc>
        <w:tc>
          <w:tcPr>
            <w:tcW w:w="1477" w:type="dxa"/>
            <w:tcBorders>
              <w:top w:val="single" w:color="000000" w:sz="4" w:space="0"/>
              <w:left w:val="single" w:color="000000" w:sz="4" w:space="0"/>
              <w:bottom w:val="single" w:color="000000" w:sz="8" w:space="0"/>
              <w:right w:val="single" w:color="000000" w:sz="4" w:space="0"/>
            </w:tcBorders>
            <w:vAlign w:val="center"/>
          </w:tcPr>
          <w:p w14:paraId="790F759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开利</w:t>
            </w:r>
          </w:p>
        </w:tc>
        <w:tc>
          <w:tcPr>
            <w:tcW w:w="1576" w:type="dxa"/>
            <w:tcBorders>
              <w:top w:val="single" w:color="000000" w:sz="4" w:space="0"/>
              <w:left w:val="single" w:color="000000" w:sz="4" w:space="0"/>
              <w:bottom w:val="single" w:color="000000" w:sz="8" w:space="0"/>
              <w:right w:val="single" w:color="000000" w:sz="4" w:space="0"/>
            </w:tcBorders>
            <w:vAlign w:val="center"/>
          </w:tcPr>
          <w:p w14:paraId="6D02A49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特灵</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6E776BA">
            <w:pPr>
              <w:rPr>
                <w:rFonts w:hint="eastAsia" w:ascii="宋体" w:hAnsi="宋体" w:cs="宋体"/>
                <w:color w:val="auto"/>
                <w:sz w:val="24"/>
                <w:highlight w:val="none"/>
              </w:rPr>
            </w:pPr>
          </w:p>
        </w:tc>
      </w:tr>
      <w:tr w14:paraId="6607A59C">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1627AFC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1768" w:type="dxa"/>
            <w:tcBorders>
              <w:top w:val="single" w:color="000000" w:sz="4" w:space="0"/>
              <w:left w:val="single" w:color="000000" w:sz="4" w:space="0"/>
              <w:bottom w:val="single" w:color="000000" w:sz="4" w:space="0"/>
              <w:right w:val="single" w:color="000000" w:sz="4" w:space="0"/>
            </w:tcBorders>
            <w:vAlign w:val="center"/>
          </w:tcPr>
          <w:p w14:paraId="566E7EA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（空调、污水、生活）水泵</w:t>
            </w:r>
          </w:p>
        </w:tc>
        <w:tc>
          <w:tcPr>
            <w:tcW w:w="1717" w:type="dxa"/>
            <w:tcBorders>
              <w:top w:val="single" w:color="000000" w:sz="4" w:space="0"/>
              <w:left w:val="single" w:color="000000" w:sz="4" w:space="0"/>
              <w:bottom w:val="single" w:color="000000" w:sz="8" w:space="0"/>
              <w:right w:val="single" w:color="000000" w:sz="4" w:space="0"/>
            </w:tcBorders>
            <w:vAlign w:val="center"/>
          </w:tcPr>
          <w:p w14:paraId="7EC66FC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格兰富</w:t>
            </w:r>
          </w:p>
        </w:tc>
        <w:tc>
          <w:tcPr>
            <w:tcW w:w="1477" w:type="dxa"/>
            <w:tcBorders>
              <w:top w:val="single" w:color="000000" w:sz="4" w:space="0"/>
              <w:left w:val="single" w:color="000000" w:sz="4" w:space="0"/>
              <w:bottom w:val="single" w:color="000000" w:sz="8" w:space="0"/>
              <w:right w:val="single" w:color="000000" w:sz="4" w:space="0"/>
            </w:tcBorders>
            <w:vAlign w:val="center"/>
          </w:tcPr>
          <w:p w14:paraId="185366C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凯泉</w:t>
            </w:r>
          </w:p>
        </w:tc>
        <w:tc>
          <w:tcPr>
            <w:tcW w:w="1576" w:type="dxa"/>
            <w:tcBorders>
              <w:top w:val="single" w:color="000000" w:sz="4" w:space="0"/>
              <w:left w:val="single" w:color="000000" w:sz="4" w:space="0"/>
              <w:bottom w:val="single" w:color="000000" w:sz="8" w:space="0"/>
              <w:right w:val="single" w:color="000000" w:sz="4" w:space="0"/>
            </w:tcBorders>
            <w:vAlign w:val="center"/>
          </w:tcPr>
          <w:p w14:paraId="1CB337F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ITT</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21EC6E94">
            <w:pPr>
              <w:rPr>
                <w:rFonts w:hint="eastAsia" w:ascii="宋体" w:hAnsi="宋体" w:cs="宋体"/>
                <w:color w:val="auto"/>
                <w:sz w:val="24"/>
                <w:highlight w:val="none"/>
              </w:rPr>
            </w:pPr>
          </w:p>
        </w:tc>
      </w:tr>
      <w:tr w14:paraId="577452C0">
        <w:tblPrEx>
          <w:tblCellMar>
            <w:top w:w="0" w:type="dxa"/>
            <w:left w:w="108" w:type="dxa"/>
            <w:bottom w:w="0" w:type="dxa"/>
            <w:right w:w="108" w:type="dxa"/>
          </w:tblCellMar>
        </w:tblPrEx>
        <w:trPr>
          <w:trHeight w:val="680"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34A504D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1768" w:type="dxa"/>
            <w:tcBorders>
              <w:top w:val="single" w:color="000000" w:sz="4" w:space="0"/>
              <w:left w:val="single" w:color="000000" w:sz="4" w:space="0"/>
              <w:bottom w:val="single" w:color="000000" w:sz="4" w:space="0"/>
              <w:right w:val="single" w:color="000000" w:sz="4" w:space="0"/>
            </w:tcBorders>
            <w:vAlign w:val="center"/>
          </w:tcPr>
          <w:p w14:paraId="4BB3B36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镀锌钢管</w:t>
            </w:r>
          </w:p>
        </w:tc>
        <w:tc>
          <w:tcPr>
            <w:tcW w:w="1717" w:type="dxa"/>
            <w:tcBorders>
              <w:top w:val="single" w:color="000000" w:sz="4" w:space="0"/>
              <w:left w:val="single" w:color="000000" w:sz="4" w:space="0"/>
              <w:bottom w:val="single" w:color="000000" w:sz="8" w:space="0"/>
              <w:right w:val="single" w:color="000000" w:sz="4" w:space="0"/>
            </w:tcBorders>
            <w:vAlign w:val="center"/>
          </w:tcPr>
          <w:p w14:paraId="25A26EBA">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珠江</w:t>
            </w:r>
          </w:p>
        </w:tc>
        <w:tc>
          <w:tcPr>
            <w:tcW w:w="1477" w:type="dxa"/>
            <w:tcBorders>
              <w:top w:val="single" w:color="000000" w:sz="4" w:space="0"/>
              <w:left w:val="single" w:color="000000" w:sz="4" w:space="0"/>
              <w:bottom w:val="single" w:color="000000" w:sz="8" w:space="0"/>
              <w:right w:val="single" w:color="000000" w:sz="4" w:space="0"/>
            </w:tcBorders>
            <w:vAlign w:val="center"/>
          </w:tcPr>
          <w:p w14:paraId="6E52F27E">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中山华捷</w:t>
            </w:r>
          </w:p>
        </w:tc>
        <w:tc>
          <w:tcPr>
            <w:tcW w:w="1576" w:type="dxa"/>
            <w:tcBorders>
              <w:top w:val="single" w:color="000000" w:sz="4" w:space="0"/>
              <w:left w:val="single" w:color="000000" w:sz="4" w:space="0"/>
              <w:bottom w:val="single" w:color="000000" w:sz="8" w:space="0"/>
              <w:right w:val="single" w:color="000000" w:sz="4" w:space="0"/>
            </w:tcBorders>
            <w:vAlign w:val="center"/>
          </w:tcPr>
          <w:p w14:paraId="22487357">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中山华通</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1C6D052">
            <w:pPr>
              <w:rPr>
                <w:rFonts w:hint="eastAsia" w:ascii="宋体" w:hAnsi="宋体" w:cs="宋体"/>
                <w:color w:val="auto"/>
                <w:sz w:val="24"/>
                <w:highlight w:val="none"/>
              </w:rPr>
            </w:pPr>
          </w:p>
        </w:tc>
      </w:tr>
      <w:tr w14:paraId="4B676D76">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6539D90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1768" w:type="dxa"/>
            <w:tcBorders>
              <w:top w:val="single" w:color="000000" w:sz="4" w:space="0"/>
              <w:left w:val="single" w:color="000000" w:sz="4" w:space="0"/>
              <w:bottom w:val="single" w:color="000000" w:sz="4" w:space="0"/>
              <w:right w:val="single" w:color="000000" w:sz="4" w:space="0"/>
            </w:tcBorders>
            <w:vAlign w:val="center"/>
          </w:tcPr>
          <w:p w14:paraId="4CEE6F9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补风变风量阀、定风量阀</w:t>
            </w:r>
          </w:p>
        </w:tc>
        <w:tc>
          <w:tcPr>
            <w:tcW w:w="1717" w:type="dxa"/>
            <w:tcBorders>
              <w:top w:val="single" w:color="000000" w:sz="4" w:space="0"/>
              <w:left w:val="single" w:color="000000" w:sz="4" w:space="0"/>
              <w:bottom w:val="single" w:color="000000" w:sz="8" w:space="0"/>
              <w:right w:val="single" w:color="000000" w:sz="4" w:space="0"/>
            </w:tcBorders>
            <w:vAlign w:val="center"/>
          </w:tcPr>
          <w:p w14:paraId="3C27F9A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妥思</w:t>
            </w:r>
          </w:p>
        </w:tc>
        <w:tc>
          <w:tcPr>
            <w:tcW w:w="1477" w:type="dxa"/>
            <w:tcBorders>
              <w:top w:val="single" w:color="000000" w:sz="4" w:space="0"/>
              <w:left w:val="single" w:color="000000" w:sz="4" w:space="0"/>
              <w:bottom w:val="single" w:color="000000" w:sz="8" w:space="0"/>
              <w:right w:val="single" w:color="000000" w:sz="4" w:space="0"/>
            </w:tcBorders>
            <w:vAlign w:val="center"/>
          </w:tcPr>
          <w:p w14:paraId="0E94AB9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菲尼克斯</w:t>
            </w:r>
          </w:p>
        </w:tc>
        <w:tc>
          <w:tcPr>
            <w:tcW w:w="1576" w:type="dxa"/>
            <w:tcBorders>
              <w:top w:val="single" w:color="000000" w:sz="4" w:space="0"/>
              <w:left w:val="single" w:color="000000" w:sz="4" w:space="0"/>
              <w:bottom w:val="single" w:color="000000" w:sz="8" w:space="0"/>
              <w:right w:val="single" w:color="000000" w:sz="4" w:space="0"/>
            </w:tcBorders>
            <w:vAlign w:val="center"/>
          </w:tcPr>
          <w:p w14:paraId="127E0DF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皇家空调</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7EF1C160">
            <w:pPr>
              <w:rPr>
                <w:rFonts w:hint="eastAsia" w:ascii="宋体" w:hAnsi="宋体" w:cs="宋体"/>
                <w:color w:val="auto"/>
                <w:sz w:val="24"/>
                <w:highlight w:val="none"/>
              </w:rPr>
            </w:pPr>
          </w:p>
        </w:tc>
      </w:tr>
      <w:tr w14:paraId="20AAF145">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670395A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1768" w:type="dxa"/>
            <w:tcBorders>
              <w:top w:val="single" w:color="000000" w:sz="4" w:space="0"/>
              <w:left w:val="single" w:color="000000" w:sz="4" w:space="0"/>
              <w:bottom w:val="single" w:color="000000" w:sz="4" w:space="0"/>
              <w:right w:val="single" w:color="000000" w:sz="4" w:space="0"/>
            </w:tcBorders>
            <w:vAlign w:val="center"/>
          </w:tcPr>
          <w:p w14:paraId="5671F49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通风柜变风量阀</w:t>
            </w:r>
          </w:p>
        </w:tc>
        <w:tc>
          <w:tcPr>
            <w:tcW w:w="1717" w:type="dxa"/>
            <w:tcBorders>
              <w:top w:val="single" w:color="000000" w:sz="4" w:space="0"/>
              <w:left w:val="single" w:color="000000" w:sz="4" w:space="0"/>
              <w:bottom w:val="single" w:color="000000" w:sz="8" w:space="0"/>
              <w:right w:val="single" w:color="000000" w:sz="4" w:space="0"/>
            </w:tcBorders>
            <w:vAlign w:val="center"/>
          </w:tcPr>
          <w:p w14:paraId="54C2653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妥思</w:t>
            </w:r>
          </w:p>
        </w:tc>
        <w:tc>
          <w:tcPr>
            <w:tcW w:w="1477" w:type="dxa"/>
            <w:tcBorders>
              <w:top w:val="single" w:color="000000" w:sz="4" w:space="0"/>
              <w:left w:val="single" w:color="000000" w:sz="4" w:space="0"/>
              <w:bottom w:val="single" w:color="000000" w:sz="8" w:space="0"/>
              <w:right w:val="single" w:color="000000" w:sz="4" w:space="0"/>
            </w:tcBorders>
            <w:vAlign w:val="center"/>
          </w:tcPr>
          <w:p w14:paraId="657C7E3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菲尼克斯</w:t>
            </w:r>
          </w:p>
        </w:tc>
        <w:tc>
          <w:tcPr>
            <w:tcW w:w="1576" w:type="dxa"/>
            <w:tcBorders>
              <w:top w:val="single" w:color="000000" w:sz="4" w:space="0"/>
              <w:left w:val="single" w:color="000000" w:sz="4" w:space="0"/>
              <w:bottom w:val="single" w:color="000000" w:sz="8" w:space="0"/>
              <w:right w:val="single" w:color="000000" w:sz="4" w:space="0"/>
            </w:tcBorders>
            <w:vAlign w:val="center"/>
          </w:tcPr>
          <w:p w14:paraId="6956091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皇家空调</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3D5F4733">
            <w:pPr>
              <w:rPr>
                <w:rFonts w:hint="eastAsia" w:ascii="宋体" w:hAnsi="宋体" w:cs="宋体"/>
                <w:color w:val="auto"/>
                <w:sz w:val="24"/>
                <w:highlight w:val="none"/>
              </w:rPr>
            </w:pPr>
          </w:p>
        </w:tc>
      </w:tr>
      <w:tr w14:paraId="0137F7D7">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68472F6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1768" w:type="dxa"/>
            <w:tcBorders>
              <w:top w:val="single" w:color="000000" w:sz="4" w:space="0"/>
              <w:left w:val="single" w:color="000000" w:sz="4" w:space="0"/>
              <w:bottom w:val="single" w:color="000000" w:sz="4" w:space="0"/>
              <w:right w:val="single" w:color="000000" w:sz="4" w:space="0"/>
            </w:tcBorders>
            <w:vAlign w:val="center"/>
          </w:tcPr>
          <w:p w14:paraId="19F4D05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玻璃钢离心风机</w:t>
            </w:r>
          </w:p>
        </w:tc>
        <w:tc>
          <w:tcPr>
            <w:tcW w:w="1717" w:type="dxa"/>
            <w:tcBorders>
              <w:top w:val="single" w:color="000000" w:sz="4" w:space="0"/>
              <w:left w:val="single" w:color="000000" w:sz="4" w:space="0"/>
              <w:bottom w:val="single" w:color="000000" w:sz="8" w:space="0"/>
              <w:right w:val="single" w:color="000000" w:sz="4" w:space="0"/>
            </w:tcBorders>
            <w:vAlign w:val="center"/>
          </w:tcPr>
          <w:p w14:paraId="184741C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台玉</w:t>
            </w:r>
          </w:p>
        </w:tc>
        <w:tc>
          <w:tcPr>
            <w:tcW w:w="1477" w:type="dxa"/>
            <w:tcBorders>
              <w:top w:val="single" w:color="000000" w:sz="4" w:space="0"/>
              <w:left w:val="single" w:color="000000" w:sz="4" w:space="0"/>
              <w:bottom w:val="single" w:color="000000" w:sz="8" w:space="0"/>
              <w:right w:val="single" w:color="000000" w:sz="4" w:space="0"/>
            </w:tcBorders>
            <w:vAlign w:val="center"/>
          </w:tcPr>
          <w:p w14:paraId="6DD3952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菱丰</w:t>
            </w:r>
          </w:p>
        </w:tc>
        <w:tc>
          <w:tcPr>
            <w:tcW w:w="1576" w:type="dxa"/>
            <w:tcBorders>
              <w:top w:val="single" w:color="000000" w:sz="4" w:space="0"/>
              <w:left w:val="single" w:color="000000" w:sz="4" w:space="0"/>
              <w:bottom w:val="single" w:color="000000" w:sz="8" w:space="0"/>
              <w:right w:val="single" w:color="000000" w:sz="4" w:space="0"/>
            </w:tcBorders>
            <w:vAlign w:val="center"/>
          </w:tcPr>
          <w:p w14:paraId="749111E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生泰</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0358824">
            <w:pPr>
              <w:rPr>
                <w:rFonts w:hint="eastAsia" w:ascii="宋体" w:hAnsi="宋体" w:cs="宋体"/>
                <w:color w:val="auto"/>
                <w:sz w:val="24"/>
                <w:highlight w:val="none"/>
              </w:rPr>
            </w:pPr>
          </w:p>
        </w:tc>
      </w:tr>
      <w:tr w14:paraId="3B0317B1">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2914659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1768" w:type="dxa"/>
            <w:tcBorders>
              <w:top w:val="single" w:color="000000" w:sz="4" w:space="0"/>
              <w:left w:val="single" w:color="000000" w:sz="4" w:space="0"/>
              <w:bottom w:val="single" w:color="000000" w:sz="4" w:space="0"/>
              <w:right w:val="single" w:color="000000" w:sz="4" w:space="0"/>
            </w:tcBorders>
            <w:vAlign w:val="center"/>
          </w:tcPr>
          <w:p w14:paraId="4D6CB65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排气扇</w:t>
            </w:r>
          </w:p>
        </w:tc>
        <w:tc>
          <w:tcPr>
            <w:tcW w:w="1717" w:type="dxa"/>
            <w:tcBorders>
              <w:top w:val="single" w:color="000000" w:sz="4" w:space="0"/>
              <w:left w:val="single" w:color="000000" w:sz="4" w:space="0"/>
              <w:bottom w:val="single" w:color="000000" w:sz="8" w:space="0"/>
              <w:right w:val="single" w:color="000000" w:sz="4" w:space="0"/>
            </w:tcBorders>
            <w:vAlign w:val="center"/>
          </w:tcPr>
          <w:p w14:paraId="63590E3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金羚</w:t>
            </w:r>
          </w:p>
        </w:tc>
        <w:tc>
          <w:tcPr>
            <w:tcW w:w="1477" w:type="dxa"/>
            <w:tcBorders>
              <w:top w:val="single" w:color="000000" w:sz="4" w:space="0"/>
              <w:left w:val="single" w:color="000000" w:sz="4" w:space="0"/>
              <w:bottom w:val="single" w:color="000000" w:sz="8" w:space="0"/>
              <w:right w:val="single" w:color="000000" w:sz="4" w:space="0"/>
            </w:tcBorders>
            <w:vAlign w:val="center"/>
          </w:tcPr>
          <w:p w14:paraId="3C0F636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正野</w:t>
            </w:r>
          </w:p>
        </w:tc>
        <w:tc>
          <w:tcPr>
            <w:tcW w:w="1576" w:type="dxa"/>
            <w:tcBorders>
              <w:top w:val="single" w:color="000000" w:sz="4" w:space="0"/>
              <w:left w:val="single" w:color="000000" w:sz="4" w:space="0"/>
              <w:bottom w:val="single" w:color="000000" w:sz="8" w:space="0"/>
              <w:right w:val="single" w:color="000000" w:sz="4" w:space="0"/>
            </w:tcBorders>
            <w:vAlign w:val="center"/>
          </w:tcPr>
          <w:p w14:paraId="653D8185">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松下</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E3D8F4C">
            <w:pPr>
              <w:rPr>
                <w:rFonts w:hint="eastAsia" w:ascii="宋体" w:hAnsi="宋体" w:cs="宋体"/>
                <w:color w:val="auto"/>
                <w:sz w:val="24"/>
                <w:highlight w:val="none"/>
              </w:rPr>
            </w:pPr>
          </w:p>
        </w:tc>
      </w:tr>
      <w:tr w14:paraId="097CC557">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1B91576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768" w:type="dxa"/>
            <w:tcBorders>
              <w:top w:val="single" w:color="000000" w:sz="4" w:space="0"/>
              <w:left w:val="single" w:color="000000" w:sz="4" w:space="0"/>
              <w:bottom w:val="single" w:color="000000" w:sz="4" w:space="0"/>
              <w:right w:val="single" w:color="000000" w:sz="4" w:space="0"/>
            </w:tcBorders>
            <w:vAlign w:val="center"/>
          </w:tcPr>
          <w:p w14:paraId="69EB1F7D">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防火阀、手动阀</w:t>
            </w:r>
          </w:p>
        </w:tc>
        <w:tc>
          <w:tcPr>
            <w:tcW w:w="1717" w:type="dxa"/>
            <w:tcBorders>
              <w:top w:val="single" w:color="000000" w:sz="4" w:space="0"/>
              <w:left w:val="single" w:color="000000" w:sz="4" w:space="0"/>
              <w:bottom w:val="single" w:color="000000" w:sz="8" w:space="0"/>
              <w:right w:val="single" w:color="000000" w:sz="4" w:space="0"/>
            </w:tcBorders>
            <w:vAlign w:val="center"/>
          </w:tcPr>
          <w:p w14:paraId="6358042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广州耀安</w:t>
            </w:r>
          </w:p>
        </w:tc>
        <w:tc>
          <w:tcPr>
            <w:tcW w:w="1477" w:type="dxa"/>
            <w:tcBorders>
              <w:top w:val="single" w:color="000000" w:sz="4" w:space="0"/>
              <w:left w:val="single" w:color="000000" w:sz="4" w:space="0"/>
              <w:bottom w:val="single" w:color="000000" w:sz="8" w:space="0"/>
              <w:right w:val="single" w:color="000000" w:sz="4" w:space="0"/>
            </w:tcBorders>
            <w:vAlign w:val="center"/>
          </w:tcPr>
          <w:p w14:paraId="446FCE2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绿岛风</w:t>
            </w:r>
          </w:p>
        </w:tc>
        <w:tc>
          <w:tcPr>
            <w:tcW w:w="1576" w:type="dxa"/>
            <w:tcBorders>
              <w:top w:val="single" w:color="000000" w:sz="4" w:space="0"/>
              <w:left w:val="single" w:color="000000" w:sz="4" w:space="0"/>
              <w:bottom w:val="single" w:color="000000" w:sz="8" w:space="0"/>
              <w:right w:val="single" w:color="000000" w:sz="4" w:space="0"/>
            </w:tcBorders>
            <w:vAlign w:val="center"/>
          </w:tcPr>
          <w:p w14:paraId="7281D64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科创</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A20FD64">
            <w:pPr>
              <w:rPr>
                <w:rFonts w:hint="eastAsia" w:ascii="宋体" w:hAnsi="宋体" w:cs="宋体"/>
                <w:color w:val="auto"/>
                <w:sz w:val="24"/>
                <w:highlight w:val="none"/>
              </w:rPr>
            </w:pPr>
          </w:p>
        </w:tc>
      </w:tr>
      <w:tr w14:paraId="5E469510">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0E0FD711">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p>
        </w:tc>
        <w:tc>
          <w:tcPr>
            <w:tcW w:w="1768" w:type="dxa"/>
            <w:tcBorders>
              <w:top w:val="single" w:color="000000" w:sz="4" w:space="0"/>
              <w:left w:val="single" w:color="000000" w:sz="4" w:space="0"/>
              <w:bottom w:val="single" w:color="000000" w:sz="4" w:space="0"/>
              <w:right w:val="single" w:color="000000" w:sz="4" w:space="0"/>
            </w:tcBorders>
            <w:vAlign w:val="center"/>
          </w:tcPr>
          <w:p w14:paraId="0BBB7927">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电动蝶阀</w:t>
            </w:r>
          </w:p>
        </w:tc>
        <w:tc>
          <w:tcPr>
            <w:tcW w:w="1717" w:type="dxa"/>
            <w:tcBorders>
              <w:top w:val="single" w:color="000000" w:sz="4" w:space="0"/>
              <w:left w:val="single" w:color="000000" w:sz="4" w:space="0"/>
              <w:bottom w:val="single" w:color="000000" w:sz="8" w:space="0"/>
              <w:right w:val="single" w:color="000000" w:sz="4" w:space="0"/>
            </w:tcBorders>
            <w:vAlign w:val="center"/>
          </w:tcPr>
          <w:p w14:paraId="67151BC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天津塘高</w:t>
            </w:r>
          </w:p>
        </w:tc>
        <w:tc>
          <w:tcPr>
            <w:tcW w:w="1477" w:type="dxa"/>
            <w:tcBorders>
              <w:top w:val="single" w:color="000000" w:sz="4" w:space="0"/>
              <w:left w:val="single" w:color="000000" w:sz="4" w:space="0"/>
              <w:bottom w:val="single" w:color="000000" w:sz="8" w:space="0"/>
              <w:right w:val="single" w:color="000000" w:sz="4" w:space="0"/>
            </w:tcBorders>
            <w:vAlign w:val="center"/>
          </w:tcPr>
          <w:p w14:paraId="6F7BD56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上海冠龙</w:t>
            </w:r>
          </w:p>
        </w:tc>
        <w:tc>
          <w:tcPr>
            <w:tcW w:w="1576" w:type="dxa"/>
            <w:tcBorders>
              <w:top w:val="single" w:color="000000" w:sz="4" w:space="0"/>
              <w:left w:val="single" w:color="000000" w:sz="4" w:space="0"/>
              <w:bottom w:val="single" w:color="000000" w:sz="8" w:space="0"/>
              <w:right w:val="single" w:color="000000" w:sz="4" w:space="0"/>
            </w:tcBorders>
            <w:vAlign w:val="center"/>
          </w:tcPr>
          <w:p w14:paraId="6290ADC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埃美柯</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D834458">
            <w:pPr>
              <w:rPr>
                <w:rFonts w:hint="eastAsia" w:ascii="宋体" w:hAnsi="宋体" w:cs="宋体"/>
                <w:color w:val="auto"/>
                <w:sz w:val="24"/>
                <w:highlight w:val="none"/>
              </w:rPr>
            </w:pPr>
          </w:p>
        </w:tc>
      </w:tr>
      <w:tr w14:paraId="00324BFB">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5EEDE4D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1768" w:type="dxa"/>
            <w:tcBorders>
              <w:top w:val="single" w:color="000000" w:sz="4" w:space="0"/>
              <w:left w:val="single" w:color="000000" w:sz="4" w:space="0"/>
              <w:bottom w:val="single" w:color="000000" w:sz="4" w:space="0"/>
              <w:right w:val="single" w:color="000000" w:sz="4" w:space="0"/>
            </w:tcBorders>
            <w:vAlign w:val="center"/>
          </w:tcPr>
          <w:p w14:paraId="05D6000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闸阀、蝶阀、止回阀、减压阀、浮球阀</w:t>
            </w:r>
          </w:p>
        </w:tc>
        <w:tc>
          <w:tcPr>
            <w:tcW w:w="1717" w:type="dxa"/>
            <w:tcBorders>
              <w:top w:val="single" w:color="000000" w:sz="4" w:space="0"/>
              <w:left w:val="single" w:color="000000" w:sz="4" w:space="0"/>
              <w:bottom w:val="single" w:color="000000" w:sz="8" w:space="0"/>
              <w:right w:val="single" w:color="000000" w:sz="4" w:space="0"/>
            </w:tcBorders>
            <w:vAlign w:val="center"/>
          </w:tcPr>
          <w:p w14:paraId="4531B0E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天津塘高</w:t>
            </w:r>
          </w:p>
        </w:tc>
        <w:tc>
          <w:tcPr>
            <w:tcW w:w="1477" w:type="dxa"/>
            <w:tcBorders>
              <w:top w:val="single" w:color="000000" w:sz="4" w:space="0"/>
              <w:left w:val="single" w:color="000000" w:sz="4" w:space="0"/>
              <w:bottom w:val="single" w:color="000000" w:sz="8" w:space="0"/>
              <w:right w:val="single" w:color="000000" w:sz="4" w:space="0"/>
            </w:tcBorders>
            <w:vAlign w:val="center"/>
          </w:tcPr>
          <w:p w14:paraId="2B6809D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上海冠龙</w:t>
            </w:r>
          </w:p>
        </w:tc>
        <w:tc>
          <w:tcPr>
            <w:tcW w:w="1576" w:type="dxa"/>
            <w:tcBorders>
              <w:top w:val="single" w:color="000000" w:sz="4" w:space="0"/>
              <w:left w:val="single" w:color="000000" w:sz="4" w:space="0"/>
              <w:bottom w:val="single" w:color="000000" w:sz="8" w:space="0"/>
              <w:right w:val="single" w:color="000000" w:sz="4" w:space="0"/>
            </w:tcBorders>
            <w:vAlign w:val="center"/>
          </w:tcPr>
          <w:p w14:paraId="7D7B93F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埃美柯</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39FE136C">
            <w:pPr>
              <w:rPr>
                <w:rFonts w:hint="eastAsia" w:ascii="宋体" w:hAnsi="宋体" w:cs="宋体"/>
                <w:color w:val="auto"/>
                <w:sz w:val="24"/>
                <w:highlight w:val="none"/>
              </w:rPr>
            </w:pPr>
          </w:p>
        </w:tc>
      </w:tr>
      <w:tr w14:paraId="7778EFE4">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0CCF28C3">
            <w:pPr>
              <w:widowControl/>
              <w:jc w:val="center"/>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15</w:t>
            </w:r>
          </w:p>
        </w:tc>
        <w:tc>
          <w:tcPr>
            <w:tcW w:w="1768" w:type="dxa"/>
            <w:tcBorders>
              <w:top w:val="single" w:color="000000" w:sz="4" w:space="0"/>
              <w:left w:val="single" w:color="000000" w:sz="4" w:space="0"/>
              <w:bottom w:val="single" w:color="000000" w:sz="4" w:space="0"/>
              <w:right w:val="single" w:color="000000" w:sz="4" w:space="0"/>
            </w:tcBorders>
            <w:vAlign w:val="center"/>
          </w:tcPr>
          <w:p w14:paraId="77D23DB7">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比例积分阀（三通二通冷水电动阀）</w:t>
            </w:r>
          </w:p>
        </w:tc>
        <w:tc>
          <w:tcPr>
            <w:tcW w:w="1717" w:type="dxa"/>
            <w:tcBorders>
              <w:top w:val="single" w:color="000000" w:sz="4" w:space="0"/>
              <w:left w:val="single" w:color="000000" w:sz="4" w:space="0"/>
              <w:bottom w:val="single" w:color="000000" w:sz="8" w:space="0"/>
              <w:right w:val="single" w:color="000000" w:sz="4" w:space="0"/>
            </w:tcBorders>
            <w:vAlign w:val="center"/>
          </w:tcPr>
          <w:p w14:paraId="6576E38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西门子</w:t>
            </w:r>
          </w:p>
        </w:tc>
        <w:tc>
          <w:tcPr>
            <w:tcW w:w="1477" w:type="dxa"/>
            <w:tcBorders>
              <w:top w:val="single" w:color="000000" w:sz="4" w:space="0"/>
              <w:left w:val="single" w:color="000000" w:sz="4" w:space="0"/>
              <w:bottom w:val="single" w:color="000000" w:sz="8" w:space="0"/>
              <w:right w:val="single" w:color="000000" w:sz="4" w:space="0"/>
            </w:tcBorders>
            <w:vAlign w:val="center"/>
          </w:tcPr>
          <w:p w14:paraId="607E400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霍尼维尔</w:t>
            </w:r>
          </w:p>
        </w:tc>
        <w:tc>
          <w:tcPr>
            <w:tcW w:w="1576" w:type="dxa"/>
            <w:tcBorders>
              <w:top w:val="single" w:color="000000" w:sz="4" w:space="0"/>
              <w:left w:val="single" w:color="000000" w:sz="4" w:space="0"/>
              <w:bottom w:val="single" w:color="000000" w:sz="8" w:space="0"/>
              <w:right w:val="single" w:color="000000" w:sz="4" w:space="0"/>
            </w:tcBorders>
            <w:vAlign w:val="center"/>
          </w:tcPr>
          <w:p w14:paraId="665939C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江森</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A46951E">
            <w:pPr>
              <w:rPr>
                <w:rFonts w:hint="eastAsia" w:ascii="宋体" w:hAnsi="宋体" w:cs="宋体"/>
                <w:color w:val="auto"/>
                <w:sz w:val="24"/>
                <w:highlight w:val="none"/>
              </w:rPr>
            </w:pPr>
          </w:p>
        </w:tc>
      </w:tr>
      <w:tr w14:paraId="579A3C8D">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DFE9D77">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6</w:t>
            </w:r>
          </w:p>
        </w:tc>
        <w:tc>
          <w:tcPr>
            <w:tcW w:w="1768" w:type="dxa"/>
            <w:tcBorders>
              <w:top w:val="single" w:color="000000" w:sz="4" w:space="0"/>
              <w:left w:val="single" w:color="000000" w:sz="4" w:space="0"/>
              <w:bottom w:val="single" w:color="000000" w:sz="4" w:space="0"/>
              <w:right w:val="single" w:color="000000" w:sz="4" w:space="0"/>
            </w:tcBorders>
            <w:vAlign w:val="center"/>
          </w:tcPr>
          <w:p w14:paraId="2E31066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铜类阀</w:t>
            </w:r>
          </w:p>
        </w:tc>
        <w:tc>
          <w:tcPr>
            <w:tcW w:w="1717" w:type="dxa"/>
            <w:tcBorders>
              <w:top w:val="single" w:color="000000" w:sz="4" w:space="0"/>
              <w:left w:val="single" w:color="000000" w:sz="4" w:space="0"/>
              <w:bottom w:val="single" w:color="000000" w:sz="8" w:space="0"/>
              <w:right w:val="single" w:color="000000" w:sz="4" w:space="0"/>
            </w:tcBorders>
            <w:vAlign w:val="center"/>
          </w:tcPr>
          <w:p w14:paraId="0F5947C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宁波埃美柯</w:t>
            </w:r>
          </w:p>
        </w:tc>
        <w:tc>
          <w:tcPr>
            <w:tcW w:w="1477" w:type="dxa"/>
            <w:tcBorders>
              <w:top w:val="single" w:color="000000" w:sz="4" w:space="0"/>
              <w:left w:val="single" w:color="000000" w:sz="4" w:space="0"/>
              <w:bottom w:val="single" w:color="000000" w:sz="8" w:space="0"/>
              <w:right w:val="single" w:color="000000" w:sz="4" w:space="0"/>
            </w:tcBorders>
            <w:vAlign w:val="center"/>
          </w:tcPr>
          <w:p w14:paraId="392E263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宁波南洋</w:t>
            </w:r>
          </w:p>
        </w:tc>
        <w:tc>
          <w:tcPr>
            <w:tcW w:w="1576" w:type="dxa"/>
            <w:tcBorders>
              <w:top w:val="single" w:color="000000" w:sz="4" w:space="0"/>
              <w:left w:val="single" w:color="000000" w:sz="4" w:space="0"/>
              <w:bottom w:val="single" w:color="000000" w:sz="8" w:space="0"/>
              <w:right w:val="single" w:color="000000" w:sz="4" w:space="0"/>
            </w:tcBorders>
            <w:vAlign w:val="center"/>
          </w:tcPr>
          <w:p w14:paraId="316C2AF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永亨</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137CFFC">
            <w:pPr>
              <w:rPr>
                <w:rFonts w:hint="eastAsia" w:ascii="宋体" w:hAnsi="宋体" w:cs="宋体"/>
                <w:color w:val="auto"/>
                <w:sz w:val="24"/>
                <w:highlight w:val="none"/>
              </w:rPr>
            </w:pPr>
          </w:p>
        </w:tc>
      </w:tr>
      <w:tr w14:paraId="53B69C43">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9D535AF">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7</w:t>
            </w:r>
          </w:p>
        </w:tc>
        <w:tc>
          <w:tcPr>
            <w:tcW w:w="1768" w:type="dxa"/>
            <w:tcBorders>
              <w:top w:val="single" w:color="000000" w:sz="4" w:space="0"/>
              <w:left w:val="single" w:color="000000" w:sz="4" w:space="0"/>
              <w:bottom w:val="single" w:color="000000" w:sz="4" w:space="0"/>
              <w:right w:val="single" w:color="000000" w:sz="4" w:space="0"/>
            </w:tcBorders>
            <w:vAlign w:val="center"/>
          </w:tcPr>
          <w:p w14:paraId="524ABB4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保温吸音材料</w:t>
            </w:r>
          </w:p>
        </w:tc>
        <w:tc>
          <w:tcPr>
            <w:tcW w:w="1717" w:type="dxa"/>
            <w:tcBorders>
              <w:top w:val="single" w:color="000000" w:sz="4" w:space="0"/>
              <w:left w:val="single" w:color="000000" w:sz="4" w:space="0"/>
              <w:bottom w:val="single" w:color="000000" w:sz="8" w:space="0"/>
              <w:right w:val="single" w:color="000000" w:sz="4" w:space="0"/>
            </w:tcBorders>
            <w:vAlign w:val="center"/>
          </w:tcPr>
          <w:p w14:paraId="38C88F3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福乐斯</w:t>
            </w:r>
          </w:p>
        </w:tc>
        <w:tc>
          <w:tcPr>
            <w:tcW w:w="1477" w:type="dxa"/>
            <w:tcBorders>
              <w:top w:val="single" w:color="000000" w:sz="4" w:space="0"/>
              <w:left w:val="single" w:color="000000" w:sz="4" w:space="0"/>
              <w:bottom w:val="single" w:color="000000" w:sz="8" w:space="0"/>
              <w:right w:val="single" w:color="000000" w:sz="4" w:space="0"/>
            </w:tcBorders>
            <w:vAlign w:val="center"/>
          </w:tcPr>
          <w:p w14:paraId="185203F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杜肯</w:t>
            </w:r>
          </w:p>
        </w:tc>
        <w:tc>
          <w:tcPr>
            <w:tcW w:w="1576" w:type="dxa"/>
            <w:tcBorders>
              <w:top w:val="single" w:color="000000" w:sz="4" w:space="0"/>
              <w:left w:val="single" w:color="000000" w:sz="4" w:space="0"/>
              <w:bottom w:val="single" w:color="000000" w:sz="8" w:space="0"/>
              <w:right w:val="single" w:color="000000" w:sz="4" w:space="0"/>
            </w:tcBorders>
            <w:vAlign w:val="center"/>
          </w:tcPr>
          <w:p w14:paraId="1D3C703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阿乐斯</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3D243CA">
            <w:pPr>
              <w:rPr>
                <w:rFonts w:hint="eastAsia" w:ascii="宋体" w:hAnsi="宋体" w:cs="宋体"/>
                <w:color w:val="auto"/>
                <w:sz w:val="24"/>
                <w:highlight w:val="none"/>
              </w:rPr>
            </w:pPr>
          </w:p>
        </w:tc>
      </w:tr>
      <w:tr w14:paraId="32C752E1">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40182A7F">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8</w:t>
            </w:r>
          </w:p>
        </w:tc>
        <w:tc>
          <w:tcPr>
            <w:tcW w:w="1768" w:type="dxa"/>
            <w:tcBorders>
              <w:top w:val="single" w:color="000000" w:sz="4" w:space="0"/>
              <w:left w:val="single" w:color="000000" w:sz="4" w:space="0"/>
              <w:bottom w:val="single" w:color="000000" w:sz="4" w:space="0"/>
              <w:right w:val="single" w:color="000000" w:sz="4" w:space="0"/>
            </w:tcBorders>
            <w:vAlign w:val="center"/>
          </w:tcPr>
          <w:p w14:paraId="59EBF4C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橡胶软接</w:t>
            </w:r>
          </w:p>
        </w:tc>
        <w:tc>
          <w:tcPr>
            <w:tcW w:w="1717" w:type="dxa"/>
            <w:tcBorders>
              <w:top w:val="single" w:color="000000" w:sz="4" w:space="0"/>
              <w:left w:val="single" w:color="000000" w:sz="4" w:space="0"/>
              <w:bottom w:val="single" w:color="000000" w:sz="8" w:space="0"/>
              <w:right w:val="single" w:color="000000" w:sz="4" w:space="0"/>
            </w:tcBorders>
            <w:vAlign w:val="center"/>
          </w:tcPr>
          <w:p w14:paraId="420610E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广州华侨</w:t>
            </w:r>
          </w:p>
        </w:tc>
        <w:tc>
          <w:tcPr>
            <w:tcW w:w="1477" w:type="dxa"/>
            <w:tcBorders>
              <w:top w:val="single" w:color="000000" w:sz="4" w:space="0"/>
              <w:left w:val="single" w:color="000000" w:sz="4" w:space="0"/>
              <w:bottom w:val="single" w:color="000000" w:sz="8" w:space="0"/>
              <w:right w:val="single" w:color="000000" w:sz="4" w:space="0"/>
            </w:tcBorders>
            <w:vAlign w:val="center"/>
          </w:tcPr>
          <w:p w14:paraId="389EF67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天津塘高</w:t>
            </w:r>
          </w:p>
        </w:tc>
        <w:tc>
          <w:tcPr>
            <w:tcW w:w="1576" w:type="dxa"/>
            <w:tcBorders>
              <w:top w:val="single" w:color="000000" w:sz="4" w:space="0"/>
              <w:left w:val="single" w:color="000000" w:sz="4" w:space="0"/>
              <w:bottom w:val="single" w:color="000000" w:sz="8" w:space="0"/>
              <w:right w:val="single" w:color="000000" w:sz="4" w:space="0"/>
            </w:tcBorders>
            <w:vAlign w:val="center"/>
          </w:tcPr>
          <w:p w14:paraId="0468F9A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上海松江</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3B39871">
            <w:pPr>
              <w:rPr>
                <w:rFonts w:hint="eastAsia" w:ascii="宋体" w:hAnsi="宋体" w:cs="宋体"/>
                <w:color w:val="auto"/>
                <w:sz w:val="24"/>
                <w:highlight w:val="none"/>
              </w:rPr>
            </w:pPr>
          </w:p>
        </w:tc>
      </w:tr>
      <w:tr w14:paraId="38588A44">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C7D0B5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五</w:t>
            </w:r>
          </w:p>
        </w:tc>
        <w:tc>
          <w:tcPr>
            <w:tcW w:w="1768" w:type="dxa"/>
            <w:tcBorders>
              <w:top w:val="single" w:color="000000" w:sz="4" w:space="0"/>
              <w:left w:val="single" w:color="000000" w:sz="4" w:space="0"/>
              <w:bottom w:val="single" w:color="000000" w:sz="4" w:space="0"/>
              <w:right w:val="single" w:color="000000" w:sz="4" w:space="0"/>
            </w:tcBorders>
            <w:vAlign w:val="center"/>
          </w:tcPr>
          <w:p w14:paraId="687E811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实验操作台柜部分</w:t>
            </w:r>
          </w:p>
        </w:tc>
        <w:tc>
          <w:tcPr>
            <w:tcW w:w="1717" w:type="dxa"/>
            <w:tcBorders>
              <w:top w:val="single" w:color="000000" w:sz="4" w:space="0"/>
              <w:left w:val="single" w:color="000000" w:sz="4" w:space="0"/>
              <w:bottom w:val="single" w:color="000000" w:sz="8" w:space="0"/>
              <w:right w:val="single" w:color="000000" w:sz="4" w:space="0"/>
            </w:tcBorders>
            <w:vAlign w:val="center"/>
          </w:tcPr>
          <w:p w14:paraId="2662F816">
            <w:pPr>
              <w:jc w:val="center"/>
              <w:rPr>
                <w:rFonts w:hint="eastAsia" w:ascii="宋体" w:hAnsi="宋体" w:cs="宋体"/>
                <w:color w:val="auto"/>
                <w:sz w:val="24"/>
                <w:highlight w:val="none"/>
              </w:rPr>
            </w:pPr>
          </w:p>
        </w:tc>
        <w:tc>
          <w:tcPr>
            <w:tcW w:w="1477" w:type="dxa"/>
            <w:tcBorders>
              <w:top w:val="single" w:color="000000" w:sz="4" w:space="0"/>
              <w:left w:val="single" w:color="000000" w:sz="4" w:space="0"/>
              <w:bottom w:val="single" w:color="000000" w:sz="8" w:space="0"/>
              <w:right w:val="single" w:color="000000" w:sz="4" w:space="0"/>
            </w:tcBorders>
            <w:vAlign w:val="center"/>
          </w:tcPr>
          <w:p w14:paraId="6C927ADF">
            <w:pPr>
              <w:jc w:val="center"/>
              <w:rPr>
                <w:rFonts w:hint="eastAsia" w:ascii="宋体" w:hAnsi="宋体" w:cs="宋体"/>
                <w:color w:val="auto"/>
                <w:sz w:val="24"/>
                <w:highlight w:val="none"/>
              </w:rPr>
            </w:pPr>
          </w:p>
        </w:tc>
        <w:tc>
          <w:tcPr>
            <w:tcW w:w="1576" w:type="dxa"/>
            <w:tcBorders>
              <w:top w:val="single" w:color="000000" w:sz="4" w:space="0"/>
              <w:left w:val="single" w:color="000000" w:sz="4" w:space="0"/>
              <w:bottom w:val="single" w:color="000000" w:sz="8" w:space="0"/>
              <w:right w:val="single" w:color="000000" w:sz="4" w:space="0"/>
            </w:tcBorders>
            <w:vAlign w:val="center"/>
          </w:tcPr>
          <w:p w14:paraId="4D69059F">
            <w:pPr>
              <w:jc w:val="center"/>
              <w:rPr>
                <w:rFonts w:hint="eastAsia" w:ascii="宋体" w:hAnsi="宋体" w:cs="宋体"/>
                <w:color w:val="auto"/>
                <w:sz w:val="24"/>
                <w:highlight w:val="none"/>
              </w:rPr>
            </w:pP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C788F36">
            <w:pPr>
              <w:rPr>
                <w:rFonts w:hint="eastAsia" w:ascii="宋体" w:hAnsi="宋体" w:cs="宋体"/>
                <w:color w:val="auto"/>
                <w:sz w:val="24"/>
                <w:highlight w:val="none"/>
              </w:rPr>
            </w:pPr>
          </w:p>
        </w:tc>
      </w:tr>
      <w:tr w14:paraId="51CE55F2">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63A73EB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768" w:type="dxa"/>
            <w:tcBorders>
              <w:top w:val="single" w:color="000000" w:sz="4" w:space="0"/>
              <w:left w:val="single" w:color="000000" w:sz="4" w:space="0"/>
              <w:bottom w:val="single" w:color="000000" w:sz="4" w:space="0"/>
              <w:right w:val="single" w:color="000000" w:sz="4" w:space="0"/>
            </w:tcBorders>
            <w:vAlign w:val="center"/>
          </w:tcPr>
          <w:p w14:paraId="10ACC0B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紧急冲淋器、洗眼器</w:t>
            </w:r>
          </w:p>
        </w:tc>
        <w:tc>
          <w:tcPr>
            <w:tcW w:w="1717" w:type="dxa"/>
            <w:tcBorders>
              <w:top w:val="single" w:color="000000" w:sz="4" w:space="0"/>
              <w:left w:val="single" w:color="000000" w:sz="4" w:space="0"/>
              <w:bottom w:val="single" w:color="000000" w:sz="8" w:space="0"/>
              <w:right w:val="single" w:color="000000" w:sz="4" w:space="0"/>
            </w:tcBorders>
            <w:vAlign w:val="center"/>
          </w:tcPr>
          <w:p w14:paraId="641F25A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台雄</w:t>
            </w:r>
          </w:p>
        </w:tc>
        <w:tc>
          <w:tcPr>
            <w:tcW w:w="1477" w:type="dxa"/>
            <w:tcBorders>
              <w:top w:val="single" w:color="000000" w:sz="4" w:space="0"/>
              <w:left w:val="single" w:color="000000" w:sz="4" w:space="0"/>
              <w:bottom w:val="single" w:color="000000" w:sz="8" w:space="0"/>
              <w:right w:val="single" w:color="000000" w:sz="4" w:space="0"/>
            </w:tcBorders>
            <w:vAlign w:val="center"/>
          </w:tcPr>
          <w:p w14:paraId="2B6AE1E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科恩</w:t>
            </w:r>
          </w:p>
        </w:tc>
        <w:tc>
          <w:tcPr>
            <w:tcW w:w="1576" w:type="dxa"/>
            <w:tcBorders>
              <w:top w:val="single" w:color="000000" w:sz="4" w:space="0"/>
              <w:left w:val="single" w:color="000000" w:sz="4" w:space="0"/>
              <w:bottom w:val="single" w:color="000000" w:sz="8" w:space="0"/>
              <w:right w:val="single" w:color="000000" w:sz="4" w:space="0"/>
            </w:tcBorders>
            <w:vAlign w:val="center"/>
          </w:tcPr>
          <w:p w14:paraId="0CDA1946">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博朗</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2B71928A">
            <w:pPr>
              <w:rPr>
                <w:rFonts w:hint="eastAsia" w:ascii="宋体" w:hAnsi="宋体" w:cs="宋体"/>
                <w:color w:val="auto"/>
                <w:sz w:val="24"/>
                <w:highlight w:val="none"/>
              </w:rPr>
            </w:pPr>
          </w:p>
        </w:tc>
      </w:tr>
      <w:tr w14:paraId="365E91A5">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171A745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768" w:type="dxa"/>
            <w:tcBorders>
              <w:top w:val="single" w:color="000000" w:sz="4" w:space="0"/>
              <w:left w:val="single" w:color="000000" w:sz="4" w:space="0"/>
              <w:bottom w:val="single" w:color="000000" w:sz="4" w:space="0"/>
              <w:right w:val="single" w:color="000000" w:sz="4" w:space="0"/>
            </w:tcBorders>
            <w:vAlign w:val="center"/>
          </w:tcPr>
          <w:p w14:paraId="4251D29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三联水龙头、水槽</w:t>
            </w:r>
          </w:p>
        </w:tc>
        <w:tc>
          <w:tcPr>
            <w:tcW w:w="1717" w:type="dxa"/>
            <w:tcBorders>
              <w:top w:val="single" w:color="000000" w:sz="4" w:space="0"/>
              <w:left w:val="single" w:color="000000" w:sz="4" w:space="0"/>
              <w:bottom w:val="single" w:color="000000" w:sz="8" w:space="0"/>
              <w:right w:val="single" w:color="000000" w:sz="4" w:space="0"/>
            </w:tcBorders>
            <w:vAlign w:val="center"/>
          </w:tcPr>
          <w:p w14:paraId="303757A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台雄</w:t>
            </w:r>
          </w:p>
        </w:tc>
        <w:tc>
          <w:tcPr>
            <w:tcW w:w="1477" w:type="dxa"/>
            <w:tcBorders>
              <w:top w:val="single" w:color="000000" w:sz="4" w:space="0"/>
              <w:left w:val="single" w:color="000000" w:sz="4" w:space="0"/>
              <w:bottom w:val="single" w:color="000000" w:sz="8" w:space="0"/>
              <w:right w:val="single" w:color="000000" w:sz="4" w:space="0"/>
            </w:tcBorders>
            <w:vAlign w:val="center"/>
          </w:tcPr>
          <w:p w14:paraId="3E56FA2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科恩</w:t>
            </w:r>
          </w:p>
        </w:tc>
        <w:tc>
          <w:tcPr>
            <w:tcW w:w="1576" w:type="dxa"/>
            <w:tcBorders>
              <w:top w:val="single" w:color="000000" w:sz="4" w:space="0"/>
              <w:left w:val="single" w:color="000000" w:sz="4" w:space="0"/>
              <w:bottom w:val="single" w:color="000000" w:sz="8" w:space="0"/>
              <w:right w:val="single" w:color="000000" w:sz="4" w:space="0"/>
            </w:tcBorders>
            <w:vAlign w:val="center"/>
          </w:tcPr>
          <w:p w14:paraId="6D1FDB8B">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博朗</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FB10595">
            <w:pPr>
              <w:rPr>
                <w:rFonts w:hint="eastAsia" w:ascii="宋体" w:hAnsi="宋体" w:cs="宋体"/>
                <w:color w:val="auto"/>
                <w:sz w:val="24"/>
                <w:highlight w:val="none"/>
              </w:rPr>
            </w:pPr>
          </w:p>
        </w:tc>
      </w:tr>
      <w:tr w14:paraId="03F8C679">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61CE845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768" w:type="dxa"/>
            <w:tcBorders>
              <w:top w:val="single" w:color="000000" w:sz="4" w:space="0"/>
              <w:left w:val="single" w:color="000000" w:sz="4" w:space="0"/>
              <w:bottom w:val="single" w:color="000000" w:sz="4" w:space="0"/>
              <w:right w:val="single" w:color="000000" w:sz="4" w:space="0"/>
            </w:tcBorders>
            <w:vAlign w:val="center"/>
          </w:tcPr>
          <w:p w14:paraId="2803971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实验台台面板</w:t>
            </w:r>
          </w:p>
        </w:tc>
        <w:tc>
          <w:tcPr>
            <w:tcW w:w="1717" w:type="dxa"/>
            <w:tcBorders>
              <w:top w:val="single" w:color="000000" w:sz="4" w:space="0"/>
              <w:left w:val="single" w:color="000000" w:sz="4" w:space="0"/>
              <w:bottom w:val="single" w:color="000000" w:sz="4" w:space="0"/>
              <w:right w:val="single" w:color="000000" w:sz="4" w:space="0"/>
            </w:tcBorders>
            <w:vAlign w:val="center"/>
          </w:tcPr>
          <w:p w14:paraId="41F5143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上海威盛亚</w:t>
            </w:r>
          </w:p>
        </w:tc>
        <w:tc>
          <w:tcPr>
            <w:tcW w:w="1477" w:type="dxa"/>
            <w:tcBorders>
              <w:top w:val="single" w:color="000000" w:sz="4" w:space="0"/>
              <w:left w:val="single" w:color="000000" w:sz="4" w:space="0"/>
              <w:bottom w:val="single" w:color="000000" w:sz="4" w:space="0"/>
              <w:right w:val="single" w:color="000000" w:sz="4" w:space="0"/>
            </w:tcBorders>
            <w:vAlign w:val="center"/>
          </w:tcPr>
          <w:p w14:paraId="21D0C6BF">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优盛美</w:t>
            </w:r>
          </w:p>
        </w:tc>
        <w:tc>
          <w:tcPr>
            <w:tcW w:w="1576" w:type="dxa"/>
            <w:tcBorders>
              <w:top w:val="single" w:color="000000" w:sz="4" w:space="0"/>
              <w:left w:val="single" w:color="000000" w:sz="4" w:space="0"/>
              <w:bottom w:val="single" w:color="000000" w:sz="4" w:space="0"/>
              <w:right w:val="single" w:color="000000" w:sz="4" w:space="0"/>
            </w:tcBorders>
            <w:vAlign w:val="center"/>
          </w:tcPr>
          <w:p w14:paraId="15D9F4F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佰抗</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7F63D10A">
            <w:pPr>
              <w:rPr>
                <w:rFonts w:hint="eastAsia" w:ascii="宋体" w:hAnsi="宋体" w:cs="宋体"/>
                <w:color w:val="auto"/>
                <w:sz w:val="24"/>
                <w:highlight w:val="none"/>
              </w:rPr>
            </w:pPr>
          </w:p>
        </w:tc>
      </w:tr>
      <w:tr w14:paraId="4EAD16C6">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5F88915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六</w:t>
            </w:r>
          </w:p>
        </w:tc>
        <w:tc>
          <w:tcPr>
            <w:tcW w:w="1768" w:type="dxa"/>
            <w:tcBorders>
              <w:top w:val="single" w:color="000000" w:sz="4" w:space="0"/>
              <w:left w:val="single" w:color="000000" w:sz="4" w:space="0"/>
              <w:bottom w:val="single" w:color="000000" w:sz="4" w:space="0"/>
              <w:right w:val="single" w:color="000000" w:sz="4" w:space="0"/>
            </w:tcBorders>
            <w:vAlign w:val="center"/>
          </w:tcPr>
          <w:p w14:paraId="3FD63E25">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自控系统</w:t>
            </w:r>
          </w:p>
        </w:tc>
        <w:tc>
          <w:tcPr>
            <w:tcW w:w="1717" w:type="dxa"/>
            <w:tcBorders>
              <w:top w:val="single" w:color="000000" w:sz="4" w:space="0"/>
              <w:left w:val="single" w:color="000000" w:sz="4" w:space="0"/>
              <w:bottom w:val="single" w:color="000000" w:sz="4" w:space="0"/>
              <w:right w:val="single" w:color="000000" w:sz="4" w:space="0"/>
            </w:tcBorders>
            <w:vAlign w:val="center"/>
          </w:tcPr>
          <w:p w14:paraId="7D4C0591">
            <w:pPr>
              <w:widowControl/>
              <w:jc w:val="center"/>
              <w:textAlignment w:val="center"/>
              <w:rPr>
                <w:rFonts w:hint="eastAsia" w:ascii="宋体" w:hAnsi="宋体" w:cs="宋体"/>
                <w:color w:val="auto"/>
                <w:kern w:val="0"/>
                <w:sz w:val="24"/>
                <w:highlight w:val="none"/>
                <w:lang w:bidi="ar"/>
              </w:rPr>
            </w:pPr>
          </w:p>
        </w:tc>
        <w:tc>
          <w:tcPr>
            <w:tcW w:w="1477" w:type="dxa"/>
            <w:tcBorders>
              <w:top w:val="single" w:color="000000" w:sz="4" w:space="0"/>
              <w:left w:val="single" w:color="000000" w:sz="4" w:space="0"/>
              <w:bottom w:val="single" w:color="000000" w:sz="4" w:space="0"/>
              <w:right w:val="single" w:color="000000" w:sz="4" w:space="0"/>
            </w:tcBorders>
            <w:vAlign w:val="center"/>
          </w:tcPr>
          <w:p w14:paraId="3AFFE413">
            <w:pPr>
              <w:widowControl/>
              <w:jc w:val="center"/>
              <w:textAlignment w:val="center"/>
              <w:rPr>
                <w:rFonts w:hint="eastAsia" w:ascii="宋体" w:hAnsi="宋体" w:cs="宋体"/>
                <w:color w:val="auto"/>
                <w:kern w:val="0"/>
                <w:sz w:val="24"/>
                <w:highlight w:val="none"/>
                <w:lang w:bidi="ar"/>
              </w:rPr>
            </w:pPr>
          </w:p>
        </w:tc>
        <w:tc>
          <w:tcPr>
            <w:tcW w:w="1576" w:type="dxa"/>
            <w:tcBorders>
              <w:top w:val="single" w:color="000000" w:sz="4" w:space="0"/>
              <w:left w:val="single" w:color="000000" w:sz="4" w:space="0"/>
              <w:bottom w:val="single" w:color="000000" w:sz="4" w:space="0"/>
              <w:right w:val="single" w:color="000000" w:sz="4" w:space="0"/>
            </w:tcBorders>
            <w:vAlign w:val="center"/>
          </w:tcPr>
          <w:p w14:paraId="016D1B84">
            <w:pPr>
              <w:widowControl/>
              <w:jc w:val="center"/>
              <w:textAlignment w:val="center"/>
              <w:rPr>
                <w:rFonts w:hint="eastAsia" w:ascii="宋体" w:hAnsi="宋体" w:cs="宋体"/>
                <w:color w:val="auto"/>
                <w:kern w:val="0"/>
                <w:sz w:val="24"/>
                <w:highlight w:val="none"/>
                <w:lang w:bidi="ar"/>
              </w:rPr>
            </w:pP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315CA9F8">
            <w:pPr>
              <w:rPr>
                <w:rFonts w:hint="eastAsia" w:ascii="宋体" w:hAnsi="宋体" w:cs="宋体"/>
                <w:color w:val="auto"/>
                <w:sz w:val="24"/>
                <w:highlight w:val="yellow"/>
              </w:rPr>
            </w:pPr>
          </w:p>
        </w:tc>
      </w:tr>
      <w:tr w14:paraId="56AEE6D5">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526EF98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1768" w:type="dxa"/>
            <w:tcBorders>
              <w:top w:val="single" w:color="000000" w:sz="4" w:space="0"/>
              <w:left w:val="single" w:color="000000" w:sz="4" w:space="0"/>
              <w:bottom w:val="single" w:color="000000" w:sz="4" w:space="0"/>
              <w:right w:val="single" w:color="000000" w:sz="4" w:space="0"/>
            </w:tcBorders>
            <w:vAlign w:val="center"/>
          </w:tcPr>
          <w:p w14:paraId="7EAA32B5">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PLC</w:t>
            </w:r>
          </w:p>
        </w:tc>
        <w:tc>
          <w:tcPr>
            <w:tcW w:w="1717" w:type="dxa"/>
            <w:tcBorders>
              <w:top w:val="single" w:color="000000" w:sz="4" w:space="0"/>
              <w:left w:val="single" w:color="000000" w:sz="4" w:space="0"/>
              <w:bottom w:val="single" w:color="000000" w:sz="4" w:space="0"/>
              <w:right w:val="single" w:color="000000" w:sz="4" w:space="0"/>
            </w:tcBorders>
            <w:vAlign w:val="center"/>
          </w:tcPr>
          <w:p w14:paraId="48A1BD29">
            <w:pPr>
              <w:widowControl/>
              <w:jc w:val="center"/>
              <w:textAlignment w:val="center"/>
              <w:rPr>
                <w:rFonts w:hint="eastAsia" w:ascii="宋体" w:hAnsi="宋体" w:cs="宋体"/>
                <w:b/>
                <w:bCs/>
                <w:color w:val="auto"/>
                <w:kern w:val="0"/>
                <w:sz w:val="24"/>
                <w:highlight w:val="none"/>
                <w:lang w:bidi="ar"/>
              </w:rPr>
            </w:pPr>
            <w:r>
              <w:rPr>
                <w:rFonts w:hint="eastAsia" w:ascii="宋体" w:hAnsi="宋体" w:cs="宋体"/>
                <w:color w:val="auto"/>
                <w:sz w:val="24"/>
                <w:highlight w:val="none"/>
              </w:rPr>
              <w:t>西门子</w:t>
            </w:r>
          </w:p>
        </w:tc>
        <w:tc>
          <w:tcPr>
            <w:tcW w:w="1477" w:type="dxa"/>
            <w:tcBorders>
              <w:top w:val="single" w:color="000000" w:sz="4" w:space="0"/>
              <w:left w:val="single" w:color="000000" w:sz="4" w:space="0"/>
              <w:bottom w:val="single" w:color="000000" w:sz="4" w:space="0"/>
              <w:right w:val="single" w:color="000000" w:sz="4" w:space="0"/>
            </w:tcBorders>
            <w:vAlign w:val="center"/>
          </w:tcPr>
          <w:p w14:paraId="53889A4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施耐德</w:t>
            </w:r>
          </w:p>
        </w:tc>
        <w:tc>
          <w:tcPr>
            <w:tcW w:w="1576" w:type="dxa"/>
            <w:tcBorders>
              <w:top w:val="single" w:color="000000" w:sz="4" w:space="0"/>
              <w:left w:val="single" w:color="000000" w:sz="4" w:space="0"/>
              <w:bottom w:val="single" w:color="000000" w:sz="4" w:space="0"/>
              <w:right w:val="single" w:color="000000" w:sz="4" w:space="0"/>
            </w:tcBorders>
            <w:vAlign w:val="center"/>
          </w:tcPr>
          <w:p w14:paraId="72ED875E">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ABB</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61E7DD4">
            <w:pPr>
              <w:rPr>
                <w:rFonts w:hint="eastAsia" w:ascii="宋体" w:hAnsi="宋体" w:cs="宋体"/>
                <w:color w:val="auto"/>
                <w:sz w:val="24"/>
                <w:highlight w:val="yellow"/>
              </w:rPr>
            </w:pPr>
          </w:p>
        </w:tc>
      </w:tr>
      <w:tr w14:paraId="7030DED5">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3499AC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1768" w:type="dxa"/>
            <w:tcBorders>
              <w:top w:val="single" w:color="000000" w:sz="4" w:space="0"/>
              <w:left w:val="single" w:color="000000" w:sz="4" w:space="0"/>
              <w:bottom w:val="single" w:color="000000" w:sz="4" w:space="0"/>
              <w:right w:val="single" w:color="000000" w:sz="4" w:space="0"/>
            </w:tcBorders>
            <w:vAlign w:val="center"/>
          </w:tcPr>
          <w:p w14:paraId="2F24B600">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触摸屏</w:t>
            </w:r>
          </w:p>
        </w:tc>
        <w:tc>
          <w:tcPr>
            <w:tcW w:w="1717" w:type="dxa"/>
            <w:tcBorders>
              <w:top w:val="single" w:color="000000" w:sz="4" w:space="0"/>
              <w:left w:val="single" w:color="000000" w:sz="4" w:space="0"/>
              <w:bottom w:val="single" w:color="000000" w:sz="4" w:space="0"/>
              <w:right w:val="single" w:color="000000" w:sz="4" w:space="0"/>
            </w:tcBorders>
            <w:vAlign w:val="center"/>
          </w:tcPr>
          <w:p w14:paraId="7726B8BD">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西门子</w:t>
            </w:r>
          </w:p>
        </w:tc>
        <w:tc>
          <w:tcPr>
            <w:tcW w:w="1477" w:type="dxa"/>
            <w:tcBorders>
              <w:top w:val="single" w:color="000000" w:sz="4" w:space="0"/>
              <w:left w:val="single" w:color="000000" w:sz="4" w:space="0"/>
              <w:bottom w:val="single" w:color="000000" w:sz="4" w:space="0"/>
              <w:right w:val="single" w:color="000000" w:sz="4" w:space="0"/>
            </w:tcBorders>
            <w:vAlign w:val="center"/>
          </w:tcPr>
          <w:p w14:paraId="622B2B0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施耐德</w:t>
            </w:r>
          </w:p>
        </w:tc>
        <w:tc>
          <w:tcPr>
            <w:tcW w:w="1576" w:type="dxa"/>
            <w:tcBorders>
              <w:top w:val="single" w:color="000000" w:sz="4" w:space="0"/>
              <w:left w:val="single" w:color="000000" w:sz="4" w:space="0"/>
              <w:bottom w:val="single" w:color="000000" w:sz="4" w:space="0"/>
              <w:right w:val="single" w:color="000000" w:sz="4" w:space="0"/>
            </w:tcBorders>
            <w:vAlign w:val="center"/>
          </w:tcPr>
          <w:p w14:paraId="2C6CD860">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ABB</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D0F451A">
            <w:pPr>
              <w:rPr>
                <w:rFonts w:hint="eastAsia" w:ascii="宋体" w:hAnsi="宋体" w:cs="宋体"/>
                <w:color w:val="auto"/>
                <w:sz w:val="24"/>
                <w:highlight w:val="yellow"/>
              </w:rPr>
            </w:pPr>
          </w:p>
        </w:tc>
      </w:tr>
      <w:tr w14:paraId="0CB422AB">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CE439B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1768" w:type="dxa"/>
            <w:tcBorders>
              <w:top w:val="single" w:color="000000" w:sz="4" w:space="0"/>
              <w:left w:val="single" w:color="000000" w:sz="4" w:space="0"/>
              <w:bottom w:val="single" w:color="000000" w:sz="4" w:space="0"/>
              <w:right w:val="single" w:color="000000" w:sz="4" w:space="0"/>
            </w:tcBorders>
            <w:vAlign w:val="center"/>
          </w:tcPr>
          <w:p w14:paraId="32DABFE8">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组态软件</w:t>
            </w:r>
          </w:p>
        </w:tc>
        <w:tc>
          <w:tcPr>
            <w:tcW w:w="1717" w:type="dxa"/>
            <w:tcBorders>
              <w:top w:val="single" w:color="000000" w:sz="4" w:space="0"/>
              <w:left w:val="single" w:color="000000" w:sz="4" w:space="0"/>
              <w:bottom w:val="single" w:color="000000" w:sz="4" w:space="0"/>
              <w:right w:val="single" w:color="000000" w:sz="4" w:space="0"/>
            </w:tcBorders>
            <w:vAlign w:val="center"/>
          </w:tcPr>
          <w:p w14:paraId="45DFC644">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西门子</w:t>
            </w:r>
          </w:p>
        </w:tc>
        <w:tc>
          <w:tcPr>
            <w:tcW w:w="1477" w:type="dxa"/>
            <w:tcBorders>
              <w:top w:val="single" w:color="000000" w:sz="4" w:space="0"/>
              <w:left w:val="single" w:color="000000" w:sz="4" w:space="0"/>
              <w:bottom w:val="single" w:color="000000" w:sz="4" w:space="0"/>
              <w:right w:val="single" w:color="000000" w:sz="4" w:space="0"/>
            </w:tcBorders>
            <w:vAlign w:val="center"/>
          </w:tcPr>
          <w:p w14:paraId="5F9AFB45">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施耐德</w:t>
            </w:r>
          </w:p>
        </w:tc>
        <w:tc>
          <w:tcPr>
            <w:tcW w:w="1576" w:type="dxa"/>
            <w:tcBorders>
              <w:top w:val="single" w:color="000000" w:sz="4" w:space="0"/>
              <w:left w:val="single" w:color="000000" w:sz="4" w:space="0"/>
              <w:bottom w:val="single" w:color="000000" w:sz="4" w:space="0"/>
              <w:right w:val="single" w:color="000000" w:sz="4" w:space="0"/>
            </w:tcBorders>
            <w:vAlign w:val="center"/>
          </w:tcPr>
          <w:p w14:paraId="5B079172">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ABB</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61E8C1A">
            <w:pPr>
              <w:rPr>
                <w:rFonts w:hint="eastAsia" w:ascii="宋体" w:hAnsi="宋体" w:cs="宋体"/>
                <w:color w:val="auto"/>
                <w:sz w:val="24"/>
                <w:highlight w:val="yellow"/>
              </w:rPr>
            </w:pPr>
          </w:p>
        </w:tc>
      </w:tr>
      <w:tr w14:paraId="2D3E00B3">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72998DF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w:t>
            </w:r>
          </w:p>
        </w:tc>
        <w:tc>
          <w:tcPr>
            <w:tcW w:w="1768" w:type="dxa"/>
            <w:tcBorders>
              <w:top w:val="single" w:color="000000" w:sz="4" w:space="0"/>
              <w:left w:val="single" w:color="000000" w:sz="4" w:space="0"/>
              <w:bottom w:val="single" w:color="000000" w:sz="4" w:space="0"/>
              <w:right w:val="single" w:color="000000" w:sz="4" w:space="0"/>
            </w:tcBorders>
            <w:vAlign w:val="center"/>
          </w:tcPr>
          <w:p w14:paraId="04248A74">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温湿度传感器</w:t>
            </w:r>
          </w:p>
        </w:tc>
        <w:tc>
          <w:tcPr>
            <w:tcW w:w="1717" w:type="dxa"/>
            <w:tcBorders>
              <w:top w:val="single" w:color="000000" w:sz="4" w:space="0"/>
              <w:left w:val="single" w:color="000000" w:sz="4" w:space="0"/>
              <w:bottom w:val="single" w:color="000000" w:sz="4" w:space="0"/>
              <w:right w:val="single" w:color="000000" w:sz="4" w:space="0"/>
            </w:tcBorders>
            <w:vAlign w:val="center"/>
          </w:tcPr>
          <w:p w14:paraId="335AFCFD">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西门子</w:t>
            </w:r>
          </w:p>
        </w:tc>
        <w:tc>
          <w:tcPr>
            <w:tcW w:w="1477" w:type="dxa"/>
            <w:tcBorders>
              <w:top w:val="single" w:color="000000" w:sz="4" w:space="0"/>
              <w:left w:val="single" w:color="000000" w:sz="4" w:space="0"/>
              <w:bottom w:val="single" w:color="000000" w:sz="4" w:space="0"/>
              <w:right w:val="single" w:color="000000" w:sz="4" w:space="0"/>
            </w:tcBorders>
            <w:vAlign w:val="center"/>
          </w:tcPr>
          <w:p w14:paraId="4A142CF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E+E</w:t>
            </w:r>
          </w:p>
        </w:tc>
        <w:tc>
          <w:tcPr>
            <w:tcW w:w="1576" w:type="dxa"/>
            <w:tcBorders>
              <w:top w:val="single" w:color="000000" w:sz="4" w:space="0"/>
              <w:left w:val="single" w:color="000000" w:sz="4" w:space="0"/>
              <w:bottom w:val="single" w:color="000000" w:sz="4" w:space="0"/>
              <w:right w:val="single" w:color="000000" w:sz="4" w:space="0"/>
            </w:tcBorders>
            <w:vAlign w:val="center"/>
          </w:tcPr>
          <w:p w14:paraId="6030FC0C">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霍尼维尔</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047D6CC">
            <w:pPr>
              <w:rPr>
                <w:rFonts w:hint="eastAsia" w:ascii="宋体" w:hAnsi="宋体" w:cs="宋体"/>
                <w:color w:val="auto"/>
                <w:sz w:val="24"/>
                <w:highlight w:val="yellow"/>
              </w:rPr>
            </w:pPr>
          </w:p>
        </w:tc>
      </w:tr>
      <w:tr w14:paraId="6E721EC7">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4" w:space="0"/>
              <w:right w:val="single" w:color="000000" w:sz="4" w:space="0"/>
            </w:tcBorders>
            <w:vAlign w:val="center"/>
          </w:tcPr>
          <w:p w14:paraId="4BBACA3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5</w:t>
            </w:r>
          </w:p>
        </w:tc>
        <w:tc>
          <w:tcPr>
            <w:tcW w:w="1768" w:type="dxa"/>
            <w:tcBorders>
              <w:top w:val="single" w:color="000000" w:sz="4" w:space="0"/>
              <w:left w:val="single" w:color="000000" w:sz="4" w:space="0"/>
              <w:bottom w:val="single" w:color="000000" w:sz="4" w:space="0"/>
              <w:right w:val="single" w:color="000000" w:sz="4" w:space="0"/>
            </w:tcBorders>
            <w:vAlign w:val="center"/>
          </w:tcPr>
          <w:p w14:paraId="2373937A">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压差传感器</w:t>
            </w:r>
          </w:p>
        </w:tc>
        <w:tc>
          <w:tcPr>
            <w:tcW w:w="1717" w:type="dxa"/>
            <w:tcBorders>
              <w:top w:val="single" w:color="000000" w:sz="4" w:space="0"/>
              <w:left w:val="single" w:color="000000" w:sz="4" w:space="0"/>
              <w:bottom w:val="single" w:color="000000" w:sz="4" w:space="0"/>
              <w:right w:val="single" w:color="000000" w:sz="4" w:space="0"/>
            </w:tcBorders>
            <w:vAlign w:val="center"/>
          </w:tcPr>
          <w:p w14:paraId="4A7E016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霍尼韦尔</w:t>
            </w:r>
          </w:p>
        </w:tc>
        <w:tc>
          <w:tcPr>
            <w:tcW w:w="1477" w:type="dxa"/>
            <w:tcBorders>
              <w:top w:val="single" w:color="000000" w:sz="4" w:space="0"/>
              <w:left w:val="single" w:color="000000" w:sz="4" w:space="0"/>
              <w:bottom w:val="single" w:color="000000" w:sz="4" w:space="0"/>
              <w:right w:val="single" w:color="000000" w:sz="4" w:space="0"/>
            </w:tcBorders>
            <w:vAlign w:val="center"/>
          </w:tcPr>
          <w:p w14:paraId="49DADE5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西门子</w:t>
            </w:r>
          </w:p>
        </w:tc>
        <w:tc>
          <w:tcPr>
            <w:tcW w:w="1576" w:type="dxa"/>
            <w:tcBorders>
              <w:top w:val="single" w:color="000000" w:sz="4" w:space="0"/>
              <w:left w:val="single" w:color="000000" w:sz="4" w:space="0"/>
              <w:bottom w:val="single" w:color="000000" w:sz="4" w:space="0"/>
              <w:right w:val="single" w:color="000000" w:sz="4" w:space="0"/>
            </w:tcBorders>
            <w:vAlign w:val="center"/>
          </w:tcPr>
          <w:p w14:paraId="6FC13101">
            <w:pPr>
              <w:widowControl/>
              <w:jc w:val="center"/>
              <w:textAlignment w:val="center"/>
              <w:rPr>
                <w:rFonts w:hint="eastAsia" w:ascii="宋体" w:hAnsi="宋体" w:cs="宋体"/>
                <w:color w:val="auto"/>
                <w:kern w:val="0"/>
                <w:sz w:val="24"/>
                <w:highlight w:val="none"/>
                <w:lang w:bidi="ar"/>
              </w:rPr>
            </w:pPr>
            <w:r>
              <w:rPr>
                <w:rFonts w:ascii="宋体" w:hAnsi="宋体" w:cs="宋体"/>
                <w:color w:val="auto"/>
                <w:kern w:val="0"/>
                <w:sz w:val="24"/>
                <w:highlight w:val="none"/>
                <w:lang w:bidi="ar"/>
              </w:rPr>
              <w:t>WIKA</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7C6A0B58">
            <w:pPr>
              <w:rPr>
                <w:rFonts w:hint="eastAsia" w:ascii="宋体" w:hAnsi="宋体" w:cs="宋体"/>
                <w:color w:val="auto"/>
                <w:sz w:val="24"/>
                <w:highlight w:val="yellow"/>
              </w:rPr>
            </w:pPr>
          </w:p>
        </w:tc>
      </w:tr>
      <w:tr w14:paraId="08660717">
        <w:tblPrEx>
          <w:tblCellMar>
            <w:top w:w="0" w:type="dxa"/>
            <w:left w:w="108" w:type="dxa"/>
            <w:bottom w:w="0" w:type="dxa"/>
            <w:right w:w="108" w:type="dxa"/>
          </w:tblCellMar>
        </w:tblPrEx>
        <w:trPr>
          <w:trHeight w:val="499" w:hRule="atLeast"/>
        </w:trPr>
        <w:tc>
          <w:tcPr>
            <w:tcW w:w="630" w:type="dxa"/>
            <w:tcBorders>
              <w:top w:val="single" w:color="000000" w:sz="4" w:space="0"/>
              <w:left w:val="single" w:color="000000" w:sz="8" w:space="0"/>
              <w:bottom w:val="single" w:color="000000" w:sz="8" w:space="0"/>
              <w:right w:val="single" w:color="000000" w:sz="4" w:space="0"/>
            </w:tcBorders>
            <w:vAlign w:val="center"/>
          </w:tcPr>
          <w:p w14:paraId="5CCEAB5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6</w:t>
            </w:r>
          </w:p>
        </w:tc>
        <w:tc>
          <w:tcPr>
            <w:tcW w:w="1768" w:type="dxa"/>
            <w:tcBorders>
              <w:top w:val="single" w:color="000000" w:sz="4" w:space="0"/>
              <w:left w:val="single" w:color="000000" w:sz="4" w:space="0"/>
              <w:bottom w:val="single" w:color="000000" w:sz="8" w:space="0"/>
              <w:right w:val="single" w:color="000000" w:sz="4" w:space="0"/>
            </w:tcBorders>
            <w:vAlign w:val="center"/>
          </w:tcPr>
          <w:p w14:paraId="4CC87C30">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压差开关</w:t>
            </w:r>
          </w:p>
        </w:tc>
        <w:tc>
          <w:tcPr>
            <w:tcW w:w="1717" w:type="dxa"/>
            <w:tcBorders>
              <w:top w:val="single" w:color="000000" w:sz="4" w:space="0"/>
              <w:left w:val="single" w:color="000000" w:sz="4" w:space="0"/>
              <w:bottom w:val="single" w:color="000000" w:sz="8" w:space="0"/>
              <w:right w:val="single" w:color="000000" w:sz="4" w:space="0"/>
            </w:tcBorders>
            <w:vAlign w:val="center"/>
          </w:tcPr>
          <w:p w14:paraId="50729DF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霍尼韦尔</w:t>
            </w:r>
          </w:p>
        </w:tc>
        <w:tc>
          <w:tcPr>
            <w:tcW w:w="1477" w:type="dxa"/>
            <w:tcBorders>
              <w:top w:val="single" w:color="000000" w:sz="4" w:space="0"/>
              <w:left w:val="single" w:color="000000" w:sz="4" w:space="0"/>
              <w:bottom w:val="single" w:color="000000" w:sz="8" w:space="0"/>
              <w:right w:val="single" w:color="000000" w:sz="4" w:space="0"/>
            </w:tcBorders>
            <w:vAlign w:val="center"/>
          </w:tcPr>
          <w:p w14:paraId="0BB2A75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西门子</w:t>
            </w:r>
          </w:p>
        </w:tc>
        <w:tc>
          <w:tcPr>
            <w:tcW w:w="1576" w:type="dxa"/>
            <w:tcBorders>
              <w:top w:val="single" w:color="000000" w:sz="4" w:space="0"/>
              <w:left w:val="single" w:color="000000" w:sz="4" w:space="0"/>
              <w:bottom w:val="single" w:color="000000" w:sz="8" w:space="0"/>
              <w:right w:val="single" w:color="000000" w:sz="4" w:space="0"/>
            </w:tcBorders>
            <w:vAlign w:val="center"/>
          </w:tcPr>
          <w:p w14:paraId="74EF108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德威尔</w:t>
            </w:r>
          </w:p>
        </w:tc>
        <w:tc>
          <w:tcPr>
            <w:tcW w:w="1353" w:type="dxa"/>
            <w:tcBorders>
              <w:top w:val="single" w:color="000000" w:sz="4" w:space="0"/>
              <w:left w:val="single" w:color="000000" w:sz="4" w:space="0"/>
              <w:bottom w:val="single" w:color="000000" w:sz="8" w:space="0"/>
              <w:right w:val="single" w:color="000000" w:sz="8" w:space="0"/>
            </w:tcBorders>
            <w:noWrap/>
            <w:vAlign w:val="center"/>
          </w:tcPr>
          <w:p w14:paraId="2DF20236">
            <w:pPr>
              <w:rPr>
                <w:rFonts w:hint="eastAsia" w:ascii="宋体" w:hAnsi="宋体" w:cs="宋体"/>
                <w:color w:val="auto"/>
                <w:sz w:val="24"/>
                <w:highlight w:val="yellow"/>
              </w:rPr>
            </w:pPr>
          </w:p>
        </w:tc>
      </w:tr>
    </w:tbl>
    <w:p w14:paraId="6B9F1655">
      <w:pPr>
        <w:spacing w:before="0" w:beforeLines="-2147483648" w:after="0" w:afterLines="-2147483648" w:line="240" w:lineRule="auto"/>
        <w:jc w:val="left"/>
        <w:rPr>
          <w:rFonts w:ascii="Arial" w:hAnsi="Arial" w:cs="Arial"/>
          <w:color w:val="auto"/>
          <w:sz w:val="24"/>
          <w:highlight w:val="none"/>
        </w:rPr>
      </w:pPr>
      <w:r>
        <w:rPr>
          <w:rFonts w:ascii="Arial" w:hAnsi="Arial" w:cs="Arial"/>
          <w:color w:val="auto"/>
          <w:sz w:val="24"/>
          <w:highlight w:val="none"/>
        </w:rPr>
        <w:br w:type="page"/>
      </w:r>
    </w:p>
    <w:p w14:paraId="7014DC89">
      <w:pPr>
        <w:spacing w:before="62" w:beforeLines="20" w:after="62" w:afterLines="20" w:line="276" w:lineRule="auto"/>
        <w:jc w:val="left"/>
        <w:rPr>
          <w:rFonts w:hint="eastAsia" w:ascii="Arial" w:hAnsi="Arial" w:cs="Arial"/>
          <w:b/>
          <w:bCs/>
          <w:color w:val="auto"/>
          <w:sz w:val="24"/>
          <w:szCs w:val="24"/>
          <w:highlight w:val="none"/>
          <w:lang w:val="en-US" w:eastAsia="zh-CN"/>
        </w:rPr>
      </w:pPr>
      <w:r>
        <w:rPr>
          <w:rFonts w:hint="eastAsia" w:ascii="Arial" w:hAnsi="Arial" w:eastAsia="宋体" w:cs="Arial"/>
          <w:b/>
          <w:bCs/>
          <w:color w:val="auto"/>
          <w:sz w:val="24"/>
          <w:szCs w:val="24"/>
          <w:highlight w:val="none"/>
          <w:lang w:val="en-US" w:eastAsia="zh-CN"/>
        </w:rPr>
        <w:t>十二、施工现场建筑垃圾源头减量的具体要求和建筑垃圾综合利用品的使用要求：</w:t>
      </w:r>
    </w:p>
    <w:p w14:paraId="7E3A37B3">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w:t>
      </w:r>
    </w:p>
    <w:p w14:paraId="4B1E9637">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（1）工程概况和施工单位基本信息；</w:t>
      </w:r>
    </w:p>
    <w:p w14:paraId="36A9C044">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（2）建筑垃圾产生量与种类；</w:t>
      </w:r>
    </w:p>
    <w:p w14:paraId="03093900">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（3）建筑垃圾源头减量、分类收集、综合利用、污染防治的措施和目标；</w:t>
      </w:r>
    </w:p>
    <w:p w14:paraId="15877840">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（4）需要外运的建筑垃圾种类、数量与运输的时间、路线、方式和运输单位；</w:t>
      </w:r>
    </w:p>
    <w:p w14:paraId="0FC235E6">
      <w:pPr>
        <w:keepNext w:val="0"/>
        <w:keepLines w:val="0"/>
        <w:pageBreakBefore w:val="0"/>
        <w:widowControl/>
        <w:numPr>
          <w:ilvl w:val="0"/>
          <w:numId w:val="12"/>
        </w:numPr>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建筑垃圾回填、消纳、综合利用场所名称；</w:t>
      </w:r>
    </w:p>
    <w:p w14:paraId="23FD70E3">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（6）法律、法规规定的其他内容。</w:t>
      </w:r>
    </w:p>
    <w:p w14:paraId="19F268A6">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2.建筑垃圾应当按照国家有关规定进行分类，实行分类收集、分类贮存、分类运输、分类处置。</w:t>
      </w:r>
    </w:p>
    <w:p w14:paraId="3A30E2FB">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3.建设单位应当建立建筑垃圾分类收集、贮存以及台账管理等制度，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0CA98DD2">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4.运输建筑垃圾应当遵守下列规定：</w:t>
      </w:r>
    </w:p>
    <w:p w14:paraId="56BE9976">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（1）建立建筑垃圾运输管理台账；</w:t>
      </w:r>
    </w:p>
    <w:p w14:paraId="6B19B83A">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（2）不得将工程渣土、工程泥浆与其他建筑垃圾混合运输；</w:t>
      </w:r>
    </w:p>
    <w:p w14:paraId="1E7CB968">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（3）保持运输车辆、船舶等运输工具的行驶记录、卫星定位等电子装置正常使用；</w:t>
      </w:r>
    </w:p>
    <w:p w14:paraId="34EF7872">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（4）运输过程中保持运输工具整洁，采取密闭或者其他有效措施防止遗撒建筑垃圾，不得擅自倾倒、抛撒建筑垃圾；</w:t>
      </w:r>
    </w:p>
    <w:p w14:paraId="248F58F5">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（5）按照建筑垃圾处理方案确定的时间、路线、方式、场所进行运输。建筑垃圾运输车辆、船舶应当符合相应的载运技术条件。建筑垃圾处置场所为陆域的，不得采用开底式船舶运输建筑垃圾。</w:t>
      </w:r>
    </w:p>
    <w:p w14:paraId="0E5CDAF8">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5.工程泥浆应当在施工现场进行脱水固化处理。施工现场不具备条件的，应当采用罐装器具密闭运输至依法设置的建筑垃圾处置场所进行处置。水上工程中依法无需经脱水处理的除外。</w:t>
      </w:r>
    </w:p>
    <w:p w14:paraId="288EF652">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szCs w:val="21"/>
          <w:lang w:val="en-US" w:eastAsia="zh-CN"/>
        </w:rPr>
      </w:pPr>
      <w:r>
        <w:rPr>
          <w:rFonts w:hint="eastAsia" w:ascii="Times New Roman" w:hAnsi="Times New Roman"/>
          <w:szCs w:val="21"/>
          <w:lang w:val="en-US" w:eastAsia="zh-CN"/>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401B8358">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szCs w:val="21"/>
          <w:lang w:val="en-US" w:eastAsia="zh-CN"/>
        </w:rPr>
      </w:pPr>
      <w:r>
        <w:rPr>
          <w:rFonts w:hint="eastAsia" w:ascii="Times New Roman" w:hAnsi="Times New Roman"/>
          <w:szCs w:val="21"/>
          <w:lang w:val="en-US" w:eastAsia="zh-CN"/>
        </w:rPr>
        <w:t>7.建设单位和施工单位严格遵守并执行《广东省建筑垃圾管理条例》。</w:t>
      </w:r>
    </w:p>
    <w:p w14:paraId="496D4F19">
      <w:pPr>
        <w:pStyle w:val="11"/>
      </w:pPr>
    </w:p>
    <w:p w14:paraId="186F6AE0">
      <w:pPr>
        <w:spacing w:before="62" w:beforeLines="20" w:after="62" w:afterLines="20" w:line="276" w:lineRule="auto"/>
        <w:jc w:val="left"/>
        <w:rPr>
          <w:rFonts w:ascii="Arial" w:hAnsi="Arial" w:cs="Arial"/>
          <w:color w:val="auto"/>
          <w:sz w:val="24"/>
          <w:highlight w:val="none"/>
        </w:rPr>
      </w:pPr>
    </w:p>
    <w:bookmarkEnd w:id="585"/>
    <w:p w14:paraId="27BF1659">
      <w:pPr>
        <w:spacing w:before="62" w:beforeLines="20" w:after="62" w:afterLines="20" w:line="276" w:lineRule="auto"/>
        <w:jc w:val="left"/>
        <w:rPr>
          <w:rFonts w:ascii="Arial" w:hAnsi="Arial" w:cs="Arial"/>
          <w:b/>
          <w:color w:val="auto"/>
          <w:sz w:val="24"/>
          <w:highlight w:val="none"/>
        </w:rPr>
      </w:pPr>
    </w:p>
    <w:p w14:paraId="40F7AE11">
      <w:pPr>
        <w:topLinePunct/>
        <w:spacing w:line="440" w:lineRule="exact"/>
        <w:ind w:firstLine="420"/>
        <w:jc w:val="center"/>
        <w:rPr>
          <w:rFonts w:hint="eastAsia" w:ascii="宋体" w:hAnsi="宋体" w:cs="宋体"/>
          <w:color w:val="auto"/>
          <w:highlight w:val="none"/>
        </w:rPr>
      </w:pPr>
    </w:p>
    <w:p w14:paraId="06BD17B6">
      <w:pPr>
        <w:spacing w:line="400" w:lineRule="exact"/>
        <w:ind w:firstLine="420"/>
        <w:jc w:val="center"/>
        <w:rPr>
          <w:rFonts w:hint="eastAsia" w:ascii="宋体" w:hAnsi="宋体" w:cs="宋体"/>
          <w:color w:val="auto"/>
          <w:szCs w:val="21"/>
          <w:highlight w:val="none"/>
        </w:rPr>
      </w:pPr>
      <w:r>
        <w:rPr>
          <w:rFonts w:hint="eastAsia" w:ascii="宋体" w:hAnsi="宋体" w:cs="宋体"/>
          <w:color w:val="auto"/>
          <w:szCs w:val="21"/>
          <w:highlight w:val="none"/>
        </w:rPr>
        <w:br w:type="page"/>
      </w:r>
    </w:p>
    <w:p w14:paraId="3576F50F">
      <w:pPr>
        <w:spacing w:line="400" w:lineRule="exact"/>
        <w:ind w:firstLine="420"/>
        <w:rPr>
          <w:rFonts w:hint="eastAsia" w:ascii="宋体" w:hAnsi="宋体" w:cs="宋体"/>
          <w:color w:val="auto"/>
          <w:szCs w:val="21"/>
          <w:highlight w:val="none"/>
        </w:rPr>
      </w:pPr>
    </w:p>
    <w:p w14:paraId="35A8A077">
      <w:pPr>
        <w:spacing w:line="360" w:lineRule="auto"/>
        <w:ind w:firstLine="420"/>
        <w:rPr>
          <w:rFonts w:hint="eastAsia" w:ascii="宋体" w:hAnsi="宋体" w:cs="宋体"/>
          <w:color w:val="auto"/>
          <w:szCs w:val="21"/>
          <w:highlight w:val="none"/>
        </w:rPr>
      </w:pPr>
    </w:p>
    <w:p w14:paraId="2171A44E">
      <w:pPr>
        <w:pStyle w:val="2"/>
        <w:rPr>
          <w:color w:val="auto"/>
          <w:highlight w:val="none"/>
        </w:rPr>
      </w:pPr>
      <w:bookmarkStart w:id="588" w:name="_Toc23943"/>
      <w:bookmarkStart w:id="589" w:name="_Toc134304593"/>
      <w:r>
        <w:rPr>
          <w:rFonts w:hint="eastAsia"/>
          <w:color w:val="auto"/>
          <w:highlight w:val="none"/>
        </w:rPr>
        <w:t>第六章  招标人提供的资料</w:t>
      </w:r>
      <w:bookmarkEnd w:id="588"/>
      <w:bookmarkEnd w:id="589"/>
    </w:p>
    <w:p w14:paraId="3AEB3EA1">
      <w:pPr>
        <w:spacing w:line="360" w:lineRule="auto"/>
        <w:ind w:firstLine="420"/>
        <w:rPr>
          <w:rFonts w:hint="eastAsia" w:ascii="宋体" w:hAnsi="宋体" w:cs="宋体"/>
          <w:color w:val="auto"/>
          <w:highlight w:val="none"/>
        </w:rPr>
      </w:pPr>
    </w:p>
    <w:p w14:paraId="527C5067">
      <w:pPr>
        <w:spacing w:line="360" w:lineRule="auto"/>
        <w:ind w:firstLine="420"/>
        <w:rPr>
          <w:rFonts w:hint="eastAsia" w:ascii="宋体" w:hAnsi="宋体" w:cs="宋体"/>
          <w:color w:val="auto"/>
          <w:highlight w:val="none"/>
        </w:rPr>
      </w:pPr>
    </w:p>
    <w:p w14:paraId="2C34BE05">
      <w:pPr>
        <w:spacing w:line="360" w:lineRule="auto"/>
        <w:ind w:firstLine="420"/>
        <w:rPr>
          <w:rFonts w:hint="eastAsia" w:ascii="宋体" w:hAnsi="宋体" w:cs="宋体"/>
          <w:color w:val="auto"/>
          <w:highlight w:val="none"/>
        </w:rPr>
      </w:pPr>
    </w:p>
    <w:p w14:paraId="79A0DF46">
      <w:pPr>
        <w:spacing w:line="360" w:lineRule="auto"/>
        <w:ind w:firstLine="723"/>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w:t>
      </w:r>
      <w:r>
        <w:rPr>
          <w:rFonts w:hint="eastAsia" w:ascii="宋体" w:hAnsi="宋体" w:cs="宋体"/>
          <w:b/>
          <w:color w:val="auto"/>
          <w:sz w:val="36"/>
          <w:szCs w:val="36"/>
          <w:highlight w:val="none"/>
          <w:lang w:val="en-US" w:eastAsia="zh-CN"/>
        </w:rPr>
        <w:t>无</w:t>
      </w:r>
      <w:r>
        <w:rPr>
          <w:rFonts w:hint="eastAsia" w:ascii="宋体" w:hAnsi="宋体" w:cs="宋体"/>
          <w:b/>
          <w:color w:val="auto"/>
          <w:sz w:val="36"/>
          <w:szCs w:val="36"/>
          <w:highlight w:val="none"/>
        </w:rPr>
        <w:t>）</w:t>
      </w:r>
    </w:p>
    <w:p w14:paraId="4C6C214F">
      <w:pPr>
        <w:spacing w:line="360" w:lineRule="auto"/>
        <w:ind w:firstLine="420"/>
        <w:rPr>
          <w:rFonts w:hint="eastAsia" w:ascii="宋体" w:hAnsi="宋体" w:cs="宋体"/>
          <w:color w:val="auto"/>
          <w:highlight w:val="none"/>
        </w:rPr>
      </w:pPr>
    </w:p>
    <w:p w14:paraId="0605A0AB">
      <w:pPr>
        <w:spacing w:line="360" w:lineRule="auto"/>
        <w:ind w:firstLine="420"/>
        <w:rPr>
          <w:rFonts w:hint="eastAsia" w:ascii="宋体" w:hAnsi="宋体" w:cs="宋体"/>
          <w:color w:val="auto"/>
          <w:highlight w:val="none"/>
        </w:rPr>
      </w:pPr>
    </w:p>
    <w:p w14:paraId="1980DCC4">
      <w:pPr>
        <w:spacing w:line="360" w:lineRule="auto"/>
        <w:ind w:firstLine="420"/>
        <w:rPr>
          <w:rFonts w:hint="eastAsia" w:ascii="宋体" w:hAnsi="宋体" w:cs="宋体"/>
          <w:color w:val="auto"/>
          <w:highlight w:val="none"/>
        </w:rPr>
      </w:pPr>
    </w:p>
    <w:p w14:paraId="270643B5">
      <w:pPr>
        <w:spacing w:line="400" w:lineRule="exact"/>
        <w:ind w:firstLine="420"/>
        <w:rPr>
          <w:rFonts w:hint="eastAsia" w:ascii="宋体" w:hAnsi="宋体" w:cs="宋体"/>
          <w:color w:val="auto"/>
          <w:szCs w:val="22"/>
          <w:highlight w:val="none"/>
        </w:rPr>
      </w:pPr>
      <w:r>
        <w:rPr>
          <w:rFonts w:ascii="宋体" w:hAnsi="宋体" w:cs="宋体"/>
          <w:color w:val="auto"/>
          <w:szCs w:val="22"/>
          <w:highlight w:val="none"/>
        </w:rPr>
        <w:br w:type="page"/>
      </w:r>
    </w:p>
    <w:p w14:paraId="6DC21B6A">
      <w:pPr>
        <w:spacing w:line="400" w:lineRule="exact"/>
        <w:ind w:firstLine="420"/>
        <w:rPr>
          <w:rFonts w:hint="eastAsia" w:ascii="宋体" w:hAnsi="宋体" w:cs="宋体"/>
          <w:color w:val="auto"/>
          <w:szCs w:val="22"/>
          <w:highlight w:val="none"/>
        </w:rPr>
      </w:pPr>
    </w:p>
    <w:p w14:paraId="3E673B65">
      <w:pPr>
        <w:spacing w:line="400" w:lineRule="exact"/>
        <w:ind w:firstLine="420"/>
        <w:rPr>
          <w:rFonts w:hint="eastAsia" w:ascii="宋体" w:hAnsi="宋体" w:cs="宋体"/>
          <w:color w:val="auto"/>
          <w:highlight w:val="none"/>
        </w:rPr>
      </w:pPr>
    </w:p>
    <w:p w14:paraId="767D9CDB">
      <w:pPr>
        <w:spacing w:line="400" w:lineRule="exact"/>
        <w:ind w:firstLine="420"/>
        <w:rPr>
          <w:rFonts w:hint="eastAsia" w:ascii="宋体" w:hAnsi="宋体" w:cs="宋体"/>
          <w:color w:val="auto"/>
          <w:highlight w:val="none"/>
        </w:rPr>
      </w:pPr>
      <w:bookmarkStart w:id="590" w:name="_Toc15557"/>
      <w:bookmarkStart w:id="591" w:name="_Toc247514244"/>
      <w:bookmarkStart w:id="592" w:name="_Toc247527825"/>
      <w:bookmarkStart w:id="593" w:name="_Toc144974855"/>
      <w:bookmarkStart w:id="594" w:name="_Toc152045786"/>
      <w:bookmarkStart w:id="595" w:name="_Toc152042575"/>
    </w:p>
    <w:p w14:paraId="7980A63F">
      <w:pPr>
        <w:pStyle w:val="2"/>
        <w:rPr>
          <w:color w:val="auto"/>
          <w:highlight w:val="none"/>
        </w:rPr>
      </w:pPr>
      <w:bookmarkStart w:id="596" w:name="_Toc134304594"/>
      <w:r>
        <w:rPr>
          <w:rFonts w:hint="eastAsia"/>
          <w:color w:val="auto"/>
          <w:highlight w:val="none"/>
        </w:rPr>
        <w:t>第三卷</w:t>
      </w:r>
      <w:bookmarkEnd w:id="596"/>
    </w:p>
    <w:p w14:paraId="588358AD">
      <w:pPr>
        <w:spacing w:line="400" w:lineRule="exact"/>
        <w:ind w:firstLine="420"/>
        <w:rPr>
          <w:rFonts w:hint="eastAsia" w:ascii="宋体" w:hAnsi="宋体" w:cs="宋体"/>
          <w:color w:val="auto"/>
          <w:highlight w:val="none"/>
        </w:rPr>
      </w:pPr>
    </w:p>
    <w:p w14:paraId="37BE6792">
      <w:pPr>
        <w:spacing w:line="400" w:lineRule="exact"/>
        <w:ind w:firstLine="420"/>
        <w:rPr>
          <w:rFonts w:hint="eastAsia" w:ascii="宋体" w:hAnsi="宋体" w:cs="宋体"/>
          <w:color w:val="auto"/>
          <w:highlight w:val="none"/>
        </w:rPr>
      </w:pPr>
    </w:p>
    <w:bookmarkEnd w:id="590"/>
    <w:bookmarkEnd w:id="591"/>
    <w:bookmarkEnd w:id="592"/>
    <w:p w14:paraId="06E66CF8">
      <w:pPr>
        <w:spacing w:line="400" w:lineRule="exact"/>
        <w:ind w:firstLine="420"/>
        <w:rPr>
          <w:rFonts w:hint="eastAsia" w:ascii="宋体" w:hAnsi="宋体" w:cs="宋体"/>
          <w:color w:val="auto"/>
          <w:highlight w:val="none"/>
        </w:rPr>
      </w:pPr>
      <w:r>
        <w:rPr>
          <w:rFonts w:hint="eastAsia" w:ascii="宋体" w:hAnsi="宋体" w:cs="宋体"/>
          <w:b/>
          <w:bCs/>
          <w:color w:val="auto"/>
          <w:sz w:val="32"/>
          <w:highlight w:val="none"/>
        </w:rPr>
        <w:br w:type="page"/>
      </w:r>
      <w:bookmarkStart w:id="597" w:name="_Toc247527826"/>
      <w:bookmarkStart w:id="598" w:name="_Toc247514245"/>
      <w:bookmarkStart w:id="599" w:name="_Toc19881"/>
    </w:p>
    <w:p w14:paraId="76E62862">
      <w:pPr>
        <w:spacing w:line="400" w:lineRule="exact"/>
        <w:ind w:firstLine="420"/>
        <w:rPr>
          <w:rFonts w:hint="eastAsia" w:ascii="宋体" w:hAnsi="宋体" w:cs="宋体"/>
          <w:color w:val="auto"/>
          <w:highlight w:val="none"/>
        </w:rPr>
      </w:pPr>
    </w:p>
    <w:p w14:paraId="503B40D2">
      <w:pPr>
        <w:spacing w:line="400" w:lineRule="exact"/>
        <w:ind w:firstLine="420"/>
        <w:rPr>
          <w:rFonts w:hint="eastAsia" w:ascii="宋体" w:hAnsi="宋体" w:cs="宋体"/>
          <w:color w:val="auto"/>
          <w:highlight w:val="none"/>
        </w:rPr>
      </w:pPr>
    </w:p>
    <w:p w14:paraId="083D36FE">
      <w:pPr>
        <w:spacing w:line="400" w:lineRule="exact"/>
        <w:ind w:firstLine="420"/>
        <w:rPr>
          <w:rFonts w:hint="eastAsia" w:ascii="宋体" w:hAnsi="宋体" w:cs="宋体"/>
          <w:color w:val="auto"/>
          <w:highlight w:val="none"/>
        </w:rPr>
      </w:pPr>
    </w:p>
    <w:p w14:paraId="253BBA84">
      <w:pPr>
        <w:pStyle w:val="2"/>
        <w:rPr>
          <w:color w:val="auto"/>
          <w:highlight w:val="none"/>
        </w:rPr>
      </w:pPr>
      <w:bookmarkStart w:id="600" w:name="_Toc134304595"/>
      <w:r>
        <w:rPr>
          <w:rFonts w:hint="eastAsia"/>
          <w:color w:val="auto"/>
          <w:highlight w:val="none"/>
        </w:rPr>
        <w:t>第七章 投标文件格式</w:t>
      </w:r>
      <w:bookmarkEnd w:id="593"/>
      <w:bookmarkEnd w:id="594"/>
      <w:bookmarkEnd w:id="595"/>
      <w:bookmarkEnd w:id="597"/>
      <w:bookmarkEnd w:id="598"/>
      <w:bookmarkEnd w:id="599"/>
      <w:bookmarkEnd w:id="600"/>
    </w:p>
    <w:p w14:paraId="2AFB7270">
      <w:pPr>
        <w:spacing w:line="400" w:lineRule="exact"/>
        <w:ind w:firstLine="420"/>
        <w:rPr>
          <w:rFonts w:hint="eastAsia" w:ascii="宋体" w:hAnsi="宋体" w:cs="宋体"/>
          <w:color w:val="auto"/>
          <w:highlight w:val="none"/>
        </w:rPr>
      </w:pPr>
    </w:p>
    <w:p w14:paraId="4B62A71C">
      <w:pPr>
        <w:spacing w:line="400" w:lineRule="exact"/>
        <w:ind w:firstLine="420"/>
        <w:rPr>
          <w:rFonts w:hint="eastAsia" w:ascii="宋体" w:hAnsi="宋体" w:cs="宋体"/>
          <w:color w:val="auto"/>
          <w:highlight w:val="none"/>
        </w:rPr>
      </w:pPr>
    </w:p>
    <w:p w14:paraId="7FDA6723">
      <w:pPr>
        <w:spacing w:line="400" w:lineRule="exact"/>
        <w:ind w:firstLine="420"/>
        <w:rPr>
          <w:rFonts w:hint="eastAsia" w:ascii="宋体" w:hAnsi="宋体" w:cs="宋体"/>
          <w:color w:val="auto"/>
          <w:highlight w:val="none"/>
        </w:rPr>
      </w:pPr>
    </w:p>
    <w:p w14:paraId="39277A7A">
      <w:pPr>
        <w:spacing w:line="400" w:lineRule="exact"/>
        <w:ind w:firstLine="420"/>
        <w:rPr>
          <w:rFonts w:hint="eastAsia" w:ascii="宋体" w:hAnsi="宋体" w:cs="宋体"/>
          <w:color w:val="auto"/>
          <w:highlight w:val="none"/>
        </w:rPr>
      </w:pPr>
    </w:p>
    <w:p w14:paraId="44338FA4">
      <w:pPr>
        <w:spacing w:line="400" w:lineRule="exact"/>
        <w:ind w:firstLine="420"/>
        <w:rPr>
          <w:rFonts w:hint="eastAsia" w:ascii="宋体" w:hAnsi="宋体" w:cs="宋体"/>
          <w:color w:val="auto"/>
          <w:highlight w:val="none"/>
        </w:rPr>
      </w:pPr>
    </w:p>
    <w:p w14:paraId="51578C29">
      <w:pPr>
        <w:spacing w:line="400" w:lineRule="exact"/>
        <w:ind w:firstLine="420"/>
        <w:rPr>
          <w:rFonts w:hint="eastAsia" w:ascii="宋体" w:hAnsi="宋体" w:cs="宋体"/>
          <w:color w:val="auto"/>
          <w:highlight w:val="none"/>
        </w:rPr>
      </w:pPr>
    </w:p>
    <w:p w14:paraId="5B3331AD">
      <w:pPr>
        <w:spacing w:line="360" w:lineRule="auto"/>
        <w:outlineLvl w:val="1"/>
        <w:rPr>
          <w:rFonts w:hint="eastAsia" w:ascii="宋体" w:hAnsi="宋体" w:cs="宋体"/>
          <w:b/>
          <w:bCs/>
          <w:color w:val="auto"/>
          <w:sz w:val="28"/>
          <w:szCs w:val="28"/>
          <w:highlight w:val="none"/>
        </w:rPr>
      </w:pPr>
      <w:r>
        <w:rPr>
          <w:rFonts w:hint="eastAsia" w:ascii="宋体" w:hAnsi="宋体" w:cs="宋体"/>
          <w:color w:val="auto"/>
          <w:highlight w:val="none"/>
        </w:rPr>
        <w:br w:type="page"/>
      </w:r>
      <w:bookmarkStart w:id="601" w:name="_Toc134304596"/>
      <w:bookmarkStart w:id="602" w:name="_Toc57392563"/>
      <w:r>
        <w:rPr>
          <w:rFonts w:hint="eastAsia" w:ascii="宋体" w:hAnsi="宋体" w:cs="宋体"/>
          <w:bCs/>
          <w:color w:val="auto"/>
          <w:sz w:val="24"/>
          <w:highlight w:val="none"/>
        </w:rPr>
        <w:t>格式1</w:t>
      </w:r>
      <w:bookmarkEnd w:id="601"/>
      <w:bookmarkEnd w:id="602"/>
    </w:p>
    <w:p w14:paraId="27584971">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 标 书</w:t>
      </w:r>
    </w:p>
    <w:p w14:paraId="44A362BB">
      <w:pPr>
        <w:wordWrap w:val="0"/>
        <w:autoSpaceDE w:val="0"/>
        <w:autoSpaceDN w:val="0"/>
        <w:adjustRightInd w:val="0"/>
        <w:spacing w:line="360" w:lineRule="auto"/>
        <w:jc w:val="right"/>
        <w:rPr>
          <w:rFonts w:hint="eastAsia" w:ascii="宋体" w:hAnsi="宋体" w:cs="宋体"/>
          <w:b/>
          <w:bCs/>
          <w:color w:val="auto"/>
          <w:sz w:val="32"/>
          <w:szCs w:val="32"/>
          <w:highlight w:val="none"/>
          <w:lang w:val="zh-CN"/>
        </w:rPr>
      </w:pPr>
      <w:r>
        <w:rPr>
          <w:rFonts w:hint="eastAsia" w:ascii="宋体" w:hAnsi="宋体" w:cs="宋体"/>
          <w:b/>
          <w:color w:val="auto"/>
          <w:sz w:val="24"/>
          <w:highlight w:val="none"/>
          <w:lang w:val="zh-CN"/>
        </w:rPr>
        <w:t xml:space="preserve">投标日期：   年  月  日  </w:t>
      </w:r>
    </w:p>
    <w:tbl>
      <w:tblPr>
        <w:tblStyle w:val="37"/>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0"/>
        <w:gridCol w:w="2291"/>
        <w:gridCol w:w="2873"/>
      </w:tblGrid>
      <w:tr w14:paraId="3D9E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0" w:type="dxa"/>
            <w:tcBorders>
              <w:top w:val="single" w:color="auto" w:sz="4" w:space="0"/>
              <w:left w:val="single" w:color="auto" w:sz="4" w:space="0"/>
              <w:bottom w:val="single" w:color="auto" w:sz="4" w:space="0"/>
              <w:right w:val="single" w:color="auto" w:sz="4" w:space="0"/>
            </w:tcBorders>
            <w:vAlign w:val="center"/>
          </w:tcPr>
          <w:p w14:paraId="1787100A">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工 程 名 称</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51D151D0">
            <w:pPr>
              <w:autoSpaceDE w:val="0"/>
              <w:autoSpaceDN w:val="0"/>
              <w:adjustRightInd w:val="0"/>
              <w:snapToGrid w:val="0"/>
              <w:rPr>
                <w:rFonts w:hint="eastAsia" w:ascii="宋体" w:hAnsi="宋体" w:cs="宋体"/>
                <w:b/>
                <w:bCs/>
                <w:color w:val="auto"/>
                <w:szCs w:val="21"/>
                <w:highlight w:val="none"/>
                <w:lang w:val="zh-CN"/>
              </w:rPr>
            </w:pPr>
          </w:p>
        </w:tc>
      </w:tr>
      <w:tr w14:paraId="5CD8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3380" w:type="dxa"/>
            <w:vMerge w:val="restart"/>
            <w:tcBorders>
              <w:top w:val="single" w:color="auto" w:sz="4" w:space="0"/>
              <w:left w:val="single" w:color="auto" w:sz="4" w:space="0"/>
              <w:right w:val="single" w:color="auto" w:sz="4" w:space="0"/>
            </w:tcBorders>
            <w:vAlign w:val="center"/>
          </w:tcPr>
          <w:p w14:paraId="4CF96248">
            <w:pPr>
              <w:snapToGrid w:val="0"/>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投标总报价</w:t>
            </w:r>
          </w:p>
          <w:p w14:paraId="6EE41D29">
            <w:pPr>
              <w:snapToGrid w:val="0"/>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（元）</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170F9EEE">
            <w:pPr>
              <w:autoSpaceDE w:val="0"/>
              <w:autoSpaceDN w:val="0"/>
              <w:adjustRightInd w:val="0"/>
              <w:snapToGrid w:val="0"/>
              <w:ind w:left="207" w:hanging="207" w:hangingChars="98"/>
              <w:rPr>
                <w:rFonts w:hint="eastAsia" w:ascii="宋体" w:hAnsi="宋体" w:cs="宋体"/>
                <w:b/>
                <w:bCs/>
                <w:color w:val="auto"/>
                <w:szCs w:val="21"/>
                <w:highlight w:val="none"/>
                <w:u w:val="single"/>
                <w:lang w:val="zh-CN"/>
              </w:rPr>
            </w:pPr>
            <w:r>
              <w:rPr>
                <w:rFonts w:ascii="宋体" w:hAnsi="宋体" w:cs="宋体"/>
                <w:b/>
                <w:bCs/>
                <w:color w:val="auto"/>
                <w:szCs w:val="21"/>
                <w:highlight w:val="none"/>
                <w:lang w:val="zh-CN"/>
              </w:rPr>
              <w:t>大写：</w:t>
            </w:r>
          </w:p>
          <w:p w14:paraId="7E0E42A9">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小写：</w:t>
            </w:r>
          </w:p>
        </w:tc>
      </w:tr>
      <w:tr w14:paraId="4677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3380" w:type="dxa"/>
            <w:vMerge w:val="continue"/>
            <w:tcBorders>
              <w:left w:val="single" w:color="auto" w:sz="4" w:space="0"/>
              <w:right w:val="single" w:color="auto" w:sz="4" w:space="0"/>
            </w:tcBorders>
            <w:vAlign w:val="center"/>
          </w:tcPr>
          <w:p w14:paraId="139B3649">
            <w:pPr>
              <w:snapToGrid w:val="0"/>
              <w:jc w:val="center"/>
              <w:rPr>
                <w:rFonts w:hint="eastAsia" w:ascii="宋体" w:hAnsi="宋体" w:cs="宋体"/>
                <w:b/>
                <w:color w:val="auto"/>
                <w:szCs w:val="21"/>
                <w:highlight w:val="none"/>
                <w:lang w:val="zh-CN"/>
              </w:rPr>
            </w:pP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056F0F4A">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其中，设计费报价：</w:t>
            </w:r>
          </w:p>
          <w:p w14:paraId="69D367A8">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大写：</w:t>
            </w:r>
          </w:p>
          <w:p w14:paraId="317A2C79">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小写：</w:t>
            </w:r>
          </w:p>
          <w:p w14:paraId="1DD33407">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 xml:space="preserve">设计费下浮率（%）：    %  </w:t>
            </w:r>
          </w:p>
        </w:tc>
      </w:tr>
      <w:tr w14:paraId="78F1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380" w:type="dxa"/>
            <w:vMerge w:val="continue"/>
            <w:tcBorders>
              <w:left w:val="single" w:color="auto" w:sz="4" w:space="0"/>
              <w:right w:val="single" w:color="auto" w:sz="4" w:space="0"/>
            </w:tcBorders>
            <w:vAlign w:val="center"/>
          </w:tcPr>
          <w:p w14:paraId="4E98312B">
            <w:pPr>
              <w:snapToGrid w:val="0"/>
              <w:jc w:val="center"/>
              <w:rPr>
                <w:rFonts w:hint="eastAsia" w:ascii="宋体" w:hAnsi="宋体" w:cs="宋体"/>
                <w:b/>
                <w:color w:val="auto"/>
                <w:szCs w:val="21"/>
                <w:highlight w:val="none"/>
                <w:lang w:val="zh-CN"/>
              </w:rPr>
            </w:pP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55B2D90C">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其中，建安工程费报价：</w:t>
            </w:r>
          </w:p>
          <w:p w14:paraId="0983473D">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ascii="宋体" w:hAnsi="宋体" w:cs="宋体"/>
                <w:b/>
                <w:bCs/>
                <w:color w:val="auto"/>
                <w:szCs w:val="21"/>
                <w:highlight w:val="none"/>
                <w:lang w:val="zh-CN"/>
              </w:rPr>
              <w:t>大写：</w:t>
            </w:r>
          </w:p>
          <w:p w14:paraId="34F14226">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小写：</w:t>
            </w:r>
          </w:p>
          <w:p w14:paraId="307109EE">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建安工程费下浮率（%）：</w:t>
            </w:r>
            <w:r>
              <w:rPr>
                <w:rFonts w:hint="eastAsia" w:ascii="宋体" w:hAnsi="宋体" w:cs="宋体"/>
                <w:b/>
                <w:bCs/>
                <w:color w:val="auto"/>
                <w:szCs w:val="21"/>
                <w:highlight w:val="none"/>
                <w:u w:val="single"/>
                <w:lang w:val="zh-CN"/>
              </w:rPr>
              <w:t xml:space="preserve">    %  </w:t>
            </w:r>
          </w:p>
        </w:tc>
      </w:tr>
      <w:tr w14:paraId="0C87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0" w:type="dxa"/>
            <w:tcBorders>
              <w:top w:val="single" w:color="auto" w:sz="4" w:space="0"/>
              <w:left w:val="single" w:color="auto" w:sz="4" w:space="0"/>
              <w:right w:val="single" w:color="auto" w:sz="4" w:space="0"/>
            </w:tcBorders>
            <w:vAlign w:val="center"/>
          </w:tcPr>
          <w:p w14:paraId="19188A32">
            <w:pPr>
              <w:snapToGrid w:val="0"/>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投标总工期</w:t>
            </w:r>
            <w:r>
              <w:rPr>
                <w:rFonts w:hint="eastAsia" w:ascii="宋体" w:hAnsi="宋体" w:cs="宋体"/>
                <w:b/>
                <w:bCs/>
                <w:color w:val="auto"/>
                <w:szCs w:val="21"/>
                <w:highlight w:val="none"/>
                <w:lang w:val="zh-CN"/>
              </w:rPr>
              <w:t>（含设计工期）</w:t>
            </w:r>
          </w:p>
          <w:p w14:paraId="22FF3495">
            <w:pPr>
              <w:snapToGrid w:val="0"/>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（日历天）</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65369AE7">
            <w:pPr>
              <w:autoSpaceDE w:val="0"/>
              <w:autoSpaceDN w:val="0"/>
              <w:adjustRightInd w:val="0"/>
              <w:snapToGrid w:val="0"/>
              <w:ind w:left="207" w:hanging="207" w:hangingChars="98"/>
              <w:rPr>
                <w:rFonts w:hint="eastAsia" w:ascii="宋体" w:hAnsi="宋体" w:cs="宋体"/>
                <w:b/>
                <w:bCs/>
                <w:color w:val="auto"/>
                <w:szCs w:val="21"/>
                <w:highlight w:val="none"/>
                <w:lang w:val="zh-CN"/>
              </w:rPr>
            </w:pPr>
            <w:r>
              <w:rPr>
                <w:rFonts w:ascii="宋体" w:hAnsi="宋体" w:cs="宋体"/>
                <w:b/>
                <w:bCs/>
                <w:color w:val="auto"/>
                <w:szCs w:val="21"/>
                <w:highlight w:val="none"/>
                <w:lang w:val="zh-CN"/>
              </w:rPr>
              <w:t>按招标文件的要求。</w:t>
            </w:r>
          </w:p>
        </w:tc>
      </w:tr>
      <w:tr w14:paraId="7816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0" w:type="dxa"/>
            <w:tcBorders>
              <w:left w:val="single" w:color="auto" w:sz="4" w:space="0"/>
              <w:bottom w:val="single" w:color="auto" w:sz="4" w:space="0"/>
              <w:right w:val="single" w:color="auto" w:sz="4" w:space="0"/>
            </w:tcBorders>
            <w:vAlign w:val="center"/>
          </w:tcPr>
          <w:p w14:paraId="6827DBF6">
            <w:pPr>
              <w:snapToGrid w:val="0"/>
              <w:jc w:val="center"/>
              <w:rPr>
                <w:rFonts w:hint="eastAsia" w:ascii="宋体" w:hAnsi="宋体" w:cs="宋体"/>
                <w:b/>
                <w:color w:val="auto"/>
                <w:szCs w:val="21"/>
                <w:highlight w:val="none"/>
                <w:lang w:val="zh-CN"/>
              </w:rPr>
            </w:pPr>
            <w:r>
              <w:rPr>
                <w:rFonts w:hint="eastAsia" w:ascii="宋体" w:hAnsi="宋体" w:cs="宋体"/>
                <w:b/>
                <w:bCs/>
                <w:color w:val="auto"/>
                <w:szCs w:val="21"/>
                <w:highlight w:val="none"/>
                <w:lang w:val="zh-CN"/>
              </w:rPr>
              <w:t>质量标准</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02A390E6">
            <w:pPr>
              <w:autoSpaceDE w:val="0"/>
              <w:autoSpaceDN w:val="0"/>
              <w:adjustRightInd w:val="0"/>
              <w:snapToGrid w:val="0"/>
              <w:rPr>
                <w:rFonts w:hint="eastAsia" w:ascii="宋体" w:hAnsi="宋体" w:cs="宋体"/>
                <w:b/>
                <w:bCs/>
                <w:color w:val="auto"/>
                <w:szCs w:val="21"/>
                <w:highlight w:val="none"/>
                <w:lang w:val="zh-CN"/>
              </w:rPr>
            </w:pPr>
            <w:r>
              <w:rPr>
                <w:rFonts w:ascii="宋体" w:hAnsi="宋体" w:cs="宋体"/>
                <w:b/>
                <w:bCs/>
                <w:color w:val="auto"/>
                <w:szCs w:val="21"/>
                <w:highlight w:val="none"/>
                <w:lang w:val="zh-CN"/>
              </w:rPr>
              <w:t>按招标文件的要求。</w:t>
            </w:r>
          </w:p>
        </w:tc>
      </w:tr>
      <w:tr w14:paraId="58CB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0" w:type="dxa"/>
            <w:tcBorders>
              <w:top w:val="single" w:color="auto" w:sz="4" w:space="0"/>
              <w:left w:val="single" w:color="auto" w:sz="4" w:space="0"/>
              <w:bottom w:val="single" w:color="auto" w:sz="4" w:space="0"/>
              <w:right w:val="single" w:color="auto" w:sz="4" w:space="0"/>
            </w:tcBorders>
            <w:vAlign w:val="center"/>
          </w:tcPr>
          <w:p w14:paraId="474E62AC">
            <w:pPr>
              <w:autoSpaceDE w:val="0"/>
              <w:autoSpaceDN w:val="0"/>
              <w:adjustRightInd w:val="0"/>
              <w:snapToGrid w:val="0"/>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保修期限</w:t>
            </w: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61E56879">
            <w:pPr>
              <w:autoSpaceDE w:val="0"/>
              <w:autoSpaceDN w:val="0"/>
              <w:adjustRightInd w:val="0"/>
              <w:snapToGrid w:val="0"/>
              <w:rPr>
                <w:rFonts w:hint="eastAsia" w:ascii="宋体" w:hAnsi="宋体" w:cs="宋体"/>
                <w:b/>
                <w:bCs/>
                <w:color w:val="auto"/>
                <w:szCs w:val="21"/>
                <w:highlight w:val="none"/>
                <w:lang w:val="zh-CN"/>
              </w:rPr>
            </w:pPr>
            <w:r>
              <w:rPr>
                <w:rFonts w:ascii="宋体" w:hAnsi="宋体" w:cs="宋体"/>
                <w:b/>
                <w:bCs/>
                <w:color w:val="auto"/>
                <w:szCs w:val="21"/>
                <w:highlight w:val="none"/>
                <w:lang w:val="zh-CN"/>
              </w:rPr>
              <w:t>按招标文件的要求。</w:t>
            </w:r>
          </w:p>
        </w:tc>
      </w:tr>
      <w:tr w14:paraId="56BD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0" w:type="dxa"/>
            <w:tcBorders>
              <w:top w:val="single" w:color="auto" w:sz="4" w:space="0"/>
              <w:left w:val="single" w:color="auto" w:sz="4" w:space="0"/>
              <w:bottom w:val="single" w:color="auto" w:sz="4" w:space="0"/>
              <w:right w:val="single" w:color="auto" w:sz="4" w:space="0"/>
            </w:tcBorders>
            <w:vAlign w:val="center"/>
          </w:tcPr>
          <w:p w14:paraId="59555806">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委派的项目负责人</w:t>
            </w:r>
          </w:p>
        </w:tc>
        <w:tc>
          <w:tcPr>
            <w:tcW w:w="2291" w:type="dxa"/>
            <w:tcBorders>
              <w:top w:val="single" w:color="auto" w:sz="4" w:space="0"/>
              <w:left w:val="single" w:color="auto" w:sz="4" w:space="0"/>
              <w:bottom w:val="single" w:color="auto" w:sz="4" w:space="0"/>
              <w:right w:val="single" w:color="auto" w:sz="4" w:space="0"/>
            </w:tcBorders>
            <w:vAlign w:val="center"/>
          </w:tcPr>
          <w:p w14:paraId="5E75AB8F">
            <w:pPr>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姓    名</w:t>
            </w:r>
          </w:p>
        </w:tc>
        <w:tc>
          <w:tcPr>
            <w:tcW w:w="2873" w:type="dxa"/>
            <w:tcBorders>
              <w:top w:val="single" w:color="auto" w:sz="4" w:space="0"/>
              <w:left w:val="single" w:color="auto" w:sz="4" w:space="0"/>
              <w:bottom w:val="single" w:color="auto" w:sz="4" w:space="0"/>
              <w:right w:val="single" w:color="auto" w:sz="4" w:space="0"/>
            </w:tcBorders>
            <w:vAlign w:val="center"/>
          </w:tcPr>
          <w:p w14:paraId="7EDE6DFE">
            <w:pPr>
              <w:autoSpaceDE w:val="0"/>
              <w:autoSpaceDN w:val="0"/>
              <w:adjustRightInd w:val="0"/>
              <w:snapToGrid w:val="0"/>
              <w:rPr>
                <w:rFonts w:hint="eastAsia" w:ascii="宋体" w:hAnsi="宋体" w:cs="宋体"/>
                <w:b/>
                <w:bCs/>
                <w:color w:val="auto"/>
                <w:szCs w:val="21"/>
                <w:highlight w:val="none"/>
                <w:lang w:val="zh-CN"/>
              </w:rPr>
            </w:pPr>
          </w:p>
        </w:tc>
      </w:tr>
      <w:tr w14:paraId="1AB1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0" w:type="dxa"/>
            <w:tcBorders>
              <w:top w:val="single" w:color="auto" w:sz="4" w:space="0"/>
              <w:left w:val="single" w:color="auto" w:sz="4" w:space="0"/>
              <w:right w:val="single" w:color="auto" w:sz="4" w:space="0"/>
            </w:tcBorders>
            <w:vAlign w:val="center"/>
          </w:tcPr>
          <w:p w14:paraId="2567EBB9">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委派的</w:t>
            </w:r>
            <w:r>
              <w:rPr>
                <w:rFonts w:hint="eastAsia" w:ascii="宋体" w:hAnsi="宋体" w:cs="宋体"/>
                <w:b/>
                <w:bCs/>
                <w:color w:val="auto"/>
                <w:szCs w:val="21"/>
                <w:highlight w:val="none"/>
                <w:lang w:val="zh-CN"/>
              </w:rPr>
              <w:t>设计负责人</w:t>
            </w:r>
          </w:p>
        </w:tc>
        <w:tc>
          <w:tcPr>
            <w:tcW w:w="2291" w:type="dxa"/>
            <w:tcBorders>
              <w:top w:val="single" w:color="auto" w:sz="4" w:space="0"/>
              <w:left w:val="single" w:color="auto" w:sz="4" w:space="0"/>
              <w:bottom w:val="single" w:color="auto" w:sz="4" w:space="0"/>
              <w:right w:val="single" w:color="auto" w:sz="4" w:space="0"/>
            </w:tcBorders>
            <w:vAlign w:val="center"/>
          </w:tcPr>
          <w:p w14:paraId="1D0B6671">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rPr>
              <w:t>姓    名</w:t>
            </w:r>
          </w:p>
        </w:tc>
        <w:tc>
          <w:tcPr>
            <w:tcW w:w="2873" w:type="dxa"/>
            <w:tcBorders>
              <w:top w:val="single" w:color="auto" w:sz="4" w:space="0"/>
              <w:left w:val="single" w:color="auto" w:sz="4" w:space="0"/>
              <w:bottom w:val="single" w:color="auto" w:sz="4" w:space="0"/>
              <w:right w:val="single" w:color="auto" w:sz="4" w:space="0"/>
            </w:tcBorders>
            <w:vAlign w:val="center"/>
          </w:tcPr>
          <w:p w14:paraId="23FEF6F5">
            <w:pPr>
              <w:autoSpaceDE w:val="0"/>
              <w:autoSpaceDN w:val="0"/>
              <w:adjustRightInd w:val="0"/>
              <w:snapToGrid w:val="0"/>
              <w:rPr>
                <w:rFonts w:hint="eastAsia" w:ascii="宋体" w:hAnsi="宋体" w:cs="宋体"/>
                <w:b/>
                <w:bCs/>
                <w:color w:val="auto"/>
                <w:szCs w:val="21"/>
                <w:highlight w:val="none"/>
                <w:lang w:val="zh-CN"/>
              </w:rPr>
            </w:pPr>
          </w:p>
        </w:tc>
      </w:tr>
      <w:tr w14:paraId="1D8B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0" w:type="dxa"/>
            <w:tcBorders>
              <w:top w:val="single" w:color="auto" w:sz="4" w:space="0"/>
              <w:left w:val="single" w:color="auto" w:sz="4" w:space="0"/>
              <w:right w:val="single" w:color="auto" w:sz="4" w:space="0"/>
            </w:tcBorders>
            <w:vAlign w:val="center"/>
          </w:tcPr>
          <w:p w14:paraId="75073B97">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委派的技术</w:t>
            </w:r>
            <w:r>
              <w:rPr>
                <w:rFonts w:hint="eastAsia" w:ascii="宋体" w:hAnsi="宋体" w:cs="宋体"/>
                <w:b/>
                <w:bCs/>
                <w:color w:val="auto"/>
                <w:szCs w:val="21"/>
                <w:highlight w:val="none"/>
                <w:lang w:val="zh-CN"/>
              </w:rPr>
              <w:t>负责人</w:t>
            </w:r>
          </w:p>
        </w:tc>
        <w:tc>
          <w:tcPr>
            <w:tcW w:w="2291" w:type="dxa"/>
            <w:tcBorders>
              <w:top w:val="single" w:color="auto" w:sz="4" w:space="0"/>
              <w:left w:val="single" w:color="auto" w:sz="4" w:space="0"/>
              <w:bottom w:val="single" w:color="auto" w:sz="4" w:space="0"/>
              <w:right w:val="single" w:color="auto" w:sz="4" w:space="0"/>
            </w:tcBorders>
            <w:vAlign w:val="center"/>
          </w:tcPr>
          <w:p w14:paraId="30B1659D">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rPr>
              <w:t>姓    名</w:t>
            </w:r>
          </w:p>
        </w:tc>
        <w:tc>
          <w:tcPr>
            <w:tcW w:w="2873" w:type="dxa"/>
            <w:tcBorders>
              <w:top w:val="single" w:color="auto" w:sz="4" w:space="0"/>
              <w:left w:val="single" w:color="auto" w:sz="4" w:space="0"/>
              <w:bottom w:val="single" w:color="auto" w:sz="4" w:space="0"/>
              <w:right w:val="single" w:color="auto" w:sz="4" w:space="0"/>
            </w:tcBorders>
            <w:vAlign w:val="center"/>
          </w:tcPr>
          <w:p w14:paraId="238A9975">
            <w:pPr>
              <w:autoSpaceDE w:val="0"/>
              <w:autoSpaceDN w:val="0"/>
              <w:adjustRightInd w:val="0"/>
              <w:snapToGrid w:val="0"/>
              <w:rPr>
                <w:rFonts w:hint="eastAsia" w:ascii="宋体" w:hAnsi="宋体" w:cs="宋体"/>
                <w:b/>
                <w:bCs/>
                <w:color w:val="auto"/>
                <w:szCs w:val="21"/>
                <w:highlight w:val="none"/>
                <w:lang w:val="zh-CN"/>
              </w:rPr>
            </w:pPr>
          </w:p>
        </w:tc>
      </w:tr>
      <w:tr w14:paraId="0384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80" w:type="dxa"/>
            <w:tcBorders>
              <w:top w:val="single" w:color="auto" w:sz="4" w:space="0"/>
              <w:left w:val="single" w:color="auto" w:sz="4" w:space="0"/>
              <w:right w:val="single" w:color="auto" w:sz="4" w:space="0"/>
            </w:tcBorders>
            <w:vAlign w:val="center"/>
          </w:tcPr>
          <w:p w14:paraId="3AEA0604">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委派的</w:t>
            </w:r>
            <w:r>
              <w:rPr>
                <w:rFonts w:hint="eastAsia" w:ascii="宋体" w:hAnsi="宋体" w:cs="宋体"/>
                <w:b/>
                <w:bCs/>
                <w:color w:val="auto"/>
                <w:szCs w:val="21"/>
                <w:highlight w:val="none"/>
                <w:lang w:val="zh-CN"/>
              </w:rPr>
              <w:t>安全员</w:t>
            </w:r>
          </w:p>
        </w:tc>
        <w:tc>
          <w:tcPr>
            <w:tcW w:w="2291" w:type="dxa"/>
            <w:tcBorders>
              <w:top w:val="single" w:color="auto" w:sz="4" w:space="0"/>
              <w:left w:val="single" w:color="auto" w:sz="4" w:space="0"/>
              <w:bottom w:val="single" w:color="auto" w:sz="4" w:space="0"/>
              <w:right w:val="single" w:color="auto" w:sz="4" w:space="0"/>
            </w:tcBorders>
            <w:vAlign w:val="center"/>
          </w:tcPr>
          <w:p w14:paraId="3744ACA3">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 xml:space="preserve">姓   </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zh-CN"/>
              </w:rPr>
              <w:t>名</w:t>
            </w:r>
          </w:p>
        </w:tc>
        <w:tc>
          <w:tcPr>
            <w:tcW w:w="2873" w:type="dxa"/>
            <w:tcBorders>
              <w:top w:val="single" w:color="auto" w:sz="4" w:space="0"/>
              <w:left w:val="single" w:color="auto" w:sz="4" w:space="0"/>
              <w:bottom w:val="single" w:color="auto" w:sz="4" w:space="0"/>
              <w:right w:val="single" w:color="auto" w:sz="4" w:space="0"/>
            </w:tcBorders>
            <w:vAlign w:val="center"/>
          </w:tcPr>
          <w:p w14:paraId="6E9D473D">
            <w:pPr>
              <w:autoSpaceDE w:val="0"/>
              <w:autoSpaceDN w:val="0"/>
              <w:adjustRightInd w:val="0"/>
              <w:snapToGrid w:val="0"/>
              <w:rPr>
                <w:rFonts w:hint="eastAsia" w:ascii="宋体" w:hAnsi="宋体" w:cs="宋体"/>
                <w:b/>
                <w:bCs/>
                <w:color w:val="auto"/>
                <w:szCs w:val="21"/>
                <w:highlight w:val="none"/>
                <w:lang w:val="zh-CN"/>
              </w:rPr>
            </w:pPr>
          </w:p>
        </w:tc>
      </w:tr>
      <w:tr w14:paraId="1913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380" w:type="dxa"/>
            <w:tcBorders>
              <w:top w:val="single" w:color="auto" w:sz="4" w:space="0"/>
              <w:left w:val="single" w:color="auto" w:sz="4" w:space="0"/>
              <w:bottom w:val="single" w:color="auto" w:sz="4" w:space="0"/>
              <w:right w:val="single" w:color="auto" w:sz="4" w:space="0"/>
            </w:tcBorders>
            <w:vAlign w:val="center"/>
          </w:tcPr>
          <w:p w14:paraId="0B3A0E39">
            <w:pPr>
              <w:autoSpaceDE w:val="0"/>
              <w:autoSpaceDN w:val="0"/>
              <w:adjustRightInd w:val="0"/>
              <w:snapToGrid w:val="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投  标  单  位</w:t>
            </w:r>
          </w:p>
          <w:p w14:paraId="3F0618CB">
            <w:pPr>
              <w:autoSpaceDE w:val="0"/>
              <w:autoSpaceDN w:val="0"/>
              <w:adjustRightInd w:val="0"/>
              <w:snapToGrid w:val="0"/>
              <w:ind w:firstLine="209" w:firstLineChars="99"/>
              <w:jc w:val="center"/>
              <w:rPr>
                <w:rFonts w:hint="eastAsia" w:ascii="宋体" w:hAnsi="宋体" w:cs="宋体"/>
                <w:b/>
                <w:bCs/>
                <w:color w:val="auto"/>
                <w:szCs w:val="21"/>
                <w:highlight w:val="none"/>
                <w:lang w:val="zh-CN"/>
              </w:rPr>
            </w:pPr>
          </w:p>
        </w:tc>
        <w:tc>
          <w:tcPr>
            <w:tcW w:w="5164" w:type="dxa"/>
            <w:gridSpan w:val="2"/>
            <w:tcBorders>
              <w:top w:val="single" w:color="auto" w:sz="4" w:space="0"/>
              <w:left w:val="single" w:color="auto" w:sz="4" w:space="0"/>
              <w:bottom w:val="single" w:color="auto" w:sz="4" w:space="0"/>
              <w:right w:val="single" w:color="auto" w:sz="4" w:space="0"/>
            </w:tcBorders>
            <w:vAlign w:val="center"/>
          </w:tcPr>
          <w:p w14:paraId="74741D77">
            <w:pPr>
              <w:autoSpaceDE w:val="0"/>
              <w:autoSpaceDN w:val="0"/>
              <w:adjustRightInd w:val="0"/>
              <w:snapToGrid w:val="0"/>
              <w:rPr>
                <w:rFonts w:hint="eastAsia" w:ascii="宋体" w:hAnsi="宋体" w:cs="宋体"/>
                <w:b/>
                <w:bCs/>
                <w:color w:val="auto"/>
                <w:szCs w:val="21"/>
                <w:highlight w:val="none"/>
                <w:lang w:val="zh-CN"/>
              </w:rPr>
            </w:pPr>
          </w:p>
        </w:tc>
      </w:tr>
    </w:tbl>
    <w:p w14:paraId="2F1A9F37">
      <w:pPr>
        <w:widowControl/>
        <w:jc w:val="left"/>
        <w:rPr>
          <w:rFonts w:hint="eastAsia" w:ascii="宋体" w:hAnsi="宋体" w:cs="宋体"/>
          <w:b/>
          <w:color w:val="auto"/>
          <w:sz w:val="18"/>
          <w:szCs w:val="18"/>
          <w:highlight w:val="none"/>
        </w:rPr>
      </w:pPr>
      <w:r>
        <w:rPr>
          <w:rFonts w:hint="eastAsia" w:ascii="宋体" w:hAnsi="宋体" w:cs="宋体"/>
          <w:b/>
          <w:color w:val="auto"/>
          <w:sz w:val="18"/>
          <w:szCs w:val="18"/>
          <w:highlight w:val="none"/>
        </w:rPr>
        <w:t>注：（1）联合体投标的，“投标单位”一栏需书写所有联合体成员的单位全称，可由主办方签署、盖章。</w:t>
      </w:r>
    </w:p>
    <w:p w14:paraId="14B7822B">
      <w:pPr>
        <w:widowControl/>
        <w:ind w:firstLine="390" w:firstLineChars="216"/>
        <w:jc w:val="left"/>
        <w:rPr>
          <w:color w:val="auto"/>
          <w:highlight w:val="none"/>
        </w:rPr>
      </w:pPr>
      <w:r>
        <w:rPr>
          <w:rFonts w:hint="eastAsia" w:ascii="宋体" w:hAnsi="宋体" w:cs="宋体"/>
          <w:b/>
          <w:color w:val="auto"/>
          <w:sz w:val="18"/>
          <w:szCs w:val="18"/>
          <w:highlight w:val="none"/>
        </w:rPr>
        <w:t>（2）设计费下浮率、建安工程费下浮率为：（1－相应投标报价÷相应最高投标限价）×100%。</w:t>
      </w:r>
    </w:p>
    <w:p w14:paraId="248F9AD3">
      <w:pPr>
        <w:spacing w:line="360" w:lineRule="auto"/>
        <w:outlineLvl w:val="1"/>
        <w:rPr>
          <w:rFonts w:hint="eastAsia" w:ascii="宋体" w:hAnsi="宋体" w:cs="宋体"/>
          <w:bCs/>
          <w:color w:val="auto"/>
          <w:sz w:val="24"/>
          <w:highlight w:val="none"/>
        </w:rPr>
      </w:pPr>
      <w:r>
        <w:rPr>
          <w:rFonts w:ascii="宋体" w:hAnsi="宋体" w:cs="宋体"/>
          <w:color w:val="auto"/>
          <w:highlight w:val="none"/>
        </w:rPr>
        <w:br w:type="page"/>
      </w:r>
      <w:bookmarkStart w:id="603" w:name="_Toc134304597"/>
      <w:r>
        <w:rPr>
          <w:rFonts w:hint="eastAsia" w:ascii="宋体" w:hAnsi="宋体" w:cs="宋体"/>
          <w:bCs/>
          <w:color w:val="auto"/>
          <w:sz w:val="24"/>
          <w:highlight w:val="none"/>
        </w:rPr>
        <w:t>格式2</w:t>
      </w:r>
      <w:bookmarkEnd w:id="603"/>
    </w:p>
    <w:p w14:paraId="4C4FD771">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投标承诺函</w:t>
      </w:r>
    </w:p>
    <w:p w14:paraId="42F92840">
      <w:pPr>
        <w:autoSpaceDE w:val="0"/>
        <w:autoSpaceDN w:val="0"/>
        <w:adjustRightInd w:val="0"/>
        <w:spacing w:line="360" w:lineRule="auto"/>
        <w:jc w:val="center"/>
        <w:rPr>
          <w:rFonts w:hint="eastAsia" w:ascii="宋体" w:hAnsi="宋体" w:cs="宋体"/>
          <w:bCs/>
          <w:color w:val="auto"/>
          <w:sz w:val="24"/>
          <w:highlight w:val="none"/>
        </w:rPr>
      </w:pPr>
    </w:p>
    <w:p w14:paraId="3BD9AF1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（招标人名称）：</w:t>
      </w:r>
    </w:p>
    <w:p w14:paraId="0E6F0A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项目名称）招标文件的全部内容，愿意以《投标书》中承诺的投标报价和工期，按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w:t>
      </w:r>
    </w:p>
    <w:p w14:paraId="5A9D12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2．我方已充分阅读了本项目招标文件并充分了解有关报价方式及变更、结算方式，我方完全响应招标文件的规定。</w:t>
      </w:r>
    </w:p>
    <w:p w14:paraId="04125E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3．我方承诺投标文件中的一切资料、数据是真实的，并承担由此引起的一切责任。</w:t>
      </w:r>
    </w:p>
    <w:p w14:paraId="3CA65F0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4．我方承诺在招标文件规定的投标有效期内不修改、撤销投标文件。</w:t>
      </w:r>
    </w:p>
    <w:p w14:paraId="7D81037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5．我方如果中标，我方保证：</w:t>
      </w:r>
    </w:p>
    <w:p w14:paraId="47713B2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（1）保证履行招标文件以及招标文件修改书（如有）中的全部责任和义务，在中标通知书规定的时间内签订合同，并严格按国家有关法规履行我方的全部责任，按质、按量、按期完成合同约定的全部任务。</w:t>
      </w:r>
    </w:p>
    <w:p w14:paraId="73B5EF6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1A9DE3C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14:paraId="6279016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（4）保证尽一切力量确保投标承诺的竣工日期，若我方未能按投标承诺的工期完成本项目，除承担合同约定的违约责任外，发包人有权解除合同，我方承担由于违约解除合同退场造成的对发包人的一切损失。</w:t>
      </w:r>
    </w:p>
    <w:p w14:paraId="5CBD1C0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（5）保证所投入本项目的主要材料、设备质量符合或优于招标文件要求，所投入本项目的辅助设备、材料与主主要材料、设备质量一致并有良好的配套性。</w:t>
      </w:r>
    </w:p>
    <w:p w14:paraId="747AFA6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（6）保证按照招标文件的要求确保安全生产及文明施工，如有违反，我方愿意按合同约定承担违约责任，并为此负相关的法律责任。</w:t>
      </w:r>
    </w:p>
    <w:p w14:paraId="26FE58E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（7）保证按国家的有关规定制订保证民工工资支付的方案及保证措施，否则，我方愿按合同条款规定承担违约责任并赔偿发包人的全部损失。</w:t>
      </w:r>
    </w:p>
    <w:p w14:paraId="4316EFD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（8）保证按施工期间做好安全文明和交通保证措施，施工区全封闭围挡，根据工程进度计划分段施工分期围挡。最大限度满足交通和市民出行方便，施工行为做到便民，不扰民。</w:t>
      </w:r>
    </w:p>
    <w:p w14:paraId="488EBE1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（9）保证按发包方工期要求编制施工进度计划，计划内用全面详实，根据项目特点合理组织分段施工，分段逐步移交。</w:t>
      </w:r>
    </w:p>
    <w:p w14:paraId="5868D692">
      <w:pPr>
        <w:spacing w:line="440" w:lineRule="exact"/>
        <w:ind w:firstLine="420" w:firstLineChars="200"/>
        <w:rPr>
          <w:rFonts w:hint="eastAsia" w:ascii="宋体" w:hAnsi="宋体" w:cs="宋体"/>
          <w:color w:val="auto"/>
          <w:szCs w:val="21"/>
          <w:highlight w:val="none"/>
        </w:rPr>
      </w:pPr>
    </w:p>
    <w:p w14:paraId="7CE40FB9">
      <w:pPr>
        <w:spacing w:line="440" w:lineRule="exact"/>
        <w:ind w:firstLine="420" w:firstLineChars="200"/>
        <w:rPr>
          <w:rFonts w:hint="eastAsia" w:ascii="宋体" w:hAnsi="宋体" w:cs="宋体"/>
          <w:color w:val="auto"/>
          <w:szCs w:val="21"/>
          <w:highlight w:val="none"/>
        </w:rPr>
      </w:pPr>
    </w:p>
    <w:p w14:paraId="2AEFD477">
      <w:pPr>
        <w:spacing w:line="360" w:lineRule="auto"/>
        <w:ind w:firstLine="3520" w:firstLineChars="1600"/>
        <w:rPr>
          <w:rFonts w:hint="eastAsia" w:ascii="宋体" w:hAnsi="宋体" w:cs="宋体"/>
          <w:color w:val="auto"/>
          <w:sz w:val="22"/>
          <w:highlight w:val="none"/>
        </w:rPr>
      </w:pPr>
    </w:p>
    <w:p w14:paraId="669CE6C6">
      <w:pPr>
        <w:spacing w:line="360" w:lineRule="auto"/>
        <w:ind w:firstLine="3520" w:firstLineChars="1600"/>
        <w:rPr>
          <w:rFonts w:hint="eastAsia" w:ascii="宋体" w:hAnsi="宋体" w:cs="宋体"/>
          <w:color w:val="auto"/>
          <w:sz w:val="22"/>
          <w:highlight w:val="none"/>
        </w:rPr>
      </w:pPr>
    </w:p>
    <w:p w14:paraId="51642280">
      <w:pPr>
        <w:spacing w:line="360" w:lineRule="auto"/>
        <w:ind w:firstLine="3520" w:firstLineChars="1600"/>
        <w:rPr>
          <w:rFonts w:hint="eastAsia" w:ascii="宋体" w:hAnsi="宋体" w:cs="宋体"/>
          <w:color w:val="auto"/>
          <w:sz w:val="22"/>
          <w:highlight w:val="none"/>
        </w:rPr>
      </w:pPr>
      <w:r>
        <w:rPr>
          <w:rFonts w:hint="eastAsia" w:ascii="宋体" w:hAnsi="宋体" w:cs="宋体"/>
          <w:color w:val="auto"/>
          <w:sz w:val="22"/>
          <w:highlight w:val="none"/>
        </w:rPr>
        <w:t xml:space="preserve">投标人：    </w:t>
      </w:r>
    </w:p>
    <w:p w14:paraId="3AA20AD2">
      <w:pPr>
        <w:spacing w:line="360" w:lineRule="auto"/>
        <w:ind w:firstLine="3520" w:firstLineChars="1600"/>
        <w:rPr>
          <w:rFonts w:hint="eastAsia" w:ascii="宋体" w:hAnsi="宋体" w:cs="宋体"/>
          <w:color w:val="auto"/>
          <w:sz w:val="22"/>
          <w:highlight w:val="none"/>
        </w:rPr>
      </w:pPr>
      <w:r>
        <w:rPr>
          <w:rFonts w:hint="eastAsia" w:ascii="宋体" w:hAnsi="宋体" w:cs="宋体"/>
          <w:color w:val="auto"/>
          <w:sz w:val="22"/>
          <w:highlight w:val="none"/>
        </w:rPr>
        <w:t>日   期：    年    月    日</w:t>
      </w:r>
    </w:p>
    <w:p w14:paraId="7A910EEE">
      <w:pPr>
        <w:pStyle w:val="19"/>
        <w:spacing w:line="360" w:lineRule="auto"/>
        <w:ind w:firstLine="240" w:firstLineChars="100"/>
        <w:rPr>
          <w:rFonts w:hint="eastAsia" w:hAnsi="宋体" w:cs="宋体"/>
          <w:b/>
          <w:color w:val="auto"/>
          <w:sz w:val="24"/>
          <w:szCs w:val="24"/>
          <w:highlight w:val="none"/>
        </w:rPr>
      </w:pPr>
    </w:p>
    <w:p w14:paraId="1E73B553">
      <w:pPr>
        <w:pStyle w:val="19"/>
        <w:spacing w:line="360" w:lineRule="auto"/>
        <w:ind w:firstLine="240" w:firstLineChars="100"/>
        <w:rPr>
          <w:rFonts w:hint="eastAsia" w:hAnsi="宋体" w:cs="宋体"/>
          <w:b/>
          <w:color w:val="auto"/>
          <w:sz w:val="24"/>
          <w:szCs w:val="24"/>
          <w:highlight w:val="none"/>
        </w:rPr>
      </w:pPr>
    </w:p>
    <w:p w14:paraId="7CED677A">
      <w:pPr>
        <w:pStyle w:val="19"/>
        <w:spacing w:line="360" w:lineRule="auto"/>
        <w:ind w:firstLine="240" w:firstLineChars="100"/>
        <w:rPr>
          <w:rFonts w:hint="eastAsia" w:hAnsi="宋体" w:cs="宋体"/>
          <w:b/>
          <w:color w:val="auto"/>
          <w:sz w:val="24"/>
          <w:szCs w:val="24"/>
          <w:highlight w:val="none"/>
        </w:rPr>
      </w:pPr>
    </w:p>
    <w:p w14:paraId="26CF4102">
      <w:pPr>
        <w:spacing w:line="360" w:lineRule="auto"/>
        <w:rPr>
          <w:rFonts w:hint="eastAsia" w:ascii="宋体" w:hAnsi="宋体" w:cs="宋体"/>
          <w:b/>
          <w:color w:val="auto"/>
          <w:sz w:val="18"/>
          <w:szCs w:val="18"/>
          <w:highlight w:val="none"/>
        </w:rPr>
      </w:pPr>
      <w:r>
        <w:rPr>
          <w:rFonts w:hint="eastAsia" w:ascii="宋体" w:hAnsi="宋体" w:cs="宋体"/>
          <w:b/>
          <w:color w:val="auto"/>
          <w:sz w:val="18"/>
          <w:szCs w:val="18"/>
          <w:highlight w:val="none"/>
        </w:rPr>
        <w:t>注：联合体投标的，“投标人”一栏需书写所有联合体成员的单位全称。</w:t>
      </w:r>
    </w:p>
    <w:p w14:paraId="1271059F">
      <w:pPr>
        <w:spacing w:line="360" w:lineRule="auto"/>
        <w:ind w:right="-617" w:rightChars="-294"/>
        <w:outlineLvl w:val="1"/>
        <w:rPr>
          <w:rFonts w:hint="eastAsia" w:ascii="宋体" w:hAnsi="宋体" w:cs="宋体"/>
          <w:b/>
          <w:bCs/>
          <w:color w:val="auto"/>
          <w:sz w:val="24"/>
          <w:highlight w:val="none"/>
          <w:lang w:val="zh-CN"/>
        </w:rPr>
      </w:pPr>
      <w:r>
        <w:rPr>
          <w:rFonts w:hint="eastAsia" w:ascii="宋体" w:hAnsi="宋体" w:cs="宋体"/>
          <w:b/>
          <w:color w:val="auto"/>
          <w:sz w:val="24"/>
          <w:highlight w:val="none"/>
        </w:rPr>
        <w:br w:type="page"/>
      </w:r>
      <w:bookmarkStart w:id="604" w:name="_Toc57392566"/>
      <w:bookmarkStart w:id="605" w:name="_Toc134304598"/>
      <w:r>
        <w:rPr>
          <w:rFonts w:hint="eastAsia" w:ascii="宋体" w:hAnsi="宋体" w:cs="宋体"/>
          <w:bCs/>
          <w:color w:val="auto"/>
          <w:sz w:val="24"/>
          <w:highlight w:val="none"/>
        </w:rPr>
        <w:t>格式</w:t>
      </w:r>
      <w:bookmarkEnd w:id="604"/>
      <w:r>
        <w:rPr>
          <w:rFonts w:hint="eastAsia" w:ascii="宋体" w:hAnsi="宋体" w:cs="宋体"/>
          <w:bCs/>
          <w:color w:val="auto"/>
          <w:sz w:val="24"/>
          <w:highlight w:val="none"/>
        </w:rPr>
        <w:t>3</w:t>
      </w:r>
      <w:bookmarkEnd w:id="605"/>
    </w:p>
    <w:p w14:paraId="7837EE22">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项目团队情况</w:t>
      </w:r>
    </w:p>
    <w:p w14:paraId="07FD7004">
      <w:pPr>
        <w:autoSpaceDE w:val="0"/>
        <w:autoSpaceDN w:val="0"/>
        <w:adjustRightInd w:val="0"/>
        <w:spacing w:line="360" w:lineRule="auto"/>
        <w:jc w:val="center"/>
        <w:rPr>
          <w:rFonts w:hint="eastAsia" w:ascii="宋体" w:hAnsi="宋体" w:cs="宋体"/>
          <w:bCs/>
          <w:color w:val="auto"/>
          <w:sz w:val="24"/>
          <w:highlight w:val="none"/>
        </w:rPr>
      </w:pPr>
    </w:p>
    <w:tbl>
      <w:tblPr>
        <w:tblStyle w:val="37"/>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4"/>
        <w:gridCol w:w="820"/>
        <w:gridCol w:w="2242"/>
        <w:gridCol w:w="2674"/>
        <w:gridCol w:w="709"/>
      </w:tblGrid>
      <w:tr w14:paraId="0BA9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5" w:type="dxa"/>
            <w:vAlign w:val="center"/>
          </w:tcPr>
          <w:p w14:paraId="35843F6B">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1264" w:type="dxa"/>
            <w:vAlign w:val="center"/>
          </w:tcPr>
          <w:p w14:paraId="52843C1D">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职务</w:t>
            </w:r>
          </w:p>
        </w:tc>
        <w:tc>
          <w:tcPr>
            <w:tcW w:w="820" w:type="dxa"/>
            <w:vAlign w:val="center"/>
          </w:tcPr>
          <w:p w14:paraId="38B91E0E">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姓名</w:t>
            </w:r>
          </w:p>
        </w:tc>
        <w:tc>
          <w:tcPr>
            <w:tcW w:w="2242" w:type="dxa"/>
            <w:vAlign w:val="center"/>
          </w:tcPr>
          <w:p w14:paraId="019C2BD2">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职称或执业资格</w:t>
            </w:r>
            <w:r>
              <w:rPr>
                <w:rFonts w:ascii="宋体" w:hAnsi="宋体" w:cs="宋体"/>
                <w:b/>
                <w:bCs/>
                <w:color w:val="auto"/>
                <w:highlight w:val="none"/>
              </w:rPr>
              <w:t>专业</w:t>
            </w:r>
          </w:p>
        </w:tc>
        <w:tc>
          <w:tcPr>
            <w:tcW w:w="2674" w:type="dxa"/>
            <w:vAlign w:val="center"/>
          </w:tcPr>
          <w:p w14:paraId="7E440DB9">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职称证书或资格证书编号</w:t>
            </w:r>
          </w:p>
        </w:tc>
        <w:tc>
          <w:tcPr>
            <w:tcW w:w="709" w:type="dxa"/>
            <w:vAlign w:val="center"/>
          </w:tcPr>
          <w:p w14:paraId="608CD611">
            <w:pPr>
              <w:adjustRightInd w:val="0"/>
              <w:snapToGrid w:val="0"/>
              <w:ind w:left="-63" w:leftChars="-30" w:right="-63" w:rightChars="-30"/>
              <w:jc w:val="center"/>
              <w:rPr>
                <w:rFonts w:hint="eastAsia" w:ascii="宋体" w:hAnsi="宋体" w:cs="宋体"/>
                <w:b/>
                <w:bCs/>
                <w:color w:val="auto"/>
                <w:szCs w:val="20"/>
                <w:highlight w:val="none"/>
              </w:rPr>
            </w:pPr>
            <w:r>
              <w:rPr>
                <w:rFonts w:hint="eastAsia" w:ascii="宋体" w:hAnsi="宋体" w:cs="宋体"/>
                <w:b/>
                <w:bCs/>
                <w:color w:val="auto"/>
                <w:szCs w:val="20"/>
                <w:highlight w:val="none"/>
              </w:rPr>
              <w:t>备注</w:t>
            </w:r>
          </w:p>
        </w:tc>
      </w:tr>
      <w:tr w14:paraId="63C8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4AD18D4E">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69D6A246">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0A4A06D4">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2176A6DB">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3A44CD54">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629F5658">
            <w:pPr>
              <w:adjustRightInd w:val="0"/>
              <w:snapToGrid w:val="0"/>
              <w:ind w:left="-53" w:leftChars="-25" w:right="-53" w:rightChars="-25"/>
              <w:jc w:val="center"/>
              <w:rPr>
                <w:rFonts w:hint="eastAsia" w:ascii="宋体" w:hAnsi="宋体" w:cs="宋体"/>
                <w:bCs/>
                <w:color w:val="auto"/>
                <w:highlight w:val="none"/>
              </w:rPr>
            </w:pPr>
          </w:p>
        </w:tc>
      </w:tr>
      <w:tr w14:paraId="77EC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1461B04F">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6EB72AC9">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60A02974">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19A08F0B">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0578ACF6">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5826D452">
            <w:pPr>
              <w:adjustRightInd w:val="0"/>
              <w:snapToGrid w:val="0"/>
              <w:ind w:left="-53" w:leftChars="-25" w:right="-53" w:rightChars="-25"/>
              <w:jc w:val="center"/>
              <w:rPr>
                <w:rFonts w:hint="eastAsia" w:ascii="宋体" w:hAnsi="宋体" w:cs="宋体"/>
                <w:bCs/>
                <w:color w:val="auto"/>
                <w:highlight w:val="none"/>
              </w:rPr>
            </w:pPr>
          </w:p>
        </w:tc>
      </w:tr>
      <w:tr w14:paraId="6F18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7F950127">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5738E029">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064C2E95">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12EE8B42">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5A29E0FC">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36E55629">
            <w:pPr>
              <w:adjustRightInd w:val="0"/>
              <w:snapToGrid w:val="0"/>
              <w:ind w:left="-53" w:leftChars="-25" w:right="-53" w:rightChars="-25"/>
              <w:jc w:val="center"/>
              <w:rPr>
                <w:rFonts w:hint="eastAsia" w:ascii="宋体" w:hAnsi="宋体" w:cs="宋体"/>
                <w:bCs/>
                <w:color w:val="auto"/>
                <w:highlight w:val="none"/>
              </w:rPr>
            </w:pPr>
          </w:p>
        </w:tc>
      </w:tr>
      <w:tr w14:paraId="530C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68C6F346">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060D45EA">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5081290C">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392B0FF8">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7130600A">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628E6BF8">
            <w:pPr>
              <w:adjustRightInd w:val="0"/>
              <w:snapToGrid w:val="0"/>
              <w:ind w:left="-53" w:leftChars="-25" w:right="-53" w:rightChars="-25"/>
              <w:jc w:val="center"/>
              <w:rPr>
                <w:rFonts w:hint="eastAsia" w:ascii="宋体" w:hAnsi="宋体" w:cs="宋体"/>
                <w:bCs/>
                <w:color w:val="auto"/>
                <w:highlight w:val="none"/>
              </w:rPr>
            </w:pPr>
          </w:p>
        </w:tc>
      </w:tr>
      <w:tr w14:paraId="4BCD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40F8E3BC">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0A8ED28C">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651707C5">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7966007C">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4E9C9330">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3C2BCD39">
            <w:pPr>
              <w:adjustRightInd w:val="0"/>
              <w:snapToGrid w:val="0"/>
              <w:ind w:left="-53" w:leftChars="-25" w:right="-53" w:rightChars="-25"/>
              <w:jc w:val="center"/>
              <w:rPr>
                <w:rFonts w:hint="eastAsia" w:ascii="宋体" w:hAnsi="宋体" w:cs="宋体"/>
                <w:bCs/>
                <w:color w:val="auto"/>
                <w:highlight w:val="none"/>
              </w:rPr>
            </w:pPr>
          </w:p>
        </w:tc>
      </w:tr>
      <w:tr w14:paraId="4A21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44FDD3A2">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4521D1E8">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54C68D08">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47196B5F">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3CA13212">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41243BBE">
            <w:pPr>
              <w:adjustRightInd w:val="0"/>
              <w:snapToGrid w:val="0"/>
              <w:ind w:left="-53" w:leftChars="-25" w:right="-53" w:rightChars="-25"/>
              <w:jc w:val="center"/>
              <w:rPr>
                <w:rFonts w:hint="eastAsia" w:ascii="宋体" w:hAnsi="宋体" w:cs="宋体"/>
                <w:bCs/>
                <w:color w:val="auto"/>
                <w:highlight w:val="none"/>
              </w:rPr>
            </w:pPr>
          </w:p>
        </w:tc>
      </w:tr>
      <w:tr w14:paraId="5E83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13310D88">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5F44564C">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48C2FF9F">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119BA9BA">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62642FF0">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3DB2C22D">
            <w:pPr>
              <w:adjustRightInd w:val="0"/>
              <w:snapToGrid w:val="0"/>
              <w:ind w:left="-53" w:leftChars="-25" w:right="-53" w:rightChars="-25"/>
              <w:jc w:val="center"/>
              <w:rPr>
                <w:rFonts w:hint="eastAsia" w:ascii="宋体" w:hAnsi="宋体" w:cs="宋体"/>
                <w:bCs/>
                <w:color w:val="auto"/>
                <w:highlight w:val="none"/>
              </w:rPr>
            </w:pPr>
          </w:p>
        </w:tc>
      </w:tr>
      <w:tr w14:paraId="317D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1A5AE18A">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60BBB055">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0D0DE334">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60B9A939">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117BC223">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29B12F92">
            <w:pPr>
              <w:adjustRightInd w:val="0"/>
              <w:snapToGrid w:val="0"/>
              <w:ind w:left="-53" w:leftChars="-25" w:right="-53" w:rightChars="-25"/>
              <w:jc w:val="center"/>
              <w:rPr>
                <w:rFonts w:hint="eastAsia" w:ascii="宋体" w:hAnsi="宋体" w:cs="宋体"/>
                <w:bCs/>
                <w:color w:val="auto"/>
                <w:highlight w:val="none"/>
              </w:rPr>
            </w:pPr>
          </w:p>
        </w:tc>
      </w:tr>
      <w:tr w14:paraId="52D6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63D6056E">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0BBF4FAA">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0B2EE282">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45921BCC">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6666968E">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6D809881">
            <w:pPr>
              <w:adjustRightInd w:val="0"/>
              <w:snapToGrid w:val="0"/>
              <w:ind w:left="-53" w:leftChars="-25" w:right="-53" w:rightChars="-25"/>
              <w:jc w:val="center"/>
              <w:rPr>
                <w:rFonts w:hint="eastAsia" w:ascii="宋体" w:hAnsi="宋体" w:cs="宋体"/>
                <w:bCs/>
                <w:color w:val="auto"/>
                <w:highlight w:val="none"/>
              </w:rPr>
            </w:pPr>
          </w:p>
        </w:tc>
      </w:tr>
      <w:tr w14:paraId="45E1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5C8B0D9F">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4A8802B4">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3F89FB59">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368C166C">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724EE62B">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4D8391B7">
            <w:pPr>
              <w:adjustRightInd w:val="0"/>
              <w:snapToGrid w:val="0"/>
              <w:ind w:left="-53" w:leftChars="-25" w:right="-53" w:rightChars="-25"/>
              <w:jc w:val="center"/>
              <w:rPr>
                <w:rFonts w:hint="eastAsia" w:ascii="宋体" w:hAnsi="宋体" w:cs="宋体"/>
                <w:bCs/>
                <w:color w:val="auto"/>
                <w:highlight w:val="none"/>
              </w:rPr>
            </w:pPr>
          </w:p>
        </w:tc>
      </w:tr>
      <w:tr w14:paraId="647A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2C337BE0">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55CE253D">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2125204C">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08E45BE1">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4C90D46D">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4C906B07">
            <w:pPr>
              <w:adjustRightInd w:val="0"/>
              <w:snapToGrid w:val="0"/>
              <w:ind w:left="-53" w:leftChars="-25" w:right="-53" w:rightChars="-25"/>
              <w:jc w:val="center"/>
              <w:rPr>
                <w:rFonts w:hint="eastAsia" w:ascii="宋体" w:hAnsi="宋体" w:cs="宋体"/>
                <w:bCs/>
                <w:color w:val="auto"/>
                <w:highlight w:val="none"/>
              </w:rPr>
            </w:pPr>
          </w:p>
        </w:tc>
      </w:tr>
      <w:tr w14:paraId="1BFD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304C7557">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00B683BC">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45185E97">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5694E68E">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5DD7274F">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480987DC">
            <w:pPr>
              <w:adjustRightInd w:val="0"/>
              <w:snapToGrid w:val="0"/>
              <w:ind w:left="-53" w:leftChars="-25" w:right="-53" w:rightChars="-25"/>
              <w:jc w:val="center"/>
              <w:rPr>
                <w:rFonts w:hint="eastAsia" w:ascii="宋体" w:hAnsi="宋体" w:cs="宋体"/>
                <w:bCs/>
                <w:color w:val="auto"/>
                <w:highlight w:val="none"/>
              </w:rPr>
            </w:pPr>
          </w:p>
        </w:tc>
      </w:tr>
      <w:tr w14:paraId="3619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386CDC5A">
            <w:pPr>
              <w:adjustRightInd w:val="0"/>
              <w:snapToGrid w:val="0"/>
              <w:ind w:left="-53" w:leftChars="-25" w:right="-53" w:rightChars="-25"/>
              <w:jc w:val="center"/>
              <w:rPr>
                <w:rFonts w:hint="eastAsia" w:ascii="宋体" w:hAnsi="宋体" w:cs="宋体"/>
                <w:bCs/>
                <w:color w:val="auto"/>
                <w:highlight w:val="none"/>
              </w:rPr>
            </w:pPr>
          </w:p>
        </w:tc>
        <w:tc>
          <w:tcPr>
            <w:tcW w:w="1264" w:type="dxa"/>
            <w:vAlign w:val="center"/>
          </w:tcPr>
          <w:p w14:paraId="4C282463">
            <w:pPr>
              <w:adjustRightInd w:val="0"/>
              <w:snapToGrid w:val="0"/>
              <w:ind w:left="-53" w:leftChars="-25" w:right="-53" w:rightChars="-25"/>
              <w:jc w:val="center"/>
              <w:rPr>
                <w:rFonts w:hint="eastAsia" w:ascii="宋体" w:hAnsi="宋体" w:cs="宋体"/>
                <w:bCs/>
                <w:color w:val="auto"/>
                <w:highlight w:val="none"/>
              </w:rPr>
            </w:pPr>
          </w:p>
        </w:tc>
        <w:tc>
          <w:tcPr>
            <w:tcW w:w="820" w:type="dxa"/>
            <w:vAlign w:val="center"/>
          </w:tcPr>
          <w:p w14:paraId="5A356205">
            <w:pPr>
              <w:adjustRightInd w:val="0"/>
              <w:snapToGrid w:val="0"/>
              <w:ind w:left="-53" w:leftChars="-25" w:right="-53" w:rightChars="-25"/>
              <w:jc w:val="center"/>
              <w:rPr>
                <w:rFonts w:hint="eastAsia" w:ascii="宋体" w:hAnsi="宋体" w:cs="宋体"/>
                <w:bCs/>
                <w:color w:val="auto"/>
                <w:highlight w:val="none"/>
              </w:rPr>
            </w:pPr>
          </w:p>
        </w:tc>
        <w:tc>
          <w:tcPr>
            <w:tcW w:w="2242" w:type="dxa"/>
            <w:vAlign w:val="center"/>
          </w:tcPr>
          <w:p w14:paraId="2139CA79">
            <w:pPr>
              <w:adjustRightInd w:val="0"/>
              <w:snapToGrid w:val="0"/>
              <w:ind w:left="-53" w:leftChars="-25" w:right="-53" w:rightChars="-25"/>
              <w:jc w:val="center"/>
              <w:rPr>
                <w:rFonts w:hint="eastAsia" w:ascii="宋体" w:hAnsi="宋体" w:cs="宋体"/>
                <w:bCs/>
                <w:color w:val="auto"/>
                <w:highlight w:val="none"/>
              </w:rPr>
            </w:pPr>
          </w:p>
        </w:tc>
        <w:tc>
          <w:tcPr>
            <w:tcW w:w="2674" w:type="dxa"/>
            <w:vAlign w:val="center"/>
          </w:tcPr>
          <w:p w14:paraId="1B3086CD">
            <w:pPr>
              <w:adjustRightInd w:val="0"/>
              <w:snapToGrid w:val="0"/>
              <w:ind w:left="-53" w:leftChars="-25" w:right="-53" w:rightChars="-25"/>
              <w:jc w:val="center"/>
              <w:rPr>
                <w:rFonts w:hint="eastAsia" w:ascii="宋体" w:hAnsi="宋体" w:cs="宋体"/>
                <w:bCs/>
                <w:color w:val="auto"/>
                <w:highlight w:val="none"/>
              </w:rPr>
            </w:pPr>
          </w:p>
        </w:tc>
        <w:tc>
          <w:tcPr>
            <w:tcW w:w="709" w:type="dxa"/>
            <w:vAlign w:val="center"/>
          </w:tcPr>
          <w:p w14:paraId="78A51699">
            <w:pPr>
              <w:adjustRightInd w:val="0"/>
              <w:snapToGrid w:val="0"/>
              <w:ind w:left="-53" w:leftChars="-25" w:right="-53" w:rightChars="-25"/>
              <w:jc w:val="center"/>
              <w:rPr>
                <w:rFonts w:hint="eastAsia" w:ascii="宋体" w:hAnsi="宋体" w:cs="宋体"/>
                <w:bCs/>
                <w:color w:val="auto"/>
                <w:highlight w:val="none"/>
              </w:rPr>
            </w:pPr>
          </w:p>
        </w:tc>
      </w:tr>
    </w:tbl>
    <w:p w14:paraId="40C6FCAD">
      <w:pPr>
        <w:rPr>
          <w:rFonts w:hint="eastAsia" w:ascii="宋体" w:hAnsi="宋体" w:cs="宋体"/>
          <w:color w:val="auto"/>
          <w:sz w:val="18"/>
          <w:szCs w:val="18"/>
          <w:highlight w:val="none"/>
        </w:rPr>
      </w:pPr>
      <w:r>
        <w:rPr>
          <w:rFonts w:hint="eastAsia" w:ascii="宋体" w:hAnsi="宋体" w:cs="宋体"/>
          <w:color w:val="auto"/>
          <w:sz w:val="18"/>
          <w:szCs w:val="18"/>
          <w:highlight w:val="none"/>
        </w:rPr>
        <w:t>注：① 投标人应根据招标文件要求结合设计、施工管理的实际需要填写，一旦中标，要求全部到位；</w:t>
      </w:r>
    </w:p>
    <w:p w14:paraId="76141DF4">
      <w:pPr>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② 提供本表所列人员最近一个月（2025年</w:t>
      </w:r>
      <w:r>
        <w:rPr>
          <w:rFonts w:hint="eastAsia" w:ascii="宋体" w:hAnsi="宋体" w:cs="宋体"/>
          <w:color w:val="auto"/>
          <w:sz w:val="18"/>
          <w:szCs w:val="18"/>
          <w:highlight w:val="none"/>
          <w:lang w:val="en-US" w:eastAsia="zh-CN"/>
        </w:rPr>
        <w:t>9</w:t>
      </w:r>
      <w:r>
        <w:rPr>
          <w:rFonts w:hint="eastAsia" w:ascii="宋体" w:hAnsi="宋体" w:cs="宋体"/>
          <w:color w:val="auto"/>
          <w:sz w:val="18"/>
          <w:szCs w:val="18"/>
          <w:highlight w:val="none"/>
        </w:rPr>
        <w:t>月或以后）在本企业的社保证明；</w:t>
      </w:r>
    </w:p>
    <w:p w14:paraId="594D3CF4">
      <w:pPr>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③ 本表后附所列人员相应证明材料的原件扫描件。</w:t>
      </w:r>
    </w:p>
    <w:p w14:paraId="55D2FF39">
      <w:pPr>
        <w:autoSpaceDE w:val="0"/>
        <w:autoSpaceDN w:val="0"/>
        <w:adjustRightInd w:val="0"/>
        <w:spacing w:line="360" w:lineRule="auto"/>
        <w:outlineLvl w:val="1"/>
        <w:rPr>
          <w:rFonts w:hint="eastAsia" w:ascii="宋体" w:hAnsi="宋体" w:cs="宋体"/>
          <w:bCs/>
          <w:color w:val="auto"/>
          <w:sz w:val="30"/>
          <w:szCs w:val="30"/>
          <w:highlight w:val="none"/>
          <w:lang w:val="zh-CN"/>
        </w:rPr>
      </w:pPr>
      <w:r>
        <w:rPr>
          <w:rFonts w:hint="eastAsia" w:ascii="宋体" w:hAnsi="宋体" w:cs="宋体"/>
          <w:bCs/>
          <w:color w:val="auto"/>
          <w:sz w:val="24"/>
          <w:highlight w:val="none"/>
        </w:rPr>
        <w:br w:type="page"/>
      </w:r>
      <w:bookmarkStart w:id="606" w:name="_Toc57392567"/>
      <w:bookmarkStart w:id="607" w:name="_Toc134304599"/>
      <w:r>
        <w:rPr>
          <w:rFonts w:hint="eastAsia" w:ascii="宋体" w:hAnsi="宋体" w:cs="宋体"/>
          <w:bCs/>
          <w:color w:val="auto"/>
          <w:sz w:val="24"/>
          <w:highlight w:val="none"/>
        </w:rPr>
        <w:t>格式</w:t>
      </w:r>
      <w:bookmarkEnd w:id="606"/>
      <w:r>
        <w:rPr>
          <w:rFonts w:hint="eastAsia" w:ascii="宋体" w:hAnsi="宋体" w:cs="宋体"/>
          <w:bCs/>
          <w:color w:val="auto"/>
          <w:sz w:val="24"/>
          <w:highlight w:val="none"/>
        </w:rPr>
        <w:t>4</w:t>
      </w:r>
      <w:bookmarkEnd w:id="607"/>
    </w:p>
    <w:p w14:paraId="38FE73D8">
      <w:pPr>
        <w:autoSpaceDE w:val="0"/>
        <w:autoSpaceDN w:val="0"/>
        <w:adjustRightInd w:val="0"/>
        <w:spacing w:line="360" w:lineRule="auto"/>
        <w:rPr>
          <w:rFonts w:hint="eastAsia" w:ascii="宋体" w:hAnsi="宋体" w:cs="宋体"/>
          <w:bCs/>
          <w:color w:val="auto"/>
          <w:sz w:val="24"/>
          <w:highlight w:val="none"/>
        </w:rPr>
      </w:pPr>
    </w:p>
    <w:p w14:paraId="4BD75764">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参与编制投标文件人员名单</w:t>
      </w:r>
    </w:p>
    <w:p w14:paraId="564E5A60">
      <w:pPr>
        <w:autoSpaceDE w:val="0"/>
        <w:autoSpaceDN w:val="0"/>
        <w:adjustRightInd w:val="0"/>
        <w:spacing w:line="360" w:lineRule="auto"/>
        <w:jc w:val="center"/>
        <w:rPr>
          <w:rFonts w:hint="eastAsia" w:ascii="宋体" w:hAnsi="宋体" w:cs="宋体"/>
          <w:bCs/>
          <w:color w:val="auto"/>
          <w:sz w:val="24"/>
          <w:highlight w:val="none"/>
        </w:rPr>
      </w:pPr>
    </w:p>
    <w:tbl>
      <w:tblPr>
        <w:tblStyle w:val="37"/>
        <w:tblW w:w="848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1311"/>
        <w:gridCol w:w="2320"/>
        <w:gridCol w:w="2106"/>
        <w:gridCol w:w="1468"/>
      </w:tblGrid>
      <w:tr w14:paraId="750B38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281" w:type="dxa"/>
            <w:vAlign w:val="center"/>
          </w:tcPr>
          <w:p w14:paraId="01D4E315">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姓名</w:t>
            </w:r>
          </w:p>
        </w:tc>
        <w:tc>
          <w:tcPr>
            <w:tcW w:w="1311" w:type="dxa"/>
            <w:vAlign w:val="center"/>
          </w:tcPr>
          <w:p w14:paraId="19664146">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职务</w:t>
            </w:r>
          </w:p>
        </w:tc>
        <w:tc>
          <w:tcPr>
            <w:tcW w:w="2320" w:type="dxa"/>
            <w:vAlign w:val="center"/>
          </w:tcPr>
          <w:p w14:paraId="0FED49E3">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所承担工作</w:t>
            </w:r>
          </w:p>
        </w:tc>
        <w:tc>
          <w:tcPr>
            <w:tcW w:w="2106" w:type="dxa"/>
            <w:vAlign w:val="center"/>
          </w:tcPr>
          <w:p w14:paraId="36DB5B1B">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身份证号码</w:t>
            </w:r>
          </w:p>
        </w:tc>
        <w:tc>
          <w:tcPr>
            <w:tcW w:w="1468" w:type="dxa"/>
            <w:vAlign w:val="center"/>
          </w:tcPr>
          <w:p w14:paraId="05DDC958">
            <w:pPr>
              <w:tabs>
                <w:tab w:val="left" w:pos="0"/>
                <w:tab w:val="left" w:pos="720"/>
              </w:tabs>
              <w:adjustRightInd w:val="0"/>
              <w:snapToGrid w:val="0"/>
              <w:rPr>
                <w:rFonts w:hint="eastAsia" w:ascii="宋体" w:hAnsi="宋体" w:cs="宋体"/>
                <w:b/>
                <w:color w:val="auto"/>
                <w:szCs w:val="21"/>
                <w:highlight w:val="none"/>
              </w:rPr>
            </w:pPr>
            <w:r>
              <w:rPr>
                <w:rFonts w:hint="eastAsia" w:ascii="宋体" w:hAnsi="宋体" w:cs="宋体"/>
                <w:b/>
                <w:color w:val="auto"/>
                <w:szCs w:val="21"/>
                <w:highlight w:val="none"/>
              </w:rPr>
              <w:t>本人签名栏</w:t>
            </w:r>
          </w:p>
        </w:tc>
      </w:tr>
      <w:tr w14:paraId="592045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81" w:type="dxa"/>
            <w:vAlign w:val="center"/>
          </w:tcPr>
          <w:p w14:paraId="2C13B351">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157B6D98">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4E730212">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2DD02ED9">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01EF7D67">
            <w:pPr>
              <w:tabs>
                <w:tab w:val="left" w:pos="0"/>
                <w:tab w:val="left" w:pos="720"/>
              </w:tabs>
              <w:adjustRightInd w:val="0"/>
              <w:snapToGrid w:val="0"/>
              <w:jc w:val="center"/>
              <w:rPr>
                <w:rFonts w:hint="eastAsia" w:ascii="宋体" w:hAnsi="宋体" w:cs="宋体"/>
                <w:color w:val="auto"/>
                <w:szCs w:val="21"/>
                <w:highlight w:val="none"/>
              </w:rPr>
            </w:pPr>
          </w:p>
        </w:tc>
      </w:tr>
      <w:tr w14:paraId="416CCA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5787C3CC">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3E52B3BA">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5C11003E">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4E06B24D">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255A8BD6">
            <w:pPr>
              <w:tabs>
                <w:tab w:val="left" w:pos="0"/>
                <w:tab w:val="left" w:pos="720"/>
              </w:tabs>
              <w:adjustRightInd w:val="0"/>
              <w:snapToGrid w:val="0"/>
              <w:jc w:val="center"/>
              <w:rPr>
                <w:rFonts w:hint="eastAsia" w:ascii="宋体" w:hAnsi="宋体" w:cs="宋体"/>
                <w:color w:val="auto"/>
                <w:szCs w:val="21"/>
                <w:highlight w:val="none"/>
              </w:rPr>
            </w:pPr>
          </w:p>
        </w:tc>
      </w:tr>
      <w:tr w14:paraId="7E0600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79A22A40">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517724C1">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57854493">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3BB5C805">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3029BA63">
            <w:pPr>
              <w:tabs>
                <w:tab w:val="left" w:pos="0"/>
                <w:tab w:val="left" w:pos="720"/>
              </w:tabs>
              <w:adjustRightInd w:val="0"/>
              <w:snapToGrid w:val="0"/>
              <w:jc w:val="center"/>
              <w:rPr>
                <w:rFonts w:hint="eastAsia" w:ascii="宋体" w:hAnsi="宋体" w:cs="宋体"/>
                <w:color w:val="auto"/>
                <w:szCs w:val="21"/>
                <w:highlight w:val="none"/>
              </w:rPr>
            </w:pPr>
          </w:p>
        </w:tc>
      </w:tr>
      <w:tr w14:paraId="03B4C8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6C8E4129">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4997C1E6">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54E17273">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6C29033F">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7B2FAE50">
            <w:pPr>
              <w:tabs>
                <w:tab w:val="left" w:pos="0"/>
                <w:tab w:val="left" w:pos="720"/>
              </w:tabs>
              <w:adjustRightInd w:val="0"/>
              <w:snapToGrid w:val="0"/>
              <w:jc w:val="center"/>
              <w:rPr>
                <w:rFonts w:hint="eastAsia" w:ascii="宋体" w:hAnsi="宋体" w:cs="宋体"/>
                <w:color w:val="auto"/>
                <w:szCs w:val="21"/>
                <w:highlight w:val="none"/>
              </w:rPr>
            </w:pPr>
          </w:p>
        </w:tc>
      </w:tr>
      <w:tr w14:paraId="21A1E6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15D0B0F4">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1F4BC5B1">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74303639">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2EA0C1AD">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30F33351">
            <w:pPr>
              <w:tabs>
                <w:tab w:val="left" w:pos="0"/>
                <w:tab w:val="left" w:pos="720"/>
              </w:tabs>
              <w:adjustRightInd w:val="0"/>
              <w:snapToGrid w:val="0"/>
              <w:jc w:val="center"/>
              <w:rPr>
                <w:rFonts w:hint="eastAsia" w:ascii="宋体" w:hAnsi="宋体" w:cs="宋体"/>
                <w:color w:val="auto"/>
                <w:szCs w:val="21"/>
                <w:highlight w:val="none"/>
              </w:rPr>
            </w:pPr>
          </w:p>
        </w:tc>
      </w:tr>
      <w:tr w14:paraId="03CEA6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6B4B2869">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6117AD17">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0F62FEAB">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12DEADAA">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168B739B">
            <w:pPr>
              <w:tabs>
                <w:tab w:val="left" w:pos="0"/>
                <w:tab w:val="left" w:pos="720"/>
              </w:tabs>
              <w:adjustRightInd w:val="0"/>
              <w:snapToGrid w:val="0"/>
              <w:jc w:val="center"/>
              <w:rPr>
                <w:rFonts w:hint="eastAsia" w:ascii="宋体" w:hAnsi="宋体" w:cs="宋体"/>
                <w:color w:val="auto"/>
                <w:szCs w:val="21"/>
                <w:highlight w:val="none"/>
              </w:rPr>
            </w:pPr>
          </w:p>
        </w:tc>
      </w:tr>
      <w:tr w14:paraId="3C20C2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79963F57">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527F7DA1">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3B92AE3E">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76D97FF2">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614F9DAF">
            <w:pPr>
              <w:tabs>
                <w:tab w:val="left" w:pos="0"/>
                <w:tab w:val="left" w:pos="720"/>
              </w:tabs>
              <w:adjustRightInd w:val="0"/>
              <w:snapToGrid w:val="0"/>
              <w:jc w:val="center"/>
              <w:rPr>
                <w:rFonts w:hint="eastAsia" w:ascii="宋体" w:hAnsi="宋体" w:cs="宋体"/>
                <w:color w:val="auto"/>
                <w:szCs w:val="21"/>
                <w:highlight w:val="none"/>
              </w:rPr>
            </w:pPr>
          </w:p>
        </w:tc>
      </w:tr>
      <w:tr w14:paraId="7053B0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654363D3">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2D8955DB">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0B995DCA">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644897CC">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61537B0D">
            <w:pPr>
              <w:tabs>
                <w:tab w:val="left" w:pos="0"/>
                <w:tab w:val="left" w:pos="720"/>
              </w:tabs>
              <w:adjustRightInd w:val="0"/>
              <w:snapToGrid w:val="0"/>
              <w:jc w:val="center"/>
              <w:rPr>
                <w:rFonts w:hint="eastAsia" w:ascii="宋体" w:hAnsi="宋体" w:cs="宋体"/>
                <w:color w:val="auto"/>
                <w:szCs w:val="21"/>
                <w:highlight w:val="none"/>
              </w:rPr>
            </w:pPr>
          </w:p>
        </w:tc>
      </w:tr>
      <w:tr w14:paraId="0196FE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7B3AF292">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4BA97D83">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4F59E7FA">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3FF59307">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73F1DF9A">
            <w:pPr>
              <w:tabs>
                <w:tab w:val="left" w:pos="0"/>
                <w:tab w:val="left" w:pos="720"/>
              </w:tabs>
              <w:adjustRightInd w:val="0"/>
              <w:snapToGrid w:val="0"/>
              <w:jc w:val="center"/>
              <w:rPr>
                <w:rFonts w:hint="eastAsia" w:ascii="宋体" w:hAnsi="宋体" w:cs="宋体"/>
                <w:color w:val="auto"/>
                <w:szCs w:val="21"/>
                <w:highlight w:val="none"/>
              </w:rPr>
            </w:pPr>
          </w:p>
        </w:tc>
      </w:tr>
      <w:tr w14:paraId="32BC1E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09D0ACD8">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655511D3">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65C8028C">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77FAD26F">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62CDA320">
            <w:pPr>
              <w:tabs>
                <w:tab w:val="left" w:pos="0"/>
                <w:tab w:val="left" w:pos="720"/>
              </w:tabs>
              <w:adjustRightInd w:val="0"/>
              <w:snapToGrid w:val="0"/>
              <w:jc w:val="center"/>
              <w:rPr>
                <w:rFonts w:hint="eastAsia" w:ascii="宋体" w:hAnsi="宋体" w:cs="宋体"/>
                <w:color w:val="auto"/>
                <w:szCs w:val="21"/>
                <w:highlight w:val="none"/>
              </w:rPr>
            </w:pPr>
          </w:p>
        </w:tc>
      </w:tr>
      <w:tr w14:paraId="296957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09EF8F12">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505137C1">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2C06089C">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6048269A">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5643F138">
            <w:pPr>
              <w:tabs>
                <w:tab w:val="left" w:pos="0"/>
                <w:tab w:val="left" w:pos="720"/>
              </w:tabs>
              <w:adjustRightInd w:val="0"/>
              <w:snapToGrid w:val="0"/>
              <w:jc w:val="center"/>
              <w:rPr>
                <w:rFonts w:hint="eastAsia" w:ascii="宋体" w:hAnsi="宋体" w:cs="宋体"/>
                <w:color w:val="auto"/>
                <w:szCs w:val="21"/>
                <w:highlight w:val="none"/>
              </w:rPr>
            </w:pPr>
          </w:p>
        </w:tc>
      </w:tr>
      <w:tr w14:paraId="6C9296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5DFAAFFC">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5B477AFA">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2B90AF84">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6D516DA8">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0708A65A">
            <w:pPr>
              <w:tabs>
                <w:tab w:val="left" w:pos="0"/>
                <w:tab w:val="left" w:pos="720"/>
              </w:tabs>
              <w:adjustRightInd w:val="0"/>
              <w:snapToGrid w:val="0"/>
              <w:jc w:val="center"/>
              <w:rPr>
                <w:rFonts w:hint="eastAsia" w:ascii="宋体" w:hAnsi="宋体" w:cs="宋体"/>
                <w:color w:val="auto"/>
                <w:szCs w:val="21"/>
                <w:highlight w:val="none"/>
              </w:rPr>
            </w:pPr>
          </w:p>
        </w:tc>
      </w:tr>
      <w:tr w14:paraId="7D4ECA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10DEC1AE">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30A620FC">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1C6B290E">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7761A4E6">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45F64C17">
            <w:pPr>
              <w:tabs>
                <w:tab w:val="left" w:pos="0"/>
                <w:tab w:val="left" w:pos="720"/>
              </w:tabs>
              <w:adjustRightInd w:val="0"/>
              <w:snapToGrid w:val="0"/>
              <w:jc w:val="center"/>
              <w:rPr>
                <w:rFonts w:hint="eastAsia" w:ascii="宋体" w:hAnsi="宋体" w:cs="宋体"/>
                <w:color w:val="auto"/>
                <w:szCs w:val="21"/>
                <w:highlight w:val="none"/>
              </w:rPr>
            </w:pPr>
          </w:p>
        </w:tc>
      </w:tr>
      <w:tr w14:paraId="50CBCC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45237EDA">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1866DE00">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6FED5721">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48DA32AE">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198CC440">
            <w:pPr>
              <w:tabs>
                <w:tab w:val="left" w:pos="0"/>
                <w:tab w:val="left" w:pos="720"/>
              </w:tabs>
              <w:adjustRightInd w:val="0"/>
              <w:snapToGrid w:val="0"/>
              <w:jc w:val="center"/>
              <w:rPr>
                <w:rFonts w:hint="eastAsia" w:ascii="宋体" w:hAnsi="宋体" w:cs="宋体"/>
                <w:color w:val="auto"/>
                <w:szCs w:val="21"/>
                <w:highlight w:val="none"/>
              </w:rPr>
            </w:pPr>
          </w:p>
        </w:tc>
      </w:tr>
      <w:tr w14:paraId="13CC22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3FD6FFF3">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61DC4ACD">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00F3D88B">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7E12B577">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1F24D456">
            <w:pPr>
              <w:tabs>
                <w:tab w:val="left" w:pos="0"/>
                <w:tab w:val="left" w:pos="720"/>
              </w:tabs>
              <w:adjustRightInd w:val="0"/>
              <w:snapToGrid w:val="0"/>
              <w:jc w:val="center"/>
              <w:rPr>
                <w:rFonts w:hint="eastAsia" w:ascii="宋体" w:hAnsi="宋体" w:cs="宋体"/>
                <w:color w:val="auto"/>
                <w:szCs w:val="21"/>
                <w:highlight w:val="none"/>
              </w:rPr>
            </w:pPr>
          </w:p>
        </w:tc>
      </w:tr>
      <w:tr w14:paraId="310254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281" w:type="dxa"/>
            <w:vAlign w:val="center"/>
          </w:tcPr>
          <w:p w14:paraId="021B9FB6">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08E4E659">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10539CEA">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48D85606">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7BC5CE4B">
            <w:pPr>
              <w:tabs>
                <w:tab w:val="left" w:pos="0"/>
                <w:tab w:val="left" w:pos="720"/>
              </w:tabs>
              <w:adjustRightInd w:val="0"/>
              <w:snapToGrid w:val="0"/>
              <w:jc w:val="center"/>
              <w:rPr>
                <w:rFonts w:hint="eastAsia" w:ascii="宋体" w:hAnsi="宋体" w:cs="宋体"/>
                <w:color w:val="auto"/>
                <w:szCs w:val="21"/>
                <w:highlight w:val="none"/>
              </w:rPr>
            </w:pPr>
          </w:p>
        </w:tc>
      </w:tr>
      <w:tr w14:paraId="5FDC3E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281" w:type="dxa"/>
            <w:vAlign w:val="center"/>
          </w:tcPr>
          <w:p w14:paraId="0004015C">
            <w:pPr>
              <w:tabs>
                <w:tab w:val="left" w:pos="0"/>
                <w:tab w:val="left" w:pos="720"/>
              </w:tabs>
              <w:adjustRightInd w:val="0"/>
              <w:snapToGrid w:val="0"/>
              <w:jc w:val="center"/>
              <w:rPr>
                <w:rFonts w:hint="eastAsia" w:ascii="宋体" w:hAnsi="宋体" w:cs="宋体"/>
                <w:color w:val="auto"/>
                <w:szCs w:val="21"/>
                <w:highlight w:val="none"/>
              </w:rPr>
            </w:pPr>
          </w:p>
        </w:tc>
        <w:tc>
          <w:tcPr>
            <w:tcW w:w="1311" w:type="dxa"/>
            <w:vAlign w:val="center"/>
          </w:tcPr>
          <w:p w14:paraId="6805AE0E">
            <w:pPr>
              <w:tabs>
                <w:tab w:val="left" w:pos="0"/>
                <w:tab w:val="left" w:pos="720"/>
              </w:tabs>
              <w:adjustRightInd w:val="0"/>
              <w:snapToGrid w:val="0"/>
              <w:jc w:val="center"/>
              <w:rPr>
                <w:rFonts w:hint="eastAsia" w:ascii="宋体" w:hAnsi="宋体" w:cs="宋体"/>
                <w:color w:val="auto"/>
                <w:szCs w:val="21"/>
                <w:highlight w:val="none"/>
              </w:rPr>
            </w:pPr>
          </w:p>
        </w:tc>
        <w:tc>
          <w:tcPr>
            <w:tcW w:w="2320" w:type="dxa"/>
            <w:vAlign w:val="center"/>
          </w:tcPr>
          <w:p w14:paraId="062A7C3A">
            <w:pPr>
              <w:tabs>
                <w:tab w:val="left" w:pos="0"/>
                <w:tab w:val="left" w:pos="720"/>
              </w:tabs>
              <w:adjustRightInd w:val="0"/>
              <w:snapToGrid w:val="0"/>
              <w:jc w:val="center"/>
              <w:rPr>
                <w:rFonts w:hint="eastAsia" w:ascii="宋体" w:hAnsi="宋体" w:cs="宋体"/>
                <w:color w:val="auto"/>
                <w:szCs w:val="21"/>
                <w:highlight w:val="none"/>
              </w:rPr>
            </w:pPr>
          </w:p>
        </w:tc>
        <w:tc>
          <w:tcPr>
            <w:tcW w:w="2106" w:type="dxa"/>
            <w:vAlign w:val="center"/>
          </w:tcPr>
          <w:p w14:paraId="4ED74461">
            <w:pPr>
              <w:tabs>
                <w:tab w:val="left" w:pos="0"/>
                <w:tab w:val="left" w:pos="720"/>
              </w:tabs>
              <w:adjustRightInd w:val="0"/>
              <w:snapToGrid w:val="0"/>
              <w:jc w:val="center"/>
              <w:rPr>
                <w:rFonts w:hint="eastAsia" w:ascii="宋体" w:hAnsi="宋体" w:cs="宋体"/>
                <w:color w:val="auto"/>
                <w:szCs w:val="21"/>
                <w:highlight w:val="none"/>
              </w:rPr>
            </w:pPr>
          </w:p>
        </w:tc>
        <w:tc>
          <w:tcPr>
            <w:tcW w:w="1468" w:type="dxa"/>
            <w:vAlign w:val="center"/>
          </w:tcPr>
          <w:p w14:paraId="5D38E943">
            <w:pPr>
              <w:tabs>
                <w:tab w:val="left" w:pos="0"/>
                <w:tab w:val="left" w:pos="720"/>
              </w:tabs>
              <w:adjustRightInd w:val="0"/>
              <w:snapToGrid w:val="0"/>
              <w:jc w:val="center"/>
              <w:rPr>
                <w:rFonts w:hint="eastAsia" w:ascii="宋体" w:hAnsi="宋体" w:cs="宋体"/>
                <w:color w:val="auto"/>
                <w:szCs w:val="21"/>
                <w:highlight w:val="none"/>
              </w:rPr>
            </w:pPr>
          </w:p>
        </w:tc>
      </w:tr>
    </w:tbl>
    <w:p w14:paraId="77346AE5">
      <w:pPr>
        <w:ind w:left="361" w:hanging="361" w:hangingChars="200"/>
        <w:rPr>
          <w:rFonts w:hint="eastAsia" w:ascii="宋体" w:hAnsi="宋体" w:cs="宋体"/>
          <w:b/>
          <w:color w:val="auto"/>
          <w:sz w:val="18"/>
          <w:szCs w:val="18"/>
          <w:highlight w:val="none"/>
        </w:rPr>
      </w:pPr>
      <w:r>
        <w:rPr>
          <w:rFonts w:hint="eastAsia" w:ascii="宋体" w:hAnsi="宋体" w:cs="宋体"/>
          <w:b/>
          <w:color w:val="auto"/>
          <w:sz w:val="18"/>
          <w:szCs w:val="18"/>
          <w:highlight w:val="none"/>
        </w:rPr>
        <w:t>注：参与编制标书所有人员名单应包括如编制投标文件（含资格审查文件）、负责清样校对、负责打印及复印等所有人员在内的人员名单。</w:t>
      </w:r>
    </w:p>
    <w:p w14:paraId="60754797">
      <w:pPr>
        <w:spacing w:line="360" w:lineRule="auto"/>
        <w:ind w:left="-283" w:leftChars="-135" w:right="-191" w:rightChars="-91"/>
        <w:rPr>
          <w:rFonts w:hint="eastAsia" w:ascii="宋体" w:hAnsi="宋体" w:cs="宋体"/>
          <w:color w:val="auto"/>
          <w:sz w:val="24"/>
          <w:highlight w:val="none"/>
        </w:rPr>
      </w:pPr>
    </w:p>
    <w:p w14:paraId="5643CBD0">
      <w:pPr>
        <w:spacing w:line="360" w:lineRule="auto"/>
        <w:ind w:left="-283" w:leftChars="-135" w:right="-191" w:rightChars="-91"/>
        <w:rPr>
          <w:rFonts w:hint="eastAsia" w:ascii="宋体" w:hAnsi="宋体" w:cs="宋体"/>
          <w:color w:val="auto"/>
          <w:sz w:val="24"/>
          <w:highlight w:val="none"/>
        </w:rPr>
      </w:pPr>
    </w:p>
    <w:p w14:paraId="5A841AC1">
      <w:pPr>
        <w:rPr>
          <w:rFonts w:hint="eastAsia" w:ascii="宋体" w:hAnsi="宋体" w:cs="宋体"/>
          <w:color w:val="auto"/>
          <w:sz w:val="24"/>
          <w:highlight w:val="none"/>
        </w:rPr>
      </w:pPr>
      <w:r>
        <w:rPr>
          <w:rFonts w:ascii="宋体" w:hAnsi="宋体" w:cs="宋体"/>
          <w:color w:val="auto"/>
          <w:sz w:val="24"/>
          <w:highlight w:val="none"/>
        </w:rPr>
        <w:br w:type="page"/>
      </w:r>
      <w:bookmarkStart w:id="608" w:name="_Toc134304600"/>
      <w:bookmarkStart w:id="609" w:name="_Toc57392568"/>
    </w:p>
    <w:p w14:paraId="6BFDEB74">
      <w:pPr>
        <w:pStyle w:val="69"/>
        <w:spacing w:before="156" w:beforeLines="50" w:after="156" w:line="240" w:lineRule="auto"/>
        <w:jc w:val="left"/>
        <w:rPr>
          <w:rFonts w:hint="eastAsia" w:eastAsia="宋体"/>
          <w:color w:val="auto"/>
          <w:sz w:val="32"/>
          <w:szCs w:val="32"/>
          <w:highlight w:val="none"/>
        </w:rPr>
      </w:pPr>
      <w:r>
        <w:rPr>
          <w:rFonts w:hint="eastAsia" w:ascii="宋体" w:hAnsi="宋体" w:eastAsia="宋体" w:cs="宋体"/>
          <w:color w:val="auto"/>
          <w:kern w:val="1"/>
          <w:sz w:val="24"/>
          <w:highlight w:val="none"/>
          <w:lang w:val="zh-CN"/>
        </w:rPr>
        <w:t>格式</w:t>
      </w:r>
      <w:r>
        <w:rPr>
          <w:rFonts w:hint="eastAsia" w:ascii="宋体" w:hAnsi="宋体" w:eastAsia="宋体" w:cs="宋体"/>
          <w:color w:val="auto"/>
          <w:kern w:val="1"/>
          <w:sz w:val="24"/>
          <w:highlight w:val="none"/>
        </w:rPr>
        <w:t>5</w:t>
      </w:r>
      <w:r>
        <w:rPr>
          <w:rFonts w:hint="eastAsia" w:ascii="宋体" w:hAnsi="宋体" w:eastAsia="宋体" w:cs="宋体"/>
          <w:color w:val="auto"/>
          <w:kern w:val="1"/>
          <w:sz w:val="24"/>
          <w:highlight w:val="none"/>
          <w:lang w:val="zh-CN"/>
        </w:rPr>
        <w:t>：</w:t>
      </w:r>
    </w:p>
    <w:p w14:paraId="4F762918">
      <w:pPr>
        <w:pStyle w:val="69"/>
        <w:spacing w:before="156" w:beforeLines="50" w:after="156" w:line="240" w:lineRule="auto"/>
        <w:rPr>
          <w:rFonts w:hint="eastAsia" w:eastAsia="宋体"/>
          <w:color w:val="auto"/>
          <w:sz w:val="32"/>
          <w:szCs w:val="32"/>
          <w:highlight w:val="none"/>
        </w:rPr>
      </w:pPr>
      <w:r>
        <w:rPr>
          <w:rFonts w:hint="eastAsia" w:eastAsia="宋体"/>
          <w:color w:val="auto"/>
          <w:sz w:val="32"/>
          <w:szCs w:val="32"/>
          <w:highlight w:val="none"/>
        </w:rPr>
        <w:t>危险性较大的分部分项工程清单及</w:t>
      </w:r>
    </w:p>
    <w:p w14:paraId="1DDFAD3C">
      <w:pPr>
        <w:pStyle w:val="69"/>
        <w:spacing w:before="156" w:beforeLines="50" w:after="156" w:line="240" w:lineRule="auto"/>
        <w:rPr>
          <w:rFonts w:hint="eastAsia" w:eastAsia="宋体"/>
          <w:color w:val="auto"/>
          <w:sz w:val="32"/>
          <w:szCs w:val="32"/>
          <w:highlight w:val="none"/>
        </w:rPr>
      </w:pPr>
      <w:r>
        <w:rPr>
          <w:rFonts w:hint="eastAsia" w:eastAsia="宋体"/>
          <w:color w:val="auto"/>
          <w:sz w:val="32"/>
          <w:szCs w:val="32"/>
          <w:highlight w:val="none"/>
        </w:rPr>
        <w:t>超过一定规模的危险性较大的分部分项工程清单</w:t>
      </w:r>
    </w:p>
    <w:p w14:paraId="43D082D6">
      <w:pPr>
        <w:pStyle w:val="67"/>
        <w:numPr>
          <w:ilvl w:val="0"/>
          <w:numId w:val="1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14:paraId="12387535">
      <w:pPr>
        <w:pStyle w:val="67"/>
        <w:numPr>
          <w:ilvl w:val="0"/>
          <w:numId w:val="1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招标人根据设计文件的要求及37号文的规定列出“危险性较大的分部分项工程清单及超过一定规模的危险性较大的分部分项工程清单”中与本招标项目相关的清单项，具体详 见第5点“打√”标识。</w:t>
      </w:r>
    </w:p>
    <w:p w14:paraId="27EEF2B4">
      <w:pPr>
        <w:pStyle w:val="67"/>
        <w:numPr>
          <w:ilvl w:val="0"/>
          <w:numId w:val="14"/>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投标单位同意建设单位在清单中标识的该项请在对应项打“√”标识，并在投标文件中提供相应的安全管理措施。</w:t>
      </w:r>
    </w:p>
    <w:p w14:paraId="13640E5B">
      <w:pPr>
        <w:pStyle w:val="67"/>
        <w:numPr>
          <w:ilvl w:val="0"/>
          <w:numId w:val="14"/>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投标单位对清单中认为需要补充的该项请在对应项打“√”标识，并在投标文件中提供相应的安全管理措施。</w:t>
      </w:r>
    </w:p>
    <w:p w14:paraId="29AF19B1">
      <w:pPr>
        <w:pStyle w:val="67"/>
        <w:numPr>
          <w:ilvl w:val="0"/>
          <w:numId w:val="14"/>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投标单位不同意建设单位在清单中标识的该项请在对应项打“×”标识，并在备注栏填上相关说明。</w:t>
      </w:r>
    </w:p>
    <w:p w14:paraId="59B9B14B">
      <w:pPr>
        <w:pStyle w:val="67"/>
        <w:numPr>
          <w:ilvl w:val="0"/>
          <w:numId w:val="1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投标单位应当在投标时根据招标人提供的下述第5点清单，在施工组织中编制专项施工方案。</w:t>
      </w:r>
    </w:p>
    <w:p w14:paraId="1F9D1C42">
      <w:pPr>
        <w:pStyle w:val="67"/>
        <w:numPr>
          <w:ilvl w:val="0"/>
          <w:numId w:val="1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对于超过一定规模的危大工程，中标单位应当组织召开专家论证会对专项施工方案进行论证。</w:t>
      </w:r>
    </w:p>
    <w:p w14:paraId="513BACCC">
      <w:pPr>
        <w:pStyle w:val="67"/>
        <w:numPr>
          <w:ilvl w:val="0"/>
          <w:numId w:val="1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危险性较大的分部分项工程清单及超过一定规模的危险性较大的分部分项工程清单：</w:t>
      </w:r>
    </w:p>
    <w:tbl>
      <w:tblPr>
        <w:tblStyle w:val="37"/>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3"/>
        <w:gridCol w:w="833"/>
        <w:gridCol w:w="834"/>
        <w:gridCol w:w="701"/>
      </w:tblGrid>
      <w:tr w14:paraId="2F63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vAlign w:val="center"/>
          </w:tcPr>
          <w:p w14:paraId="16C5CC7A">
            <w:pPr>
              <w:spacing w:line="276" w:lineRule="auto"/>
              <w:jc w:val="center"/>
              <w:rPr>
                <w:b/>
                <w:color w:val="auto"/>
                <w:szCs w:val="21"/>
                <w:highlight w:val="none"/>
              </w:rPr>
            </w:pPr>
            <w:r>
              <w:rPr>
                <w:rFonts w:hint="eastAsia"/>
                <w:b/>
                <w:color w:val="auto"/>
                <w:szCs w:val="21"/>
                <w:highlight w:val="none"/>
              </w:rPr>
              <w:t>一、危险性较大的分部分项工程清单</w:t>
            </w:r>
          </w:p>
        </w:tc>
        <w:tc>
          <w:tcPr>
            <w:tcW w:w="833" w:type="dxa"/>
            <w:vAlign w:val="center"/>
          </w:tcPr>
          <w:p w14:paraId="2F92B290">
            <w:pPr>
              <w:spacing w:line="276" w:lineRule="auto"/>
              <w:jc w:val="center"/>
              <w:rPr>
                <w:color w:val="auto"/>
                <w:szCs w:val="21"/>
                <w:highlight w:val="none"/>
              </w:rPr>
            </w:pPr>
            <w:r>
              <w:rPr>
                <w:rFonts w:hint="eastAsia"/>
                <w:color w:val="auto"/>
                <w:szCs w:val="21"/>
                <w:highlight w:val="none"/>
              </w:rPr>
              <w:t>建设单位</w:t>
            </w:r>
          </w:p>
        </w:tc>
        <w:tc>
          <w:tcPr>
            <w:tcW w:w="834" w:type="dxa"/>
            <w:vAlign w:val="center"/>
          </w:tcPr>
          <w:p w14:paraId="505B652F">
            <w:pPr>
              <w:spacing w:line="276" w:lineRule="auto"/>
              <w:jc w:val="center"/>
              <w:rPr>
                <w:color w:val="auto"/>
                <w:szCs w:val="21"/>
                <w:highlight w:val="none"/>
              </w:rPr>
            </w:pPr>
            <w:r>
              <w:rPr>
                <w:rFonts w:hint="eastAsia"/>
                <w:color w:val="auto"/>
                <w:szCs w:val="21"/>
                <w:highlight w:val="none"/>
              </w:rPr>
              <w:t>投标单位</w:t>
            </w:r>
          </w:p>
        </w:tc>
        <w:tc>
          <w:tcPr>
            <w:tcW w:w="701" w:type="dxa"/>
            <w:vAlign w:val="center"/>
          </w:tcPr>
          <w:p w14:paraId="1EEA92C6">
            <w:pPr>
              <w:spacing w:line="276" w:lineRule="auto"/>
              <w:jc w:val="center"/>
              <w:rPr>
                <w:color w:val="auto"/>
                <w:szCs w:val="21"/>
                <w:highlight w:val="none"/>
              </w:rPr>
            </w:pPr>
            <w:r>
              <w:rPr>
                <w:rFonts w:hint="eastAsia"/>
                <w:color w:val="auto"/>
                <w:szCs w:val="21"/>
                <w:highlight w:val="none"/>
              </w:rPr>
              <w:t>备注</w:t>
            </w:r>
          </w:p>
        </w:tc>
      </w:tr>
      <w:tr w14:paraId="6EC2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4C86CA4">
            <w:pPr>
              <w:spacing w:line="276" w:lineRule="auto"/>
              <w:jc w:val="left"/>
              <w:rPr>
                <w:color w:val="auto"/>
                <w:szCs w:val="21"/>
                <w:highlight w:val="none"/>
              </w:rPr>
            </w:pPr>
            <w:r>
              <w:rPr>
                <w:rFonts w:hint="eastAsia"/>
                <w:color w:val="auto"/>
                <w:szCs w:val="21"/>
                <w:highlight w:val="none"/>
              </w:rPr>
              <w:t>一、基坑支护</w:t>
            </w:r>
          </w:p>
        </w:tc>
        <w:tc>
          <w:tcPr>
            <w:tcW w:w="833" w:type="dxa"/>
            <w:vAlign w:val="center"/>
          </w:tcPr>
          <w:p w14:paraId="2B6B000C">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04A38645">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4F3AB790">
            <w:pPr>
              <w:spacing w:line="276" w:lineRule="auto"/>
              <w:jc w:val="center"/>
              <w:rPr>
                <w:color w:val="auto"/>
                <w:szCs w:val="21"/>
                <w:highlight w:val="none"/>
              </w:rPr>
            </w:pPr>
          </w:p>
        </w:tc>
      </w:tr>
      <w:tr w14:paraId="145C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00843AA2">
            <w:pPr>
              <w:spacing w:line="276" w:lineRule="auto"/>
              <w:jc w:val="left"/>
              <w:rPr>
                <w:color w:val="auto"/>
                <w:szCs w:val="21"/>
                <w:highlight w:val="none"/>
              </w:rPr>
            </w:pPr>
            <w:r>
              <w:rPr>
                <w:rFonts w:hint="eastAsia"/>
                <w:color w:val="auto"/>
                <w:szCs w:val="21"/>
                <w:highlight w:val="none"/>
              </w:rPr>
              <w:t>（一）开挖深度超过3m（含3m）的基坑（槽）的土方开挖、支护、降水工程。</w:t>
            </w:r>
          </w:p>
        </w:tc>
        <w:tc>
          <w:tcPr>
            <w:tcW w:w="833" w:type="dxa"/>
            <w:vAlign w:val="center"/>
          </w:tcPr>
          <w:p w14:paraId="692BB5C6">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492B5779">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6976A49">
            <w:pPr>
              <w:spacing w:line="276" w:lineRule="auto"/>
              <w:jc w:val="center"/>
              <w:rPr>
                <w:color w:val="auto"/>
                <w:szCs w:val="21"/>
                <w:highlight w:val="none"/>
              </w:rPr>
            </w:pPr>
          </w:p>
        </w:tc>
      </w:tr>
      <w:tr w14:paraId="722F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B3EDD11">
            <w:pPr>
              <w:spacing w:line="276" w:lineRule="auto"/>
              <w:jc w:val="left"/>
              <w:rPr>
                <w:color w:val="auto"/>
                <w:szCs w:val="21"/>
                <w:highlight w:val="none"/>
              </w:rPr>
            </w:pPr>
            <w:r>
              <w:rPr>
                <w:rFonts w:hint="eastAsia"/>
                <w:color w:val="auto"/>
                <w:szCs w:val="21"/>
                <w:highlight w:val="none"/>
              </w:rPr>
              <w:t>（二）开挖深度虽未超过3m，但地质条件、周围环境和地下管线复杂，或影响毗邻建、构筑物安全的基坑（槽）的土方开挖、支护、降水工程。</w:t>
            </w:r>
          </w:p>
        </w:tc>
        <w:tc>
          <w:tcPr>
            <w:tcW w:w="833" w:type="dxa"/>
            <w:vAlign w:val="center"/>
          </w:tcPr>
          <w:p w14:paraId="0EB054E0">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6A2C18CC">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0B4D18A2">
            <w:pPr>
              <w:spacing w:line="276" w:lineRule="auto"/>
              <w:jc w:val="center"/>
              <w:rPr>
                <w:color w:val="auto"/>
                <w:szCs w:val="21"/>
                <w:highlight w:val="none"/>
              </w:rPr>
            </w:pPr>
          </w:p>
        </w:tc>
      </w:tr>
      <w:tr w14:paraId="3108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2C9AF236">
            <w:pPr>
              <w:spacing w:line="276" w:lineRule="auto"/>
              <w:jc w:val="left"/>
              <w:rPr>
                <w:color w:val="auto"/>
                <w:szCs w:val="21"/>
                <w:highlight w:val="none"/>
              </w:rPr>
            </w:pPr>
            <w:r>
              <w:rPr>
                <w:rFonts w:hint="eastAsia"/>
                <w:color w:val="auto"/>
                <w:szCs w:val="21"/>
                <w:highlight w:val="none"/>
              </w:rPr>
              <w:t>二、模板工程及支撑体系</w:t>
            </w:r>
          </w:p>
        </w:tc>
        <w:tc>
          <w:tcPr>
            <w:tcW w:w="833" w:type="dxa"/>
            <w:vAlign w:val="center"/>
          </w:tcPr>
          <w:p w14:paraId="7495BA88">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677498B9">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46DF5524">
            <w:pPr>
              <w:spacing w:line="276" w:lineRule="auto"/>
              <w:jc w:val="center"/>
              <w:rPr>
                <w:color w:val="auto"/>
                <w:szCs w:val="21"/>
                <w:highlight w:val="none"/>
              </w:rPr>
            </w:pPr>
          </w:p>
        </w:tc>
      </w:tr>
      <w:tr w14:paraId="6AFB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1F75DA1C">
            <w:pPr>
              <w:spacing w:line="276" w:lineRule="auto"/>
              <w:jc w:val="left"/>
              <w:rPr>
                <w:color w:val="auto"/>
                <w:szCs w:val="21"/>
                <w:highlight w:val="none"/>
              </w:rPr>
            </w:pPr>
            <w:r>
              <w:rPr>
                <w:rFonts w:hint="eastAsia"/>
                <w:color w:val="auto"/>
                <w:szCs w:val="21"/>
                <w:highlight w:val="none"/>
              </w:rPr>
              <w:t>（一）各类工具式模板工程：包括滑模、爬模、飞模、隧道模等工程。</w:t>
            </w:r>
          </w:p>
        </w:tc>
        <w:tc>
          <w:tcPr>
            <w:tcW w:w="833" w:type="dxa"/>
            <w:vAlign w:val="center"/>
          </w:tcPr>
          <w:p w14:paraId="31FFE86D">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49DC3EC">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7A453361">
            <w:pPr>
              <w:spacing w:line="276" w:lineRule="auto"/>
              <w:jc w:val="center"/>
              <w:rPr>
                <w:color w:val="auto"/>
                <w:szCs w:val="21"/>
                <w:highlight w:val="none"/>
              </w:rPr>
            </w:pPr>
          </w:p>
        </w:tc>
      </w:tr>
      <w:tr w14:paraId="4AC9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545EFD5">
            <w:pPr>
              <w:spacing w:line="276" w:lineRule="auto"/>
              <w:jc w:val="left"/>
              <w:rPr>
                <w:color w:val="auto"/>
                <w:szCs w:val="21"/>
                <w:highlight w:val="none"/>
              </w:rPr>
            </w:pPr>
            <w:r>
              <w:rPr>
                <w:rFonts w:hint="eastAsia"/>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833" w:type="dxa"/>
            <w:vAlign w:val="center"/>
          </w:tcPr>
          <w:p w14:paraId="7A633536">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70BB3131">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2BEFDC4F">
            <w:pPr>
              <w:spacing w:line="276" w:lineRule="auto"/>
              <w:jc w:val="center"/>
              <w:rPr>
                <w:color w:val="auto"/>
                <w:szCs w:val="21"/>
                <w:highlight w:val="none"/>
              </w:rPr>
            </w:pPr>
          </w:p>
        </w:tc>
      </w:tr>
      <w:tr w14:paraId="69C8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D1DA412">
            <w:pPr>
              <w:widowControl/>
              <w:spacing w:line="276" w:lineRule="auto"/>
              <w:jc w:val="left"/>
              <w:rPr>
                <w:rFonts w:cs="宋体"/>
                <w:color w:val="auto"/>
                <w:szCs w:val="21"/>
                <w:highlight w:val="none"/>
              </w:rPr>
            </w:pPr>
            <w:r>
              <w:rPr>
                <w:rFonts w:hint="eastAsia" w:cs="宋体"/>
                <w:color w:val="auto"/>
                <w:szCs w:val="21"/>
                <w:highlight w:val="none"/>
              </w:rPr>
              <w:t>（三）承重支撑体系：用于钢结构安装等满堂支撑体系。</w:t>
            </w:r>
          </w:p>
        </w:tc>
        <w:tc>
          <w:tcPr>
            <w:tcW w:w="833" w:type="dxa"/>
            <w:vAlign w:val="center"/>
          </w:tcPr>
          <w:p w14:paraId="3EF22852">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0D10A09C">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E775677">
            <w:pPr>
              <w:spacing w:line="276" w:lineRule="auto"/>
              <w:jc w:val="center"/>
              <w:rPr>
                <w:color w:val="auto"/>
                <w:szCs w:val="21"/>
                <w:highlight w:val="none"/>
              </w:rPr>
            </w:pPr>
          </w:p>
        </w:tc>
      </w:tr>
      <w:tr w14:paraId="12CA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5D2DAC5">
            <w:pPr>
              <w:widowControl/>
              <w:spacing w:line="276" w:lineRule="auto"/>
              <w:jc w:val="left"/>
              <w:rPr>
                <w:rFonts w:cs="宋体"/>
                <w:color w:val="auto"/>
                <w:szCs w:val="21"/>
                <w:highlight w:val="none"/>
              </w:rPr>
            </w:pPr>
            <w:r>
              <w:rPr>
                <w:rFonts w:hint="eastAsia" w:cs="宋体"/>
                <w:color w:val="auto"/>
                <w:szCs w:val="21"/>
                <w:highlight w:val="none"/>
              </w:rPr>
              <w:t>　三、起重吊装及起重机械安装拆卸工程</w:t>
            </w:r>
          </w:p>
        </w:tc>
        <w:tc>
          <w:tcPr>
            <w:tcW w:w="833" w:type="dxa"/>
            <w:vAlign w:val="center"/>
          </w:tcPr>
          <w:p w14:paraId="444BD9B8">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1E974C3E">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7A29AEDA">
            <w:pPr>
              <w:spacing w:line="276" w:lineRule="auto"/>
              <w:jc w:val="center"/>
              <w:rPr>
                <w:color w:val="auto"/>
                <w:szCs w:val="21"/>
                <w:highlight w:val="none"/>
              </w:rPr>
            </w:pPr>
          </w:p>
        </w:tc>
      </w:tr>
      <w:tr w14:paraId="712E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1FB3626E">
            <w:pPr>
              <w:widowControl/>
              <w:spacing w:line="276" w:lineRule="auto"/>
              <w:jc w:val="left"/>
              <w:rPr>
                <w:rFonts w:cs="宋体"/>
                <w:color w:val="auto"/>
                <w:szCs w:val="21"/>
                <w:highlight w:val="none"/>
              </w:rPr>
            </w:pPr>
            <w:r>
              <w:rPr>
                <w:rFonts w:hint="eastAsia" w:cs="宋体"/>
                <w:color w:val="auto"/>
                <w:szCs w:val="21"/>
                <w:highlight w:val="none"/>
              </w:rPr>
              <w:t>（一）采用非常规起重设备、方法，且单件起吊重量在10kN及以上的起重吊装工程。</w:t>
            </w:r>
          </w:p>
        </w:tc>
        <w:tc>
          <w:tcPr>
            <w:tcW w:w="833" w:type="dxa"/>
            <w:vAlign w:val="center"/>
          </w:tcPr>
          <w:p w14:paraId="286995C7">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1EDA56B0">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05FE4C91">
            <w:pPr>
              <w:spacing w:line="276" w:lineRule="auto"/>
              <w:jc w:val="center"/>
              <w:rPr>
                <w:color w:val="auto"/>
                <w:szCs w:val="21"/>
                <w:highlight w:val="none"/>
              </w:rPr>
            </w:pPr>
          </w:p>
        </w:tc>
      </w:tr>
      <w:tr w14:paraId="2C8B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558060AD">
            <w:pPr>
              <w:spacing w:line="276" w:lineRule="auto"/>
              <w:jc w:val="left"/>
              <w:rPr>
                <w:color w:val="auto"/>
                <w:szCs w:val="21"/>
                <w:highlight w:val="none"/>
              </w:rPr>
            </w:pPr>
            <w:r>
              <w:rPr>
                <w:rFonts w:hint="eastAsia" w:cs="宋体"/>
                <w:color w:val="auto"/>
                <w:szCs w:val="21"/>
                <w:highlight w:val="none"/>
              </w:rPr>
              <w:t>（二）采用起重机械进行安装的工程。</w:t>
            </w:r>
          </w:p>
        </w:tc>
        <w:tc>
          <w:tcPr>
            <w:tcW w:w="833" w:type="dxa"/>
            <w:vAlign w:val="center"/>
          </w:tcPr>
          <w:p w14:paraId="4E4C2844">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A81811A">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6B813FC5">
            <w:pPr>
              <w:spacing w:line="276" w:lineRule="auto"/>
              <w:jc w:val="center"/>
              <w:rPr>
                <w:color w:val="auto"/>
                <w:szCs w:val="21"/>
                <w:highlight w:val="none"/>
              </w:rPr>
            </w:pPr>
          </w:p>
        </w:tc>
      </w:tr>
      <w:tr w14:paraId="1013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DA3E937">
            <w:pPr>
              <w:spacing w:line="276" w:lineRule="auto"/>
              <w:jc w:val="left"/>
              <w:rPr>
                <w:rFonts w:cs="宋体"/>
                <w:color w:val="auto"/>
                <w:szCs w:val="21"/>
                <w:highlight w:val="none"/>
              </w:rPr>
            </w:pPr>
            <w:r>
              <w:rPr>
                <w:rFonts w:hint="eastAsia" w:cs="宋体"/>
                <w:color w:val="auto"/>
                <w:szCs w:val="21"/>
                <w:highlight w:val="none"/>
              </w:rPr>
              <w:t>（三）起重机械安装和拆卸工程。</w:t>
            </w:r>
          </w:p>
        </w:tc>
        <w:tc>
          <w:tcPr>
            <w:tcW w:w="833" w:type="dxa"/>
            <w:vAlign w:val="center"/>
          </w:tcPr>
          <w:p w14:paraId="45E2831A">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75879E6F">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254821DB">
            <w:pPr>
              <w:spacing w:line="276" w:lineRule="auto"/>
              <w:jc w:val="center"/>
              <w:rPr>
                <w:color w:val="auto"/>
                <w:szCs w:val="21"/>
                <w:highlight w:val="none"/>
              </w:rPr>
            </w:pPr>
          </w:p>
        </w:tc>
      </w:tr>
      <w:tr w14:paraId="3C3A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58770B46">
            <w:pPr>
              <w:spacing w:line="276" w:lineRule="auto"/>
              <w:jc w:val="left"/>
              <w:rPr>
                <w:color w:val="auto"/>
                <w:szCs w:val="21"/>
                <w:highlight w:val="none"/>
              </w:rPr>
            </w:pPr>
            <w:r>
              <w:rPr>
                <w:rFonts w:hint="eastAsia"/>
                <w:color w:val="auto"/>
                <w:szCs w:val="21"/>
                <w:highlight w:val="none"/>
              </w:rPr>
              <w:t>四、脚手架工程</w:t>
            </w:r>
          </w:p>
        </w:tc>
        <w:tc>
          <w:tcPr>
            <w:tcW w:w="833" w:type="dxa"/>
            <w:vAlign w:val="center"/>
          </w:tcPr>
          <w:p w14:paraId="2E63CD58">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3F10B557">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6DC964F4">
            <w:pPr>
              <w:spacing w:line="276" w:lineRule="auto"/>
              <w:jc w:val="center"/>
              <w:rPr>
                <w:color w:val="auto"/>
                <w:szCs w:val="21"/>
                <w:highlight w:val="none"/>
              </w:rPr>
            </w:pPr>
          </w:p>
        </w:tc>
      </w:tr>
      <w:tr w14:paraId="1640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143AC2D4">
            <w:pPr>
              <w:spacing w:line="276" w:lineRule="auto"/>
              <w:jc w:val="left"/>
              <w:rPr>
                <w:color w:val="auto"/>
                <w:szCs w:val="21"/>
                <w:highlight w:val="none"/>
              </w:rPr>
            </w:pPr>
            <w:r>
              <w:rPr>
                <w:rFonts w:hint="eastAsia"/>
                <w:color w:val="auto"/>
                <w:szCs w:val="21"/>
                <w:highlight w:val="none"/>
              </w:rPr>
              <w:t>（一）搭设高度24m及以上的落地式钢管脚手架工程（包括采光井、电梯井脚手架）。</w:t>
            </w:r>
          </w:p>
        </w:tc>
        <w:tc>
          <w:tcPr>
            <w:tcW w:w="833" w:type="dxa"/>
            <w:vAlign w:val="center"/>
          </w:tcPr>
          <w:p w14:paraId="27C91A9F">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5913CB4C">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4B000F31">
            <w:pPr>
              <w:spacing w:line="276" w:lineRule="auto"/>
              <w:jc w:val="center"/>
              <w:rPr>
                <w:color w:val="auto"/>
                <w:szCs w:val="21"/>
                <w:highlight w:val="none"/>
              </w:rPr>
            </w:pPr>
          </w:p>
        </w:tc>
      </w:tr>
      <w:tr w14:paraId="0FB8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4B03DA3">
            <w:pPr>
              <w:spacing w:line="276" w:lineRule="auto"/>
              <w:jc w:val="left"/>
              <w:rPr>
                <w:color w:val="auto"/>
                <w:szCs w:val="21"/>
                <w:highlight w:val="none"/>
              </w:rPr>
            </w:pPr>
            <w:r>
              <w:rPr>
                <w:rFonts w:hint="eastAsia"/>
                <w:color w:val="auto"/>
                <w:szCs w:val="21"/>
                <w:highlight w:val="none"/>
              </w:rPr>
              <w:t>（二）附着式升降脚手架工程。</w:t>
            </w:r>
          </w:p>
        </w:tc>
        <w:tc>
          <w:tcPr>
            <w:tcW w:w="833" w:type="dxa"/>
            <w:vAlign w:val="center"/>
          </w:tcPr>
          <w:p w14:paraId="43094C93">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4578E991">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D4625FF">
            <w:pPr>
              <w:spacing w:line="276" w:lineRule="auto"/>
              <w:jc w:val="center"/>
              <w:rPr>
                <w:color w:val="auto"/>
                <w:szCs w:val="21"/>
                <w:highlight w:val="none"/>
              </w:rPr>
            </w:pPr>
          </w:p>
        </w:tc>
      </w:tr>
      <w:tr w14:paraId="3AE1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3F928FF1">
            <w:pPr>
              <w:spacing w:line="276" w:lineRule="auto"/>
              <w:jc w:val="left"/>
              <w:rPr>
                <w:color w:val="auto"/>
                <w:szCs w:val="21"/>
                <w:highlight w:val="none"/>
              </w:rPr>
            </w:pPr>
            <w:r>
              <w:rPr>
                <w:rFonts w:hint="eastAsia"/>
                <w:color w:val="auto"/>
                <w:szCs w:val="21"/>
                <w:highlight w:val="none"/>
              </w:rPr>
              <w:t>（三）悬挑式脚手架工程。</w:t>
            </w:r>
          </w:p>
        </w:tc>
        <w:tc>
          <w:tcPr>
            <w:tcW w:w="833" w:type="dxa"/>
            <w:vAlign w:val="center"/>
          </w:tcPr>
          <w:p w14:paraId="23A30F1B">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5E31F05">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4202D5A7">
            <w:pPr>
              <w:spacing w:line="276" w:lineRule="auto"/>
              <w:jc w:val="center"/>
              <w:rPr>
                <w:color w:val="auto"/>
                <w:szCs w:val="21"/>
                <w:highlight w:val="none"/>
              </w:rPr>
            </w:pPr>
          </w:p>
        </w:tc>
      </w:tr>
      <w:tr w14:paraId="5996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3D583DE2">
            <w:pPr>
              <w:spacing w:line="276" w:lineRule="auto"/>
              <w:jc w:val="left"/>
              <w:rPr>
                <w:color w:val="auto"/>
                <w:szCs w:val="21"/>
                <w:highlight w:val="none"/>
              </w:rPr>
            </w:pPr>
            <w:r>
              <w:rPr>
                <w:rFonts w:hint="eastAsia"/>
                <w:color w:val="auto"/>
                <w:szCs w:val="21"/>
                <w:highlight w:val="none"/>
              </w:rPr>
              <w:t>（四）高处作业吊篮。</w:t>
            </w:r>
          </w:p>
        </w:tc>
        <w:tc>
          <w:tcPr>
            <w:tcW w:w="833" w:type="dxa"/>
            <w:vAlign w:val="center"/>
          </w:tcPr>
          <w:p w14:paraId="047C7C17">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150CCF46">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196C504D">
            <w:pPr>
              <w:spacing w:line="276" w:lineRule="auto"/>
              <w:jc w:val="center"/>
              <w:rPr>
                <w:color w:val="auto"/>
                <w:szCs w:val="21"/>
                <w:highlight w:val="none"/>
              </w:rPr>
            </w:pPr>
          </w:p>
        </w:tc>
      </w:tr>
      <w:tr w14:paraId="1A33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0BE4060F">
            <w:pPr>
              <w:spacing w:line="276" w:lineRule="auto"/>
              <w:jc w:val="left"/>
              <w:rPr>
                <w:color w:val="auto"/>
                <w:szCs w:val="21"/>
                <w:highlight w:val="none"/>
              </w:rPr>
            </w:pPr>
            <w:r>
              <w:rPr>
                <w:rFonts w:hint="eastAsia"/>
                <w:color w:val="auto"/>
                <w:szCs w:val="21"/>
                <w:highlight w:val="none"/>
              </w:rPr>
              <w:t>（五）卸料平台、操作平台工程。</w:t>
            </w:r>
          </w:p>
        </w:tc>
        <w:tc>
          <w:tcPr>
            <w:tcW w:w="833" w:type="dxa"/>
            <w:vAlign w:val="center"/>
          </w:tcPr>
          <w:p w14:paraId="0FD211F0">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7E1B02CB">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3D32411C">
            <w:pPr>
              <w:spacing w:line="276" w:lineRule="auto"/>
              <w:jc w:val="center"/>
              <w:rPr>
                <w:color w:val="auto"/>
                <w:szCs w:val="21"/>
                <w:highlight w:val="none"/>
              </w:rPr>
            </w:pPr>
          </w:p>
        </w:tc>
      </w:tr>
      <w:tr w14:paraId="6EE0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C87B992">
            <w:pPr>
              <w:spacing w:line="276" w:lineRule="auto"/>
              <w:jc w:val="left"/>
              <w:rPr>
                <w:color w:val="auto"/>
                <w:szCs w:val="21"/>
                <w:highlight w:val="none"/>
              </w:rPr>
            </w:pPr>
            <w:r>
              <w:rPr>
                <w:rFonts w:hint="eastAsia"/>
                <w:color w:val="auto"/>
                <w:szCs w:val="21"/>
                <w:highlight w:val="none"/>
              </w:rPr>
              <w:t>（六）异型脚手架工程。</w:t>
            </w:r>
          </w:p>
        </w:tc>
        <w:tc>
          <w:tcPr>
            <w:tcW w:w="833" w:type="dxa"/>
            <w:vAlign w:val="center"/>
          </w:tcPr>
          <w:p w14:paraId="3353E9F2">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575913D1">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3BA71B5">
            <w:pPr>
              <w:spacing w:line="276" w:lineRule="auto"/>
              <w:jc w:val="center"/>
              <w:rPr>
                <w:color w:val="auto"/>
                <w:szCs w:val="21"/>
                <w:highlight w:val="none"/>
              </w:rPr>
            </w:pPr>
          </w:p>
        </w:tc>
      </w:tr>
      <w:tr w14:paraId="6F1B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2479828">
            <w:pPr>
              <w:spacing w:line="276" w:lineRule="auto"/>
              <w:jc w:val="left"/>
              <w:rPr>
                <w:color w:val="auto"/>
                <w:szCs w:val="21"/>
                <w:highlight w:val="none"/>
              </w:rPr>
            </w:pPr>
            <w:r>
              <w:rPr>
                <w:rFonts w:hint="eastAsia"/>
                <w:color w:val="auto"/>
                <w:szCs w:val="21"/>
                <w:highlight w:val="none"/>
              </w:rPr>
              <w:t>五、拆除工程</w:t>
            </w:r>
          </w:p>
        </w:tc>
        <w:tc>
          <w:tcPr>
            <w:tcW w:w="833" w:type="dxa"/>
            <w:vAlign w:val="center"/>
          </w:tcPr>
          <w:p w14:paraId="3D06A926">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36F4616A">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3FACDC3B">
            <w:pPr>
              <w:spacing w:line="276" w:lineRule="auto"/>
              <w:jc w:val="center"/>
              <w:rPr>
                <w:color w:val="auto"/>
                <w:szCs w:val="21"/>
                <w:highlight w:val="none"/>
              </w:rPr>
            </w:pPr>
          </w:p>
        </w:tc>
      </w:tr>
      <w:tr w14:paraId="5453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C3293C6">
            <w:pPr>
              <w:spacing w:line="276" w:lineRule="auto"/>
              <w:jc w:val="left"/>
              <w:rPr>
                <w:color w:val="auto"/>
                <w:szCs w:val="21"/>
                <w:highlight w:val="none"/>
              </w:rPr>
            </w:pPr>
            <w:r>
              <w:rPr>
                <w:rFonts w:hint="eastAsia"/>
                <w:color w:val="auto"/>
                <w:szCs w:val="21"/>
                <w:highlight w:val="none"/>
              </w:rPr>
              <w:t>可能影响行人、交通、电力设施、通讯设施或其它建、构筑物安全的拆除工程。</w:t>
            </w:r>
          </w:p>
        </w:tc>
        <w:tc>
          <w:tcPr>
            <w:tcW w:w="833" w:type="dxa"/>
            <w:vAlign w:val="center"/>
          </w:tcPr>
          <w:p w14:paraId="0A8E7089">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367C69E8">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36E20154">
            <w:pPr>
              <w:spacing w:line="276" w:lineRule="auto"/>
              <w:jc w:val="center"/>
              <w:rPr>
                <w:color w:val="auto"/>
                <w:szCs w:val="21"/>
                <w:highlight w:val="none"/>
              </w:rPr>
            </w:pPr>
          </w:p>
        </w:tc>
      </w:tr>
      <w:tr w14:paraId="4882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D300F39">
            <w:pPr>
              <w:spacing w:line="276" w:lineRule="auto"/>
              <w:jc w:val="left"/>
              <w:rPr>
                <w:color w:val="auto"/>
                <w:szCs w:val="21"/>
                <w:highlight w:val="none"/>
              </w:rPr>
            </w:pPr>
            <w:r>
              <w:rPr>
                <w:rFonts w:hint="eastAsia"/>
                <w:color w:val="auto"/>
                <w:szCs w:val="21"/>
                <w:highlight w:val="none"/>
              </w:rPr>
              <w:t>　六、暗挖工程</w:t>
            </w:r>
          </w:p>
        </w:tc>
        <w:tc>
          <w:tcPr>
            <w:tcW w:w="833" w:type="dxa"/>
            <w:vAlign w:val="center"/>
          </w:tcPr>
          <w:p w14:paraId="243693A1">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6948189C">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762BB0E8">
            <w:pPr>
              <w:spacing w:line="276" w:lineRule="auto"/>
              <w:jc w:val="center"/>
              <w:rPr>
                <w:color w:val="auto"/>
                <w:szCs w:val="21"/>
                <w:highlight w:val="none"/>
              </w:rPr>
            </w:pPr>
          </w:p>
        </w:tc>
      </w:tr>
      <w:tr w14:paraId="1552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6962867D">
            <w:pPr>
              <w:spacing w:line="276" w:lineRule="auto"/>
              <w:jc w:val="left"/>
              <w:rPr>
                <w:color w:val="auto"/>
                <w:szCs w:val="21"/>
                <w:highlight w:val="none"/>
              </w:rPr>
            </w:pPr>
            <w:r>
              <w:rPr>
                <w:rFonts w:hint="eastAsia"/>
                <w:color w:val="auto"/>
                <w:szCs w:val="21"/>
                <w:highlight w:val="none"/>
              </w:rPr>
              <w:t>采用矿山法、盾构法、顶管法施工的隧道、洞室工程。</w:t>
            </w:r>
          </w:p>
        </w:tc>
        <w:tc>
          <w:tcPr>
            <w:tcW w:w="833" w:type="dxa"/>
            <w:vAlign w:val="center"/>
          </w:tcPr>
          <w:p w14:paraId="6489B6DB">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3D0E4753">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0FAB124C">
            <w:pPr>
              <w:spacing w:line="276" w:lineRule="auto"/>
              <w:jc w:val="center"/>
              <w:rPr>
                <w:color w:val="auto"/>
                <w:szCs w:val="21"/>
                <w:highlight w:val="none"/>
              </w:rPr>
            </w:pPr>
          </w:p>
        </w:tc>
      </w:tr>
      <w:tr w14:paraId="0509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0D181667">
            <w:pPr>
              <w:spacing w:line="276" w:lineRule="auto"/>
              <w:jc w:val="left"/>
              <w:rPr>
                <w:color w:val="auto"/>
                <w:szCs w:val="21"/>
                <w:highlight w:val="none"/>
              </w:rPr>
            </w:pPr>
            <w:r>
              <w:rPr>
                <w:rFonts w:hint="eastAsia"/>
                <w:color w:val="auto"/>
                <w:szCs w:val="21"/>
                <w:highlight w:val="none"/>
              </w:rPr>
              <w:t>七、其它</w:t>
            </w:r>
          </w:p>
        </w:tc>
        <w:tc>
          <w:tcPr>
            <w:tcW w:w="833" w:type="dxa"/>
            <w:vAlign w:val="center"/>
          </w:tcPr>
          <w:p w14:paraId="3BF3D144">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7F37E9F7">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281B4890">
            <w:pPr>
              <w:spacing w:line="276" w:lineRule="auto"/>
              <w:jc w:val="center"/>
              <w:rPr>
                <w:color w:val="auto"/>
                <w:szCs w:val="21"/>
                <w:highlight w:val="none"/>
              </w:rPr>
            </w:pPr>
          </w:p>
        </w:tc>
      </w:tr>
      <w:tr w14:paraId="005B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6D2E5133">
            <w:pPr>
              <w:spacing w:line="276" w:lineRule="auto"/>
              <w:jc w:val="left"/>
              <w:rPr>
                <w:color w:val="auto"/>
                <w:szCs w:val="21"/>
                <w:highlight w:val="none"/>
              </w:rPr>
            </w:pPr>
            <w:r>
              <w:rPr>
                <w:rFonts w:hint="eastAsia"/>
                <w:color w:val="auto"/>
                <w:szCs w:val="21"/>
                <w:highlight w:val="none"/>
              </w:rPr>
              <w:t>（一）建筑幕墙安装工程。</w:t>
            </w:r>
          </w:p>
        </w:tc>
        <w:tc>
          <w:tcPr>
            <w:tcW w:w="833" w:type="dxa"/>
            <w:vAlign w:val="center"/>
          </w:tcPr>
          <w:p w14:paraId="2C30A07A">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10412551">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0A4A7FCA">
            <w:pPr>
              <w:spacing w:line="276" w:lineRule="auto"/>
              <w:jc w:val="center"/>
              <w:rPr>
                <w:color w:val="auto"/>
                <w:szCs w:val="21"/>
                <w:highlight w:val="none"/>
              </w:rPr>
            </w:pPr>
          </w:p>
        </w:tc>
      </w:tr>
      <w:tr w14:paraId="2058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12E9294">
            <w:pPr>
              <w:spacing w:line="276" w:lineRule="auto"/>
              <w:jc w:val="left"/>
              <w:rPr>
                <w:color w:val="auto"/>
                <w:szCs w:val="21"/>
                <w:highlight w:val="none"/>
              </w:rPr>
            </w:pPr>
            <w:r>
              <w:rPr>
                <w:rFonts w:hint="eastAsia"/>
                <w:color w:val="auto"/>
                <w:szCs w:val="21"/>
                <w:highlight w:val="none"/>
              </w:rPr>
              <w:t>（二）钢结构、网架和索膜结构安装工程。</w:t>
            </w:r>
          </w:p>
        </w:tc>
        <w:tc>
          <w:tcPr>
            <w:tcW w:w="833" w:type="dxa"/>
            <w:vAlign w:val="center"/>
          </w:tcPr>
          <w:p w14:paraId="4ED7BFFF">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7F3A9455">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1AA5A908">
            <w:pPr>
              <w:spacing w:line="276" w:lineRule="auto"/>
              <w:jc w:val="center"/>
              <w:rPr>
                <w:color w:val="auto"/>
                <w:szCs w:val="21"/>
                <w:highlight w:val="none"/>
              </w:rPr>
            </w:pPr>
          </w:p>
        </w:tc>
      </w:tr>
      <w:tr w14:paraId="45AD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30592D9C">
            <w:pPr>
              <w:spacing w:line="276" w:lineRule="auto"/>
              <w:jc w:val="left"/>
              <w:rPr>
                <w:color w:val="auto"/>
                <w:szCs w:val="21"/>
                <w:highlight w:val="none"/>
              </w:rPr>
            </w:pPr>
            <w:r>
              <w:rPr>
                <w:rFonts w:hint="eastAsia"/>
                <w:color w:val="auto"/>
                <w:szCs w:val="21"/>
                <w:highlight w:val="none"/>
              </w:rPr>
              <w:t>（三）人工挖孔桩工程。</w:t>
            </w:r>
          </w:p>
        </w:tc>
        <w:tc>
          <w:tcPr>
            <w:tcW w:w="833" w:type="dxa"/>
            <w:vAlign w:val="center"/>
          </w:tcPr>
          <w:p w14:paraId="3AEDFE9B">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1AF3475">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7C571CD8">
            <w:pPr>
              <w:spacing w:line="276" w:lineRule="auto"/>
              <w:jc w:val="center"/>
              <w:rPr>
                <w:color w:val="auto"/>
                <w:szCs w:val="21"/>
                <w:highlight w:val="none"/>
              </w:rPr>
            </w:pPr>
          </w:p>
        </w:tc>
      </w:tr>
      <w:tr w14:paraId="6CC7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248A25C6">
            <w:pPr>
              <w:spacing w:line="276" w:lineRule="auto"/>
              <w:jc w:val="left"/>
              <w:rPr>
                <w:color w:val="auto"/>
                <w:szCs w:val="21"/>
                <w:highlight w:val="none"/>
              </w:rPr>
            </w:pPr>
            <w:r>
              <w:rPr>
                <w:rFonts w:hint="eastAsia"/>
                <w:color w:val="auto"/>
                <w:szCs w:val="21"/>
                <w:highlight w:val="none"/>
              </w:rPr>
              <w:t>（四）水下作业工程。</w:t>
            </w:r>
          </w:p>
        </w:tc>
        <w:tc>
          <w:tcPr>
            <w:tcW w:w="833" w:type="dxa"/>
            <w:vAlign w:val="center"/>
          </w:tcPr>
          <w:p w14:paraId="0D0A3E41">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3A597E0D">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ED4C6AA">
            <w:pPr>
              <w:spacing w:line="276" w:lineRule="auto"/>
              <w:jc w:val="center"/>
              <w:rPr>
                <w:color w:val="auto"/>
                <w:szCs w:val="21"/>
                <w:highlight w:val="none"/>
              </w:rPr>
            </w:pPr>
          </w:p>
        </w:tc>
      </w:tr>
      <w:tr w14:paraId="4D70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2B45BE84">
            <w:pPr>
              <w:spacing w:line="276" w:lineRule="auto"/>
              <w:jc w:val="left"/>
              <w:rPr>
                <w:color w:val="auto"/>
                <w:szCs w:val="21"/>
                <w:highlight w:val="none"/>
              </w:rPr>
            </w:pPr>
            <w:r>
              <w:rPr>
                <w:rFonts w:hint="eastAsia"/>
                <w:color w:val="auto"/>
                <w:szCs w:val="21"/>
                <w:highlight w:val="none"/>
              </w:rPr>
              <w:t>（五）装配式建筑混凝土预制构件安装工程。</w:t>
            </w:r>
          </w:p>
        </w:tc>
        <w:tc>
          <w:tcPr>
            <w:tcW w:w="833" w:type="dxa"/>
            <w:vAlign w:val="center"/>
          </w:tcPr>
          <w:p w14:paraId="0D606271">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0E1217D3">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43DCC227">
            <w:pPr>
              <w:spacing w:line="276" w:lineRule="auto"/>
              <w:jc w:val="center"/>
              <w:rPr>
                <w:color w:val="auto"/>
                <w:szCs w:val="21"/>
                <w:highlight w:val="none"/>
              </w:rPr>
            </w:pPr>
          </w:p>
        </w:tc>
      </w:tr>
      <w:tr w14:paraId="48B4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5C9922D7">
            <w:pPr>
              <w:spacing w:line="276" w:lineRule="auto"/>
              <w:jc w:val="left"/>
              <w:rPr>
                <w:color w:val="auto"/>
                <w:szCs w:val="21"/>
                <w:highlight w:val="none"/>
              </w:rPr>
            </w:pPr>
            <w:r>
              <w:rPr>
                <w:rFonts w:hint="eastAsia"/>
                <w:color w:val="auto"/>
                <w:szCs w:val="21"/>
                <w:highlight w:val="none"/>
              </w:rPr>
              <w:t>（六）采用新技术、新工艺、新材料、新设备可能影响工程施工安全，尚无国家、行业及地方技术标准的分部分项工程。</w:t>
            </w:r>
          </w:p>
        </w:tc>
        <w:tc>
          <w:tcPr>
            <w:tcW w:w="833" w:type="dxa"/>
            <w:vAlign w:val="center"/>
          </w:tcPr>
          <w:p w14:paraId="1EE65AD1">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5046E5E0">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1814A36A">
            <w:pPr>
              <w:spacing w:line="276" w:lineRule="auto"/>
              <w:jc w:val="center"/>
              <w:rPr>
                <w:color w:val="auto"/>
                <w:szCs w:val="21"/>
                <w:highlight w:val="none"/>
              </w:rPr>
            </w:pPr>
          </w:p>
        </w:tc>
      </w:tr>
      <w:tr w14:paraId="3F62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vAlign w:val="center"/>
          </w:tcPr>
          <w:p w14:paraId="728A1F19">
            <w:pPr>
              <w:widowControl/>
              <w:spacing w:line="276" w:lineRule="auto"/>
              <w:rPr>
                <w:rFonts w:cs="宋体"/>
                <w:b/>
                <w:color w:val="auto"/>
                <w:szCs w:val="21"/>
                <w:highlight w:val="none"/>
              </w:rPr>
            </w:pPr>
            <w:r>
              <w:rPr>
                <w:rFonts w:hint="eastAsia" w:cs="宋体"/>
                <w:b/>
                <w:bCs/>
                <w:color w:val="auto"/>
                <w:szCs w:val="21"/>
                <w:highlight w:val="none"/>
              </w:rPr>
              <w:t>二、超过一定规模的危险性较大的分部分项工程清单</w:t>
            </w:r>
          </w:p>
        </w:tc>
        <w:tc>
          <w:tcPr>
            <w:tcW w:w="833" w:type="dxa"/>
            <w:vAlign w:val="center"/>
          </w:tcPr>
          <w:p w14:paraId="4BD95420">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61519914">
            <w:pPr>
              <w:spacing w:line="276" w:lineRule="auto"/>
              <w:jc w:val="center"/>
              <w:rPr>
                <w:color w:val="auto"/>
                <w:szCs w:val="21"/>
                <w:highlight w:val="none"/>
              </w:rPr>
            </w:pPr>
          </w:p>
        </w:tc>
        <w:tc>
          <w:tcPr>
            <w:tcW w:w="701" w:type="dxa"/>
            <w:vAlign w:val="center"/>
          </w:tcPr>
          <w:p w14:paraId="195AC8C4">
            <w:pPr>
              <w:spacing w:line="276" w:lineRule="auto"/>
              <w:jc w:val="center"/>
              <w:rPr>
                <w:color w:val="auto"/>
                <w:szCs w:val="21"/>
                <w:highlight w:val="none"/>
              </w:rPr>
            </w:pPr>
          </w:p>
        </w:tc>
      </w:tr>
      <w:tr w14:paraId="5865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21613B84">
            <w:pPr>
              <w:spacing w:line="276" w:lineRule="auto"/>
              <w:jc w:val="left"/>
              <w:rPr>
                <w:color w:val="auto"/>
                <w:szCs w:val="21"/>
                <w:highlight w:val="none"/>
              </w:rPr>
            </w:pPr>
            <w:r>
              <w:rPr>
                <w:rFonts w:hint="eastAsia"/>
                <w:color w:val="auto"/>
                <w:szCs w:val="21"/>
                <w:highlight w:val="none"/>
              </w:rPr>
              <w:t>一、深基坑工程</w:t>
            </w:r>
          </w:p>
        </w:tc>
        <w:tc>
          <w:tcPr>
            <w:tcW w:w="833" w:type="dxa"/>
            <w:vAlign w:val="center"/>
          </w:tcPr>
          <w:p w14:paraId="70DA5355">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D8FDA22">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0D7C1D73">
            <w:pPr>
              <w:spacing w:line="276" w:lineRule="auto"/>
              <w:jc w:val="center"/>
              <w:rPr>
                <w:color w:val="auto"/>
                <w:szCs w:val="21"/>
                <w:highlight w:val="none"/>
              </w:rPr>
            </w:pPr>
          </w:p>
        </w:tc>
      </w:tr>
      <w:tr w14:paraId="64B2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1063D23C">
            <w:pPr>
              <w:spacing w:line="276" w:lineRule="auto"/>
              <w:jc w:val="left"/>
              <w:rPr>
                <w:color w:val="auto"/>
                <w:szCs w:val="21"/>
                <w:highlight w:val="none"/>
              </w:rPr>
            </w:pPr>
            <w:r>
              <w:rPr>
                <w:rFonts w:hint="eastAsia"/>
                <w:color w:val="auto"/>
                <w:szCs w:val="21"/>
                <w:highlight w:val="none"/>
              </w:rPr>
              <w:t>开挖深度超过5m（含5m）的基坑（槽）的土方开挖、支护、降水工程。</w:t>
            </w:r>
          </w:p>
        </w:tc>
        <w:tc>
          <w:tcPr>
            <w:tcW w:w="833" w:type="dxa"/>
            <w:vAlign w:val="center"/>
          </w:tcPr>
          <w:p w14:paraId="45C69F2A">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73E7CD01">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5EF7CBC">
            <w:pPr>
              <w:spacing w:line="276" w:lineRule="auto"/>
              <w:ind w:firstLine="480"/>
              <w:jc w:val="center"/>
              <w:rPr>
                <w:color w:val="auto"/>
                <w:szCs w:val="21"/>
                <w:highlight w:val="none"/>
              </w:rPr>
            </w:pPr>
          </w:p>
        </w:tc>
      </w:tr>
      <w:tr w14:paraId="2CBF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5483D275">
            <w:pPr>
              <w:spacing w:line="276" w:lineRule="auto"/>
              <w:ind w:firstLine="480"/>
              <w:jc w:val="left"/>
              <w:rPr>
                <w:color w:val="auto"/>
                <w:szCs w:val="21"/>
                <w:highlight w:val="none"/>
              </w:rPr>
            </w:pPr>
            <w:r>
              <w:rPr>
                <w:rFonts w:hint="eastAsia"/>
                <w:color w:val="auto"/>
                <w:szCs w:val="21"/>
                <w:highlight w:val="none"/>
              </w:rPr>
              <w:t>二、模板工程及支撑体系</w:t>
            </w:r>
          </w:p>
        </w:tc>
        <w:tc>
          <w:tcPr>
            <w:tcW w:w="833" w:type="dxa"/>
            <w:vAlign w:val="center"/>
          </w:tcPr>
          <w:p w14:paraId="467F2F42">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F4B53B9">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621AAB13">
            <w:pPr>
              <w:spacing w:line="276" w:lineRule="auto"/>
              <w:ind w:firstLine="480"/>
              <w:jc w:val="center"/>
              <w:rPr>
                <w:color w:val="auto"/>
                <w:szCs w:val="21"/>
                <w:highlight w:val="none"/>
              </w:rPr>
            </w:pPr>
          </w:p>
        </w:tc>
      </w:tr>
      <w:tr w14:paraId="45D9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5B05F15F">
            <w:pPr>
              <w:spacing w:line="276" w:lineRule="auto"/>
              <w:ind w:firstLine="480"/>
              <w:jc w:val="left"/>
              <w:rPr>
                <w:color w:val="auto"/>
                <w:szCs w:val="21"/>
                <w:highlight w:val="none"/>
              </w:rPr>
            </w:pPr>
            <w:r>
              <w:rPr>
                <w:rFonts w:hint="eastAsia"/>
                <w:color w:val="auto"/>
                <w:szCs w:val="21"/>
                <w:highlight w:val="none"/>
              </w:rPr>
              <w:t>（一）各类工具式模板工程：包括滑模、爬模、飞模、隧道模等工程。</w:t>
            </w:r>
          </w:p>
        </w:tc>
        <w:tc>
          <w:tcPr>
            <w:tcW w:w="833" w:type="dxa"/>
            <w:vAlign w:val="center"/>
          </w:tcPr>
          <w:p w14:paraId="2052CFAD">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76DEBBA4">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730D86EA">
            <w:pPr>
              <w:spacing w:line="276" w:lineRule="auto"/>
              <w:ind w:firstLine="480"/>
              <w:jc w:val="center"/>
              <w:rPr>
                <w:color w:val="auto"/>
                <w:szCs w:val="21"/>
                <w:highlight w:val="none"/>
              </w:rPr>
            </w:pPr>
          </w:p>
        </w:tc>
      </w:tr>
      <w:tr w14:paraId="2164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2E26613">
            <w:pPr>
              <w:spacing w:line="276" w:lineRule="auto"/>
              <w:ind w:firstLine="480"/>
              <w:jc w:val="left"/>
              <w:rPr>
                <w:color w:val="auto"/>
                <w:szCs w:val="21"/>
                <w:highlight w:val="none"/>
              </w:rPr>
            </w:pPr>
            <w:r>
              <w:rPr>
                <w:rFonts w:hint="eastAsia"/>
                <w:color w:val="auto"/>
                <w:szCs w:val="21"/>
                <w:highlight w:val="none"/>
              </w:rPr>
              <w:t>（二）混凝土模板支撑工程：搭设高度8m及以上，或搭设跨度18m及以上，或施工总荷载（设计值）15kN/m2及以上，或集中线荷载（设计值）20kN/m及以上。</w:t>
            </w:r>
          </w:p>
        </w:tc>
        <w:tc>
          <w:tcPr>
            <w:tcW w:w="833" w:type="dxa"/>
            <w:vAlign w:val="center"/>
          </w:tcPr>
          <w:p w14:paraId="562D725B">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148ECD2B">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6FE5418B">
            <w:pPr>
              <w:spacing w:line="276" w:lineRule="auto"/>
              <w:jc w:val="center"/>
              <w:rPr>
                <w:color w:val="auto"/>
                <w:szCs w:val="21"/>
                <w:highlight w:val="none"/>
              </w:rPr>
            </w:pPr>
          </w:p>
        </w:tc>
      </w:tr>
      <w:tr w14:paraId="7AD3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46ABCD9">
            <w:pPr>
              <w:spacing w:line="276" w:lineRule="auto"/>
              <w:jc w:val="left"/>
              <w:rPr>
                <w:color w:val="auto"/>
                <w:szCs w:val="21"/>
                <w:highlight w:val="none"/>
              </w:rPr>
            </w:pPr>
            <w:r>
              <w:rPr>
                <w:rFonts w:hint="eastAsia"/>
                <w:color w:val="auto"/>
                <w:szCs w:val="21"/>
                <w:highlight w:val="none"/>
              </w:rPr>
              <w:t>（三）承重支撑体系：用于钢结构安装等满堂支撑体系，承受单点集中荷载7kN及以上。</w:t>
            </w:r>
          </w:p>
        </w:tc>
        <w:tc>
          <w:tcPr>
            <w:tcW w:w="833" w:type="dxa"/>
            <w:vAlign w:val="center"/>
          </w:tcPr>
          <w:p w14:paraId="6761C5B7">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5DA667C0">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24A6564E">
            <w:pPr>
              <w:spacing w:line="276" w:lineRule="auto"/>
              <w:jc w:val="center"/>
              <w:rPr>
                <w:color w:val="auto"/>
                <w:szCs w:val="21"/>
                <w:highlight w:val="none"/>
              </w:rPr>
            </w:pPr>
          </w:p>
        </w:tc>
      </w:tr>
      <w:tr w14:paraId="69AB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B6F94A0">
            <w:pPr>
              <w:spacing w:line="276" w:lineRule="auto"/>
              <w:jc w:val="left"/>
              <w:rPr>
                <w:color w:val="auto"/>
                <w:szCs w:val="21"/>
                <w:highlight w:val="none"/>
              </w:rPr>
            </w:pPr>
            <w:r>
              <w:rPr>
                <w:rFonts w:hint="eastAsia"/>
                <w:color w:val="auto"/>
                <w:szCs w:val="21"/>
                <w:highlight w:val="none"/>
              </w:rPr>
              <w:t>　三、起重吊装及起重机械安装拆卸工程</w:t>
            </w:r>
          </w:p>
        </w:tc>
        <w:tc>
          <w:tcPr>
            <w:tcW w:w="833" w:type="dxa"/>
            <w:vAlign w:val="center"/>
          </w:tcPr>
          <w:p w14:paraId="773B3448">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4201AF27">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072DE6EF">
            <w:pPr>
              <w:spacing w:line="276" w:lineRule="auto"/>
              <w:jc w:val="center"/>
              <w:rPr>
                <w:color w:val="auto"/>
                <w:szCs w:val="21"/>
                <w:highlight w:val="none"/>
              </w:rPr>
            </w:pPr>
          </w:p>
        </w:tc>
      </w:tr>
      <w:tr w14:paraId="081C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51E0075C">
            <w:pPr>
              <w:spacing w:line="276" w:lineRule="auto"/>
              <w:jc w:val="left"/>
              <w:rPr>
                <w:color w:val="auto"/>
                <w:szCs w:val="21"/>
                <w:highlight w:val="none"/>
              </w:rPr>
            </w:pPr>
            <w:r>
              <w:rPr>
                <w:rFonts w:hint="eastAsia"/>
                <w:color w:val="auto"/>
                <w:szCs w:val="21"/>
                <w:highlight w:val="none"/>
              </w:rPr>
              <w:t>（一）采用非常规起重设备、方法，且单件起吊重量在100kN及以上的起重吊装工程。</w:t>
            </w:r>
          </w:p>
        </w:tc>
        <w:tc>
          <w:tcPr>
            <w:tcW w:w="833" w:type="dxa"/>
            <w:vAlign w:val="center"/>
          </w:tcPr>
          <w:p w14:paraId="39BB794E">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059065BA">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465ABC11">
            <w:pPr>
              <w:spacing w:line="276" w:lineRule="auto"/>
              <w:jc w:val="center"/>
              <w:rPr>
                <w:color w:val="auto"/>
                <w:szCs w:val="21"/>
                <w:highlight w:val="none"/>
              </w:rPr>
            </w:pPr>
          </w:p>
        </w:tc>
      </w:tr>
      <w:tr w14:paraId="53F4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2376D5C8">
            <w:pPr>
              <w:spacing w:line="276" w:lineRule="auto"/>
              <w:jc w:val="left"/>
              <w:rPr>
                <w:color w:val="auto"/>
                <w:szCs w:val="21"/>
                <w:highlight w:val="none"/>
              </w:rPr>
            </w:pPr>
            <w:r>
              <w:rPr>
                <w:rFonts w:hint="eastAsia"/>
                <w:color w:val="auto"/>
                <w:szCs w:val="21"/>
                <w:highlight w:val="none"/>
              </w:rPr>
              <w:t>（二）起重量300kN及以上，或搭设总高度200m及以上，或搭设基础标高在200m及以上的起重机械安装和拆卸工程。</w:t>
            </w:r>
          </w:p>
        </w:tc>
        <w:tc>
          <w:tcPr>
            <w:tcW w:w="833" w:type="dxa"/>
            <w:vAlign w:val="center"/>
          </w:tcPr>
          <w:p w14:paraId="1C214661">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051DA257">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707D4EB6">
            <w:pPr>
              <w:spacing w:line="276" w:lineRule="auto"/>
              <w:jc w:val="center"/>
              <w:rPr>
                <w:color w:val="auto"/>
                <w:szCs w:val="21"/>
                <w:highlight w:val="none"/>
              </w:rPr>
            </w:pPr>
          </w:p>
        </w:tc>
      </w:tr>
      <w:tr w14:paraId="5FA8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4B8B6D9D">
            <w:pPr>
              <w:spacing w:line="276" w:lineRule="auto"/>
              <w:jc w:val="left"/>
              <w:rPr>
                <w:color w:val="auto"/>
                <w:szCs w:val="21"/>
                <w:highlight w:val="none"/>
              </w:rPr>
            </w:pPr>
            <w:r>
              <w:rPr>
                <w:rFonts w:hint="eastAsia"/>
                <w:color w:val="auto"/>
                <w:szCs w:val="21"/>
                <w:highlight w:val="none"/>
              </w:rPr>
              <w:t>四、脚手架工程</w:t>
            </w:r>
          </w:p>
        </w:tc>
        <w:tc>
          <w:tcPr>
            <w:tcW w:w="833" w:type="dxa"/>
            <w:vAlign w:val="center"/>
          </w:tcPr>
          <w:p w14:paraId="6E758396">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09D27DBE">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21DAA6FE">
            <w:pPr>
              <w:spacing w:line="276" w:lineRule="auto"/>
              <w:jc w:val="center"/>
              <w:rPr>
                <w:color w:val="auto"/>
                <w:szCs w:val="21"/>
                <w:highlight w:val="none"/>
              </w:rPr>
            </w:pPr>
          </w:p>
        </w:tc>
      </w:tr>
      <w:tr w14:paraId="223F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142E6687">
            <w:pPr>
              <w:spacing w:line="276" w:lineRule="auto"/>
              <w:jc w:val="left"/>
              <w:rPr>
                <w:color w:val="auto"/>
                <w:szCs w:val="21"/>
                <w:highlight w:val="none"/>
              </w:rPr>
            </w:pPr>
            <w:r>
              <w:rPr>
                <w:rFonts w:hint="eastAsia"/>
                <w:color w:val="auto"/>
                <w:szCs w:val="21"/>
                <w:highlight w:val="none"/>
              </w:rPr>
              <w:t>（一）搭设高度50m及以上的落地式钢管脚手架工程。</w:t>
            </w:r>
          </w:p>
        </w:tc>
        <w:tc>
          <w:tcPr>
            <w:tcW w:w="833" w:type="dxa"/>
            <w:vAlign w:val="center"/>
          </w:tcPr>
          <w:p w14:paraId="1A270B73">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3B34525A">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1F363AB">
            <w:pPr>
              <w:spacing w:line="276" w:lineRule="auto"/>
              <w:jc w:val="center"/>
              <w:rPr>
                <w:color w:val="auto"/>
                <w:szCs w:val="21"/>
                <w:highlight w:val="none"/>
              </w:rPr>
            </w:pPr>
          </w:p>
        </w:tc>
      </w:tr>
      <w:tr w14:paraId="5FB2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0F4AF3B7">
            <w:pPr>
              <w:spacing w:line="276" w:lineRule="auto"/>
              <w:jc w:val="left"/>
              <w:rPr>
                <w:color w:val="auto"/>
                <w:szCs w:val="21"/>
                <w:highlight w:val="none"/>
              </w:rPr>
            </w:pPr>
            <w:r>
              <w:rPr>
                <w:rFonts w:hint="eastAsia"/>
                <w:color w:val="auto"/>
                <w:szCs w:val="21"/>
                <w:highlight w:val="none"/>
              </w:rPr>
              <w:t>（二）提升高度在150m及以上的附着式升降脚手架工程或附着式升降操作平台工程。</w:t>
            </w:r>
          </w:p>
        </w:tc>
        <w:tc>
          <w:tcPr>
            <w:tcW w:w="833" w:type="dxa"/>
            <w:vAlign w:val="center"/>
          </w:tcPr>
          <w:p w14:paraId="00293750">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5C851FAA">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7C8BAF2D">
            <w:pPr>
              <w:spacing w:line="276" w:lineRule="auto"/>
              <w:jc w:val="center"/>
              <w:rPr>
                <w:color w:val="auto"/>
                <w:szCs w:val="21"/>
                <w:highlight w:val="none"/>
              </w:rPr>
            </w:pPr>
          </w:p>
        </w:tc>
      </w:tr>
      <w:tr w14:paraId="0211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0428949A">
            <w:pPr>
              <w:spacing w:line="276" w:lineRule="auto"/>
              <w:jc w:val="left"/>
              <w:rPr>
                <w:color w:val="auto"/>
                <w:szCs w:val="21"/>
                <w:highlight w:val="none"/>
              </w:rPr>
            </w:pPr>
            <w:r>
              <w:rPr>
                <w:rFonts w:hint="eastAsia"/>
                <w:color w:val="auto"/>
                <w:szCs w:val="21"/>
                <w:highlight w:val="none"/>
              </w:rPr>
              <w:t>（三）分段架体搭设高度20m及以上的悬挑式脚手架工程。</w:t>
            </w:r>
          </w:p>
        </w:tc>
        <w:tc>
          <w:tcPr>
            <w:tcW w:w="833" w:type="dxa"/>
            <w:vAlign w:val="center"/>
          </w:tcPr>
          <w:p w14:paraId="69F18C76">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6FD3E5A1">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02888FA3">
            <w:pPr>
              <w:spacing w:line="276" w:lineRule="auto"/>
              <w:jc w:val="center"/>
              <w:rPr>
                <w:color w:val="auto"/>
                <w:szCs w:val="21"/>
                <w:highlight w:val="none"/>
              </w:rPr>
            </w:pPr>
          </w:p>
        </w:tc>
      </w:tr>
      <w:tr w14:paraId="552E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37354FB2">
            <w:pPr>
              <w:spacing w:line="276" w:lineRule="auto"/>
              <w:jc w:val="left"/>
              <w:rPr>
                <w:color w:val="auto"/>
                <w:szCs w:val="21"/>
                <w:highlight w:val="none"/>
              </w:rPr>
            </w:pPr>
            <w:r>
              <w:rPr>
                <w:rFonts w:hint="eastAsia"/>
                <w:color w:val="auto"/>
                <w:szCs w:val="21"/>
                <w:highlight w:val="none"/>
              </w:rPr>
              <w:t>五、拆除工程</w:t>
            </w:r>
          </w:p>
        </w:tc>
        <w:tc>
          <w:tcPr>
            <w:tcW w:w="833" w:type="dxa"/>
            <w:vAlign w:val="center"/>
          </w:tcPr>
          <w:p w14:paraId="640EE1E7">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5064884C">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10A06349">
            <w:pPr>
              <w:spacing w:line="276" w:lineRule="auto"/>
              <w:jc w:val="center"/>
              <w:rPr>
                <w:color w:val="auto"/>
                <w:szCs w:val="21"/>
                <w:highlight w:val="none"/>
              </w:rPr>
            </w:pPr>
          </w:p>
        </w:tc>
      </w:tr>
      <w:tr w14:paraId="3430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2BE58BEC">
            <w:pPr>
              <w:spacing w:line="276" w:lineRule="auto"/>
              <w:jc w:val="left"/>
              <w:rPr>
                <w:color w:val="auto"/>
                <w:szCs w:val="21"/>
                <w:highlight w:val="none"/>
              </w:rPr>
            </w:pPr>
            <w:r>
              <w:rPr>
                <w:rFonts w:hint="eastAsia"/>
                <w:color w:val="auto"/>
                <w:szCs w:val="21"/>
                <w:highlight w:val="none"/>
              </w:rPr>
              <w:t>（一）码头、桥梁、高架、烟囱、水塔或拆除中容易引起有毒有害气（液）体或粉尘扩散、易燃易爆事故发生的特殊建、构筑物的拆除工程。</w:t>
            </w:r>
          </w:p>
        </w:tc>
        <w:tc>
          <w:tcPr>
            <w:tcW w:w="833" w:type="dxa"/>
            <w:vAlign w:val="center"/>
          </w:tcPr>
          <w:p w14:paraId="45A6B311">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722E695C">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2387D7A8">
            <w:pPr>
              <w:spacing w:line="276" w:lineRule="auto"/>
              <w:jc w:val="center"/>
              <w:rPr>
                <w:color w:val="auto"/>
                <w:szCs w:val="21"/>
                <w:highlight w:val="none"/>
              </w:rPr>
            </w:pPr>
          </w:p>
        </w:tc>
      </w:tr>
      <w:tr w14:paraId="6773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2FEFD334">
            <w:pPr>
              <w:spacing w:line="276" w:lineRule="auto"/>
              <w:jc w:val="left"/>
              <w:rPr>
                <w:color w:val="auto"/>
                <w:szCs w:val="21"/>
                <w:highlight w:val="none"/>
              </w:rPr>
            </w:pPr>
            <w:r>
              <w:rPr>
                <w:rFonts w:hint="eastAsia"/>
                <w:color w:val="auto"/>
                <w:szCs w:val="21"/>
                <w:highlight w:val="none"/>
              </w:rPr>
              <w:t>（二）文物保护建筑、优秀历史建筑或历史文化风貌区影响范围内的拆除工程。</w:t>
            </w:r>
          </w:p>
        </w:tc>
        <w:tc>
          <w:tcPr>
            <w:tcW w:w="833" w:type="dxa"/>
            <w:vAlign w:val="center"/>
          </w:tcPr>
          <w:p w14:paraId="0F697724">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190CC12E">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3A8BE12C">
            <w:pPr>
              <w:spacing w:line="276" w:lineRule="auto"/>
              <w:jc w:val="center"/>
              <w:rPr>
                <w:color w:val="auto"/>
                <w:szCs w:val="21"/>
                <w:highlight w:val="none"/>
              </w:rPr>
            </w:pPr>
          </w:p>
        </w:tc>
      </w:tr>
      <w:tr w14:paraId="7AB4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073123C">
            <w:pPr>
              <w:spacing w:line="276" w:lineRule="auto"/>
              <w:jc w:val="left"/>
              <w:rPr>
                <w:color w:val="auto"/>
                <w:szCs w:val="21"/>
                <w:highlight w:val="none"/>
              </w:rPr>
            </w:pPr>
            <w:r>
              <w:rPr>
                <w:rFonts w:hint="eastAsia"/>
                <w:color w:val="auto"/>
                <w:szCs w:val="21"/>
                <w:highlight w:val="none"/>
              </w:rPr>
              <w:t>六、暗挖工程</w:t>
            </w:r>
          </w:p>
        </w:tc>
        <w:tc>
          <w:tcPr>
            <w:tcW w:w="833" w:type="dxa"/>
            <w:vAlign w:val="center"/>
          </w:tcPr>
          <w:p w14:paraId="6EDE1D9D">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46FD55B">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32120AF5">
            <w:pPr>
              <w:spacing w:line="276" w:lineRule="auto"/>
              <w:jc w:val="center"/>
              <w:rPr>
                <w:color w:val="auto"/>
                <w:szCs w:val="21"/>
                <w:highlight w:val="none"/>
              </w:rPr>
            </w:pPr>
          </w:p>
        </w:tc>
      </w:tr>
      <w:tr w14:paraId="002C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320A8F43">
            <w:pPr>
              <w:spacing w:line="276" w:lineRule="auto"/>
              <w:jc w:val="left"/>
              <w:rPr>
                <w:color w:val="auto"/>
                <w:szCs w:val="21"/>
                <w:highlight w:val="none"/>
              </w:rPr>
            </w:pPr>
            <w:r>
              <w:rPr>
                <w:rFonts w:hint="eastAsia"/>
                <w:color w:val="auto"/>
                <w:szCs w:val="21"/>
                <w:highlight w:val="none"/>
              </w:rPr>
              <w:t>采用矿山法、盾构法、顶管法施工的隧道、洞室工程。</w:t>
            </w:r>
          </w:p>
        </w:tc>
        <w:tc>
          <w:tcPr>
            <w:tcW w:w="833" w:type="dxa"/>
            <w:vAlign w:val="center"/>
          </w:tcPr>
          <w:p w14:paraId="42DB57A7">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0A49F72E">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1B4BD93A">
            <w:pPr>
              <w:spacing w:line="276" w:lineRule="auto"/>
              <w:jc w:val="center"/>
              <w:rPr>
                <w:color w:val="auto"/>
                <w:szCs w:val="21"/>
                <w:highlight w:val="none"/>
              </w:rPr>
            </w:pPr>
          </w:p>
        </w:tc>
      </w:tr>
      <w:tr w14:paraId="0C87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04F3F3E7">
            <w:pPr>
              <w:spacing w:line="276" w:lineRule="auto"/>
              <w:jc w:val="left"/>
              <w:rPr>
                <w:color w:val="auto"/>
                <w:szCs w:val="21"/>
                <w:highlight w:val="none"/>
              </w:rPr>
            </w:pPr>
            <w:r>
              <w:rPr>
                <w:rFonts w:hint="eastAsia"/>
                <w:color w:val="auto"/>
                <w:szCs w:val="21"/>
                <w:highlight w:val="none"/>
              </w:rPr>
              <w:t>七、其它</w:t>
            </w:r>
          </w:p>
        </w:tc>
        <w:tc>
          <w:tcPr>
            <w:tcW w:w="833" w:type="dxa"/>
            <w:vAlign w:val="center"/>
          </w:tcPr>
          <w:p w14:paraId="29E80334">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5E59C382">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6932D3E1">
            <w:pPr>
              <w:spacing w:line="276" w:lineRule="auto"/>
              <w:jc w:val="center"/>
              <w:rPr>
                <w:color w:val="auto"/>
                <w:szCs w:val="21"/>
                <w:highlight w:val="none"/>
              </w:rPr>
            </w:pPr>
          </w:p>
        </w:tc>
      </w:tr>
      <w:tr w14:paraId="0FCB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763DA991">
            <w:pPr>
              <w:spacing w:line="276" w:lineRule="auto"/>
              <w:jc w:val="left"/>
              <w:rPr>
                <w:color w:val="auto"/>
                <w:szCs w:val="21"/>
                <w:highlight w:val="none"/>
              </w:rPr>
            </w:pPr>
            <w:r>
              <w:rPr>
                <w:rFonts w:hint="eastAsia"/>
                <w:color w:val="auto"/>
                <w:szCs w:val="21"/>
                <w:highlight w:val="none"/>
              </w:rPr>
              <w:t>（一）施工高度50m及以上的建筑幕墙安装工程。</w:t>
            </w:r>
          </w:p>
        </w:tc>
        <w:tc>
          <w:tcPr>
            <w:tcW w:w="833" w:type="dxa"/>
            <w:vAlign w:val="center"/>
          </w:tcPr>
          <w:p w14:paraId="737F7F98">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51D0795F">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17738920">
            <w:pPr>
              <w:spacing w:line="276" w:lineRule="auto"/>
              <w:jc w:val="center"/>
              <w:rPr>
                <w:color w:val="auto"/>
                <w:szCs w:val="21"/>
                <w:highlight w:val="none"/>
              </w:rPr>
            </w:pPr>
          </w:p>
        </w:tc>
      </w:tr>
      <w:tr w14:paraId="4276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019B1D43">
            <w:pPr>
              <w:spacing w:line="276" w:lineRule="auto"/>
              <w:jc w:val="left"/>
              <w:rPr>
                <w:color w:val="auto"/>
                <w:szCs w:val="21"/>
                <w:highlight w:val="none"/>
              </w:rPr>
            </w:pPr>
            <w:r>
              <w:rPr>
                <w:rFonts w:hint="eastAsia"/>
                <w:color w:val="auto"/>
                <w:szCs w:val="21"/>
                <w:highlight w:val="none"/>
              </w:rPr>
              <w:t>（二）跨度36m及以上的钢结构安装工程，或跨度60m及以上的网架和索膜结构安装工程。</w:t>
            </w:r>
          </w:p>
        </w:tc>
        <w:tc>
          <w:tcPr>
            <w:tcW w:w="833" w:type="dxa"/>
            <w:vAlign w:val="center"/>
          </w:tcPr>
          <w:p w14:paraId="0F277F1D">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8321B1C">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08418D71">
            <w:pPr>
              <w:spacing w:line="276" w:lineRule="auto"/>
              <w:jc w:val="center"/>
              <w:rPr>
                <w:color w:val="auto"/>
                <w:szCs w:val="21"/>
                <w:highlight w:val="none"/>
              </w:rPr>
            </w:pPr>
          </w:p>
        </w:tc>
      </w:tr>
      <w:tr w14:paraId="7DC3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31E93BA0">
            <w:pPr>
              <w:spacing w:line="276" w:lineRule="auto"/>
              <w:jc w:val="left"/>
              <w:rPr>
                <w:color w:val="auto"/>
                <w:szCs w:val="21"/>
                <w:highlight w:val="none"/>
              </w:rPr>
            </w:pPr>
            <w:r>
              <w:rPr>
                <w:rFonts w:hint="eastAsia"/>
                <w:color w:val="auto"/>
                <w:szCs w:val="21"/>
                <w:highlight w:val="none"/>
              </w:rPr>
              <w:t>（三）开挖深度16m及以上的人工挖孔桩工程。</w:t>
            </w:r>
          </w:p>
        </w:tc>
        <w:tc>
          <w:tcPr>
            <w:tcW w:w="833" w:type="dxa"/>
            <w:vAlign w:val="center"/>
          </w:tcPr>
          <w:p w14:paraId="0B401051">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115694AE">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C31B4B7">
            <w:pPr>
              <w:spacing w:line="276" w:lineRule="auto"/>
              <w:jc w:val="center"/>
              <w:rPr>
                <w:color w:val="auto"/>
                <w:szCs w:val="21"/>
                <w:highlight w:val="none"/>
              </w:rPr>
            </w:pPr>
          </w:p>
        </w:tc>
      </w:tr>
      <w:tr w14:paraId="32A0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316CD864">
            <w:pPr>
              <w:spacing w:line="276" w:lineRule="auto"/>
              <w:jc w:val="left"/>
              <w:rPr>
                <w:color w:val="auto"/>
                <w:szCs w:val="21"/>
                <w:highlight w:val="none"/>
              </w:rPr>
            </w:pPr>
            <w:r>
              <w:rPr>
                <w:rFonts w:hint="eastAsia"/>
                <w:color w:val="auto"/>
                <w:szCs w:val="21"/>
                <w:highlight w:val="none"/>
              </w:rPr>
              <w:t>（四）水下作业工程。</w:t>
            </w:r>
          </w:p>
        </w:tc>
        <w:tc>
          <w:tcPr>
            <w:tcW w:w="833" w:type="dxa"/>
            <w:vAlign w:val="center"/>
          </w:tcPr>
          <w:p w14:paraId="41850874">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4D7CB265">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A55E225">
            <w:pPr>
              <w:spacing w:line="276" w:lineRule="auto"/>
              <w:jc w:val="center"/>
              <w:rPr>
                <w:color w:val="auto"/>
                <w:szCs w:val="21"/>
                <w:highlight w:val="none"/>
              </w:rPr>
            </w:pPr>
          </w:p>
        </w:tc>
      </w:tr>
      <w:tr w14:paraId="13EB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608C3E72">
            <w:pPr>
              <w:spacing w:line="276" w:lineRule="auto"/>
              <w:jc w:val="left"/>
              <w:rPr>
                <w:color w:val="auto"/>
                <w:szCs w:val="21"/>
                <w:highlight w:val="none"/>
              </w:rPr>
            </w:pPr>
            <w:r>
              <w:rPr>
                <w:rFonts w:hint="eastAsia"/>
                <w:color w:val="auto"/>
                <w:szCs w:val="21"/>
                <w:highlight w:val="none"/>
              </w:rPr>
              <w:t>（五）重量1000kN及以上的大型结构整体顶升、平移、转体等施工工艺。</w:t>
            </w:r>
          </w:p>
        </w:tc>
        <w:tc>
          <w:tcPr>
            <w:tcW w:w="833" w:type="dxa"/>
            <w:vAlign w:val="center"/>
          </w:tcPr>
          <w:p w14:paraId="5BE57A00">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2CA45841">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B7FE8F5">
            <w:pPr>
              <w:spacing w:line="276" w:lineRule="auto"/>
              <w:jc w:val="center"/>
              <w:rPr>
                <w:color w:val="auto"/>
                <w:szCs w:val="21"/>
                <w:highlight w:val="none"/>
              </w:rPr>
            </w:pPr>
          </w:p>
        </w:tc>
      </w:tr>
      <w:tr w14:paraId="0164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3" w:type="dxa"/>
          </w:tcPr>
          <w:p w14:paraId="5D5E8B65">
            <w:pPr>
              <w:spacing w:line="276" w:lineRule="auto"/>
              <w:jc w:val="left"/>
              <w:rPr>
                <w:color w:val="auto"/>
                <w:szCs w:val="21"/>
                <w:highlight w:val="none"/>
              </w:rPr>
            </w:pPr>
            <w:r>
              <w:rPr>
                <w:rFonts w:hint="eastAsia"/>
                <w:color w:val="auto"/>
                <w:szCs w:val="21"/>
                <w:highlight w:val="none"/>
              </w:rPr>
              <w:t>（六）采用新技术、新工艺、新材料、新设备可能影响工程施工安全，尚无国家、行业及地方技术标准的分部分项工程。</w:t>
            </w:r>
          </w:p>
        </w:tc>
        <w:tc>
          <w:tcPr>
            <w:tcW w:w="833" w:type="dxa"/>
            <w:vAlign w:val="center"/>
          </w:tcPr>
          <w:p w14:paraId="5AA35B56">
            <w:pPr>
              <w:spacing w:line="276" w:lineRule="auto"/>
              <w:jc w:val="center"/>
              <w:rPr>
                <w:color w:val="auto"/>
                <w:szCs w:val="21"/>
                <w:highlight w:val="none"/>
              </w:rPr>
            </w:pPr>
            <w:r>
              <w:rPr>
                <w:rFonts w:hint="eastAsia"/>
                <w:color w:val="auto"/>
                <w:szCs w:val="21"/>
                <w:highlight w:val="none"/>
              </w:rPr>
              <w:t>(    )</w:t>
            </w:r>
          </w:p>
        </w:tc>
        <w:tc>
          <w:tcPr>
            <w:tcW w:w="834" w:type="dxa"/>
            <w:vAlign w:val="center"/>
          </w:tcPr>
          <w:p w14:paraId="3C7575AF">
            <w:pPr>
              <w:spacing w:line="276" w:lineRule="auto"/>
              <w:jc w:val="center"/>
              <w:rPr>
                <w:color w:val="auto"/>
                <w:szCs w:val="21"/>
                <w:highlight w:val="none"/>
              </w:rPr>
            </w:pPr>
            <w:r>
              <w:rPr>
                <w:rFonts w:hint="eastAsia"/>
                <w:color w:val="auto"/>
                <w:szCs w:val="21"/>
                <w:highlight w:val="none"/>
              </w:rPr>
              <w:t>(    )</w:t>
            </w:r>
          </w:p>
        </w:tc>
        <w:tc>
          <w:tcPr>
            <w:tcW w:w="701" w:type="dxa"/>
            <w:vAlign w:val="center"/>
          </w:tcPr>
          <w:p w14:paraId="58C3E6DE">
            <w:pPr>
              <w:spacing w:line="276" w:lineRule="auto"/>
              <w:jc w:val="center"/>
              <w:rPr>
                <w:color w:val="auto"/>
                <w:szCs w:val="21"/>
                <w:highlight w:val="none"/>
              </w:rPr>
            </w:pPr>
          </w:p>
        </w:tc>
      </w:tr>
    </w:tbl>
    <w:p w14:paraId="10E97DBD">
      <w:pPr>
        <w:pStyle w:val="3"/>
        <w:spacing w:before="312" w:beforeLines="100" w:after="312" w:afterLines="100" w:line="240" w:lineRule="auto"/>
        <w:rPr>
          <w:rFonts w:hint="eastAsia" w:ascii="宋体" w:hAnsi="宋体" w:eastAsia="宋体" w:cs="宋体"/>
          <w:color w:val="auto"/>
          <w:kern w:val="1"/>
          <w:sz w:val="24"/>
          <w:highlight w:val="none"/>
          <w:lang w:val="zh-CN"/>
        </w:rPr>
      </w:pPr>
    </w:p>
    <w:p w14:paraId="205FBC17">
      <w:pPr>
        <w:spacing w:line="360" w:lineRule="auto"/>
        <w:ind w:firstLine="3990" w:firstLineChars="1900"/>
        <w:rPr>
          <w:rFonts w:hint="eastAsia" w:ascii="宋体" w:hAnsi="宋体" w:cs="宋体"/>
          <w:color w:val="auto"/>
          <w:szCs w:val="21"/>
          <w:highlight w:val="none"/>
        </w:rPr>
      </w:pPr>
      <w:r>
        <w:rPr>
          <w:rFonts w:hint="eastAsia" w:ascii="宋体" w:hAnsi="宋体" w:cs="宋体"/>
          <w:color w:val="auto"/>
          <w:szCs w:val="21"/>
          <w:highlight w:val="none"/>
        </w:rPr>
        <w:t>投标人：</w:t>
      </w:r>
    </w:p>
    <w:p w14:paraId="4D23739C">
      <w:pPr>
        <w:pStyle w:val="35"/>
        <w:spacing w:after="0" w:line="360" w:lineRule="auto"/>
        <w:ind w:left="-2" w:leftChars="-1" w:firstLine="4000" w:firstLineChars="2000"/>
        <w:rPr>
          <w:rFonts w:hint="eastAsia" w:ascii="宋体" w:hAnsi="宋体" w:cs="宋体"/>
          <w:bCs/>
          <w:iCs/>
          <w:color w:val="auto"/>
          <w:sz w:val="24"/>
          <w:highlight w:val="none"/>
        </w:rPr>
      </w:pPr>
      <w:r>
        <w:rPr>
          <w:rFonts w:hint="eastAsia" w:ascii="宋体" w:hAnsi="宋体" w:cs="宋体"/>
          <w:color w:val="auto"/>
          <w:szCs w:val="21"/>
          <w:highlight w:val="none"/>
        </w:rPr>
        <w:t>日期：   年  月  日</w:t>
      </w:r>
    </w:p>
    <w:p w14:paraId="17BBCCBE">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019A95D8">
      <w:pPr>
        <w:autoSpaceDE w:val="0"/>
        <w:autoSpaceDN w:val="0"/>
        <w:adjustRightInd w:val="0"/>
        <w:spacing w:line="360" w:lineRule="auto"/>
        <w:outlineLvl w:val="1"/>
        <w:rPr>
          <w:rFonts w:hint="eastAsia" w:ascii="宋体" w:hAnsi="宋体" w:cs="宋体"/>
          <w:bCs/>
          <w:color w:val="auto"/>
          <w:sz w:val="30"/>
          <w:szCs w:val="30"/>
          <w:highlight w:val="none"/>
        </w:rPr>
      </w:pPr>
      <w:r>
        <w:rPr>
          <w:rFonts w:hint="eastAsia" w:ascii="宋体" w:hAnsi="宋体" w:cs="宋体"/>
          <w:bCs/>
          <w:color w:val="auto"/>
          <w:sz w:val="24"/>
          <w:highlight w:val="none"/>
        </w:rPr>
        <w:t>格式</w:t>
      </w:r>
      <w:bookmarkEnd w:id="608"/>
      <w:bookmarkEnd w:id="609"/>
      <w:r>
        <w:rPr>
          <w:rFonts w:hint="eastAsia" w:ascii="宋体" w:hAnsi="宋体" w:cs="宋体"/>
          <w:bCs/>
          <w:color w:val="auto"/>
          <w:sz w:val="24"/>
          <w:highlight w:val="none"/>
        </w:rPr>
        <w:t xml:space="preserve"> 6</w:t>
      </w:r>
    </w:p>
    <w:p w14:paraId="1B8FC512">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1070456D">
      <w:pPr>
        <w:tabs>
          <w:tab w:val="center" w:pos="4832"/>
          <w:tab w:val="left" w:pos="8161"/>
        </w:tabs>
        <w:autoSpaceDE w:val="0"/>
        <w:autoSpaceDN w:val="0"/>
        <w:adjustRightInd w:val="0"/>
        <w:spacing w:line="36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投标人认为应该提供的其他资料</w:t>
      </w:r>
    </w:p>
    <w:p w14:paraId="2F25979A">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35CE8D55">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15BE35B2">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1808B1E3">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1D0441AF">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0D99CCFC">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0A4EC4F-B81B-4751-A4DF-F0A538445D8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B45ACFA-00CC-4BC0-B531-13CDE4F9E382}"/>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embedRegular r:id="rId3" w:fontKey="{B5BB70A5-0A1A-49DB-9294-DBFB2DC83900}"/>
  </w:font>
  <w:font w:name="Wingdings 2">
    <w:panose1 w:val="05020102010507070707"/>
    <w:charset w:val="02"/>
    <w:family w:val="roman"/>
    <w:pitch w:val="default"/>
    <w:sig w:usb0="00000000" w:usb1="00000000" w:usb2="00000000" w:usb3="00000000" w:csb0="80000000" w:csb1="00000000"/>
    <w:embedRegular r:id="rId4" w:fontKey="{7D794984-860E-48C3-8C62-C51F366FC56D}"/>
  </w:font>
  <w:font w:name="TimesNewRomanPSMT">
    <w:altName w:val="Times New Roman"/>
    <w:panose1 w:val="00000000000000000000"/>
    <w:charset w:val="00"/>
    <w:family w:val="roman"/>
    <w:pitch w:val="default"/>
    <w:sig w:usb0="00000000" w:usb1="00000000" w:usb2="00000000" w:usb3="00000000" w:csb0="00000001" w:csb1="00000000"/>
    <w:embedRegular r:id="rId5" w:fontKey="{11869A20-4FA3-4DC9-9F8B-1A0C88D716C9}"/>
  </w:font>
  <w:font w:name="System">
    <w:altName w:val="宋体"/>
    <w:panose1 w:val="00000000000000000000"/>
    <w:charset w:val="86"/>
    <w:family w:val="auto"/>
    <w:pitch w:val="default"/>
    <w:sig w:usb0="00000000" w:usb1="00000000" w:usb2="00000010" w:usb3="00000000" w:csb0="00040000" w:csb1="00000000"/>
  </w:font>
  <w:font w:name="Arial Bold">
    <w:altName w:val="Arial"/>
    <w:panose1 w:val="020B0704020202020204"/>
    <w:charset w:val="00"/>
    <w:family w:val="roman"/>
    <w:pitch w:val="default"/>
    <w:sig w:usb0="00000000" w:usb1="00000000" w:usb2="00000000" w:usb3="00000000" w:csb0="00000001" w:csb1="00000000"/>
    <w:embedRegular r:id="rId6" w:fontKey="{62DEEAAB-4C0A-4483-8BAA-0F397ED6EDB5}"/>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9C4CA">
    <w:pPr>
      <w:ind w:firstLine="4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5EA48">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15EBA12C">
                          <w:pPr>
                            <w:pStyle w:val="23"/>
                            <w:ind w:firstLine="360"/>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4vdRNAAAAACAQAADwAAAAAAAAABACAAAAAiAAAAZHJzL2Rv&#10;d25yZXYueG1sUEsBAhQAFAAAAAgAh07iQMVI/c/QAQAAmQMAAA4AAAAAAAAAAQAgAAAAHwEAAGRy&#10;cy9lMm9Eb2MueG1sUEsFBgAAAAAGAAYAWQEAAGEFAAAAAA==&#10;">
              <v:fill on="f" focussize="0,0"/>
              <v:stroke on="f"/>
              <v:imagedata o:title=""/>
              <o:lock v:ext="edit" aspectratio="f"/>
              <v:textbox inset="0mm,0mm,0mm,0mm" style="mso-fit-shape-to-text:t;">
                <w:txbxContent>
                  <w:p w14:paraId="15EBA12C">
                    <w:pPr>
                      <w:pStyle w:val="23"/>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7C458">
    <w:pPr>
      <w:pStyle w:val="23"/>
      <w:tabs>
        <w:tab w:val="clear" w:pos="4153"/>
        <w:tab w:val="clear" w:pos="8306"/>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73C1B795">
                          <w:pPr>
                            <w:pStyle w:val="23"/>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4vdRNAAAAACAQAADwAAAAAAAAABACAAAAAiAAAAZHJzL2Rv&#10;d25yZXYueG1sUEsBAhQAFAAAAAgAh07iQNYs0brQAQAAmQMAAA4AAAAAAAAAAQAgAAAAHwEAAGRy&#10;cy9lMm9Eb2MueG1sUEsFBgAAAAAGAAYAWQEAAGEFAAAAAA==&#10;">
              <v:fill on="f" focussize="0,0"/>
              <v:stroke on="f"/>
              <v:imagedata o:title=""/>
              <o:lock v:ext="edit" aspectratio="f"/>
              <v:textbox inset="0mm,0mm,0mm,0mm" style="mso-fit-shape-to-text:t;">
                <w:txbxContent>
                  <w:p w14:paraId="73C1B795">
                    <w:pPr>
                      <w:pStyle w:val="2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23445"/>
    <w:multiLevelType w:val="singleLevel"/>
    <w:tmpl w:val="B7B23445"/>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00000009"/>
    <w:multiLevelType w:val="multilevel"/>
    <w:tmpl w:val="00000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32267B"/>
    <w:multiLevelType w:val="singleLevel"/>
    <w:tmpl w:val="0332267B"/>
    <w:lvl w:ilvl="0" w:tentative="0">
      <w:start w:val="1"/>
      <w:numFmt w:val="decimal"/>
      <w:suff w:val="space"/>
      <w:lvlText w:val="%1."/>
      <w:lvlJc w:val="left"/>
    </w:lvl>
  </w:abstractNum>
  <w:abstractNum w:abstractNumId="4">
    <w:nsid w:val="2025A385"/>
    <w:multiLevelType w:val="singleLevel"/>
    <w:tmpl w:val="2025A385"/>
    <w:lvl w:ilvl="0" w:tentative="0">
      <w:start w:val="1"/>
      <w:numFmt w:val="decimal"/>
      <w:suff w:val="space"/>
      <w:lvlText w:val="%1."/>
      <w:lvlJc w:val="left"/>
    </w:lvl>
  </w:abstractNum>
  <w:abstractNum w:abstractNumId="5">
    <w:nsid w:val="3C39142F"/>
    <w:multiLevelType w:val="multilevel"/>
    <w:tmpl w:val="3C39142F"/>
    <w:lvl w:ilvl="0" w:tentative="0">
      <w:start w:val="1"/>
      <w:numFmt w:val="bullet"/>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abstractNum w:abstractNumId="6">
    <w:nsid w:val="4CC60E75"/>
    <w:multiLevelType w:val="multilevel"/>
    <w:tmpl w:val="4CC60E7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DB27A1D"/>
    <w:multiLevelType w:val="multilevel"/>
    <w:tmpl w:val="4DB27A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1EA4310"/>
    <w:multiLevelType w:val="singleLevel"/>
    <w:tmpl w:val="51EA4310"/>
    <w:lvl w:ilvl="0" w:tentative="0">
      <w:start w:val="5"/>
      <w:numFmt w:val="decimal"/>
      <w:suff w:val="nothing"/>
      <w:lvlText w:val="（%1）"/>
      <w:lvlJc w:val="left"/>
    </w:lvl>
  </w:abstractNum>
  <w:abstractNum w:abstractNumId="9">
    <w:nsid w:val="590A16AE"/>
    <w:multiLevelType w:val="singleLevel"/>
    <w:tmpl w:val="590A16AE"/>
    <w:lvl w:ilvl="0" w:tentative="0">
      <w:start w:val="1"/>
      <w:numFmt w:val="decimal"/>
      <w:suff w:val="nothing"/>
      <w:lvlText w:val="%1、"/>
      <w:lvlJc w:val="left"/>
    </w:lvl>
  </w:abstractNum>
  <w:abstractNum w:abstractNumId="10">
    <w:nsid w:val="5A05312E"/>
    <w:multiLevelType w:val="singleLevel"/>
    <w:tmpl w:val="5A05312E"/>
    <w:lvl w:ilvl="0" w:tentative="0">
      <w:start w:val="1"/>
      <w:numFmt w:val="decimal"/>
      <w:suff w:val="nothing"/>
      <w:lvlText w:val="%1、"/>
      <w:lvlJc w:val="left"/>
    </w:lvl>
  </w:abstractNum>
  <w:abstractNum w:abstractNumId="11">
    <w:nsid w:val="5CA983A2"/>
    <w:multiLevelType w:val="singleLevel"/>
    <w:tmpl w:val="5CA983A2"/>
    <w:lvl w:ilvl="0" w:tentative="0">
      <w:start w:val="1"/>
      <w:numFmt w:val="decimal"/>
      <w:lvlText w:val="%1."/>
      <w:lvlJc w:val="left"/>
      <w:pPr>
        <w:ind w:left="425" w:hanging="425"/>
      </w:pPr>
      <w:rPr>
        <w:rFonts w:hint="default"/>
      </w:rPr>
    </w:lvl>
  </w:abstractNum>
  <w:abstractNum w:abstractNumId="12">
    <w:nsid w:val="73B66153"/>
    <w:multiLevelType w:val="multilevel"/>
    <w:tmpl w:val="73B66153"/>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75A22094"/>
    <w:multiLevelType w:val="multilevel"/>
    <w:tmpl w:val="75A22094"/>
    <w:lvl w:ilvl="0" w:tentative="0">
      <w:start w:val="1"/>
      <w:numFmt w:val="bullet"/>
      <w:lvlText w:val=""/>
      <w:lvlJc w:val="left"/>
      <w:pPr>
        <w:tabs>
          <w:tab w:val="left" w:pos="987"/>
        </w:tabs>
        <w:ind w:left="987" w:hanging="420"/>
      </w:pPr>
      <w:rPr>
        <w:rFonts w:hint="default" w:ascii="Symbol" w:hAnsi="Symbol"/>
        <w:color w:val="auto"/>
      </w:rPr>
    </w:lvl>
    <w:lvl w:ilvl="1" w:tentative="0">
      <w:start w:val="1"/>
      <w:numFmt w:val="bullet"/>
      <w:lvlText w:val=""/>
      <w:lvlJc w:val="left"/>
      <w:pPr>
        <w:tabs>
          <w:tab w:val="left" w:pos="1260"/>
        </w:tabs>
        <w:ind w:left="1260" w:hanging="420"/>
      </w:pPr>
      <w:rPr>
        <w:rFonts w:hint="default" w:ascii="Wingdings" w:hAnsi="Wingdings"/>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 w:numId="2">
    <w:abstractNumId w:val="9"/>
  </w:num>
  <w:num w:numId="3">
    <w:abstractNumId w:val="11"/>
  </w:num>
  <w:num w:numId="4">
    <w:abstractNumId w:val="4"/>
  </w:num>
  <w:num w:numId="5">
    <w:abstractNumId w:val="3"/>
  </w:num>
  <w:num w:numId="6">
    <w:abstractNumId w:val="10"/>
  </w:num>
  <w:num w:numId="7">
    <w:abstractNumId w:val="7"/>
  </w:num>
  <w:num w:numId="8">
    <w:abstractNumId w:val="12"/>
  </w:num>
  <w:num w:numId="9">
    <w:abstractNumId w:val="5"/>
  </w:num>
  <w:num w:numId="10">
    <w:abstractNumId w:val="13"/>
  </w:num>
  <w:num w:numId="11">
    <w:abstractNumId w:val="6"/>
  </w:num>
  <w:num w:numId="12">
    <w:abstractNumId w:val="8"/>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NotDisplayPageBoundaries w:val="1"/>
  <w:embedTrueTypeFonts/>
  <w:saveSubsetFonts/>
  <w:bordersDoNotSurroundHeader w:val="1"/>
  <w:bordersDoNotSurroundFooter w:val="1"/>
  <w:documentProtection w:enforcement="0"/>
  <w:defaultTabStop w:val="420"/>
  <w:drawingGridHorizontalSpacing w:val="105"/>
  <w:drawingGridVerticalSpacing w:val="159"/>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 w:name="KSO_WPS_MARK_KEY" w:val="9e45f477-3c32-4163-9313-b462da4c66c3"/>
  </w:docVars>
  <w:rsids>
    <w:rsidRoot w:val="00172A27"/>
    <w:rsid w:val="00000393"/>
    <w:rsid w:val="00000DE9"/>
    <w:rsid w:val="0000133A"/>
    <w:rsid w:val="00001518"/>
    <w:rsid w:val="0000174D"/>
    <w:rsid w:val="000019C7"/>
    <w:rsid w:val="00001B17"/>
    <w:rsid w:val="0000378D"/>
    <w:rsid w:val="00003C7B"/>
    <w:rsid w:val="0000562D"/>
    <w:rsid w:val="0000771B"/>
    <w:rsid w:val="00012E70"/>
    <w:rsid w:val="0001314A"/>
    <w:rsid w:val="00013409"/>
    <w:rsid w:val="000153A9"/>
    <w:rsid w:val="0001673E"/>
    <w:rsid w:val="0001686B"/>
    <w:rsid w:val="000257E3"/>
    <w:rsid w:val="00030637"/>
    <w:rsid w:val="00030BFA"/>
    <w:rsid w:val="0003114A"/>
    <w:rsid w:val="00033FD3"/>
    <w:rsid w:val="000348DD"/>
    <w:rsid w:val="00036079"/>
    <w:rsid w:val="00037489"/>
    <w:rsid w:val="0003765B"/>
    <w:rsid w:val="0004064A"/>
    <w:rsid w:val="00040E20"/>
    <w:rsid w:val="00043F7E"/>
    <w:rsid w:val="0004572A"/>
    <w:rsid w:val="00046576"/>
    <w:rsid w:val="000473B5"/>
    <w:rsid w:val="0004768B"/>
    <w:rsid w:val="0005291F"/>
    <w:rsid w:val="00052D5F"/>
    <w:rsid w:val="000538FB"/>
    <w:rsid w:val="000540B8"/>
    <w:rsid w:val="000547A0"/>
    <w:rsid w:val="000568C9"/>
    <w:rsid w:val="00060554"/>
    <w:rsid w:val="000609DC"/>
    <w:rsid w:val="00061B45"/>
    <w:rsid w:val="00061E2D"/>
    <w:rsid w:val="00061F55"/>
    <w:rsid w:val="00062B5A"/>
    <w:rsid w:val="00066C21"/>
    <w:rsid w:val="00066E93"/>
    <w:rsid w:val="00070AA4"/>
    <w:rsid w:val="00071E5D"/>
    <w:rsid w:val="000728B4"/>
    <w:rsid w:val="00072FF9"/>
    <w:rsid w:val="00073A5A"/>
    <w:rsid w:val="00073ACE"/>
    <w:rsid w:val="0007578B"/>
    <w:rsid w:val="00075B15"/>
    <w:rsid w:val="00076D54"/>
    <w:rsid w:val="000773D6"/>
    <w:rsid w:val="000823A6"/>
    <w:rsid w:val="00082FEA"/>
    <w:rsid w:val="00083312"/>
    <w:rsid w:val="000842DE"/>
    <w:rsid w:val="00085A97"/>
    <w:rsid w:val="00085EC0"/>
    <w:rsid w:val="000902A4"/>
    <w:rsid w:val="000915AC"/>
    <w:rsid w:val="00093539"/>
    <w:rsid w:val="00094665"/>
    <w:rsid w:val="000967CC"/>
    <w:rsid w:val="00096DB1"/>
    <w:rsid w:val="000974B7"/>
    <w:rsid w:val="00097D5C"/>
    <w:rsid w:val="00097E04"/>
    <w:rsid w:val="000A0AB8"/>
    <w:rsid w:val="000A10D2"/>
    <w:rsid w:val="000A401E"/>
    <w:rsid w:val="000A5AC8"/>
    <w:rsid w:val="000A68CC"/>
    <w:rsid w:val="000A6DC9"/>
    <w:rsid w:val="000B22A1"/>
    <w:rsid w:val="000B2B70"/>
    <w:rsid w:val="000B36AD"/>
    <w:rsid w:val="000B40E6"/>
    <w:rsid w:val="000B5901"/>
    <w:rsid w:val="000B5A36"/>
    <w:rsid w:val="000B615E"/>
    <w:rsid w:val="000B7682"/>
    <w:rsid w:val="000B7757"/>
    <w:rsid w:val="000C1C5E"/>
    <w:rsid w:val="000C4A60"/>
    <w:rsid w:val="000C50C0"/>
    <w:rsid w:val="000C548B"/>
    <w:rsid w:val="000C5CD6"/>
    <w:rsid w:val="000C5F2A"/>
    <w:rsid w:val="000C77AE"/>
    <w:rsid w:val="000C7F1C"/>
    <w:rsid w:val="000D1854"/>
    <w:rsid w:val="000D2806"/>
    <w:rsid w:val="000D4709"/>
    <w:rsid w:val="000D6EC1"/>
    <w:rsid w:val="000E0542"/>
    <w:rsid w:val="000E3F41"/>
    <w:rsid w:val="000E64BF"/>
    <w:rsid w:val="000E6BAB"/>
    <w:rsid w:val="000F05A6"/>
    <w:rsid w:val="000F0E16"/>
    <w:rsid w:val="000F4262"/>
    <w:rsid w:val="000F4FE9"/>
    <w:rsid w:val="00100E67"/>
    <w:rsid w:val="001014C7"/>
    <w:rsid w:val="00101757"/>
    <w:rsid w:val="0010359E"/>
    <w:rsid w:val="00104A71"/>
    <w:rsid w:val="00104E38"/>
    <w:rsid w:val="00105273"/>
    <w:rsid w:val="0011035C"/>
    <w:rsid w:val="00111D53"/>
    <w:rsid w:val="00111F5F"/>
    <w:rsid w:val="0011205D"/>
    <w:rsid w:val="00112E51"/>
    <w:rsid w:val="001132D2"/>
    <w:rsid w:val="00114E7E"/>
    <w:rsid w:val="00116540"/>
    <w:rsid w:val="001211A7"/>
    <w:rsid w:val="00121C2E"/>
    <w:rsid w:val="00122496"/>
    <w:rsid w:val="0012269E"/>
    <w:rsid w:val="00124134"/>
    <w:rsid w:val="001243AE"/>
    <w:rsid w:val="001245D3"/>
    <w:rsid w:val="0012543F"/>
    <w:rsid w:val="001259F4"/>
    <w:rsid w:val="00126DDC"/>
    <w:rsid w:val="00127C14"/>
    <w:rsid w:val="0013253A"/>
    <w:rsid w:val="00134893"/>
    <w:rsid w:val="001358F9"/>
    <w:rsid w:val="00136226"/>
    <w:rsid w:val="0013775A"/>
    <w:rsid w:val="001379A6"/>
    <w:rsid w:val="00140592"/>
    <w:rsid w:val="00140DC6"/>
    <w:rsid w:val="001415F6"/>
    <w:rsid w:val="001439D7"/>
    <w:rsid w:val="00144067"/>
    <w:rsid w:val="00144387"/>
    <w:rsid w:val="00145D37"/>
    <w:rsid w:val="00146694"/>
    <w:rsid w:val="0015105C"/>
    <w:rsid w:val="0015176E"/>
    <w:rsid w:val="00152925"/>
    <w:rsid w:val="0015336D"/>
    <w:rsid w:val="001548C8"/>
    <w:rsid w:val="00155219"/>
    <w:rsid w:val="0015588E"/>
    <w:rsid w:val="00160F72"/>
    <w:rsid w:val="0016128D"/>
    <w:rsid w:val="00161F46"/>
    <w:rsid w:val="0016373A"/>
    <w:rsid w:val="00163CC8"/>
    <w:rsid w:val="00165C2C"/>
    <w:rsid w:val="001667F7"/>
    <w:rsid w:val="00167C11"/>
    <w:rsid w:val="00167EEA"/>
    <w:rsid w:val="00170E33"/>
    <w:rsid w:val="00170F9F"/>
    <w:rsid w:val="001710EC"/>
    <w:rsid w:val="00171738"/>
    <w:rsid w:val="001719D2"/>
    <w:rsid w:val="001724F4"/>
    <w:rsid w:val="00172A27"/>
    <w:rsid w:val="00176254"/>
    <w:rsid w:val="00177D2C"/>
    <w:rsid w:val="00181D3A"/>
    <w:rsid w:val="00181EDA"/>
    <w:rsid w:val="00183451"/>
    <w:rsid w:val="0018357F"/>
    <w:rsid w:val="0018385E"/>
    <w:rsid w:val="001853CD"/>
    <w:rsid w:val="001853EB"/>
    <w:rsid w:val="00186718"/>
    <w:rsid w:val="00187754"/>
    <w:rsid w:val="00187A83"/>
    <w:rsid w:val="001913B5"/>
    <w:rsid w:val="0019565B"/>
    <w:rsid w:val="001973D4"/>
    <w:rsid w:val="001A1BF6"/>
    <w:rsid w:val="001A346A"/>
    <w:rsid w:val="001A4901"/>
    <w:rsid w:val="001A4C48"/>
    <w:rsid w:val="001A5612"/>
    <w:rsid w:val="001A6FD3"/>
    <w:rsid w:val="001A7180"/>
    <w:rsid w:val="001A730F"/>
    <w:rsid w:val="001A7880"/>
    <w:rsid w:val="001B283F"/>
    <w:rsid w:val="001B32A6"/>
    <w:rsid w:val="001B39AC"/>
    <w:rsid w:val="001B3EB1"/>
    <w:rsid w:val="001B428A"/>
    <w:rsid w:val="001B4A13"/>
    <w:rsid w:val="001B5BF8"/>
    <w:rsid w:val="001B5DEE"/>
    <w:rsid w:val="001B62F8"/>
    <w:rsid w:val="001C1526"/>
    <w:rsid w:val="001C45BD"/>
    <w:rsid w:val="001C5C4F"/>
    <w:rsid w:val="001C614B"/>
    <w:rsid w:val="001C70DC"/>
    <w:rsid w:val="001C7347"/>
    <w:rsid w:val="001C7EB3"/>
    <w:rsid w:val="001D13D5"/>
    <w:rsid w:val="001D2AC0"/>
    <w:rsid w:val="001D4370"/>
    <w:rsid w:val="001D4B15"/>
    <w:rsid w:val="001D4C1F"/>
    <w:rsid w:val="001E16C8"/>
    <w:rsid w:val="001E17FC"/>
    <w:rsid w:val="001E2917"/>
    <w:rsid w:val="001E3DE6"/>
    <w:rsid w:val="001F0447"/>
    <w:rsid w:val="001F0B11"/>
    <w:rsid w:val="001F1441"/>
    <w:rsid w:val="001F4808"/>
    <w:rsid w:val="001F4EA1"/>
    <w:rsid w:val="001F6F0A"/>
    <w:rsid w:val="0020041E"/>
    <w:rsid w:val="00201111"/>
    <w:rsid w:val="00201ABD"/>
    <w:rsid w:val="002046B5"/>
    <w:rsid w:val="00204791"/>
    <w:rsid w:val="00204E1A"/>
    <w:rsid w:val="002074D8"/>
    <w:rsid w:val="00207A2B"/>
    <w:rsid w:val="00207E72"/>
    <w:rsid w:val="0021237C"/>
    <w:rsid w:val="00213DB0"/>
    <w:rsid w:val="00216226"/>
    <w:rsid w:val="00216350"/>
    <w:rsid w:val="00216982"/>
    <w:rsid w:val="002175C8"/>
    <w:rsid w:val="00220CAC"/>
    <w:rsid w:val="00221377"/>
    <w:rsid w:val="00222071"/>
    <w:rsid w:val="00222AE0"/>
    <w:rsid w:val="00223225"/>
    <w:rsid w:val="00224318"/>
    <w:rsid w:val="00225C66"/>
    <w:rsid w:val="00226FDF"/>
    <w:rsid w:val="00230F5A"/>
    <w:rsid w:val="00232909"/>
    <w:rsid w:val="00232D5A"/>
    <w:rsid w:val="00235507"/>
    <w:rsid w:val="002363F8"/>
    <w:rsid w:val="0023665A"/>
    <w:rsid w:val="002378C5"/>
    <w:rsid w:val="00241224"/>
    <w:rsid w:val="00242673"/>
    <w:rsid w:val="00246CFF"/>
    <w:rsid w:val="002504BA"/>
    <w:rsid w:val="00251321"/>
    <w:rsid w:val="002528C7"/>
    <w:rsid w:val="00253068"/>
    <w:rsid w:val="00254AF3"/>
    <w:rsid w:val="00261799"/>
    <w:rsid w:val="00261A88"/>
    <w:rsid w:val="00261CA9"/>
    <w:rsid w:val="00262EC5"/>
    <w:rsid w:val="00263F40"/>
    <w:rsid w:val="00264E6E"/>
    <w:rsid w:val="00264EDB"/>
    <w:rsid w:val="00266162"/>
    <w:rsid w:val="00266B6C"/>
    <w:rsid w:val="00266D48"/>
    <w:rsid w:val="00267458"/>
    <w:rsid w:val="00267988"/>
    <w:rsid w:val="00267E84"/>
    <w:rsid w:val="00270D15"/>
    <w:rsid w:val="0027131E"/>
    <w:rsid w:val="0027400A"/>
    <w:rsid w:val="00274EC6"/>
    <w:rsid w:val="00275CAC"/>
    <w:rsid w:val="00276664"/>
    <w:rsid w:val="0027705D"/>
    <w:rsid w:val="00277F2C"/>
    <w:rsid w:val="00280DAE"/>
    <w:rsid w:val="00282818"/>
    <w:rsid w:val="00282C09"/>
    <w:rsid w:val="0028343D"/>
    <w:rsid w:val="00284D63"/>
    <w:rsid w:val="0028505C"/>
    <w:rsid w:val="00285466"/>
    <w:rsid w:val="00286036"/>
    <w:rsid w:val="00287F11"/>
    <w:rsid w:val="00290EEE"/>
    <w:rsid w:val="002915CD"/>
    <w:rsid w:val="00291ABE"/>
    <w:rsid w:val="00291E5D"/>
    <w:rsid w:val="0029269C"/>
    <w:rsid w:val="00293037"/>
    <w:rsid w:val="002933AF"/>
    <w:rsid w:val="00293999"/>
    <w:rsid w:val="00293BEC"/>
    <w:rsid w:val="00293C36"/>
    <w:rsid w:val="00294674"/>
    <w:rsid w:val="0029568C"/>
    <w:rsid w:val="00295708"/>
    <w:rsid w:val="002A0000"/>
    <w:rsid w:val="002A026C"/>
    <w:rsid w:val="002A0514"/>
    <w:rsid w:val="002A10D9"/>
    <w:rsid w:val="002A19C3"/>
    <w:rsid w:val="002A26AE"/>
    <w:rsid w:val="002A2DBA"/>
    <w:rsid w:val="002A30C4"/>
    <w:rsid w:val="002A317C"/>
    <w:rsid w:val="002A33E4"/>
    <w:rsid w:val="002A4006"/>
    <w:rsid w:val="002A43A5"/>
    <w:rsid w:val="002A5913"/>
    <w:rsid w:val="002A62BD"/>
    <w:rsid w:val="002A7062"/>
    <w:rsid w:val="002B108A"/>
    <w:rsid w:val="002B2185"/>
    <w:rsid w:val="002B24AE"/>
    <w:rsid w:val="002B2A81"/>
    <w:rsid w:val="002B2CA4"/>
    <w:rsid w:val="002B3A5E"/>
    <w:rsid w:val="002B3D06"/>
    <w:rsid w:val="002B4717"/>
    <w:rsid w:val="002C0033"/>
    <w:rsid w:val="002C103D"/>
    <w:rsid w:val="002C2072"/>
    <w:rsid w:val="002C2F79"/>
    <w:rsid w:val="002C428C"/>
    <w:rsid w:val="002C5815"/>
    <w:rsid w:val="002C58FE"/>
    <w:rsid w:val="002C6063"/>
    <w:rsid w:val="002D1839"/>
    <w:rsid w:val="002D2274"/>
    <w:rsid w:val="002D2D65"/>
    <w:rsid w:val="002D35C5"/>
    <w:rsid w:val="002D68C0"/>
    <w:rsid w:val="002D70EB"/>
    <w:rsid w:val="002E0557"/>
    <w:rsid w:val="002E1FDF"/>
    <w:rsid w:val="002E202C"/>
    <w:rsid w:val="002E24F2"/>
    <w:rsid w:val="002E414B"/>
    <w:rsid w:val="002E43C5"/>
    <w:rsid w:val="002E6A6B"/>
    <w:rsid w:val="002E7F95"/>
    <w:rsid w:val="002F3C62"/>
    <w:rsid w:val="002F3EA3"/>
    <w:rsid w:val="002F4079"/>
    <w:rsid w:val="002F5030"/>
    <w:rsid w:val="002F6332"/>
    <w:rsid w:val="002F7B55"/>
    <w:rsid w:val="0030093A"/>
    <w:rsid w:val="00300B06"/>
    <w:rsid w:val="0030118E"/>
    <w:rsid w:val="003016BB"/>
    <w:rsid w:val="00304035"/>
    <w:rsid w:val="003050FC"/>
    <w:rsid w:val="00305258"/>
    <w:rsid w:val="0030662D"/>
    <w:rsid w:val="003074D3"/>
    <w:rsid w:val="003075E7"/>
    <w:rsid w:val="0031010C"/>
    <w:rsid w:val="00312AA7"/>
    <w:rsid w:val="00313580"/>
    <w:rsid w:val="00314D9D"/>
    <w:rsid w:val="0031563E"/>
    <w:rsid w:val="0031593B"/>
    <w:rsid w:val="0031695B"/>
    <w:rsid w:val="003206FC"/>
    <w:rsid w:val="003217C5"/>
    <w:rsid w:val="00322579"/>
    <w:rsid w:val="00324276"/>
    <w:rsid w:val="00325081"/>
    <w:rsid w:val="00327F3E"/>
    <w:rsid w:val="00330509"/>
    <w:rsid w:val="0033058E"/>
    <w:rsid w:val="00332076"/>
    <w:rsid w:val="00333175"/>
    <w:rsid w:val="003333BE"/>
    <w:rsid w:val="00334C0D"/>
    <w:rsid w:val="00335DBE"/>
    <w:rsid w:val="00336351"/>
    <w:rsid w:val="00336CBE"/>
    <w:rsid w:val="00337386"/>
    <w:rsid w:val="003376E5"/>
    <w:rsid w:val="0034043A"/>
    <w:rsid w:val="00341D0C"/>
    <w:rsid w:val="00341DF6"/>
    <w:rsid w:val="00343335"/>
    <w:rsid w:val="00343460"/>
    <w:rsid w:val="00344431"/>
    <w:rsid w:val="00345039"/>
    <w:rsid w:val="0034515A"/>
    <w:rsid w:val="00350009"/>
    <w:rsid w:val="00351A45"/>
    <w:rsid w:val="00351A93"/>
    <w:rsid w:val="00352BB1"/>
    <w:rsid w:val="00353155"/>
    <w:rsid w:val="00354E74"/>
    <w:rsid w:val="0035666E"/>
    <w:rsid w:val="003574C1"/>
    <w:rsid w:val="003608E3"/>
    <w:rsid w:val="00361DB2"/>
    <w:rsid w:val="00364051"/>
    <w:rsid w:val="00364812"/>
    <w:rsid w:val="0036481E"/>
    <w:rsid w:val="00364B3F"/>
    <w:rsid w:val="003654D3"/>
    <w:rsid w:val="00367C89"/>
    <w:rsid w:val="00367E75"/>
    <w:rsid w:val="0037015B"/>
    <w:rsid w:val="0037065F"/>
    <w:rsid w:val="00370AA2"/>
    <w:rsid w:val="00372A67"/>
    <w:rsid w:val="00372B70"/>
    <w:rsid w:val="00373550"/>
    <w:rsid w:val="003735AB"/>
    <w:rsid w:val="00373E82"/>
    <w:rsid w:val="00374C0D"/>
    <w:rsid w:val="003750F8"/>
    <w:rsid w:val="00376230"/>
    <w:rsid w:val="00377245"/>
    <w:rsid w:val="0037757B"/>
    <w:rsid w:val="003802FD"/>
    <w:rsid w:val="00380BDE"/>
    <w:rsid w:val="00382034"/>
    <w:rsid w:val="00382984"/>
    <w:rsid w:val="00383688"/>
    <w:rsid w:val="00385519"/>
    <w:rsid w:val="00390955"/>
    <w:rsid w:val="00391B4A"/>
    <w:rsid w:val="0039202F"/>
    <w:rsid w:val="0039216B"/>
    <w:rsid w:val="00393A78"/>
    <w:rsid w:val="00394062"/>
    <w:rsid w:val="003943EC"/>
    <w:rsid w:val="00395588"/>
    <w:rsid w:val="00395D6F"/>
    <w:rsid w:val="003A01A8"/>
    <w:rsid w:val="003A2152"/>
    <w:rsid w:val="003A2934"/>
    <w:rsid w:val="003A307E"/>
    <w:rsid w:val="003A49AD"/>
    <w:rsid w:val="003A50B6"/>
    <w:rsid w:val="003A5178"/>
    <w:rsid w:val="003A532D"/>
    <w:rsid w:val="003B1493"/>
    <w:rsid w:val="003B2155"/>
    <w:rsid w:val="003B217C"/>
    <w:rsid w:val="003B2ED9"/>
    <w:rsid w:val="003B46DF"/>
    <w:rsid w:val="003B6EDD"/>
    <w:rsid w:val="003C4211"/>
    <w:rsid w:val="003C6E0A"/>
    <w:rsid w:val="003C7BEF"/>
    <w:rsid w:val="003D016E"/>
    <w:rsid w:val="003D0B00"/>
    <w:rsid w:val="003D0C46"/>
    <w:rsid w:val="003D12B1"/>
    <w:rsid w:val="003D228E"/>
    <w:rsid w:val="003D2D40"/>
    <w:rsid w:val="003D2DA1"/>
    <w:rsid w:val="003D3657"/>
    <w:rsid w:val="003D49B3"/>
    <w:rsid w:val="003D4DCB"/>
    <w:rsid w:val="003D6028"/>
    <w:rsid w:val="003D7279"/>
    <w:rsid w:val="003D763E"/>
    <w:rsid w:val="003D7908"/>
    <w:rsid w:val="003E0B8A"/>
    <w:rsid w:val="003E212B"/>
    <w:rsid w:val="003E4EC4"/>
    <w:rsid w:val="003E5720"/>
    <w:rsid w:val="003E740B"/>
    <w:rsid w:val="003E755A"/>
    <w:rsid w:val="003F0606"/>
    <w:rsid w:val="003F3181"/>
    <w:rsid w:val="003F3708"/>
    <w:rsid w:val="003F3BE3"/>
    <w:rsid w:val="003F58D2"/>
    <w:rsid w:val="003F68B1"/>
    <w:rsid w:val="004011B5"/>
    <w:rsid w:val="00402290"/>
    <w:rsid w:val="00402748"/>
    <w:rsid w:val="00402A04"/>
    <w:rsid w:val="00403310"/>
    <w:rsid w:val="00403D3F"/>
    <w:rsid w:val="00404C86"/>
    <w:rsid w:val="00404FBA"/>
    <w:rsid w:val="00405EE9"/>
    <w:rsid w:val="004062B8"/>
    <w:rsid w:val="00407798"/>
    <w:rsid w:val="00407BB4"/>
    <w:rsid w:val="00410C3F"/>
    <w:rsid w:val="00410FD3"/>
    <w:rsid w:val="00411E2F"/>
    <w:rsid w:val="004139FB"/>
    <w:rsid w:val="00413A76"/>
    <w:rsid w:val="00413ADB"/>
    <w:rsid w:val="004145DD"/>
    <w:rsid w:val="00415CCB"/>
    <w:rsid w:val="0041637C"/>
    <w:rsid w:val="00416E62"/>
    <w:rsid w:val="00416F60"/>
    <w:rsid w:val="004225F2"/>
    <w:rsid w:val="0042475D"/>
    <w:rsid w:val="00424801"/>
    <w:rsid w:val="00426552"/>
    <w:rsid w:val="0042732D"/>
    <w:rsid w:val="0043077C"/>
    <w:rsid w:val="004311D6"/>
    <w:rsid w:val="004314F9"/>
    <w:rsid w:val="004318A8"/>
    <w:rsid w:val="00432EC2"/>
    <w:rsid w:val="004332AB"/>
    <w:rsid w:val="0043367A"/>
    <w:rsid w:val="004345AA"/>
    <w:rsid w:val="00435039"/>
    <w:rsid w:val="00435E3E"/>
    <w:rsid w:val="00436222"/>
    <w:rsid w:val="00436E8A"/>
    <w:rsid w:val="00440FCB"/>
    <w:rsid w:val="0044282A"/>
    <w:rsid w:val="0044332C"/>
    <w:rsid w:val="00443C4C"/>
    <w:rsid w:val="00444B58"/>
    <w:rsid w:val="00445197"/>
    <w:rsid w:val="00447E46"/>
    <w:rsid w:val="004511DC"/>
    <w:rsid w:val="004517CA"/>
    <w:rsid w:val="00451E12"/>
    <w:rsid w:val="00452710"/>
    <w:rsid w:val="004532CE"/>
    <w:rsid w:val="004554AE"/>
    <w:rsid w:val="00456AC9"/>
    <w:rsid w:val="00457B69"/>
    <w:rsid w:val="0046028D"/>
    <w:rsid w:val="0046132E"/>
    <w:rsid w:val="00463196"/>
    <w:rsid w:val="00466B95"/>
    <w:rsid w:val="00467288"/>
    <w:rsid w:val="00467786"/>
    <w:rsid w:val="004708AE"/>
    <w:rsid w:val="00470C4D"/>
    <w:rsid w:val="00472135"/>
    <w:rsid w:val="00473409"/>
    <w:rsid w:val="00474B4B"/>
    <w:rsid w:val="00475F43"/>
    <w:rsid w:val="0047619C"/>
    <w:rsid w:val="004761F4"/>
    <w:rsid w:val="00476944"/>
    <w:rsid w:val="00476E80"/>
    <w:rsid w:val="0047733F"/>
    <w:rsid w:val="004776F2"/>
    <w:rsid w:val="004810C7"/>
    <w:rsid w:val="0048165B"/>
    <w:rsid w:val="004822E7"/>
    <w:rsid w:val="00482F55"/>
    <w:rsid w:val="00485A1F"/>
    <w:rsid w:val="00486726"/>
    <w:rsid w:val="00486BCD"/>
    <w:rsid w:val="00487072"/>
    <w:rsid w:val="0048708A"/>
    <w:rsid w:val="00490990"/>
    <w:rsid w:val="00491555"/>
    <w:rsid w:val="00494E90"/>
    <w:rsid w:val="00495415"/>
    <w:rsid w:val="004964B5"/>
    <w:rsid w:val="00496C76"/>
    <w:rsid w:val="00497291"/>
    <w:rsid w:val="004A0A0E"/>
    <w:rsid w:val="004A140F"/>
    <w:rsid w:val="004A196E"/>
    <w:rsid w:val="004A216C"/>
    <w:rsid w:val="004A3A93"/>
    <w:rsid w:val="004A4887"/>
    <w:rsid w:val="004A6AC5"/>
    <w:rsid w:val="004A764F"/>
    <w:rsid w:val="004B0BAC"/>
    <w:rsid w:val="004B1D11"/>
    <w:rsid w:val="004B1F08"/>
    <w:rsid w:val="004B2417"/>
    <w:rsid w:val="004B28B8"/>
    <w:rsid w:val="004B2904"/>
    <w:rsid w:val="004B30A2"/>
    <w:rsid w:val="004B3953"/>
    <w:rsid w:val="004B44F0"/>
    <w:rsid w:val="004B45C8"/>
    <w:rsid w:val="004B53B9"/>
    <w:rsid w:val="004B6A56"/>
    <w:rsid w:val="004C1025"/>
    <w:rsid w:val="004C164C"/>
    <w:rsid w:val="004C2804"/>
    <w:rsid w:val="004C4907"/>
    <w:rsid w:val="004C6064"/>
    <w:rsid w:val="004C7092"/>
    <w:rsid w:val="004D20D4"/>
    <w:rsid w:val="004D3241"/>
    <w:rsid w:val="004D35D1"/>
    <w:rsid w:val="004D3677"/>
    <w:rsid w:val="004D3947"/>
    <w:rsid w:val="004D4FE6"/>
    <w:rsid w:val="004D67A0"/>
    <w:rsid w:val="004D76FC"/>
    <w:rsid w:val="004D7F6F"/>
    <w:rsid w:val="004E0253"/>
    <w:rsid w:val="004E1452"/>
    <w:rsid w:val="004E16E5"/>
    <w:rsid w:val="004E21E4"/>
    <w:rsid w:val="004E23FF"/>
    <w:rsid w:val="004E3270"/>
    <w:rsid w:val="004E3C39"/>
    <w:rsid w:val="004E5415"/>
    <w:rsid w:val="004E6D71"/>
    <w:rsid w:val="004E7DB3"/>
    <w:rsid w:val="004F2D16"/>
    <w:rsid w:val="004F581C"/>
    <w:rsid w:val="004F593C"/>
    <w:rsid w:val="00501C0C"/>
    <w:rsid w:val="00502DBE"/>
    <w:rsid w:val="0050385F"/>
    <w:rsid w:val="00505472"/>
    <w:rsid w:val="00505774"/>
    <w:rsid w:val="00506327"/>
    <w:rsid w:val="0050639C"/>
    <w:rsid w:val="00506AF2"/>
    <w:rsid w:val="00507D99"/>
    <w:rsid w:val="00510DB1"/>
    <w:rsid w:val="00512CC1"/>
    <w:rsid w:val="0051414D"/>
    <w:rsid w:val="00515676"/>
    <w:rsid w:val="00515834"/>
    <w:rsid w:val="0051675B"/>
    <w:rsid w:val="00517889"/>
    <w:rsid w:val="00520C76"/>
    <w:rsid w:val="005215B7"/>
    <w:rsid w:val="005216C4"/>
    <w:rsid w:val="00524210"/>
    <w:rsid w:val="00524A00"/>
    <w:rsid w:val="00524B01"/>
    <w:rsid w:val="005258D9"/>
    <w:rsid w:val="00527C61"/>
    <w:rsid w:val="00530D73"/>
    <w:rsid w:val="00530D76"/>
    <w:rsid w:val="005315D7"/>
    <w:rsid w:val="005317D3"/>
    <w:rsid w:val="00534307"/>
    <w:rsid w:val="00536185"/>
    <w:rsid w:val="0053694F"/>
    <w:rsid w:val="00537D7A"/>
    <w:rsid w:val="00537FC0"/>
    <w:rsid w:val="00540206"/>
    <w:rsid w:val="00540D29"/>
    <w:rsid w:val="005438E1"/>
    <w:rsid w:val="00544D54"/>
    <w:rsid w:val="00545BA3"/>
    <w:rsid w:val="005515A6"/>
    <w:rsid w:val="00551D70"/>
    <w:rsid w:val="00553610"/>
    <w:rsid w:val="005600E9"/>
    <w:rsid w:val="00560665"/>
    <w:rsid w:val="00561A4C"/>
    <w:rsid w:val="0056221A"/>
    <w:rsid w:val="00563394"/>
    <w:rsid w:val="00563C21"/>
    <w:rsid w:val="0056449B"/>
    <w:rsid w:val="005647D4"/>
    <w:rsid w:val="0056497C"/>
    <w:rsid w:val="00564D03"/>
    <w:rsid w:val="005655E4"/>
    <w:rsid w:val="00566A2E"/>
    <w:rsid w:val="0056719F"/>
    <w:rsid w:val="0057155B"/>
    <w:rsid w:val="0057182E"/>
    <w:rsid w:val="0057330F"/>
    <w:rsid w:val="005741A6"/>
    <w:rsid w:val="0057440E"/>
    <w:rsid w:val="005753CA"/>
    <w:rsid w:val="005758AD"/>
    <w:rsid w:val="00576E16"/>
    <w:rsid w:val="0057711F"/>
    <w:rsid w:val="005773B8"/>
    <w:rsid w:val="00581590"/>
    <w:rsid w:val="00581771"/>
    <w:rsid w:val="0058189D"/>
    <w:rsid w:val="00581ECF"/>
    <w:rsid w:val="00582E1A"/>
    <w:rsid w:val="00583902"/>
    <w:rsid w:val="0058536C"/>
    <w:rsid w:val="00586647"/>
    <w:rsid w:val="005866B0"/>
    <w:rsid w:val="005874E7"/>
    <w:rsid w:val="00587F25"/>
    <w:rsid w:val="005900D3"/>
    <w:rsid w:val="005914A6"/>
    <w:rsid w:val="00591F8E"/>
    <w:rsid w:val="005923BC"/>
    <w:rsid w:val="00592C33"/>
    <w:rsid w:val="00592F9B"/>
    <w:rsid w:val="0059309C"/>
    <w:rsid w:val="0059459E"/>
    <w:rsid w:val="005946A1"/>
    <w:rsid w:val="0059573E"/>
    <w:rsid w:val="00595818"/>
    <w:rsid w:val="005962F1"/>
    <w:rsid w:val="00596853"/>
    <w:rsid w:val="005A0B45"/>
    <w:rsid w:val="005A30B8"/>
    <w:rsid w:val="005A35F5"/>
    <w:rsid w:val="005A7588"/>
    <w:rsid w:val="005A7594"/>
    <w:rsid w:val="005B1653"/>
    <w:rsid w:val="005B37F1"/>
    <w:rsid w:val="005B4939"/>
    <w:rsid w:val="005B4DFB"/>
    <w:rsid w:val="005B534B"/>
    <w:rsid w:val="005B7B86"/>
    <w:rsid w:val="005B7F0A"/>
    <w:rsid w:val="005C0484"/>
    <w:rsid w:val="005C0A93"/>
    <w:rsid w:val="005C0E9D"/>
    <w:rsid w:val="005C2A4E"/>
    <w:rsid w:val="005C390D"/>
    <w:rsid w:val="005C4C61"/>
    <w:rsid w:val="005C59D5"/>
    <w:rsid w:val="005C687E"/>
    <w:rsid w:val="005D1BD0"/>
    <w:rsid w:val="005D3F8B"/>
    <w:rsid w:val="005D5940"/>
    <w:rsid w:val="005E0519"/>
    <w:rsid w:val="005E09EC"/>
    <w:rsid w:val="005E1567"/>
    <w:rsid w:val="005E1B95"/>
    <w:rsid w:val="005E3A10"/>
    <w:rsid w:val="005E5059"/>
    <w:rsid w:val="005E6061"/>
    <w:rsid w:val="005E7D98"/>
    <w:rsid w:val="005F0993"/>
    <w:rsid w:val="005F1753"/>
    <w:rsid w:val="005F1F33"/>
    <w:rsid w:val="005F294A"/>
    <w:rsid w:val="005F2FEF"/>
    <w:rsid w:val="005F3199"/>
    <w:rsid w:val="005F32A1"/>
    <w:rsid w:val="005F3B68"/>
    <w:rsid w:val="005F3D90"/>
    <w:rsid w:val="005F3E78"/>
    <w:rsid w:val="005F3F07"/>
    <w:rsid w:val="005F50C6"/>
    <w:rsid w:val="005F5BF9"/>
    <w:rsid w:val="005F5E65"/>
    <w:rsid w:val="005F6274"/>
    <w:rsid w:val="005F649A"/>
    <w:rsid w:val="005F6833"/>
    <w:rsid w:val="00601C00"/>
    <w:rsid w:val="00601D4B"/>
    <w:rsid w:val="0060298C"/>
    <w:rsid w:val="00602D22"/>
    <w:rsid w:val="006066FA"/>
    <w:rsid w:val="006070DF"/>
    <w:rsid w:val="006071D9"/>
    <w:rsid w:val="0060763B"/>
    <w:rsid w:val="00611513"/>
    <w:rsid w:val="00611994"/>
    <w:rsid w:val="00612EC4"/>
    <w:rsid w:val="0061399D"/>
    <w:rsid w:val="00613A07"/>
    <w:rsid w:val="00613C47"/>
    <w:rsid w:val="00614EE2"/>
    <w:rsid w:val="00616B4D"/>
    <w:rsid w:val="00616CA7"/>
    <w:rsid w:val="0061725E"/>
    <w:rsid w:val="00617E0D"/>
    <w:rsid w:val="00621291"/>
    <w:rsid w:val="00621361"/>
    <w:rsid w:val="00621D07"/>
    <w:rsid w:val="00623651"/>
    <w:rsid w:val="00623756"/>
    <w:rsid w:val="006239C7"/>
    <w:rsid w:val="00623F04"/>
    <w:rsid w:val="006251C5"/>
    <w:rsid w:val="00626C90"/>
    <w:rsid w:val="006310A6"/>
    <w:rsid w:val="00631401"/>
    <w:rsid w:val="00631820"/>
    <w:rsid w:val="0063182E"/>
    <w:rsid w:val="00631A49"/>
    <w:rsid w:val="00633932"/>
    <w:rsid w:val="00634785"/>
    <w:rsid w:val="00634A1C"/>
    <w:rsid w:val="006352D5"/>
    <w:rsid w:val="00635B42"/>
    <w:rsid w:val="0063614B"/>
    <w:rsid w:val="00637EE9"/>
    <w:rsid w:val="00641825"/>
    <w:rsid w:val="00642860"/>
    <w:rsid w:val="00645A74"/>
    <w:rsid w:val="00645E6D"/>
    <w:rsid w:val="006475C6"/>
    <w:rsid w:val="00647C4D"/>
    <w:rsid w:val="006520B8"/>
    <w:rsid w:val="006522BD"/>
    <w:rsid w:val="0065254A"/>
    <w:rsid w:val="00654461"/>
    <w:rsid w:val="00655556"/>
    <w:rsid w:val="0065707C"/>
    <w:rsid w:val="006577F9"/>
    <w:rsid w:val="00657990"/>
    <w:rsid w:val="00657B07"/>
    <w:rsid w:val="00660056"/>
    <w:rsid w:val="006610F5"/>
    <w:rsid w:val="00661104"/>
    <w:rsid w:val="006634C8"/>
    <w:rsid w:val="0066428E"/>
    <w:rsid w:val="0066587F"/>
    <w:rsid w:val="00665F79"/>
    <w:rsid w:val="0066630B"/>
    <w:rsid w:val="00666BE8"/>
    <w:rsid w:val="006671D1"/>
    <w:rsid w:val="00667B10"/>
    <w:rsid w:val="00667E02"/>
    <w:rsid w:val="00667FD8"/>
    <w:rsid w:val="00671213"/>
    <w:rsid w:val="0067233E"/>
    <w:rsid w:val="00672CBD"/>
    <w:rsid w:val="00673B0F"/>
    <w:rsid w:val="006749E4"/>
    <w:rsid w:val="00676EDB"/>
    <w:rsid w:val="006776A2"/>
    <w:rsid w:val="00677FB1"/>
    <w:rsid w:val="00680D9C"/>
    <w:rsid w:val="00681E87"/>
    <w:rsid w:val="006825C5"/>
    <w:rsid w:val="00683071"/>
    <w:rsid w:val="006834AC"/>
    <w:rsid w:val="006869CE"/>
    <w:rsid w:val="00686E9C"/>
    <w:rsid w:val="00690537"/>
    <w:rsid w:val="00693288"/>
    <w:rsid w:val="0069507A"/>
    <w:rsid w:val="006958DB"/>
    <w:rsid w:val="00695FD6"/>
    <w:rsid w:val="00696295"/>
    <w:rsid w:val="00697849"/>
    <w:rsid w:val="00697AA5"/>
    <w:rsid w:val="006A00C5"/>
    <w:rsid w:val="006A0FFC"/>
    <w:rsid w:val="006A1B71"/>
    <w:rsid w:val="006A1C0F"/>
    <w:rsid w:val="006A1F8D"/>
    <w:rsid w:val="006A4838"/>
    <w:rsid w:val="006A6434"/>
    <w:rsid w:val="006A64E7"/>
    <w:rsid w:val="006B000C"/>
    <w:rsid w:val="006B04B3"/>
    <w:rsid w:val="006B0587"/>
    <w:rsid w:val="006B0D1A"/>
    <w:rsid w:val="006B0F09"/>
    <w:rsid w:val="006B1734"/>
    <w:rsid w:val="006B21A6"/>
    <w:rsid w:val="006B2A7A"/>
    <w:rsid w:val="006B417F"/>
    <w:rsid w:val="006B6E5A"/>
    <w:rsid w:val="006B78AA"/>
    <w:rsid w:val="006B7FA1"/>
    <w:rsid w:val="006C0A05"/>
    <w:rsid w:val="006C1FB8"/>
    <w:rsid w:val="006C2D26"/>
    <w:rsid w:val="006C2F49"/>
    <w:rsid w:val="006C34DE"/>
    <w:rsid w:val="006C394D"/>
    <w:rsid w:val="006C5637"/>
    <w:rsid w:val="006C5C8F"/>
    <w:rsid w:val="006C7175"/>
    <w:rsid w:val="006C71E6"/>
    <w:rsid w:val="006C7B70"/>
    <w:rsid w:val="006D0101"/>
    <w:rsid w:val="006D0AE8"/>
    <w:rsid w:val="006D0CC2"/>
    <w:rsid w:val="006D2271"/>
    <w:rsid w:val="006D4E53"/>
    <w:rsid w:val="006D640B"/>
    <w:rsid w:val="006E0902"/>
    <w:rsid w:val="006E1599"/>
    <w:rsid w:val="006E23AE"/>
    <w:rsid w:val="006E33D9"/>
    <w:rsid w:val="006E4F2E"/>
    <w:rsid w:val="006E56EF"/>
    <w:rsid w:val="006E7F22"/>
    <w:rsid w:val="006F0A9D"/>
    <w:rsid w:val="006F1BD1"/>
    <w:rsid w:val="006F252D"/>
    <w:rsid w:val="006F419F"/>
    <w:rsid w:val="006F4C77"/>
    <w:rsid w:val="006F53D1"/>
    <w:rsid w:val="006F56AF"/>
    <w:rsid w:val="006F5B87"/>
    <w:rsid w:val="006F65B4"/>
    <w:rsid w:val="006F6D59"/>
    <w:rsid w:val="0070062F"/>
    <w:rsid w:val="007006CB"/>
    <w:rsid w:val="00701776"/>
    <w:rsid w:val="00702314"/>
    <w:rsid w:val="007023F0"/>
    <w:rsid w:val="00702D82"/>
    <w:rsid w:val="00703C34"/>
    <w:rsid w:val="00704ADB"/>
    <w:rsid w:val="007064A7"/>
    <w:rsid w:val="00706584"/>
    <w:rsid w:val="00707C5E"/>
    <w:rsid w:val="00707C72"/>
    <w:rsid w:val="00707F7B"/>
    <w:rsid w:val="007115F4"/>
    <w:rsid w:val="007131D2"/>
    <w:rsid w:val="007145FB"/>
    <w:rsid w:val="00716A53"/>
    <w:rsid w:val="00716BBB"/>
    <w:rsid w:val="00720F6B"/>
    <w:rsid w:val="00721B8A"/>
    <w:rsid w:val="00721C17"/>
    <w:rsid w:val="00721F31"/>
    <w:rsid w:val="007233B0"/>
    <w:rsid w:val="00724248"/>
    <w:rsid w:val="00726136"/>
    <w:rsid w:val="007274BB"/>
    <w:rsid w:val="00730FDA"/>
    <w:rsid w:val="0073153F"/>
    <w:rsid w:val="00731603"/>
    <w:rsid w:val="007320D7"/>
    <w:rsid w:val="00736CB5"/>
    <w:rsid w:val="00736D0A"/>
    <w:rsid w:val="007373D6"/>
    <w:rsid w:val="007408E5"/>
    <w:rsid w:val="00741334"/>
    <w:rsid w:val="007422BB"/>
    <w:rsid w:val="00742475"/>
    <w:rsid w:val="00742AC9"/>
    <w:rsid w:val="00743608"/>
    <w:rsid w:val="00745D95"/>
    <w:rsid w:val="00746202"/>
    <w:rsid w:val="00746846"/>
    <w:rsid w:val="00751A10"/>
    <w:rsid w:val="00751F11"/>
    <w:rsid w:val="007529BB"/>
    <w:rsid w:val="00752E68"/>
    <w:rsid w:val="00753536"/>
    <w:rsid w:val="007541ED"/>
    <w:rsid w:val="00756044"/>
    <w:rsid w:val="00756B36"/>
    <w:rsid w:val="00756EBD"/>
    <w:rsid w:val="00761A28"/>
    <w:rsid w:val="00761E6F"/>
    <w:rsid w:val="007621CB"/>
    <w:rsid w:val="00762C3A"/>
    <w:rsid w:val="007635D8"/>
    <w:rsid w:val="007647B7"/>
    <w:rsid w:val="00764EFF"/>
    <w:rsid w:val="00766B32"/>
    <w:rsid w:val="00766F31"/>
    <w:rsid w:val="00771758"/>
    <w:rsid w:val="00772351"/>
    <w:rsid w:val="00772551"/>
    <w:rsid w:val="00773A85"/>
    <w:rsid w:val="007741CA"/>
    <w:rsid w:val="007750CC"/>
    <w:rsid w:val="00775B37"/>
    <w:rsid w:val="00775F7F"/>
    <w:rsid w:val="007762BD"/>
    <w:rsid w:val="00783F4E"/>
    <w:rsid w:val="007847BD"/>
    <w:rsid w:val="00791DEB"/>
    <w:rsid w:val="00795B75"/>
    <w:rsid w:val="0079629D"/>
    <w:rsid w:val="00797EAB"/>
    <w:rsid w:val="007A1CBD"/>
    <w:rsid w:val="007A1EC6"/>
    <w:rsid w:val="007A1FD5"/>
    <w:rsid w:val="007A26CB"/>
    <w:rsid w:val="007A2A89"/>
    <w:rsid w:val="007A31D6"/>
    <w:rsid w:val="007A3BCD"/>
    <w:rsid w:val="007A46A1"/>
    <w:rsid w:val="007A6F37"/>
    <w:rsid w:val="007A7023"/>
    <w:rsid w:val="007B0ADC"/>
    <w:rsid w:val="007B347B"/>
    <w:rsid w:val="007B3D88"/>
    <w:rsid w:val="007B557C"/>
    <w:rsid w:val="007B77E7"/>
    <w:rsid w:val="007C00C2"/>
    <w:rsid w:val="007C0685"/>
    <w:rsid w:val="007C07F5"/>
    <w:rsid w:val="007C0F83"/>
    <w:rsid w:val="007C1C1D"/>
    <w:rsid w:val="007C1D98"/>
    <w:rsid w:val="007C42BB"/>
    <w:rsid w:val="007C5E1D"/>
    <w:rsid w:val="007C6115"/>
    <w:rsid w:val="007C67A2"/>
    <w:rsid w:val="007D09C8"/>
    <w:rsid w:val="007D1589"/>
    <w:rsid w:val="007D2ADF"/>
    <w:rsid w:val="007D3209"/>
    <w:rsid w:val="007D35BB"/>
    <w:rsid w:val="007D41FF"/>
    <w:rsid w:val="007D5ABE"/>
    <w:rsid w:val="007E01D0"/>
    <w:rsid w:val="007E0759"/>
    <w:rsid w:val="007E0819"/>
    <w:rsid w:val="007E0A4E"/>
    <w:rsid w:val="007E0F4C"/>
    <w:rsid w:val="007E38D4"/>
    <w:rsid w:val="007E4F46"/>
    <w:rsid w:val="007E7FF1"/>
    <w:rsid w:val="007F0B17"/>
    <w:rsid w:val="007F1DD4"/>
    <w:rsid w:val="007F2A5F"/>
    <w:rsid w:val="007F3CA4"/>
    <w:rsid w:val="007F3F75"/>
    <w:rsid w:val="007F54F1"/>
    <w:rsid w:val="007F63A3"/>
    <w:rsid w:val="007F6837"/>
    <w:rsid w:val="007F744C"/>
    <w:rsid w:val="008023B8"/>
    <w:rsid w:val="008037AD"/>
    <w:rsid w:val="0080555F"/>
    <w:rsid w:val="00813085"/>
    <w:rsid w:val="00813760"/>
    <w:rsid w:val="00814224"/>
    <w:rsid w:val="008142EA"/>
    <w:rsid w:val="00815E9D"/>
    <w:rsid w:val="008169EF"/>
    <w:rsid w:val="0081736E"/>
    <w:rsid w:val="00820B12"/>
    <w:rsid w:val="00820B3C"/>
    <w:rsid w:val="00823B96"/>
    <w:rsid w:val="00826834"/>
    <w:rsid w:val="00826EB6"/>
    <w:rsid w:val="00827609"/>
    <w:rsid w:val="00827ED8"/>
    <w:rsid w:val="00830B52"/>
    <w:rsid w:val="008313F3"/>
    <w:rsid w:val="00831424"/>
    <w:rsid w:val="0083249F"/>
    <w:rsid w:val="00832629"/>
    <w:rsid w:val="00832F70"/>
    <w:rsid w:val="00834B33"/>
    <w:rsid w:val="00834C6B"/>
    <w:rsid w:val="00835FAA"/>
    <w:rsid w:val="00836A3D"/>
    <w:rsid w:val="00837377"/>
    <w:rsid w:val="008400C6"/>
    <w:rsid w:val="00841741"/>
    <w:rsid w:val="00841B45"/>
    <w:rsid w:val="00842C3C"/>
    <w:rsid w:val="008439D4"/>
    <w:rsid w:val="00844435"/>
    <w:rsid w:val="00844CC6"/>
    <w:rsid w:val="00845B02"/>
    <w:rsid w:val="00845FF1"/>
    <w:rsid w:val="00847BB2"/>
    <w:rsid w:val="0085059A"/>
    <w:rsid w:val="00850A24"/>
    <w:rsid w:val="00850F37"/>
    <w:rsid w:val="00851DCE"/>
    <w:rsid w:val="0085384E"/>
    <w:rsid w:val="0085483E"/>
    <w:rsid w:val="00856025"/>
    <w:rsid w:val="0085738E"/>
    <w:rsid w:val="0086111E"/>
    <w:rsid w:val="008616BD"/>
    <w:rsid w:val="00861B7D"/>
    <w:rsid w:val="00862CC8"/>
    <w:rsid w:val="00863581"/>
    <w:rsid w:val="00863898"/>
    <w:rsid w:val="00863F33"/>
    <w:rsid w:val="00864466"/>
    <w:rsid w:val="00865061"/>
    <w:rsid w:val="00865140"/>
    <w:rsid w:val="008655F3"/>
    <w:rsid w:val="00865908"/>
    <w:rsid w:val="00866623"/>
    <w:rsid w:val="00867B22"/>
    <w:rsid w:val="00872E05"/>
    <w:rsid w:val="00873BEE"/>
    <w:rsid w:val="008748C0"/>
    <w:rsid w:val="00874E79"/>
    <w:rsid w:val="0087532F"/>
    <w:rsid w:val="0087545A"/>
    <w:rsid w:val="00875CD7"/>
    <w:rsid w:val="00876A34"/>
    <w:rsid w:val="00876D78"/>
    <w:rsid w:val="008818F0"/>
    <w:rsid w:val="00883408"/>
    <w:rsid w:val="00883BBF"/>
    <w:rsid w:val="00884CFF"/>
    <w:rsid w:val="008862CC"/>
    <w:rsid w:val="008862E3"/>
    <w:rsid w:val="00886816"/>
    <w:rsid w:val="0089100C"/>
    <w:rsid w:val="008928E5"/>
    <w:rsid w:val="00893A89"/>
    <w:rsid w:val="00894A47"/>
    <w:rsid w:val="008962C6"/>
    <w:rsid w:val="008A1B52"/>
    <w:rsid w:val="008A208E"/>
    <w:rsid w:val="008A3A59"/>
    <w:rsid w:val="008A3B8B"/>
    <w:rsid w:val="008A50EE"/>
    <w:rsid w:val="008A5442"/>
    <w:rsid w:val="008A641B"/>
    <w:rsid w:val="008B0143"/>
    <w:rsid w:val="008B254B"/>
    <w:rsid w:val="008B3768"/>
    <w:rsid w:val="008B50A8"/>
    <w:rsid w:val="008B50F8"/>
    <w:rsid w:val="008B5E01"/>
    <w:rsid w:val="008B5F1A"/>
    <w:rsid w:val="008B61CF"/>
    <w:rsid w:val="008B6D17"/>
    <w:rsid w:val="008B7410"/>
    <w:rsid w:val="008C0D26"/>
    <w:rsid w:val="008C4F23"/>
    <w:rsid w:val="008C542B"/>
    <w:rsid w:val="008C74AB"/>
    <w:rsid w:val="008C7F75"/>
    <w:rsid w:val="008C7FA7"/>
    <w:rsid w:val="008D0735"/>
    <w:rsid w:val="008D0FE4"/>
    <w:rsid w:val="008D2C98"/>
    <w:rsid w:val="008D6BF0"/>
    <w:rsid w:val="008D7617"/>
    <w:rsid w:val="008D79EA"/>
    <w:rsid w:val="008E49D7"/>
    <w:rsid w:val="008E50B0"/>
    <w:rsid w:val="008E5861"/>
    <w:rsid w:val="008E67DA"/>
    <w:rsid w:val="008F15B1"/>
    <w:rsid w:val="008F18F1"/>
    <w:rsid w:val="008F1F12"/>
    <w:rsid w:val="008F2ED5"/>
    <w:rsid w:val="008F312F"/>
    <w:rsid w:val="008F37BD"/>
    <w:rsid w:val="008F3EDC"/>
    <w:rsid w:val="008F46C7"/>
    <w:rsid w:val="008F4895"/>
    <w:rsid w:val="008F4EDE"/>
    <w:rsid w:val="008F5C40"/>
    <w:rsid w:val="008F6D64"/>
    <w:rsid w:val="008F7EBD"/>
    <w:rsid w:val="00900C4B"/>
    <w:rsid w:val="00900E97"/>
    <w:rsid w:val="00903F29"/>
    <w:rsid w:val="00904296"/>
    <w:rsid w:val="009063F7"/>
    <w:rsid w:val="009065A1"/>
    <w:rsid w:val="00907DC0"/>
    <w:rsid w:val="009118B6"/>
    <w:rsid w:val="00912421"/>
    <w:rsid w:val="0091378B"/>
    <w:rsid w:val="0091756D"/>
    <w:rsid w:val="0092180F"/>
    <w:rsid w:val="00922FD6"/>
    <w:rsid w:val="009230E9"/>
    <w:rsid w:val="009238B5"/>
    <w:rsid w:val="00924A12"/>
    <w:rsid w:val="00925DBA"/>
    <w:rsid w:val="009267E4"/>
    <w:rsid w:val="00926828"/>
    <w:rsid w:val="00930137"/>
    <w:rsid w:val="009302E8"/>
    <w:rsid w:val="00930EA6"/>
    <w:rsid w:val="009318EF"/>
    <w:rsid w:val="00932970"/>
    <w:rsid w:val="009332BD"/>
    <w:rsid w:val="00934EA6"/>
    <w:rsid w:val="00935977"/>
    <w:rsid w:val="00935D6B"/>
    <w:rsid w:val="009368F6"/>
    <w:rsid w:val="009369BB"/>
    <w:rsid w:val="0093783D"/>
    <w:rsid w:val="00940493"/>
    <w:rsid w:val="00941067"/>
    <w:rsid w:val="009416A2"/>
    <w:rsid w:val="00944ECD"/>
    <w:rsid w:val="00945087"/>
    <w:rsid w:val="00945C9B"/>
    <w:rsid w:val="00946513"/>
    <w:rsid w:val="009470B6"/>
    <w:rsid w:val="00950F66"/>
    <w:rsid w:val="00951921"/>
    <w:rsid w:val="00951E61"/>
    <w:rsid w:val="00955E2E"/>
    <w:rsid w:val="00956477"/>
    <w:rsid w:val="00957B69"/>
    <w:rsid w:val="00961A4A"/>
    <w:rsid w:val="00962A13"/>
    <w:rsid w:val="00963E5E"/>
    <w:rsid w:val="009644D4"/>
    <w:rsid w:val="009649C6"/>
    <w:rsid w:val="00964B00"/>
    <w:rsid w:val="00966485"/>
    <w:rsid w:val="0097102D"/>
    <w:rsid w:val="009743FB"/>
    <w:rsid w:val="009750CA"/>
    <w:rsid w:val="00975BFE"/>
    <w:rsid w:val="00977DA9"/>
    <w:rsid w:val="009806E9"/>
    <w:rsid w:val="00981AB0"/>
    <w:rsid w:val="0098256F"/>
    <w:rsid w:val="00982816"/>
    <w:rsid w:val="00982936"/>
    <w:rsid w:val="00983844"/>
    <w:rsid w:val="00984DC3"/>
    <w:rsid w:val="009859E2"/>
    <w:rsid w:val="00985B91"/>
    <w:rsid w:val="00987D11"/>
    <w:rsid w:val="00992237"/>
    <w:rsid w:val="009932F0"/>
    <w:rsid w:val="00993C08"/>
    <w:rsid w:val="0099447D"/>
    <w:rsid w:val="00995788"/>
    <w:rsid w:val="00995D75"/>
    <w:rsid w:val="00996298"/>
    <w:rsid w:val="00996FF5"/>
    <w:rsid w:val="00997177"/>
    <w:rsid w:val="009A01EE"/>
    <w:rsid w:val="009A1007"/>
    <w:rsid w:val="009A2D0A"/>
    <w:rsid w:val="009A2F21"/>
    <w:rsid w:val="009A393E"/>
    <w:rsid w:val="009A3B9D"/>
    <w:rsid w:val="009A42FC"/>
    <w:rsid w:val="009A44FE"/>
    <w:rsid w:val="009A59F5"/>
    <w:rsid w:val="009A681C"/>
    <w:rsid w:val="009B1089"/>
    <w:rsid w:val="009B13C0"/>
    <w:rsid w:val="009B365C"/>
    <w:rsid w:val="009B678E"/>
    <w:rsid w:val="009B6F9E"/>
    <w:rsid w:val="009C0137"/>
    <w:rsid w:val="009C0983"/>
    <w:rsid w:val="009C17AF"/>
    <w:rsid w:val="009C28B5"/>
    <w:rsid w:val="009C3F53"/>
    <w:rsid w:val="009C571B"/>
    <w:rsid w:val="009C630F"/>
    <w:rsid w:val="009D0FD1"/>
    <w:rsid w:val="009D1828"/>
    <w:rsid w:val="009D2049"/>
    <w:rsid w:val="009D2AEB"/>
    <w:rsid w:val="009D2C25"/>
    <w:rsid w:val="009D3F00"/>
    <w:rsid w:val="009D66C2"/>
    <w:rsid w:val="009D792D"/>
    <w:rsid w:val="009E0DDE"/>
    <w:rsid w:val="009E1D1E"/>
    <w:rsid w:val="009E2601"/>
    <w:rsid w:val="009E2677"/>
    <w:rsid w:val="009E2F1F"/>
    <w:rsid w:val="009E3064"/>
    <w:rsid w:val="009E4070"/>
    <w:rsid w:val="009E5525"/>
    <w:rsid w:val="009E60EC"/>
    <w:rsid w:val="009F0DBB"/>
    <w:rsid w:val="009F1397"/>
    <w:rsid w:val="009F420A"/>
    <w:rsid w:val="009F54BA"/>
    <w:rsid w:val="009F66BC"/>
    <w:rsid w:val="009F7596"/>
    <w:rsid w:val="009F77F6"/>
    <w:rsid w:val="00A014FC"/>
    <w:rsid w:val="00A01A8F"/>
    <w:rsid w:val="00A01EC3"/>
    <w:rsid w:val="00A01F84"/>
    <w:rsid w:val="00A0350B"/>
    <w:rsid w:val="00A03C0A"/>
    <w:rsid w:val="00A04E4A"/>
    <w:rsid w:val="00A062FE"/>
    <w:rsid w:val="00A064BD"/>
    <w:rsid w:val="00A06708"/>
    <w:rsid w:val="00A06B8F"/>
    <w:rsid w:val="00A07681"/>
    <w:rsid w:val="00A109FA"/>
    <w:rsid w:val="00A10B34"/>
    <w:rsid w:val="00A13CEE"/>
    <w:rsid w:val="00A14102"/>
    <w:rsid w:val="00A142C3"/>
    <w:rsid w:val="00A14BFD"/>
    <w:rsid w:val="00A15646"/>
    <w:rsid w:val="00A17372"/>
    <w:rsid w:val="00A1789A"/>
    <w:rsid w:val="00A1791E"/>
    <w:rsid w:val="00A20D25"/>
    <w:rsid w:val="00A211D8"/>
    <w:rsid w:val="00A21C2D"/>
    <w:rsid w:val="00A22CC0"/>
    <w:rsid w:val="00A26D25"/>
    <w:rsid w:val="00A30B0E"/>
    <w:rsid w:val="00A33250"/>
    <w:rsid w:val="00A34A17"/>
    <w:rsid w:val="00A3543B"/>
    <w:rsid w:val="00A3657C"/>
    <w:rsid w:val="00A41B54"/>
    <w:rsid w:val="00A42397"/>
    <w:rsid w:val="00A42686"/>
    <w:rsid w:val="00A4295C"/>
    <w:rsid w:val="00A43863"/>
    <w:rsid w:val="00A43A38"/>
    <w:rsid w:val="00A4409C"/>
    <w:rsid w:val="00A4541B"/>
    <w:rsid w:val="00A479D3"/>
    <w:rsid w:val="00A50BE5"/>
    <w:rsid w:val="00A51C76"/>
    <w:rsid w:val="00A53E8F"/>
    <w:rsid w:val="00A54C91"/>
    <w:rsid w:val="00A54DFE"/>
    <w:rsid w:val="00A5520A"/>
    <w:rsid w:val="00A56818"/>
    <w:rsid w:val="00A57BB5"/>
    <w:rsid w:val="00A61503"/>
    <w:rsid w:val="00A6275E"/>
    <w:rsid w:val="00A62DFC"/>
    <w:rsid w:val="00A654B3"/>
    <w:rsid w:val="00A65730"/>
    <w:rsid w:val="00A67766"/>
    <w:rsid w:val="00A67A90"/>
    <w:rsid w:val="00A70218"/>
    <w:rsid w:val="00A70441"/>
    <w:rsid w:val="00A71E86"/>
    <w:rsid w:val="00A7390E"/>
    <w:rsid w:val="00A7430F"/>
    <w:rsid w:val="00A74755"/>
    <w:rsid w:val="00A74F96"/>
    <w:rsid w:val="00A74FDD"/>
    <w:rsid w:val="00A76040"/>
    <w:rsid w:val="00A76F9E"/>
    <w:rsid w:val="00A77427"/>
    <w:rsid w:val="00A77705"/>
    <w:rsid w:val="00A806EE"/>
    <w:rsid w:val="00A80BCF"/>
    <w:rsid w:val="00A81338"/>
    <w:rsid w:val="00A82CE3"/>
    <w:rsid w:val="00A84EDA"/>
    <w:rsid w:val="00A852E8"/>
    <w:rsid w:val="00A853E3"/>
    <w:rsid w:val="00A867F0"/>
    <w:rsid w:val="00A87917"/>
    <w:rsid w:val="00A91DE4"/>
    <w:rsid w:val="00A92C11"/>
    <w:rsid w:val="00A946D5"/>
    <w:rsid w:val="00A94960"/>
    <w:rsid w:val="00A9729B"/>
    <w:rsid w:val="00A97672"/>
    <w:rsid w:val="00A97760"/>
    <w:rsid w:val="00A97A87"/>
    <w:rsid w:val="00AA09A6"/>
    <w:rsid w:val="00AA1351"/>
    <w:rsid w:val="00AA304E"/>
    <w:rsid w:val="00AA3630"/>
    <w:rsid w:val="00AA47E3"/>
    <w:rsid w:val="00AA55BD"/>
    <w:rsid w:val="00AA6244"/>
    <w:rsid w:val="00AA69AF"/>
    <w:rsid w:val="00AB0B5F"/>
    <w:rsid w:val="00AB1ECF"/>
    <w:rsid w:val="00AB2327"/>
    <w:rsid w:val="00AB276F"/>
    <w:rsid w:val="00AB27EB"/>
    <w:rsid w:val="00AB2E7E"/>
    <w:rsid w:val="00AB3D99"/>
    <w:rsid w:val="00AB4384"/>
    <w:rsid w:val="00AB4482"/>
    <w:rsid w:val="00AB4C8C"/>
    <w:rsid w:val="00AB569E"/>
    <w:rsid w:val="00AB755E"/>
    <w:rsid w:val="00AB7DBF"/>
    <w:rsid w:val="00AC0C73"/>
    <w:rsid w:val="00AC0E1B"/>
    <w:rsid w:val="00AC1603"/>
    <w:rsid w:val="00AC47C7"/>
    <w:rsid w:val="00AC74D3"/>
    <w:rsid w:val="00AD03BE"/>
    <w:rsid w:val="00AD2263"/>
    <w:rsid w:val="00AD2D40"/>
    <w:rsid w:val="00AD2EA3"/>
    <w:rsid w:val="00AD3215"/>
    <w:rsid w:val="00AD549C"/>
    <w:rsid w:val="00AD6FC4"/>
    <w:rsid w:val="00AD759F"/>
    <w:rsid w:val="00AD75E0"/>
    <w:rsid w:val="00AD7800"/>
    <w:rsid w:val="00AE05E2"/>
    <w:rsid w:val="00AE0DF6"/>
    <w:rsid w:val="00AE1461"/>
    <w:rsid w:val="00AE1BB2"/>
    <w:rsid w:val="00AE27A7"/>
    <w:rsid w:val="00AE3A40"/>
    <w:rsid w:val="00AE3E85"/>
    <w:rsid w:val="00AE59CA"/>
    <w:rsid w:val="00AE6D32"/>
    <w:rsid w:val="00AE7F2E"/>
    <w:rsid w:val="00AF046E"/>
    <w:rsid w:val="00AF10EB"/>
    <w:rsid w:val="00AF4E0F"/>
    <w:rsid w:val="00AF5311"/>
    <w:rsid w:val="00AF5EC1"/>
    <w:rsid w:val="00B004A2"/>
    <w:rsid w:val="00B00B6B"/>
    <w:rsid w:val="00B02FB4"/>
    <w:rsid w:val="00B0321E"/>
    <w:rsid w:val="00B03FC2"/>
    <w:rsid w:val="00B0418A"/>
    <w:rsid w:val="00B06839"/>
    <w:rsid w:val="00B06FF8"/>
    <w:rsid w:val="00B07E50"/>
    <w:rsid w:val="00B07FC9"/>
    <w:rsid w:val="00B10115"/>
    <w:rsid w:val="00B10808"/>
    <w:rsid w:val="00B115E3"/>
    <w:rsid w:val="00B126C6"/>
    <w:rsid w:val="00B14486"/>
    <w:rsid w:val="00B14F6B"/>
    <w:rsid w:val="00B167E4"/>
    <w:rsid w:val="00B16985"/>
    <w:rsid w:val="00B1699D"/>
    <w:rsid w:val="00B17273"/>
    <w:rsid w:val="00B20889"/>
    <w:rsid w:val="00B2104C"/>
    <w:rsid w:val="00B21743"/>
    <w:rsid w:val="00B21AE8"/>
    <w:rsid w:val="00B23892"/>
    <w:rsid w:val="00B23D7F"/>
    <w:rsid w:val="00B273A2"/>
    <w:rsid w:val="00B305B7"/>
    <w:rsid w:val="00B30D6B"/>
    <w:rsid w:val="00B33AEC"/>
    <w:rsid w:val="00B35F69"/>
    <w:rsid w:val="00B36AFF"/>
    <w:rsid w:val="00B43DE9"/>
    <w:rsid w:val="00B43EA0"/>
    <w:rsid w:val="00B43F35"/>
    <w:rsid w:val="00B44415"/>
    <w:rsid w:val="00B455B3"/>
    <w:rsid w:val="00B45854"/>
    <w:rsid w:val="00B45B7C"/>
    <w:rsid w:val="00B503E7"/>
    <w:rsid w:val="00B5175E"/>
    <w:rsid w:val="00B51BDC"/>
    <w:rsid w:val="00B52428"/>
    <w:rsid w:val="00B53BB9"/>
    <w:rsid w:val="00B53FE9"/>
    <w:rsid w:val="00B54011"/>
    <w:rsid w:val="00B54A45"/>
    <w:rsid w:val="00B553B8"/>
    <w:rsid w:val="00B57488"/>
    <w:rsid w:val="00B6237E"/>
    <w:rsid w:val="00B631CA"/>
    <w:rsid w:val="00B63268"/>
    <w:rsid w:val="00B6367B"/>
    <w:rsid w:val="00B63980"/>
    <w:rsid w:val="00B64910"/>
    <w:rsid w:val="00B65221"/>
    <w:rsid w:val="00B65603"/>
    <w:rsid w:val="00B656A1"/>
    <w:rsid w:val="00B66203"/>
    <w:rsid w:val="00B66912"/>
    <w:rsid w:val="00B66A2D"/>
    <w:rsid w:val="00B7244A"/>
    <w:rsid w:val="00B75189"/>
    <w:rsid w:val="00B75BD3"/>
    <w:rsid w:val="00B7646C"/>
    <w:rsid w:val="00B76491"/>
    <w:rsid w:val="00B766B8"/>
    <w:rsid w:val="00B7722C"/>
    <w:rsid w:val="00B77267"/>
    <w:rsid w:val="00B77AE0"/>
    <w:rsid w:val="00B81346"/>
    <w:rsid w:val="00B81424"/>
    <w:rsid w:val="00B82BF5"/>
    <w:rsid w:val="00B83327"/>
    <w:rsid w:val="00B852B1"/>
    <w:rsid w:val="00B85C70"/>
    <w:rsid w:val="00B86838"/>
    <w:rsid w:val="00B872AF"/>
    <w:rsid w:val="00B91B72"/>
    <w:rsid w:val="00B93D95"/>
    <w:rsid w:val="00B962BC"/>
    <w:rsid w:val="00B96D3D"/>
    <w:rsid w:val="00B970A7"/>
    <w:rsid w:val="00B974D4"/>
    <w:rsid w:val="00BA0FB1"/>
    <w:rsid w:val="00BA1EF7"/>
    <w:rsid w:val="00BA3623"/>
    <w:rsid w:val="00BA3941"/>
    <w:rsid w:val="00BA4457"/>
    <w:rsid w:val="00BB00E3"/>
    <w:rsid w:val="00BB0102"/>
    <w:rsid w:val="00BB02BA"/>
    <w:rsid w:val="00BB0EE5"/>
    <w:rsid w:val="00BB281B"/>
    <w:rsid w:val="00BB3483"/>
    <w:rsid w:val="00BB38ED"/>
    <w:rsid w:val="00BB3C79"/>
    <w:rsid w:val="00BB4E02"/>
    <w:rsid w:val="00BB4E2D"/>
    <w:rsid w:val="00BB6E9D"/>
    <w:rsid w:val="00BC03BA"/>
    <w:rsid w:val="00BC0E16"/>
    <w:rsid w:val="00BC0EAB"/>
    <w:rsid w:val="00BC16EF"/>
    <w:rsid w:val="00BC5059"/>
    <w:rsid w:val="00BC6956"/>
    <w:rsid w:val="00BC7540"/>
    <w:rsid w:val="00BC7E8D"/>
    <w:rsid w:val="00BD0EFF"/>
    <w:rsid w:val="00BD1E3F"/>
    <w:rsid w:val="00BD2A02"/>
    <w:rsid w:val="00BD341F"/>
    <w:rsid w:val="00BD4C7C"/>
    <w:rsid w:val="00BD52E1"/>
    <w:rsid w:val="00BD7805"/>
    <w:rsid w:val="00BD7D3D"/>
    <w:rsid w:val="00BE00EF"/>
    <w:rsid w:val="00BE2D59"/>
    <w:rsid w:val="00BE2E5F"/>
    <w:rsid w:val="00BE546D"/>
    <w:rsid w:val="00BE554F"/>
    <w:rsid w:val="00BE5DC9"/>
    <w:rsid w:val="00BE6FBF"/>
    <w:rsid w:val="00BE7055"/>
    <w:rsid w:val="00BE764A"/>
    <w:rsid w:val="00BE7A9C"/>
    <w:rsid w:val="00BF051D"/>
    <w:rsid w:val="00BF1561"/>
    <w:rsid w:val="00BF19D7"/>
    <w:rsid w:val="00BF1C96"/>
    <w:rsid w:val="00BF2163"/>
    <w:rsid w:val="00BF29DB"/>
    <w:rsid w:val="00BF2B9C"/>
    <w:rsid w:val="00BF2F11"/>
    <w:rsid w:val="00BF4A48"/>
    <w:rsid w:val="00BF5061"/>
    <w:rsid w:val="00BF5DD5"/>
    <w:rsid w:val="00C01085"/>
    <w:rsid w:val="00C01768"/>
    <w:rsid w:val="00C0458C"/>
    <w:rsid w:val="00C04638"/>
    <w:rsid w:val="00C053CB"/>
    <w:rsid w:val="00C0786D"/>
    <w:rsid w:val="00C10A48"/>
    <w:rsid w:val="00C11B36"/>
    <w:rsid w:val="00C11D76"/>
    <w:rsid w:val="00C120DA"/>
    <w:rsid w:val="00C1287E"/>
    <w:rsid w:val="00C13CE3"/>
    <w:rsid w:val="00C14760"/>
    <w:rsid w:val="00C14874"/>
    <w:rsid w:val="00C15BBC"/>
    <w:rsid w:val="00C1634B"/>
    <w:rsid w:val="00C16AB1"/>
    <w:rsid w:val="00C17B41"/>
    <w:rsid w:val="00C20448"/>
    <w:rsid w:val="00C2196F"/>
    <w:rsid w:val="00C231AA"/>
    <w:rsid w:val="00C23948"/>
    <w:rsid w:val="00C24D7E"/>
    <w:rsid w:val="00C271FC"/>
    <w:rsid w:val="00C276A6"/>
    <w:rsid w:val="00C276C9"/>
    <w:rsid w:val="00C30127"/>
    <w:rsid w:val="00C31031"/>
    <w:rsid w:val="00C312BA"/>
    <w:rsid w:val="00C32749"/>
    <w:rsid w:val="00C33169"/>
    <w:rsid w:val="00C33197"/>
    <w:rsid w:val="00C331CD"/>
    <w:rsid w:val="00C35A4D"/>
    <w:rsid w:val="00C35E4D"/>
    <w:rsid w:val="00C368F3"/>
    <w:rsid w:val="00C37ADA"/>
    <w:rsid w:val="00C37FE7"/>
    <w:rsid w:val="00C40556"/>
    <w:rsid w:val="00C40DEB"/>
    <w:rsid w:val="00C42A7B"/>
    <w:rsid w:val="00C42B61"/>
    <w:rsid w:val="00C43CB7"/>
    <w:rsid w:val="00C46733"/>
    <w:rsid w:val="00C4685E"/>
    <w:rsid w:val="00C51E21"/>
    <w:rsid w:val="00C53467"/>
    <w:rsid w:val="00C565C6"/>
    <w:rsid w:val="00C60C81"/>
    <w:rsid w:val="00C60E01"/>
    <w:rsid w:val="00C61329"/>
    <w:rsid w:val="00C61976"/>
    <w:rsid w:val="00C63FA0"/>
    <w:rsid w:val="00C646B0"/>
    <w:rsid w:val="00C64821"/>
    <w:rsid w:val="00C64F5D"/>
    <w:rsid w:val="00C651F7"/>
    <w:rsid w:val="00C67A5D"/>
    <w:rsid w:val="00C70958"/>
    <w:rsid w:val="00C71D13"/>
    <w:rsid w:val="00C73F2B"/>
    <w:rsid w:val="00C746A8"/>
    <w:rsid w:val="00C750A8"/>
    <w:rsid w:val="00C76C9A"/>
    <w:rsid w:val="00C77881"/>
    <w:rsid w:val="00C80B31"/>
    <w:rsid w:val="00C83261"/>
    <w:rsid w:val="00C84552"/>
    <w:rsid w:val="00C84EDA"/>
    <w:rsid w:val="00C851D0"/>
    <w:rsid w:val="00C8539D"/>
    <w:rsid w:val="00C8610E"/>
    <w:rsid w:val="00C862C0"/>
    <w:rsid w:val="00C87CCD"/>
    <w:rsid w:val="00C91022"/>
    <w:rsid w:val="00C919DB"/>
    <w:rsid w:val="00C92C73"/>
    <w:rsid w:val="00C93488"/>
    <w:rsid w:val="00C955AF"/>
    <w:rsid w:val="00C9573D"/>
    <w:rsid w:val="00C970BB"/>
    <w:rsid w:val="00C97326"/>
    <w:rsid w:val="00C97499"/>
    <w:rsid w:val="00C97A93"/>
    <w:rsid w:val="00C97CCE"/>
    <w:rsid w:val="00CA18AA"/>
    <w:rsid w:val="00CA2156"/>
    <w:rsid w:val="00CA41B7"/>
    <w:rsid w:val="00CA603E"/>
    <w:rsid w:val="00CA6672"/>
    <w:rsid w:val="00CA7322"/>
    <w:rsid w:val="00CA7BE1"/>
    <w:rsid w:val="00CA7BFC"/>
    <w:rsid w:val="00CB198E"/>
    <w:rsid w:val="00CB294D"/>
    <w:rsid w:val="00CB57A3"/>
    <w:rsid w:val="00CC0404"/>
    <w:rsid w:val="00CC0C3B"/>
    <w:rsid w:val="00CC1996"/>
    <w:rsid w:val="00CC1E0B"/>
    <w:rsid w:val="00CC26AB"/>
    <w:rsid w:val="00CC2832"/>
    <w:rsid w:val="00CC2B90"/>
    <w:rsid w:val="00CD05E3"/>
    <w:rsid w:val="00CD0D93"/>
    <w:rsid w:val="00CD1B1A"/>
    <w:rsid w:val="00CD44E8"/>
    <w:rsid w:val="00CD46E2"/>
    <w:rsid w:val="00CD53C1"/>
    <w:rsid w:val="00CE043E"/>
    <w:rsid w:val="00CE1125"/>
    <w:rsid w:val="00CE29F0"/>
    <w:rsid w:val="00CE40CE"/>
    <w:rsid w:val="00CE42FA"/>
    <w:rsid w:val="00CE4CE9"/>
    <w:rsid w:val="00CE5369"/>
    <w:rsid w:val="00CE5DE4"/>
    <w:rsid w:val="00CE6809"/>
    <w:rsid w:val="00CE7788"/>
    <w:rsid w:val="00CF02E2"/>
    <w:rsid w:val="00CF09BC"/>
    <w:rsid w:val="00CF1C0B"/>
    <w:rsid w:val="00CF6E6C"/>
    <w:rsid w:val="00CF7142"/>
    <w:rsid w:val="00D005CF"/>
    <w:rsid w:val="00D00EC4"/>
    <w:rsid w:val="00D020B8"/>
    <w:rsid w:val="00D0227E"/>
    <w:rsid w:val="00D027CE"/>
    <w:rsid w:val="00D029F8"/>
    <w:rsid w:val="00D03224"/>
    <w:rsid w:val="00D03740"/>
    <w:rsid w:val="00D0503A"/>
    <w:rsid w:val="00D05C7B"/>
    <w:rsid w:val="00D05F79"/>
    <w:rsid w:val="00D074C8"/>
    <w:rsid w:val="00D07D83"/>
    <w:rsid w:val="00D1104A"/>
    <w:rsid w:val="00D125B0"/>
    <w:rsid w:val="00D12993"/>
    <w:rsid w:val="00D13400"/>
    <w:rsid w:val="00D14790"/>
    <w:rsid w:val="00D152CA"/>
    <w:rsid w:val="00D15A6E"/>
    <w:rsid w:val="00D15FC2"/>
    <w:rsid w:val="00D1757B"/>
    <w:rsid w:val="00D17987"/>
    <w:rsid w:val="00D2390C"/>
    <w:rsid w:val="00D240EB"/>
    <w:rsid w:val="00D25EAA"/>
    <w:rsid w:val="00D25EE9"/>
    <w:rsid w:val="00D2626E"/>
    <w:rsid w:val="00D26F03"/>
    <w:rsid w:val="00D27820"/>
    <w:rsid w:val="00D30A5C"/>
    <w:rsid w:val="00D318F3"/>
    <w:rsid w:val="00D31FAB"/>
    <w:rsid w:val="00D3394C"/>
    <w:rsid w:val="00D34578"/>
    <w:rsid w:val="00D34B2F"/>
    <w:rsid w:val="00D40664"/>
    <w:rsid w:val="00D41428"/>
    <w:rsid w:val="00D41AE7"/>
    <w:rsid w:val="00D432FD"/>
    <w:rsid w:val="00D43690"/>
    <w:rsid w:val="00D458D5"/>
    <w:rsid w:val="00D46CE5"/>
    <w:rsid w:val="00D47C03"/>
    <w:rsid w:val="00D50B28"/>
    <w:rsid w:val="00D51640"/>
    <w:rsid w:val="00D52DE3"/>
    <w:rsid w:val="00D530A3"/>
    <w:rsid w:val="00D559F4"/>
    <w:rsid w:val="00D55BB8"/>
    <w:rsid w:val="00D57DEE"/>
    <w:rsid w:val="00D60633"/>
    <w:rsid w:val="00D628F5"/>
    <w:rsid w:val="00D637FB"/>
    <w:rsid w:val="00D63BDA"/>
    <w:rsid w:val="00D64660"/>
    <w:rsid w:val="00D64E60"/>
    <w:rsid w:val="00D6511B"/>
    <w:rsid w:val="00D668AF"/>
    <w:rsid w:val="00D66925"/>
    <w:rsid w:val="00D67D64"/>
    <w:rsid w:val="00D70919"/>
    <w:rsid w:val="00D7254F"/>
    <w:rsid w:val="00D737E1"/>
    <w:rsid w:val="00D73D75"/>
    <w:rsid w:val="00D74E43"/>
    <w:rsid w:val="00D76206"/>
    <w:rsid w:val="00D76409"/>
    <w:rsid w:val="00D8051B"/>
    <w:rsid w:val="00D80805"/>
    <w:rsid w:val="00D81E7D"/>
    <w:rsid w:val="00D86671"/>
    <w:rsid w:val="00D86E42"/>
    <w:rsid w:val="00D920B4"/>
    <w:rsid w:val="00D92795"/>
    <w:rsid w:val="00D953AC"/>
    <w:rsid w:val="00D96B76"/>
    <w:rsid w:val="00D96D07"/>
    <w:rsid w:val="00D96DC0"/>
    <w:rsid w:val="00D9718A"/>
    <w:rsid w:val="00D975F7"/>
    <w:rsid w:val="00DA2A78"/>
    <w:rsid w:val="00DA3435"/>
    <w:rsid w:val="00DA37F2"/>
    <w:rsid w:val="00DA3A12"/>
    <w:rsid w:val="00DA4CA8"/>
    <w:rsid w:val="00DA7846"/>
    <w:rsid w:val="00DA7C59"/>
    <w:rsid w:val="00DA7C5B"/>
    <w:rsid w:val="00DB0BA1"/>
    <w:rsid w:val="00DB0F85"/>
    <w:rsid w:val="00DB1948"/>
    <w:rsid w:val="00DB1DF4"/>
    <w:rsid w:val="00DB239F"/>
    <w:rsid w:val="00DB3423"/>
    <w:rsid w:val="00DB34AE"/>
    <w:rsid w:val="00DB54CD"/>
    <w:rsid w:val="00DB587F"/>
    <w:rsid w:val="00DB664F"/>
    <w:rsid w:val="00DB6F97"/>
    <w:rsid w:val="00DB725E"/>
    <w:rsid w:val="00DC1AED"/>
    <w:rsid w:val="00DC2FC4"/>
    <w:rsid w:val="00DC4E3A"/>
    <w:rsid w:val="00DC6242"/>
    <w:rsid w:val="00DC6641"/>
    <w:rsid w:val="00DC7206"/>
    <w:rsid w:val="00DD12A8"/>
    <w:rsid w:val="00DD2912"/>
    <w:rsid w:val="00DD4AD9"/>
    <w:rsid w:val="00DD6207"/>
    <w:rsid w:val="00DE0BE1"/>
    <w:rsid w:val="00DE0C61"/>
    <w:rsid w:val="00DE0FC3"/>
    <w:rsid w:val="00DE3092"/>
    <w:rsid w:val="00DE3719"/>
    <w:rsid w:val="00DE418A"/>
    <w:rsid w:val="00DE42D4"/>
    <w:rsid w:val="00DE4F70"/>
    <w:rsid w:val="00DE7026"/>
    <w:rsid w:val="00DE774D"/>
    <w:rsid w:val="00DE7C0E"/>
    <w:rsid w:val="00DF0FEB"/>
    <w:rsid w:val="00DF21B6"/>
    <w:rsid w:val="00DF4C88"/>
    <w:rsid w:val="00DF6207"/>
    <w:rsid w:val="00E008C8"/>
    <w:rsid w:val="00E01DE9"/>
    <w:rsid w:val="00E026BF"/>
    <w:rsid w:val="00E04250"/>
    <w:rsid w:val="00E043C7"/>
    <w:rsid w:val="00E04B49"/>
    <w:rsid w:val="00E0655B"/>
    <w:rsid w:val="00E0728C"/>
    <w:rsid w:val="00E10DD9"/>
    <w:rsid w:val="00E1108A"/>
    <w:rsid w:val="00E11139"/>
    <w:rsid w:val="00E121AC"/>
    <w:rsid w:val="00E12D53"/>
    <w:rsid w:val="00E139AA"/>
    <w:rsid w:val="00E17930"/>
    <w:rsid w:val="00E214FC"/>
    <w:rsid w:val="00E21B38"/>
    <w:rsid w:val="00E21BE6"/>
    <w:rsid w:val="00E24402"/>
    <w:rsid w:val="00E26F74"/>
    <w:rsid w:val="00E27B6A"/>
    <w:rsid w:val="00E32A92"/>
    <w:rsid w:val="00E32EDE"/>
    <w:rsid w:val="00E3365E"/>
    <w:rsid w:val="00E33D88"/>
    <w:rsid w:val="00E34E36"/>
    <w:rsid w:val="00E351C2"/>
    <w:rsid w:val="00E35579"/>
    <w:rsid w:val="00E37C19"/>
    <w:rsid w:val="00E37CED"/>
    <w:rsid w:val="00E37E2C"/>
    <w:rsid w:val="00E4009F"/>
    <w:rsid w:val="00E41414"/>
    <w:rsid w:val="00E4329C"/>
    <w:rsid w:val="00E436D8"/>
    <w:rsid w:val="00E4560D"/>
    <w:rsid w:val="00E460DA"/>
    <w:rsid w:val="00E46442"/>
    <w:rsid w:val="00E46F71"/>
    <w:rsid w:val="00E47371"/>
    <w:rsid w:val="00E476E2"/>
    <w:rsid w:val="00E47F06"/>
    <w:rsid w:val="00E51A41"/>
    <w:rsid w:val="00E53137"/>
    <w:rsid w:val="00E57051"/>
    <w:rsid w:val="00E574DD"/>
    <w:rsid w:val="00E618E4"/>
    <w:rsid w:val="00E61AE3"/>
    <w:rsid w:val="00E620D1"/>
    <w:rsid w:val="00E62D56"/>
    <w:rsid w:val="00E6486E"/>
    <w:rsid w:val="00E64BFC"/>
    <w:rsid w:val="00E64D22"/>
    <w:rsid w:val="00E64F43"/>
    <w:rsid w:val="00E65D76"/>
    <w:rsid w:val="00E71D3E"/>
    <w:rsid w:val="00E7207F"/>
    <w:rsid w:val="00E72798"/>
    <w:rsid w:val="00E74F53"/>
    <w:rsid w:val="00E75278"/>
    <w:rsid w:val="00E75DF8"/>
    <w:rsid w:val="00E774A0"/>
    <w:rsid w:val="00E80E88"/>
    <w:rsid w:val="00E8141E"/>
    <w:rsid w:val="00E84990"/>
    <w:rsid w:val="00E85061"/>
    <w:rsid w:val="00E85581"/>
    <w:rsid w:val="00E86B30"/>
    <w:rsid w:val="00E87500"/>
    <w:rsid w:val="00E92BF3"/>
    <w:rsid w:val="00E931BC"/>
    <w:rsid w:val="00E934A1"/>
    <w:rsid w:val="00E937EA"/>
    <w:rsid w:val="00E94790"/>
    <w:rsid w:val="00E9522E"/>
    <w:rsid w:val="00EA14EC"/>
    <w:rsid w:val="00EA1A84"/>
    <w:rsid w:val="00EA246D"/>
    <w:rsid w:val="00EA41A7"/>
    <w:rsid w:val="00EA494B"/>
    <w:rsid w:val="00EA6683"/>
    <w:rsid w:val="00EB11D7"/>
    <w:rsid w:val="00EB12C0"/>
    <w:rsid w:val="00EB16A1"/>
    <w:rsid w:val="00EB2401"/>
    <w:rsid w:val="00EB2CAB"/>
    <w:rsid w:val="00EB2CB0"/>
    <w:rsid w:val="00EB3362"/>
    <w:rsid w:val="00EB473C"/>
    <w:rsid w:val="00EB4B9D"/>
    <w:rsid w:val="00EB4E43"/>
    <w:rsid w:val="00EB65D7"/>
    <w:rsid w:val="00EB66F9"/>
    <w:rsid w:val="00EC046B"/>
    <w:rsid w:val="00EC1F17"/>
    <w:rsid w:val="00EC283E"/>
    <w:rsid w:val="00EC2DD1"/>
    <w:rsid w:val="00EC35BD"/>
    <w:rsid w:val="00EC3EA0"/>
    <w:rsid w:val="00EC4122"/>
    <w:rsid w:val="00EC5D55"/>
    <w:rsid w:val="00ED0925"/>
    <w:rsid w:val="00ED1279"/>
    <w:rsid w:val="00ED1728"/>
    <w:rsid w:val="00ED1C2E"/>
    <w:rsid w:val="00ED265A"/>
    <w:rsid w:val="00ED438B"/>
    <w:rsid w:val="00ED448D"/>
    <w:rsid w:val="00ED4AFE"/>
    <w:rsid w:val="00ED6502"/>
    <w:rsid w:val="00EE060F"/>
    <w:rsid w:val="00EE068C"/>
    <w:rsid w:val="00EE08C8"/>
    <w:rsid w:val="00EE0DD7"/>
    <w:rsid w:val="00EE1507"/>
    <w:rsid w:val="00EE1EEC"/>
    <w:rsid w:val="00EE2025"/>
    <w:rsid w:val="00EE2BAE"/>
    <w:rsid w:val="00EE2F28"/>
    <w:rsid w:val="00EE4FEE"/>
    <w:rsid w:val="00EE70DB"/>
    <w:rsid w:val="00EE782F"/>
    <w:rsid w:val="00EF45C3"/>
    <w:rsid w:val="00EF4BED"/>
    <w:rsid w:val="00EF52B1"/>
    <w:rsid w:val="00EF5DD9"/>
    <w:rsid w:val="00F0158F"/>
    <w:rsid w:val="00F03813"/>
    <w:rsid w:val="00F04F2F"/>
    <w:rsid w:val="00F06C67"/>
    <w:rsid w:val="00F07A7A"/>
    <w:rsid w:val="00F10111"/>
    <w:rsid w:val="00F10115"/>
    <w:rsid w:val="00F101A3"/>
    <w:rsid w:val="00F10BB0"/>
    <w:rsid w:val="00F11A57"/>
    <w:rsid w:val="00F136E0"/>
    <w:rsid w:val="00F16359"/>
    <w:rsid w:val="00F16953"/>
    <w:rsid w:val="00F16B59"/>
    <w:rsid w:val="00F17168"/>
    <w:rsid w:val="00F22920"/>
    <w:rsid w:val="00F22CAD"/>
    <w:rsid w:val="00F233C1"/>
    <w:rsid w:val="00F24C34"/>
    <w:rsid w:val="00F254AD"/>
    <w:rsid w:val="00F3192F"/>
    <w:rsid w:val="00F32BE6"/>
    <w:rsid w:val="00F35A30"/>
    <w:rsid w:val="00F369F7"/>
    <w:rsid w:val="00F40176"/>
    <w:rsid w:val="00F40C61"/>
    <w:rsid w:val="00F411E2"/>
    <w:rsid w:val="00F427CC"/>
    <w:rsid w:val="00F442EF"/>
    <w:rsid w:val="00F449F9"/>
    <w:rsid w:val="00F44B91"/>
    <w:rsid w:val="00F47E9D"/>
    <w:rsid w:val="00F47FC7"/>
    <w:rsid w:val="00F519E4"/>
    <w:rsid w:val="00F53257"/>
    <w:rsid w:val="00F533D5"/>
    <w:rsid w:val="00F5515A"/>
    <w:rsid w:val="00F5625A"/>
    <w:rsid w:val="00F5731E"/>
    <w:rsid w:val="00F604D4"/>
    <w:rsid w:val="00F6300C"/>
    <w:rsid w:val="00F6306E"/>
    <w:rsid w:val="00F63889"/>
    <w:rsid w:val="00F65DC3"/>
    <w:rsid w:val="00F71390"/>
    <w:rsid w:val="00F71DCE"/>
    <w:rsid w:val="00F7610C"/>
    <w:rsid w:val="00F76194"/>
    <w:rsid w:val="00F76F95"/>
    <w:rsid w:val="00F80FAB"/>
    <w:rsid w:val="00F82BC2"/>
    <w:rsid w:val="00F84186"/>
    <w:rsid w:val="00F859DA"/>
    <w:rsid w:val="00F905FA"/>
    <w:rsid w:val="00F9288D"/>
    <w:rsid w:val="00F92CB3"/>
    <w:rsid w:val="00F93224"/>
    <w:rsid w:val="00F933A3"/>
    <w:rsid w:val="00F93895"/>
    <w:rsid w:val="00F9434D"/>
    <w:rsid w:val="00F94FE7"/>
    <w:rsid w:val="00F96A0F"/>
    <w:rsid w:val="00FA21A0"/>
    <w:rsid w:val="00FA2758"/>
    <w:rsid w:val="00FA4491"/>
    <w:rsid w:val="00FA49B8"/>
    <w:rsid w:val="00FA4A49"/>
    <w:rsid w:val="00FA6D70"/>
    <w:rsid w:val="00FB007A"/>
    <w:rsid w:val="00FB14A6"/>
    <w:rsid w:val="00FB16B5"/>
    <w:rsid w:val="00FB1844"/>
    <w:rsid w:val="00FB20BE"/>
    <w:rsid w:val="00FB259F"/>
    <w:rsid w:val="00FB272A"/>
    <w:rsid w:val="00FB28C4"/>
    <w:rsid w:val="00FB28E9"/>
    <w:rsid w:val="00FB2D31"/>
    <w:rsid w:val="00FB2FE6"/>
    <w:rsid w:val="00FB34FE"/>
    <w:rsid w:val="00FB4D2B"/>
    <w:rsid w:val="00FB5FC1"/>
    <w:rsid w:val="00FB6A8E"/>
    <w:rsid w:val="00FB6F34"/>
    <w:rsid w:val="00FB752E"/>
    <w:rsid w:val="00FC2291"/>
    <w:rsid w:val="00FC22E4"/>
    <w:rsid w:val="00FC3E0F"/>
    <w:rsid w:val="00FC3FF6"/>
    <w:rsid w:val="00FC5C18"/>
    <w:rsid w:val="00FC60DB"/>
    <w:rsid w:val="00FC6DDE"/>
    <w:rsid w:val="00FD14EA"/>
    <w:rsid w:val="00FD231A"/>
    <w:rsid w:val="00FD2B05"/>
    <w:rsid w:val="00FD3369"/>
    <w:rsid w:val="00FD394A"/>
    <w:rsid w:val="00FD3B22"/>
    <w:rsid w:val="00FD3EEF"/>
    <w:rsid w:val="00FD4A40"/>
    <w:rsid w:val="00FD4EF4"/>
    <w:rsid w:val="00FD5B7A"/>
    <w:rsid w:val="00FD60DD"/>
    <w:rsid w:val="00FE0116"/>
    <w:rsid w:val="00FE33B1"/>
    <w:rsid w:val="00FE368E"/>
    <w:rsid w:val="00FE374E"/>
    <w:rsid w:val="00FE40BE"/>
    <w:rsid w:val="00FE78F0"/>
    <w:rsid w:val="00FF30D4"/>
    <w:rsid w:val="00FF3A58"/>
    <w:rsid w:val="00FF5494"/>
    <w:rsid w:val="00FF7685"/>
    <w:rsid w:val="010F524E"/>
    <w:rsid w:val="01202DD5"/>
    <w:rsid w:val="012114FA"/>
    <w:rsid w:val="014C40D5"/>
    <w:rsid w:val="01795F41"/>
    <w:rsid w:val="017B2090"/>
    <w:rsid w:val="017B2B4B"/>
    <w:rsid w:val="01882DE9"/>
    <w:rsid w:val="019D74BC"/>
    <w:rsid w:val="01D94483"/>
    <w:rsid w:val="02683509"/>
    <w:rsid w:val="02706638"/>
    <w:rsid w:val="02B853D7"/>
    <w:rsid w:val="03276771"/>
    <w:rsid w:val="034C7AFF"/>
    <w:rsid w:val="03510B84"/>
    <w:rsid w:val="03893B10"/>
    <w:rsid w:val="039321C0"/>
    <w:rsid w:val="03DA1A34"/>
    <w:rsid w:val="03DF34E4"/>
    <w:rsid w:val="03E04A35"/>
    <w:rsid w:val="04113D70"/>
    <w:rsid w:val="044C2313"/>
    <w:rsid w:val="04B30C95"/>
    <w:rsid w:val="04F248E5"/>
    <w:rsid w:val="04FB693D"/>
    <w:rsid w:val="055A1B02"/>
    <w:rsid w:val="05995E54"/>
    <w:rsid w:val="05C04CA3"/>
    <w:rsid w:val="05C86C6A"/>
    <w:rsid w:val="05DD1395"/>
    <w:rsid w:val="060F1DFB"/>
    <w:rsid w:val="061B4CB6"/>
    <w:rsid w:val="061B6D6D"/>
    <w:rsid w:val="06621996"/>
    <w:rsid w:val="069E1F4A"/>
    <w:rsid w:val="069E5DF6"/>
    <w:rsid w:val="06C632EC"/>
    <w:rsid w:val="06D3303D"/>
    <w:rsid w:val="06DE2608"/>
    <w:rsid w:val="07195727"/>
    <w:rsid w:val="0728491C"/>
    <w:rsid w:val="07313D00"/>
    <w:rsid w:val="07391B32"/>
    <w:rsid w:val="07623F84"/>
    <w:rsid w:val="07626C2E"/>
    <w:rsid w:val="07C26CA5"/>
    <w:rsid w:val="07E51774"/>
    <w:rsid w:val="07E725C0"/>
    <w:rsid w:val="07FF3B44"/>
    <w:rsid w:val="08115849"/>
    <w:rsid w:val="08762705"/>
    <w:rsid w:val="089221ED"/>
    <w:rsid w:val="08AA40C0"/>
    <w:rsid w:val="08B5787C"/>
    <w:rsid w:val="08E90215"/>
    <w:rsid w:val="08EC4C92"/>
    <w:rsid w:val="08F479AA"/>
    <w:rsid w:val="091E614B"/>
    <w:rsid w:val="092D54BA"/>
    <w:rsid w:val="09355DDA"/>
    <w:rsid w:val="094606C1"/>
    <w:rsid w:val="09575226"/>
    <w:rsid w:val="09990053"/>
    <w:rsid w:val="09A926ED"/>
    <w:rsid w:val="09B06EDC"/>
    <w:rsid w:val="09E85F5C"/>
    <w:rsid w:val="09F94205"/>
    <w:rsid w:val="09FD0E9F"/>
    <w:rsid w:val="0A1B74A7"/>
    <w:rsid w:val="0A2A4608"/>
    <w:rsid w:val="0A35776E"/>
    <w:rsid w:val="0A404104"/>
    <w:rsid w:val="0A457090"/>
    <w:rsid w:val="0AAF218C"/>
    <w:rsid w:val="0AE00C72"/>
    <w:rsid w:val="0B353EC5"/>
    <w:rsid w:val="0B372F94"/>
    <w:rsid w:val="0B666A61"/>
    <w:rsid w:val="0BC11374"/>
    <w:rsid w:val="0BE707C3"/>
    <w:rsid w:val="0BF51519"/>
    <w:rsid w:val="0C3254DC"/>
    <w:rsid w:val="0C531573"/>
    <w:rsid w:val="0C7D65BC"/>
    <w:rsid w:val="0C881072"/>
    <w:rsid w:val="0CA65BEE"/>
    <w:rsid w:val="0CA92912"/>
    <w:rsid w:val="0CAD38AC"/>
    <w:rsid w:val="0CD52391"/>
    <w:rsid w:val="0CD90881"/>
    <w:rsid w:val="0CED7D8C"/>
    <w:rsid w:val="0CFC5B32"/>
    <w:rsid w:val="0D05510F"/>
    <w:rsid w:val="0D693D57"/>
    <w:rsid w:val="0D6A4AD7"/>
    <w:rsid w:val="0DA729C5"/>
    <w:rsid w:val="0DD53DD4"/>
    <w:rsid w:val="0E1C0C4C"/>
    <w:rsid w:val="0E320F44"/>
    <w:rsid w:val="0E75260D"/>
    <w:rsid w:val="0E8C7F2B"/>
    <w:rsid w:val="0EA21E2B"/>
    <w:rsid w:val="0ECA6F80"/>
    <w:rsid w:val="0EEF7708"/>
    <w:rsid w:val="0F9D6B5D"/>
    <w:rsid w:val="0FB51311"/>
    <w:rsid w:val="0FD706E3"/>
    <w:rsid w:val="1009014F"/>
    <w:rsid w:val="10913E5D"/>
    <w:rsid w:val="11214B6D"/>
    <w:rsid w:val="115054C6"/>
    <w:rsid w:val="11D00633"/>
    <w:rsid w:val="11E97D60"/>
    <w:rsid w:val="12307488"/>
    <w:rsid w:val="123B307B"/>
    <w:rsid w:val="125A2056"/>
    <w:rsid w:val="125C6E10"/>
    <w:rsid w:val="12817D16"/>
    <w:rsid w:val="128F16CE"/>
    <w:rsid w:val="12D07D6F"/>
    <w:rsid w:val="132F3060"/>
    <w:rsid w:val="13387FAE"/>
    <w:rsid w:val="133B3B5D"/>
    <w:rsid w:val="133F5C40"/>
    <w:rsid w:val="13983E78"/>
    <w:rsid w:val="13B91FDD"/>
    <w:rsid w:val="13FA45B8"/>
    <w:rsid w:val="14215BE8"/>
    <w:rsid w:val="14340E2C"/>
    <w:rsid w:val="14CC4197"/>
    <w:rsid w:val="15086132"/>
    <w:rsid w:val="15087709"/>
    <w:rsid w:val="151072FF"/>
    <w:rsid w:val="15C745A0"/>
    <w:rsid w:val="15C76D29"/>
    <w:rsid w:val="15D90646"/>
    <w:rsid w:val="15F95707"/>
    <w:rsid w:val="1648040C"/>
    <w:rsid w:val="16BC586A"/>
    <w:rsid w:val="16C62AAA"/>
    <w:rsid w:val="16DC3CA1"/>
    <w:rsid w:val="16E849EB"/>
    <w:rsid w:val="17134CD7"/>
    <w:rsid w:val="17153C0C"/>
    <w:rsid w:val="173139BE"/>
    <w:rsid w:val="173F7C7B"/>
    <w:rsid w:val="177B5846"/>
    <w:rsid w:val="17976DCF"/>
    <w:rsid w:val="17B9616B"/>
    <w:rsid w:val="17F078CC"/>
    <w:rsid w:val="18014BF4"/>
    <w:rsid w:val="180718CF"/>
    <w:rsid w:val="18120519"/>
    <w:rsid w:val="1819413A"/>
    <w:rsid w:val="181A7599"/>
    <w:rsid w:val="18244E26"/>
    <w:rsid w:val="183506F4"/>
    <w:rsid w:val="18C04373"/>
    <w:rsid w:val="18C3178B"/>
    <w:rsid w:val="190301FC"/>
    <w:rsid w:val="19130DDF"/>
    <w:rsid w:val="195B1CE4"/>
    <w:rsid w:val="19770EA0"/>
    <w:rsid w:val="19BA5D94"/>
    <w:rsid w:val="1A1B310D"/>
    <w:rsid w:val="1A6768A8"/>
    <w:rsid w:val="1A7C1301"/>
    <w:rsid w:val="1B0F4218"/>
    <w:rsid w:val="1B3A2A27"/>
    <w:rsid w:val="1B627C0A"/>
    <w:rsid w:val="1B695A45"/>
    <w:rsid w:val="1B7603DB"/>
    <w:rsid w:val="1B7A01CA"/>
    <w:rsid w:val="1B972C67"/>
    <w:rsid w:val="1BAA3DE2"/>
    <w:rsid w:val="1BC87E51"/>
    <w:rsid w:val="1BF20734"/>
    <w:rsid w:val="1C133A6A"/>
    <w:rsid w:val="1C1D5C5A"/>
    <w:rsid w:val="1C8B2DC8"/>
    <w:rsid w:val="1C8E26A5"/>
    <w:rsid w:val="1CA90EA4"/>
    <w:rsid w:val="1CBD009F"/>
    <w:rsid w:val="1CD8377F"/>
    <w:rsid w:val="1CEF2A16"/>
    <w:rsid w:val="1D433820"/>
    <w:rsid w:val="1D5A77BF"/>
    <w:rsid w:val="1D667FFB"/>
    <w:rsid w:val="1DB218CD"/>
    <w:rsid w:val="1DC5334C"/>
    <w:rsid w:val="1DD20ADB"/>
    <w:rsid w:val="1DE44157"/>
    <w:rsid w:val="1E7563B9"/>
    <w:rsid w:val="1E764E95"/>
    <w:rsid w:val="1EB13227"/>
    <w:rsid w:val="1EB35280"/>
    <w:rsid w:val="1EC55C47"/>
    <w:rsid w:val="1EF21687"/>
    <w:rsid w:val="1F265792"/>
    <w:rsid w:val="1F2C68C3"/>
    <w:rsid w:val="1F843D72"/>
    <w:rsid w:val="1FB14E3C"/>
    <w:rsid w:val="1FE067FD"/>
    <w:rsid w:val="1FF634FB"/>
    <w:rsid w:val="1FF94A12"/>
    <w:rsid w:val="206261AF"/>
    <w:rsid w:val="20AD0BF1"/>
    <w:rsid w:val="20F24498"/>
    <w:rsid w:val="212818A2"/>
    <w:rsid w:val="21401C1D"/>
    <w:rsid w:val="21FE536F"/>
    <w:rsid w:val="22052962"/>
    <w:rsid w:val="222E39E5"/>
    <w:rsid w:val="225E0B69"/>
    <w:rsid w:val="228F38A0"/>
    <w:rsid w:val="22A74099"/>
    <w:rsid w:val="22D00F8D"/>
    <w:rsid w:val="22F440F6"/>
    <w:rsid w:val="23046E34"/>
    <w:rsid w:val="230D7270"/>
    <w:rsid w:val="2329499C"/>
    <w:rsid w:val="23383F7E"/>
    <w:rsid w:val="234F3F82"/>
    <w:rsid w:val="23CA0FA7"/>
    <w:rsid w:val="23E056BF"/>
    <w:rsid w:val="23FE7472"/>
    <w:rsid w:val="246642D5"/>
    <w:rsid w:val="248B381C"/>
    <w:rsid w:val="24A67349"/>
    <w:rsid w:val="24B6742C"/>
    <w:rsid w:val="24D61B28"/>
    <w:rsid w:val="24E63433"/>
    <w:rsid w:val="2546260F"/>
    <w:rsid w:val="25E534E9"/>
    <w:rsid w:val="260158AC"/>
    <w:rsid w:val="260643AC"/>
    <w:rsid w:val="262558FD"/>
    <w:rsid w:val="262F6D01"/>
    <w:rsid w:val="267D3811"/>
    <w:rsid w:val="26A915A7"/>
    <w:rsid w:val="26AC1B2A"/>
    <w:rsid w:val="26BE0D88"/>
    <w:rsid w:val="26CF1B23"/>
    <w:rsid w:val="26FC2A88"/>
    <w:rsid w:val="272378A0"/>
    <w:rsid w:val="27265A63"/>
    <w:rsid w:val="276F394A"/>
    <w:rsid w:val="27850DB9"/>
    <w:rsid w:val="27A72947"/>
    <w:rsid w:val="27E47E54"/>
    <w:rsid w:val="283A6E54"/>
    <w:rsid w:val="28426463"/>
    <w:rsid w:val="28692B08"/>
    <w:rsid w:val="291C455A"/>
    <w:rsid w:val="29845D0F"/>
    <w:rsid w:val="29B24BC0"/>
    <w:rsid w:val="29F738D5"/>
    <w:rsid w:val="2A240F21"/>
    <w:rsid w:val="2A3E16D4"/>
    <w:rsid w:val="2A3F55BB"/>
    <w:rsid w:val="2AED0F37"/>
    <w:rsid w:val="2AEF2177"/>
    <w:rsid w:val="2AFA220A"/>
    <w:rsid w:val="2AFB78CB"/>
    <w:rsid w:val="2B146FA7"/>
    <w:rsid w:val="2B1F7F6F"/>
    <w:rsid w:val="2B6A2F2F"/>
    <w:rsid w:val="2BAF36D8"/>
    <w:rsid w:val="2BBF30C3"/>
    <w:rsid w:val="2BC9660D"/>
    <w:rsid w:val="2BE25E1D"/>
    <w:rsid w:val="2BF57FEE"/>
    <w:rsid w:val="2C2038D9"/>
    <w:rsid w:val="2C395FDA"/>
    <w:rsid w:val="2C9835CA"/>
    <w:rsid w:val="2CA11F33"/>
    <w:rsid w:val="2CBB0CDE"/>
    <w:rsid w:val="2D063840"/>
    <w:rsid w:val="2D1266CA"/>
    <w:rsid w:val="2D3B5BE3"/>
    <w:rsid w:val="2D6F34E2"/>
    <w:rsid w:val="2D7C1049"/>
    <w:rsid w:val="2DAA7713"/>
    <w:rsid w:val="2DE36914"/>
    <w:rsid w:val="2DFE5996"/>
    <w:rsid w:val="2E0C1D6B"/>
    <w:rsid w:val="2E2850C4"/>
    <w:rsid w:val="2E304BA3"/>
    <w:rsid w:val="2E375F69"/>
    <w:rsid w:val="2E501652"/>
    <w:rsid w:val="2EAE1057"/>
    <w:rsid w:val="2ECE666B"/>
    <w:rsid w:val="2F192FE1"/>
    <w:rsid w:val="2F450157"/>
    <w:rsid w:val="2F620F1B"/>
    <w:rsid w:val="2F6C67B2"/>
    <w:rsid w:val="2F871A63"/>
    <w:rsid w:val="2F953221"/>
    <w:rsid w:val="2FBF3F34"/>
    <w:rsid w:val="2FC52C51"/>
    <w:rsid w:val="2FE23D62"/>
    <w:rsid w:val="2FE96973"/>
    <w:rsid w:val="30073B78"/>
    <w:rsid w:val="30191405"/>
    <w:rsid w:val="305A4537"/>
    <w:rsid w:val="30A9322D"/>
    <w:rsid w:val="30B45F5A"/>
    <w:rsid w:val="30E74A14"/>
    <w:rsid w:val="310A4DD9"/>
    <w:rsid w:val="31296963"/>
    <w:rsid w:val="312C2234"/>
    <w:rsid w:val="31510EB3"/>
    <w:rsid w:val="317957AA"/>
    <w:rsid w:val="317E36F8"/>
    <w:rsid w:val="318F577F"/>
    <w:rsid w:val="31D72D03"/>
    <w:rsid w:val="31DA54F1"/>
    <w:rsid w:val="32357BA9"/>
    <w:rsid w:val="3247367B"/>
    <w:rsid w:val="3248726D"/>
    <w:rsid w:val="32A65098"/>
    <w:rsid w:val="330D4AFD"/>
    <w:rsid w:val="331122E6"/>
    <w:rsid w:val="33D726ED"/>
    <w:rsid w:val="3405048A"/>
    <w:rsid w:val="340842AA"/>
    <w:rsid w:val="342C1EEB"/>
    <w:rsid w:val="34347434"/>
    <w:rsid w:val="3441319B"/>
    <w:rsid w:val="34682775"/>
    <w:rsid w:val="34B4528F"/>
    <w:rsid w:val="35007B1B"/>
    <w:rsid w:val="350D5220"/>
    <w:rsid w:val="35674031"/>
    <w:rsid w:val="35A250E3"/>
    <w:rsid w:val="35B676B2"/>
    <w:rsid w:val="35CE7777"/>
    <w:rsid w:val="35DC2B6F"/>
    <w:rsid w:val="35FB7A22"/>
    <w:rsid w:val="36642213"/>
    <w:rsid w:val="36ED0492"/>
    <w:rsid w:val="370116CC"/>
    <w:rsid w:val="37154308"/>
    <w:rsid w:val="375B4F46"/>
    <w:rsid w:val="377D4A38"/>
    <w:rsid w:val="37A92E71"/>
    <w:rsid w:val="37AF2D48"/>
    <w:rsid w:val="37F60D8B"/>
    <w:rsid w:val="37F80D27"/>
    <w:rsid w:val="385E6884"/>
    <w:rsid w:val="38A072F0"/>
    <w:rsid w:val="38CD5D8A"/>
    <w:rsid w:val="39680975"/>
    <w:rsid w:val="39B10819"/>
    <w:rsid w:val="39C544C5"/>
    <w:rsid w:val="39D32FD8"/>
    <w:rsid w:val="39D35D97"/>
    <w:rsid w:val="39F30EC3"/>
    <w:rsid w:val="3A291752"/>
    <w:rsid w:val="3A745884"/>
    <w:rsid w:val="3A8413F7"/>
    <w:rsid w:val="3A8C12C3"/>
    <w:rsid w:val="3AB06174"/>
    <w:rsid w:val="3AB61EE7"/>
    <w:rsid w:val="3ACE574C"/>
    <w:rsid w:val="3AE22869"/>
    <w:rsid w:val="3B0B0AD5"/>
    <w:rsid w:val="3B237114"/>
    <w:rsid w:val="3B6B19B8"/>
    <w:rsid w:val="3B6D5039"/>
    <w:rsid w:val="3B8B1A48"/>
    <w:rsid w:val="3B98762F"/>
    <w:rsid w:val="3C4E234C"/>
    <w:rsid w:val="3C694040"/>
    <w:rsid w:val="3CBB5AAA"/>
    <w:rsid w:val="3D143CBF"/>
    <w:rsid w:val="3D1D378A"/>
    <w:rsid w:val="3D24777C"/>
    <w:rsid w:val="3D303804"/>
    <w:rsid w:val="3D3F6BAB"/>
    <w:rsid w:val="3D5939E0"/>
    <w:rsid w:val="3D947A19"/>
    <w:rsid w:val="3DF43376"/>
    <w:rsid w:val="3E030956"/>
    <w:rsid w:val="3E3C2B86"/>
    <w:rsid w:val="3EA84E5D"/>
    <w:rsid w:val="3F0E09A9"/>
    <w:rsid w:val="3F2216AD"/>
    <w:rsid w:val="3F4F3591"/>
    <w:rsid w:val="3F5465F5"/>
    <w:rsid w:val="3FAE745D"/>
    <w:rsid w:val="3FCD1DFE"/>
    <w:rsid w:val="3FFF7BB7"/>
    <w:rsid w:val="401D7FC2"/>
    <w:rsid w:val="402076B5"/>
    <w:rsid w:val="4044724E"/>
    <w:rsid w:val="408C16E3"/>
    <w:rsid w:val="409B1695"/>
    <w:rsid w:val="40BB111F"/>
    <w:rsid w:val="411205E2"/>
    <w:rsid w:val="411E6935"/>
    <w:rsid w:val="413F21B1"/>
    <w:rsid w:val="415E75E9"/>
    <w:rsid w:val="4170331F"/>
    <w:rsid w:val="41805DAA"/>
    <w:rsid w:val="41895A94"/>
    <w:rsid w:val="419E510B"/>
    <w:rsid w:val="41A62A24"/>
    <w:rsid w:val="41BE651B"/>
    <w:rsid w:val="41CD0E98"/>
    <w:rsid w:val="42263950"/>
    <w:rsid w:val="42732C7A"/>
    <w:rsid w:val="429172CC"/>
    <w:rsid w:val="42BB6E80"/>
    <w:rsid w:val="42CE0484"/>
    <w:rsid w:val="43054933"/>
    <w:rsid w:val="431F54B9"/>
    <w:rsid w:val="43AB4B93"/>
    <w:rsid w:val="43ED0110"/>
    <w:rsid w:val="43FA7D96"/>
    <w:rsid w:val="441E372E"/>
    <w:rsid w:val="442B4487"/>
    <w:rsid w:val="44550E45"/>
    <w:rsid w:val="447764CA"/>
    <w:rsid w:val="44885499"/>
    <w:rsid w:val="44A80EBB"/>
    <w:rsid w:val="451F670F"/>
    <w:rsid w:val="455F36F2"/>
    <w:rsid w:val="45887964"/>
    <w:rsid w:val="45D56B27"/>
    <w:rsid w:val="45DB7850"/>
    <w:rsid w:val="460F75B1"/>
    <w:rsid w:val="46207231"/>
    <w:rsid w:val="4672373B"/>
    <w:rsid w:val="468731C3"/>
    <w:rsid w:val="46CA7B5A"/>
    <w:rsid w:val="46D16626"/>
    <w:rsid w:val="46F8000E"/>
    <w:rsid w:val="4704295F"/>
    <w:rsid w:val="471D02A8"/>
    <w:rsid w:val="472A3854"/>
    <w:rsid w:val="47924729"/>
    <w:rsid w:val="47AD5B80"/>
    <w:rsid w:val="47B023EB"/>
    <w:rsid w:val="47DA394A"/>
    <w:rsid w:val="47F130C8"/>
    <w:rsid w:val="481C13BF"/>
    <w:rsid w:val="482C41F4"/>
    <w:rsid w:val="48D35B86"/>
    <w:rsid w:val="494E1C53"/>
    <w:rsid w:val="498F2A6E"/>
    <w:rsid w:val="49AC79B8"/>
    <w:rsid w:val="49E905DC"/>
    <w:rsid w:val="4A01097D"/>
    <w:rsid w:val="4A074778"/>
    <w:rsid w:val="4A8973F7"/>
    <w:rsid w:val="4AE20F59"/>
    <w:rsid w:val="4B202062"/>
    <w:rsid w:val="4B4E43A6"/>
    <w:rsid w:val="4B6917D7"/>
    <w:rsid w:val="4B7A342E"/>
    <w:rsid w:val="4B7F2792"/>
    <w:rsid w:val="4BB156FA"/>
    <w:rsid w:val="4BB64397"/>
    <w:rsid w:val="4BEA1320"/>
    <w:rsid w:val="4C290DCF"/>
    <w:rsid w:val="4C672C81"/>
    <w:rsid w:val="4C9827E9"/>
    <w:rsid w:val="4CB952A0"/>
    <w:rsid w:val="4CE30117"/>
    <w:rsid w:val="4D02268D"/>
    <w:rsid w:val="4D077263"/>
    <w:rsid w:val="4D360144"/>
    <w:rsid w:val="4D440B3B"/>
    <w:rsid w:val="4D951F54"/>
    <w:rsid w:val="4E3E7921"/>
    <w:rsid w:val="4E83505D"/>
    <w:rsid w:val="4E874364"/>
    <w:rsid w:val="4E9E3E16"/>
    <w:rsid w:val="4EB47032"/>
    <w:rsid w:val="4EC951F5"/>
    <w:rsid w:val="4EDB0166"/>
    <w:rsid w:val="4EDB570D"/>
    <w:rsid w:val="4EE53D72"/>
    <w:rsid w:val="4EFE2265"/>
    <w:rsid w:val="4F1130EB"/>
    <w:rsid w:val="4F347D73"/>
    <w:rsid w:val="4F9C5928"/>
    <w:rsid w:val="50031D2E"/>
    <w:rsid w:val="50226E3F"/>
    <w:rsid w:val="505062AF"/>
    <w:rsid w:val="507E4693"/>
    <w:rsid w:val="50B70092"/>
    <w:rsid w:val="50CD236E"/>
    <w:rsid w:val="50DF58C1"/>
    <w:rsid w:val="50EE06C6"/>
    <w:rsid w:val="512300E0"/>
    <w:rsid w:val="5128120B"/>
    <w:rsid w:val="512B62E8"/>
    <w:rsid w:val="5196418D"/>
    <w:rsid w:val="51980D4A"/>
    <w:rsid w:val="51A81F9C"/>
    <w:rsid w:val="51C237F4"/>
    <w:rsid w:val="51DD3CF4"/>
    <w:rsid w:val="51F91887"/>
    <w:rsid w:val="520E39C4"/>
    <w:rsid w:val="52A526FE"/>
    <w:rsid w:val="52E636C6"/>
    <w:rsid w:val="52F90421"/>
    <w:rsid w:val="53012CE3"/>
    <w:rsid w:val="530F2B07"/>
    <w:rsid w:val="533651BC"/>
    <w:rsid w:val="537B0041"/>
    <w:rsid w:val="539232B3"/>
    <w:rsid w:val="539A15FA"/>
    <w:rsid w:val="53C0624A"/>
    <w:rsid w:val="53C260DE"/>
    <w:rsid w:val="53D40987"/>
    <w:rsid w:val="541E545B"/>
    <w:rsid w:val="542A243C"/>
    <w:rsid w:val="542C153F"/>
    <w:rsid w:val="5451789C"/>
    <w:rsid w:val="548B0DE9"/>
    <w:rsid w:val="549778E5"/>
    <w:rsid w:val="549968F4"/>
    <w:rsid w:val="54B92D8D"/>
    <w:rsid w:val="54CE0F89"/>
    <w:rsid w:val="54F63ADC"/>
    <w:rsid w:val="550E575A"/>
    <w:rsid w:val="55134FF8"/>
    <w:rsid w:val="55160248"/>
    <w:rsid w:val="55305AA3"/>
    <w:rsid w:val="554566F2"/>
    <w:rsid w:val="5597295B"/>
    <w:rsid w:val="55D63080"/>
    <w:rsid w:val="562653FF"/>
    <w:rsid w:val="56383EDB"/>
    <w:rsid w:val="565E25F9"/>
    <w:rsid w:val="56A87662"/>
    <w:rsid w:val="56DD22AA"/>
    <w:rsid w:val="56DF7CA4"/>
    <w:rsid w:val="57764369"/>
    <w:rsid w:val="57A83A08"/>
    <w:rsid w:val="57CF2DE7"/>
    <w:rsid w:val="584E4D4B"/>
    <w:rsid w:val="5899060A"/>
    <w:rsid w:val="589A168E"/>
    <w:rsid w:val="58BA191A"/>
    <w:rsid w:val="58C919AA"/>
    <w:rsid w:val="58D775F8"/>
    <w:rsid w:val="59050542"/>
    <w:rsid w:val="590D5F29"/>
    <w:rsid w:val="590D72DE"/>
    <w:rsid w:val="593471AC"/>
    <w:rsid w:val="59D75B33"/>
    <w:rsid w:val="5A4C30A3"/>
    <w:rsid w:val="5A4D15D2"/>
    <w:rsid w:val="5A4F2444"/>
    <w:rsid w:val="5A526AB5"/>
    <w:rsid w:val="5A574D33"/>
    <w:rsid w:val="5A5B719E"/>
    <w:rsid w:val="5A701FCD"/>
    <w:rsid w:val="5A7F5E56"/>
    <w:rsid w:val="5ADC40BF"/>
    <w:rsid w:val="5B1D417B"/>
    <w:rsid w:val="5B2B6E12"/>
    <w:rsid w:val="5B845F39"/>
    <w:rsid w:val="5BCB2743"/>
    <w:rsid w:val="5BE26547"/>
    <w:rsid w:val="5BF73773"/>
    <w:rsid w:val="5C272945"/>
    <w:rsid w:val="5CAA15AB"/>
    <w:rsid w:val="5CC159B2"/>
    <w:rsid w:val="5CFD06E3"/>
    <w:rsid w:val="5D506A1D"/>
    <w:rsid w:val="5D5750F2"/>
    <w:rsid w:val="5D8E6B86"/>
    <w:rsid w:val="5D9A411F"/>
    <w:rsid w:val="5DAE5329"/>
    <w:rsid w:val="5DBD092A"/>
    <w:rsid w:val="5DC07B1F"/>
    <w:rsid w:val="5DCA7D57"/>
    <w:rsid w:val="5DEC60F3"/>
    <w:rsid w:val="5E0C27C9"/>
    <w:rsid w:val="5E435949"/>
    <w:rsid w:val="5E756687"/>
    <w:rsid w:val="5E764A8B"/>
    <w:rsid w:val="5E850A7C"/>
    <w:rsid w:val="5E8F0379"/>
    <w:rsid w:val="5EA46418"/>
    <w:rsid w:val="5EC402AE"/>
    <w:rsid w:val="5EDF13B1"/>
    <w:rsid w:val="5EED5BDD"/>
    <w:rsid w:val="5F011023"/>
    <w:rsid w:val="5F201E20"/>
    <w:rsid w:val="5F8D3CAC"/>
    <w:rsid w:val="5FA973B7"/>
    <w:rsid w:val="5FC37153"/>
    <w:rsid w:val="6006282C"/>
    <w:rsid w:val="602C43D4"/>
    <w:rsid w:val="603A015B"/>
    <w:rsid w:val="608A76DC"/>
    <w:rsid w:val="60EA0C7D"/>
    <w:rsid w:val="61142ABC"/>
    <w:rsid w:val="611B2C3C"/>
    <w:rsid w:val="614548B7"/>
    <w:rsid w:val="61D75F3A"/>
    <w:rsid w:val="627C4F62"/>
    <w:rsid w:val="62974848"/>
    <w:rsid w:val="629C0A75"/>
    <w:rsid w:val="62D161DE"/>
    <w:rsid w:val="62ED5AA7"/>
    <w:rsid w:val="635A1B7D"/>
    <w:rsid w:val="63D72461"/>
    <w:rsid w:val="64013113"/>
    <w:rsid w:val="64181EC5"/>
    <w:rsid w:val="648139C1"/>
    <w:rsid w:val="64C44984"/>
    <w:rsid w:val="64CA52CE"/>
    <w:rsid w:val="6540070B"/>
    <w:rsid w:val="655B5CD9"/>
    <w:rsid w:val="657659F9"/>
    <w:rsid w:val="657B1E3F"/>
    <w:rsid w:val="65842F89"/>
    <w:rsid w:val="65A36479"/>
    <w:rsid w:val="65E6562E"/>
    <w:rsid w:val="65FE3B12"/>
    <w:rsid w:val="663522DE"/>
    <w:rsid w:val="663C6AE4"/>
    <w:rsid w:val="668E0232"/>
    <w:rsid w:val="672E6309"/>
    <w:rsid w:val="67467314"/>
    <w:rsid w:val="67D02912"/>
    <w:rsid w:val="67D16185"/>
    <w:rsid w:val="67D455EB"/>
    <w:rsid w:val="680046A1"/>
    <w:rsid w:val="684E06C2"/>
    <w:rsid w:val="6871363F"/>
    <w:rsid w:val="68850F48"/>
    <w:rsid w:val="68B23596"/>
    <w:rsid w:val="68EE6D01"/>
    <w:rsid w:val="691B4F4B"/>
    <w:rsid w:val="691C5D7F"/>
    <w:rsid w:val="69331FB4"/>
    <w:rsid w:val="69644B5A"/>
    <w:rsid w:val="69666837"/>
    <w:rsid w:val="697A0C17"/>
    <w:rsid w:val="69935DE8"/>
    <w:rsid w:val="69962226"/>
    <w:rsid w:val="69C1619F"/>
    <w:rsid w:val="69E64974"/>
    <w:rsid w:val="6A09587C"/>
    <w:rsid w:val="6A1422BF"/>
    <w:rsid w:val="6A2904FB"/>
    <w:rsid w:val="6A3E75FA"/>
    <w:rsid w:val="6A456C2D"/>
    <w:rsid w:val="6ACD5505"/>
    <w:rsid w:val="6AEC049B"/>
    <w:rsid w:val="6B085216"/>
    <w:rsid w:val="6BA42498"/>
    <w:rsid w:val="6BF83573"/>
    <w:rsid w:val="6C4232C6"/>
    <w:rsid w:val="6C7146F7"/>
    <w:rsid w:val="6C896B89"/>
    <w:rsid w:val="6C965C75"/>
    <w:rsid w:val="6CA12577"/>
    <w:rsid w:val="6CA753C3"/>
    <w:rsid w:val="6DE7010F"/>
    <w:rsid w:val="6DE76101"/>
    <w:rsid w:val="6DF14AC3"/>
    <w:rsid w:val="6E650114"/>
    <w:rsid w:val="6E912274"/>
    <w:rsid w:val="6EB611E9"/>
    <w:rsid w:val="6EDF7CC3"/>
    <w:rsid w:val="6F2533C2"/>
    <w:rsid w:val="6F681D0C"/>
    <w:rsid w:val="6F8F4467"/>
    <w:rsid w:val="6FA702DC"/>
    <w:rsid w:val="6FC84254"/>
    <w:rsid w:val="702D016B"/>
    <w:rsid w:val="70467045"/>
    <w:rsid w:val="708422B7"/>
    <w:rsid w:val="70B54732"/>
    <w:rsid w:val="70BF2889"/>
    <w:rsid w:val="70E471AF"/>
    <w:rsid w:val="70FC649E"/>
    <w:rsid w:val="711F7F62"/>
    <w:rsid w:val="713C60AE"/>
    <w:rsid w:val="71662C52"/>
    <w:rsid w:val="721A1BDB"/>
    <w:rsid w:val="722838BD"/>
    <w:rsid w:val="724A0232"/>
    <w:rsid w:val="729E2462"/>
    <w:rsid w:val="72A85DB4"/>
    <w:rsid w:val="72AE55B4"/>
    <w:rsid w:val="73536CF4"/>
    <w:rsid w:val="739D2CBD"/>
    <w:rsid w:val="73AC6F3C"/>
    <w:rsid w:val="73BA794D"/>
    <w:rsid w:val="741F515C"/>
    <w:rsid w:val="74431A60"/>
    <w:rsid w:val="744A11F1"/>
    <w:rsid w:val="745131DF"/>
    <w:rsid w:val="749016E6"/>
    <w:rsid w:val="75055A8C"/>
    <w:rsid w:val="75BF44B0"/>
    <w:rsid w:val="75F71DD3"/>
    <w:rsid w:val="76226699"/>
    <w:rsid w:val="76521256"/>
    <w:rsid w:val="766E2873"/>
    <w:rsid w:val="769B66FB"/>
    <w:rsid w:val="77555644"/>
    <w:rsid w:val="7776441B"/>
    <w:rsid w:val="77AB1CE2"/>
    <w:rsid w:val="77C07A21"/>
    <w:rsid w:val="77F064F7"/>
    <w:rsid w:val="78342545"/>
    <w:rsid w:val="78356521"/>
    <w:rsid w:val="78743EEF"/>
    <w:rsid w:val="78C82E8E"/>
    <w:rsid w:val="78DC45ED"/>
    <w:rsid w:val="793A54E0"/>
    <w:rsid w:val="79573DD3"/>
    <w:rsid w:val="79773D8D"/>
    <w:rsid w:val="79CD7476"/>
    <w:rsid w:val="7A256A27"/>
    <w:rsid w:val="7A374D14"/>
    <w:rsid w:val="7A7F5669"/>
    <w:rsid w:val="7B182646"/>
    <w:rsid w:val="7B475FAB"/>
    <w:rsid w:val="7B7E331B"/>
    <w:rsid w:val="7BB574B2"/>
    <w:rsid w:val="7BBE2AF8"/>
    <w:rsid w:val="7BCD00F5"/>
    <w:rsid w:val="7BCF7888"/>
    <w:rsid w:val="7C6D395C"/>
    <w:rsid w:val="7CAB3662"/>
    <w:rsid w:val="7CBF61CA"/>
    <w:rsid w:val="7CCF19CB"/>
    <w:rsid w:val="7D314E9F"/>
    <w:rsid w:val="7D9D2C6B"/>
    <w:rsid w:val="7D9F604E"/>
    <w:rsid w:val="7DA41EA0"/>
    <w:rsid w:val="7DF67004"/>
    <w:rsid w:val="7E1E2CBB"/>
    <w:rsid w:val="7E6D2268"/>
    <w:rsid w:val="7E842575"/>
    <w:rsid w:val="7E8C2F2D"/>
    <w:rsid w:val="7F0A7FAA"/>
    <w:rsid w:val="7F1555BA"/>
    <w:rsid w:val="7F2B6F1C"/>
    <w:rsid w:val="7F580E55"/>
    <w:rsid w:val="7FCD1534"/>
    <w:rsid w:val="7FF8060D"/>
    <w:rsid w:val="CFFEA4E4"/>
    <w:rsid w:val="DB3795BD"/>
    <w:rsid w:val="DDFBC468"/>
    <w:rsid w:val="EF3F8E85"/>
    <w:rsid w:val="F7F9651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6" w:lineRule="auto"/>
      <w:jc w:val="center"/>
      <w:outlineLvl w:val="0"/>
    </w:pPr>
    <w:rPr>
      <w:b/>
      <w:bCs/>
      <w:kern w:val="44"/>
      <w:sz w:val="44"/>
      <w:szCs w:val="44"/>
    </w:rPr>
  </w:style>
  <w:style w:type="paragraph" w:styleId="3">
    <w:name w:val="heading 2"/>
    <w:basedOn w:val="1"/>
    <w:next w:val="1"/>
    <w:link w:val="4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link w:val="47"/>
    <w:qFormat/>
    <w:uiPriority w:val="0"/>
    <w:pPr>
      <w:keepNext/>
      <w:keepLines/>
      <w:spacing w:before="280" w:after="290" w:line="374" w:lineRule="auto"/>
      <w:outlineLvl w:val="3"/>
    </w:pPr>
    <w:rPr>
      <w:rFonts w:ascii="Arial" w:hAnsi="Arial" w:eastAsia="黑体"/>
      <w:b/>
      <w:bCs/>
      <w:sz w:val="28"/>
      <w:szCs w:val="28"/>
    </w:rPr>
  </w:style>
  <w:style w:type="paragraph" w:styleId="6">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39"/>
    <w:pPr>
      <w:ind w:left="1260"/>
      <w:jc w:val="left"/>
    </w:pPr>
    <w:rPr>
      <w:sz w:val="18"/>
      <w:szCs w:val="18"/>
    </w:rPr>
  </w:style>
  <w:style w:type="paragraph" w:styleId="11">
    <w:name w:val="Normal Indent"/>
    <w:basedOn w:val="1"/>
    <w:qFormat/>
    <w:uiPriority w:val="0"/>
    <w:pPr>
      <w:ind w:firstLine="420" w:firstLineChars="200"/>
    </w:pPr>
  </w:style>
  <w:style w:type="paragraph" w:styleId="12">
    <w:name w:val="Document Map"/>
    <w:basedOn w:val="1"/>
    <w:link w:val="48"/>
    <w:qFormat/>
    <w:uiPriority w:val="0"/>
    <w:pPr>
      <w:shd w:val="clear" w:color="auto" w:fill="000080"/>
    </w:pPr>
  </w:style>
  <w:style w:type="paragraph" w:styleId="13">
    <w:name w:val="annotation text"/>
    <w:basedOn w:val="1"/>
    <w:link w:val="49"/>
    <w:qFormat/>
    <w:uiPriority w:val="0"/>
    <w:pPr>
      <w:jc w:val="left"/>
    </w:pPr>
  </w:style>
  <w:style w:type="paragraph" w:styleId="14">
    <w:name w:val="Body Text 3"/>
    <w:basedOn w:val="1"/>
    <w:link w:val="50"/>
    <w:qFormat/>
    <w:uiPriority w:val="0"/>
    <w:rPr>
      <w:rFonts w:ascii="宋体"/>
      <w:sz w:val="24"/>
      <w:szCs w:val="20"/>
    </w:rPr>
  </w:style>
  <w:style w:type="paragraph" w:styleId="15">
    <w:name w:val="Body Text"/>
    <w:basedOn w:val="1"/>
    <w:next w:val="1"/>
    <w:link w:val="51"/>
    <w:qFormat/>
    <w:uiPriority w:val="0"/>
    <w:pPr>
      <w:spacing w:after="120"/>
    </w:pPr>
  </w:style>
  <w:style w:type="paragraph" w:styleId="16">
    <w:name w:val="Body Text Indent"/>
    <w:basedOn w:val="1"/>
    <w:qFormat/>
    <w:uiPriority w:val="0"/>
    <w:pPr>
      <w:spacing w:after="120"/>
      <w:ind w:left="420" w:leftChars="200"/>
    </w:pPr>
  </w:style>
  <w:style w:type="paragraph" w:styleId="17">
    <w:name w:val="toc 5"/>
    <w:basedOn w:val="1"/>
    <w:next w:val="1"/>
    <w:qFormat/>
    <w:uiPriority w:val="39"/>
    <w:pPr>
      <w:ind w:left="840"/>
      <w:jc w:val="left"/>
    </w:pPr>
    <w:rPr>
      <w:sz w:val="18"/>
      <w:szCs w:val="18"/>
    </w:rPr>
  </w:style>
  <w:style w:type="paragraph" w:styleId="18">
    <w:name w:val="toc 3"/>
    <w:basedOn w:val="1"/>
    <w:next w:val="1"/>
    <w:qFormat/>
    <w:uiPriority w:val="39"/>
    <w:pPr>
      <w:ind w:left="420"/>
      <w:jc w:val="left"/>
    </w:pPr>
    <w:rPr>
      <w:iCs/>
      <w:sz w:val="20"/>
      <w:szCs w:val="20"/>
    </w:rPr>
  </w:style>
  <w:style w:type="paragraph" w:styleId="19">
    <w:name w:val="Plain Text"/>
    <w:basedOn w:val="1"/>
    <w:next w:val="1"/>
    <w:link w:val="52"/>
    <w:qFormat/>
    <w:uiPriority w:val="0"/>
    <w:rPr>
      <w:rFonts w:ascii="等线" w:hAnsi="Courier New" w:eastAsia="等线"/>
      <w:szCs w:val="22"/>
    </w:rPr>
  </w:style>
  <w:style w:type="paragraph" w:styleId="20">
    <w:name w:val="toc 8"/>
    <w:basedOn w:val="1"/>
    <w:next w:val="1"/>
    <w:qFormat/>
    <w:uiPriority w:val="39"/>
    <w:pPr>
      <w:ind w:left="1470"/>
      <w:jc w:val="left"/>
    </w:pPr>
    <w:rPr>
      <w:sz w:val="18"/>
      <w:szCs w:val="18"/>
    </w:rPr>
  </w:style>
  <w:style w:type="paragraph" w:styleId="21">
    <w:name w:val="Date"/>
    <w:basedOn w:val="1"/>
    <w:next w:val="1"/>
    <w:link w:val="53"/>
    <w:qFormat/>
    <w:uiPriority w:val="0"/>
    <w:rPr>
      <w:sz w:val="24"/>
      <w:szCs w:val="20"/>
    </w:rPr>
  </w:style>
  <w:style w:type="paragraph" w:styleId="22">
    <w:name w:val="Balloon Text"/>
    <w:basedOn w:val="1"/>
    <w:qFormat/>
    <w:uiPriority w:val="0"/>
    <w:rPr>
      <w:sz w:val="18"/>
      <w:szCs w:val="18"/>
    </w:rPr>
  </w:style>
  <w:style w:type="paragraph" w:styleId="23">
    <w:name w:val="footer"/>
    <w:basedOn w:val="1"/>
    <w:link w:val="54"/>
    <w:qFormat/>
    <w:uiPriority w:val="99"/>
    <w:pPr>
      <w:tabs>
        <w:tab w:val="center" w:pos="4153"/>
        <w:tab w:val="right" w:pos="8306"/>
      </w:tabs>
      <w:snapToGrid w:val="0"/>
      <w:jc w:val="left"/>
    </w:pPr>
    <w:rPr>
      <w:sz w:val="18"/>
      <w:szCs w:val="18"/>
    </w:rPr>
  </w:style>
  <w:style w:type="paragraph" w:styleId="24">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jc w:val="left"/>
    </w:pPr>
    <w:rPr>
      <w:b/>
      <w:bCs/>
      <w:caps/>
      <w:sz w:val="20"/>
      <w:szCs w:val="20"/>
    </w:rPr>
  </w:style>
  <w:style w:type="paragraph" w:styleId="26">
    <w:name w:val="toc 4"/>
    <w:basedOn w:val="1"/>
    <w:next w:val="1"/>
    <w:qFormat/>
    <w:uiPriority w:val="39"/>
    <w:pPr>
      <w:ind w:left="630"/>
      <w:jc w:val="left"/>
    </w:pPr>
    <w:rPr>
      <w:sz w:val="18"/>
      <w:szCs w:val="18"/>
    </w:rPr>
  </w:style>
  <w:style w:type="paragraph" w:styleId="27">
    <w:name w:val="toc 6"/>
    <w:basedOn w:val="1"/>
    <w:next w:val="1"/>
    <w:qFormat/>
    <w:uiPriority w:val="39"/>
    <w:pPr>
      <w:ind w:left="1050"/>
      <w:jc w:val="left"/>
    </w:pPr>
    <w:rPr>
      <w:sz w:val="18"/>
      <w:szCs w:val="18"/>
    </w:rPr>
  </w:style>
  <w:style w:type="paragraph" w:styleId="28">
    <w:name w:val="Body Text Indent 3"/>
    <w:basedOn w:val="1"/>
    <w:qFormat/>
    <w:uiPriority w:val="0"/>
    <w:pPr>
      <w:spacing w:after="120"/>
      <w:ind w:left="420" w:leftChars="200"/>
    </w:pPr>
    <w:rPr>
      <w:sz w:val="16"/>
      <w:szCs w:val="16"/>
    </w:rPr>
  </w:style>
  <w:style w:type="paragraph" w:styleId="29">
    <w:name w:val="toc 2"/>
    <w:basedOn w:val="1"/>
    <w:next w:val="1"/>
    <w:qFormat/>
    <w:uiPriority w:val="39"/>
    <w:pPr>
      <w:ind w:left="210"/>
      <w:jc w:val="left"/>
    </w:pPr>
    <w:rPr>
      <w:smallCaps/>
      <w:sz w:val="20"/>
      <w:szCs w:val="20"/>
    </w:rPr>
  </w:style>
  <w:style w:type="paragraph" w:styleId="30">
    <w:name w:val="toc 9"/>
    <w:basedOn w:val="1"/>
    <w:next w:val="1"/>
    <w:qFormat/>
    <w:uiPriority w:val="39"/>
    <w:pPr>
      <w:ind w:left="1680"/>
      <w:jc w:val="left"/>
    </w:pPr>
    <w:rPr>
      <w:sz w:val="18"/>
      <w:szCs w:val="18"/>
    </w:rPr>
  </w:style>
  <w:style w:type="paragraph" w:styleId="31">
    <w:name w:val="Normal (Web)"/>
    <w:basedOn w:val="1"/>
    <w:qFormat/>
    <w:uiPriority w:val="0"/>
    <w:pPr>
      <w:widowControl/>
      <w:spacing w:before="100" w:beforeAutospacing="1" w:after="100" w:afterAutospacing="1"/>
      <w:jc w:val="left"/>
    </w:pPr>
    <w:rPr>
      <w:rFonts w:ascii="宋体" w:hAnsi="宋体" w:eastAsia="楷体_GB2312" w:cs="宋体"/>
      <w:kern w:val="0"/>
      <w:sz w:val="24"/>
    </w:rPr>
  </w:style>
  <w:style w:type="paragraph" w:styleId="32">
    <w:name w:val="index 1"/>
    <w:basedOn w:val="1"/>
    <w:next w:val="1"/>
    <w:qFormat/>
    <w:uiPriority w:val="0"/>
    <w:pPr>
      <w:spacing w:line="220" w:lineRule="exact"/>
      <w:jc w:val="center"/>
    </w:pPr>
    <w:rPr>
      <w:rFonts w:ascii="仿宋_GB2312" w:eastAsia="仿宋_GB2312"/>
      <w:szCs w:val="21"/>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3"/>
    <w:next w:val="13"/>
    <w:link w:val="56"/>
    <w:qFormat/>
    <w:uiPriority w:val="0"/>
    <w:rPr>
      <w:b/>
      <w:bCs/>
      <w:kern w:val="0"/>
      <w:sz w:val="20"/>
      <w:szCs w:val="20"/>
    </w:rPr>
  </w:style>
  <w:style w:type="paragraph" w:styleId="35">
    <w:name w:val="Body Text First Indent"/>
    <w:basedOn w:val="15"/>
    <w:link w:val="57"/>
    <w:qFormat/>
    <w:uiPriority w:val="0"/>
    <w:pPr>
      <w:spacing w:line="312" w:lineRule="auto"/>
      <w:ind w:firstLine="420"/>
    </w:pPr>
    <w:rPr>
      <w:kern w:val="0"/>
      <w:sz w:val="20"/>
      <w:szCs w:val="20"/>
    </w:rPr>
  </w:style>
  <w:style w:type="paragraph" w:styleId="36">
    <w:name w:val="Body Text First Indent 2"/>
    <w:basedOn w:val="16"/>
    <w:next w:val="1"/>
    <w:link w:val="58"/>
    <w:unhideWhenUsed/>
    <w:qFormat/>
    <w:uiPriority w:val="0"/>
    <w:pPr>
      <w:ind w:firstLine="20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rPr>
  </w:style>
  <w:style w:type="character" w:styleId="41">
    <w:name w:val="Hyperlink"/>
    <w:unhideWhenUsed/>
    <w:qFormat/>
    <w:uiPriority w:val="99"/>
    <w:rPr>
      <w:color w:val="0000FF"/>
      <w:u w:val="single"/>
    </w:rPr>
  </w:style>
  <w:style w:type="character" w:styleId="42">
    <w:name w:val="annotation reference"/>
    <w:qFormat/>
    <w:uiPriority w:val="0"/>
    <w:rPr>
      <w:sz w:val="21"/>
      <w:szCs w:val="21"/>
    </w:rPr>
  </w:style>
  <w:style w:type="paragraph" w:customStyle="1" w:styleId="43">
    <w:name w:val="PlainText"/>
    <w:basedOn w:val="1"/>
    <w:qFormat/>
    <w:uiPriority w:val="0"/>
    <w:pPr>
      <w:textAlignment w:val="baseline"/>
    </w:pPr>
    <w:rPr>
      <w:rFonts w:ascii="宋体" w:hAnsi="Courier New"/>
      <w:kern w:val="0"/>
      <w:sz w:val="20"/>
      <w:szCs w:val="20"/>
    </w:rPr>
  </w:style>
  <w:style w:type="character" w:customStyle="1" w:styleId="44">
    <w:name w:val="标题 1 字符"/>
    <w:link w:val="2"/>
    <w:qFormat/>
    <w:uiPriority w:val="0"/>
    <w:rPr>
      <w:b/>
      <w:bCs/>
      <w:kern w:val="44"/>
      <w:sz w:val="44"/>
      <w:szCs w:val="44"/>
    </w:rPr>
  </w:style>
  <w:style w:type="character" w:customStyle="1" w:styleId="45">
    <w:name w:val="标题 2 字符"/>
    <w:link w:val="3"/>
    <w:qFormat/>
    <w:uiPriority w:val="0"/>
    <w:rPr>
      <w:rFonts w:ascii="Arial" w:hAnsi="Arial" w:eastAsia="黑体"/>
      <w:b/>
      <w:bCs/>
      <w:kern w:val="2"/>
      <w:sz w:val="32"/>
      <w:szCs w:val="32"/>
      <w:lang w:val="en-US" w:eastAsia="zh-CN" w:bidi="ar-SA"/>
    </w:rPr>
  </w:style>
  <w:style w:type="character" w:customStyle="1" w:styleId="46">
    <w:name w:val="标题 3 字符"/>
    <w:link w:val="4"/>
    <w:qFormat/>
    <w:uiPriority w:val="0"/>
    <w:rPr>
      <w:rFonts w:ascii="黑体" w:hAnsi="宋体" w:eastAsia="黑体"/>
      <w:bCs/>
      <w:kern w:val="2"/>
      <w:sz w:val="28"/>
      <w:szCs w:val="28"/>
      <w:lang w:val="en-US" w:eastAsia="zh-CN" w:bidi="ar-SA"/>
    </w:rPr>
  </w:style>
  <w:style w:type="character" w:customStyle="1" w:styleId="47">
    <w:name w:val="标题 4 字符"/>
    <w:link w:val="5"/>
    <w:qFormat/>
    <w:uiPriority w:val="0"/>
    <w:rPr>
      <w:rFonts w:ascii="Arial" w:hAnsi="Arial" w:eastAsia="黑体"/>
      <w:b/>
      <w:bCs/>
      <w:kern w:val="2"/>
      <w:sz w:val="28"/>
      <w:szCs w:val="28"/>
      <w:lang w:val="en-US" w:eastAsia="zh-CN" w:bidi="ar-SA"/>
    </w:rPr>
  </w:style>
  <w:style w:type="character" w:customStyle="1" w:styleId="48">
    <w:name w:val="文档结构图 字符"/>
    <w:link w:val="12"/>
    <w:qFormat/>
    <w:uiPriority w:val="0"/>
    <w:rPr>
      <w:rFonts w:eastAsia="宋体"/>
      <w:kern w:val="2"/>
      <w:sz w:val="21"/>
      <w:szCs w:val="24"/>
      <w:lang w:val="en-US" w:eastAsia="zh-CN" w:bidi="ar-SA"/>
    </w:rPr>
  </w:style>
  <w:style w:type="character" w:customStyle="1" w:styleId="49">
    <w:name w:val="批注文字 字符"/>
    <w:link w:val="13"/>
    <w:qFormat/>
    <w:uiPriority w:val="0"/>
    <w:rPr>
      <w:rFonts w:eastAsia="宋体"/>
      <w:kern w:val="2"/>
      <w:sz w:val="21"/>
      <w:szCs w:val="24"/>
      <w:lang w:val="en-US" w:eastAsia="zh-CN" w:bidi="ar-SA"/>
    </w:rPr>
  </w:style>
  <w:style w:type="character" w:customStyle="1" w:styleId="50">
    <w:name w:val="正文文本 3 字符"/>
    <w:link w:val="14"/>
    <w:qFormat/>
    <w:uiPriority w:val="0"/>
    <w:rPr>
      <w:rFonts w:ascii="宋体"/>
      <w:kern w:val="2"/>
      <w:sz w:val="24"/>
    </w:rPr>
  </w:style>
  <w:style w:type="character" w:customStyle="1" w:styleId="51">
    <w:name w:val="正文文本 字符"/>
    <w:link w:val="15"/>
    <w:qFormat/>
    <w:uiPriority w:val="0"/>
    <w:rPr>
      <w:rFonts w:eastAsia="宋体"/>
      <w:kern w:val="2"/>
      <w:sz w:val="21"/>
      <w:szCs w:val="24"/>
      <w:lang w:val="en-US" w:eastAsia="zh-CN" w:bidi="ar-SA"/>
    </w:rPr>
  </w:style>
  <w:style w:type="character" w:customStyle="1" w:styleId="52">
    <w:name w:val="纯文本 字符"/>
    <w:link w:val="19"/>
    <w:qFormat/>
    <w:uiPriority w:val="0"/>
    <w:rPr>
      <w:rFonts w:ascii="等线" w:hAnsi="Courier New" w:eastAsia="等线" w:cs="Courier New"/>
      <w:kern w:val="2"/>
      <w:sz w:val="21"/>
      <w:szCs w:val="22"/>
    </w:rPr>
  </w:style>
  <w:style w:type="character" w:customStyle="1" w:styleId="53">
    <w:name w:val="日期 字符"/>
    <w:link w:val="21"/>
    <w:qFormat/>
    <w:uiPriority w:val="0"/>
    <w:rPr>
      <w:kern w:val="2"/>
      <w:sz w:val="24"/>
    </w:rPr>
  </w:style>
  <w:style w:type="character" w:customStyle="1" w:styleId="54">
    <w:name w:val="页脚 字符"/>
    <w:link w:val="23"/>
    <w:qFormat/>
    <w:uiPriority w:val="99"/>
    <w:rPr>
      <w:rFonts w:eastAsia="宋体"/>
      <w:kern w:val="2"/>
      <w:sz w:val="18"/>
      <w:szCs w:val="18"/>
      <w:lang w:val="en-US" w:eastAsia="zh-CN" w:bidi="ar-SA"/>
    </w:rPr>
  </w:style>
  <w:style w:type="character" w:customStyle="1" w:styleId="55">
    <w:name w:val="页眉 字符"/>
    <w:link w:val="24"/>
    <w:qFormat/>
    <w:uiPriority w:val="0"/>
    <w:rPr>
      <w:rFonts w:eastAsia="宋体"/>
      <w:kern w:val="2"/>
      <w:sz w:val="18"/>
      <w:szCs w:val="18"/>
      <w:lang w:val="en-US" w:eastAsia="zh-CN" w:bidi="ar-SA"/>
    </w:rPr>
  </w:style>
  <w:style w:type="character" w:customStyle="1" w:styleId="56">
    <w:name w:val="批注主题 字符"/>
    <w:link w:val="34"/>
    <w:qFormat/>
    <w:uiPriority w:val="0"/>
    <w:rPr>
      <w:b/>
      <w:bCs/>
      <w:lang w:val="en-US" w:eastAsia="zh-CN" w:bidi="ar-SA"/>
    </w:rPr>
  </w:style>
  <w:style w:type="character" w:customStyle="1" w:styleId="57">
    <w:name w:val="正文文本首行缩进 字符"/>
    <w:link w:val="35"/>
    <w:qFormat/>
    <w:uiPriority w:val="0"/>
    <w:rPr>
      <w:lang w:val="en-US" w:eastAsia="zh-CN" w:bidi="ar-SA"/>
    </w:rPr>
  </w:style>
  <w:style w:type="character" w:customStyle="1" w:styleId="58">
    <w:name w:val="正文文本首行缩进 2 字符"/>
    <w:link w:val="36"/>
    <w:qFormat/>
    <w:uiPriority w:val="0"/>
    <w:rPr>
      <w:kern w:val="2"/>
      <w:sz w:val="21"/>
      <w:szCs w:val="24"/>
    </w:rPr>
  </w:style>
  <w:style w:type="character" w:customStyle="1" w:styleId="59">
    <w:name w:val="批注文字 Char1"/>
    <w:semiHidden/>
    <w:qFormat/>
    <w:locked/>
    <w:uiPriority w:val="0"/>
    <w:rPr>
      <w:kern w:val="2"/>
      <w:sz w:val="21"/>
      <w:szCs w:val="22"/>
    </w:rPr>
  </w:style>
  <w:style w:type="character" w:customStyle="1" w:styleId="60">
    <w:name w:val="文一 Char Char"/>
    <w:link w:val="61"/>
    <w:qFormat/>
    <w:uiPriority w:val="0"/>
    <w:rPr>
      <w:rFonts w:ascii="等线" w:hAnsi="等线" w:eastAsia="等线"/>
      <w:spacing w:val="4"/>
      <w:sz w:val="24"/>
      <w:szCs w:val="24"/>
    </w:rPr>
  </w:style>
  <w:style w:type="paragraph" w:customStyle="1" w:styleId="61">
    <w:name w:val="文一"/>
    <w:basedOn w:val="1"/>
    <w:link w:val="60"/>
    <w:qFormat/>
    <w:uiPriority w:val="0"/>
    <w:pPr>
      <w:topLinePunct/>
      <w:adjustRightInd w:val="0"/>
      <w:snapToGrid w:val="0"/>
      <w:spacing w:line="360" w:lineRule="auto"/>
      <w:ind w:firstLine="200" w:firstLineChars="200"/>
    </w:pPr>
    <w:rPr>
      <w:rFonts w:ascii="等线" w:hAnsi="等线" w:eastAsia="等线"/>
      <w:spacing w:val="4"/>
      <w:kern w:val="0"/>
      <w:sz w:val="24"/>
    </w:rPr>
  </w:style>
  <w:style w:type="paragraph" w:customStyle="1" w:styleId="62">
    <w:name w:val="列出段落1"/>
    <w:basedOn w:val="1"/>
    <w:qFormat/>
    <w:uiPriority w:val="0"/>
    <w:pPr>
      <w:ind w:firstLine="420" w:firstLineChars="200"/>
    </w:pPr>
    <w:rPr>
      <w:sz w:val="22"/>
      <w:szCs w:val="20"/>
    </w:rPr>
  </w:style>
  <w:style w:type="paragraph" w:customStyle="1" w:styleId="63">
    <w:name w:val="样式 正文首行缩进 2 + 首行缩进:  2 字符1"/>
    <w:basedOn w:val="1"/>
    <w:next w:val="1"/>
    <w:qFormat/>
    <w:uiPriority w:val="0"/>
    <w:pPr>
      <w:ind w:firstLine="420"/>
    </w:pPr>
    <w:rPr>
      <w:rFonts w:cs="宋体"/>
      <w:szCs w:val="20"/>
    </w:rPr>
  </w:style>
  <w:style w:type="paragraph" w:customStyle="1" w:styleId="64">
    <w:name w:val="表格文字"/>
    <w:basedOn w:val="1"/>
    <w:qFormat/>
    <w:uiPriority w:val="0"/>
    <w:pPr>
      <w:adjustRightInd w:val="0"/>
      <w:spacing w:line="420" w:lineRule="atLeast"/>
      <w:jc w:val="left"/>
      <w:textAlignment w:val="baseline"/>
    </w:pPr>
    <w:rPr>
      <w:kern w:val="0"/>
      <w:szCs w:val="20"/>
    </w:rPr>
  </w:style>
  <w:style w:type="paragraph" w:customStyle="1" w:styleId="65">
    <w:name w:val="发文落款"/>
    <w:basedOn w:val="66"/>
    <w:qFormat/>
    <w:uiPriority w:val="0"/>
    <w:pPr>
      <w:ind w:left="4094" w:right="607" w:firstLine="0"/>
      <w:jc w:val="center"/>
    </w:pPr>
  </w:style>
  <w:style w:type="paragraph" w:customStyle="1" w:styleId="6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67">
    <w:name w:val="List Paragraph"/>
    <w:basedOn w:val="1"/>
    <w:qFormat/>
    <w:uiPriority w:val="99"/>
    <w:pPr>
      <w:ind w:firstLine="420" w:firstLineChars="200"/>
    </w:pPr>
    <w:rPr>
      <w:szCs w:val="20"/>
    </w:rPr>
  </w:style>
  <w:style w:type="paragraph" w:customStyle="1" w:styleId="68">
    <w:name w:val="样式 正文首行缩进 2 + 首行缩进:  2 字符"/>
    <w:basedOn w:val="1"/>
    <w:next w:val="1"/>
    <w:qFormat/>
    <w:uiPriority w:val="0"/>
    <w:pPr>
      <w:ind w:firstLine="420"/>
    </w:pPr>
    <w:rPr>
      <w:rFonts w:cs="宋体"/>
      <w:szCs w:val="20"/>
    </w:rPr>
  </w:style>
  <w:style w:type="paragraph" w:customStyle="1" w:styleId="69">
    <w:name w:val="正题"/>
    <w:basedOn w:val="61"/>
    <w:next w:val="61"/>
    <w:qFormat/>
    <w:uiPriority w:val="0"/>
    <w:pPr>
      <w:ind w:firstLine="0" w:firstLineChars="0"/>
      <w:jc w:val="center"/>
    </w:pPr>
    <w:rPr>
      <w:rFonts w:eastAsia="黑体"/>
      <w:b/>
      <w:sz w:val="36"/>
      <w:szCs w:val="36"/>
    </w:rPr>
  </w:style>
  <w:style w:type="paragraph" w:customStyle="1" w:styleId="70">
    <w:name w:val="表头"/>
    <w:basedOn w:val="1"/>
    <w:qFormat/>
    <w:uiPriority w:val="0"/>
    <w:pPr>
      <w:spacing w:line="360" w:lineRule="auto"/>
      <w:jc w:val="center"/>
    </w:pPr>
    <w:rPr>
      <w:rFonts w:ascii="黑体" w:eastAsia="黑体"/>
      <w:kern w:val="0"/>
      <w:sz w:val="24"/>
      <w:szCs w:val="20"/>
    </w:rPr>
  </w:style>
  <w:style w:type="paragraph" w:customStyle="1" w:styleId="7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 w:type="character" w:customStyle="1" w:styleId="74">
    <w:name w:val="NormalCharacter"/>
    <w:qFormat/>
    <w:uiPriority w:val="0"/>
  </w:style>
  <w:style w:type="paragraph" w:customStyle="1" w:styleId="75">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7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79">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文本缩进1"/>
    <w:basedOn w:val="1"/>
    <w:qFormat/>
    <w:uiPriority w:val="0"/>
    <w:pPr>
      <w:ind w:firstLine="480"/>
    </w:pPr>
    <w:rPr>
      <w:sz w:val="24"/>
      <w:szCs w:val="20"/>
    </w:rPr>
  </w:style>
  <w:style w:type="paragraph" w:customStyle="1" w:styleId="82">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83">
    <w:name w:val="标题 2 New"/>
    <w:basedOn w:val="82"/>
    <w:next w:val="82"/>
    <w:qFormat/>
    <w:uiPriority w:val="0"/>
    <w:pPr>
      <w:keepNext/>
      <w:keepLines/>
      <w:spacing w:before="260" w:after="260" w:line="416" w:lineRule="auto"/>
      <w:outlineLvl w:val="1"/>
    </w:pPr>
    <w:rPr>
      <w:rFonts w:ascii="Arial" w:hAnsi="Arial" w:eastAsia="仿宋_GB2312"/>
      <w:b/>
      <w:bCs/>
      <w:sz w:val="32"/>
    </w:rPr>
  </w:style>
  <w:style w:type="paragraph" w:customStyle="1" w:styleId="8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5">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86">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88">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91">
    <w:name w:val="批注文字 字符1"/>
    <w:qFormat/>
    <w:uiPriority w:val="0"/>
    <w:rPr>
      <w:rFonts w:hint="eastAsia" w:ascii="宋体" w:hAnsi="宋体" w:eastAsia="宋体" w:cs="宋体"/>
      <w:kern w:val="2"/>
      <w:sz w:val="24"/>
      <w:szCs w:val="24"/>
    </w:rPr>
  </w:style>
  <w:style w:type="paragraph" w:customStyle="1" w:styleId="92">
    <w:name w:val="正文文本3"/>
    <w:basedOn w:val="1"/>
    <w:qFormat/>
    <w:uiPriority w:val="0"/>
    <w:pPr>
      <w:shd w:val="clear" w:color="auto" w:fill="FFFFFF"/>
      <w:spacing w:line="0" w:lineRule="atLeast"/>
      <w:jc w:val="left"/>
    </w:pPr>
    <w:rPr>
      <w:rFonts w:ascii="宋体" w:hAnsi="宋体" w:cs="宋体"/>
      <w:sz w:val="19"/>
      <w:szCs w:val="19"/>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11278</Words>
  <Characters>11987</Characters>
  <Lines>543</Lines>
  <Paragraphs>152</Paragraphs>
  <TotalTime>24</TotalTime>
  <ScaleCrop>false</ScaleCrop>
  <LinksUpToDate>false</LinksUpToDate>
  <CharactersWithSpaces>12263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2025-07-03T09:36:00Z</dcterms:created>
  <dc:creator>zj</dc:creator>
  <cp:lastModifiedBy>欢</cp:lastModifiedBy>
  <cp:lastPrinted>2025-07-17T04:07:00Z</cp:lastPrinted>
  <dcterms:modified xsi:type="dcterms:W3CDTF">2025-10-24T10:25:13Z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7A84DF1E0E3F4D958F3E8591D27D6B6B_13</vt:lpwstr>
  </property>
  <property fmtid="{D5CDD505-2E9C-101B-9397-08002B2CF9AE}" pid="4" name="KSOTemplateDocerSaveRecord">
    <vt:lpwstr>eyJoZGlkIjoiZTI2NzM3ZDlkMTI5MGY3Mzk2YTg3OTJhNzE3MmVlY2MiLCJ1c2VySWQiOiIxMTk3NDU0OTAyIn0=</vt:lpwstr>
  </property>
</Properties>
</file>