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9CD2C">
      <w:pPr>
        <w:spacing w:line="360" w:lineRule="auto"/>
        <w:ind w:firstLine="960" w:firstLineChars="300"/>
        <w:rPr>
          <w:rStyle w:val="75"/>
          <w:rFonts w:hint="default" w:ascii="宋体" w:hAnsi="宋体" w:cs="Times New Roman"/>
          <w:color w:val="auto"/>
          <w:sz w:val="32"/>
          <w:highlight w:val="none"/>
        </w:rPr>
      </w:pPr>
    </w:p>
    <w:p w14:paraId="6A2CDB7E">
      <w:pPr>
        <w:spacing w:line="360" w:lineRule="auto"/>
        <w:jc w:val="center"/>
        <w:rPr>
          <w:rFonts w:hint="eastAsia" w:ascii="宋体" w:hAnsi="宋体"/>
          <w:b/>
          <w:bCs/>
          <w:color w:val="auto"/>
          <w:spacing w:val="26"/>
          <w:sz w:val="52"/>
          <w:szCs w:val="110"/>
          <w:highlight w:val="none"/>
        </w:rPr>
      </w:pPr>
      <w:r>
        <w:rPr>
          <w:rFonts w:hint="eastAsia" w:ascii="宋体" w:hAnsi="宋体" w:cs="Times New Roman"/>
          <w:b/>
          <w:bCs/>
          <w:color w:val="auto"/>
          <w:spacing w:val="26"/>
          <w:sz w:val="56"/>
          <w:szCs w:val="56"/>
          <w:highlight w:val="none"/>
          <w:lang w:eastAsia="zh-CN"/>
        </w:rPr>
        <w:t>广州塔广场数智生活科技体验馆项目施工总承包</w:t>
      </w:r>
    </w:p>
    <w:p w14:paraId="648F1DBA">
      <w:pPr>
        <w:spacing w:line="360" w:lineRule="auto"/>
        <w:rPr>
          <w:rFonts w:hint="eastAsia" w:ascii="宋体" w:hAnsi="宋体"/>
          <w:b/>
          <w:bCs/>
          <w:color w:val="auto"/>
          <w:spacing w:val="26"/>
          <w:sz w:val="52"/>
          <w:szCs w:val="110"/>
          <w:highlight w:val="none"/>
        </w:rPr>
      </w:pPr>
    </w:p>
    <w:p w14:paraId="4237DD6A">
      <w:pPr>
        <w:pStyle w:val="5"/>
        <w:rPr>
          <w:rFonts w:hint="eastAsia" w:ascii="宋体" w:hAnsi="宋体"/>
          <w:b/>
          <w:bCs/>
          <w:color w:val="auto"/>
          <w:spacing w:val="26"/>
          <w:sz w:val="52"/>
          <w:szCs w:val="110"/>
          <w:highlight w:val="none"/>
        </w:rPr>
      </w:pPr>
    </w:p>
    <w:p w14:paraId="350DCBD0">
      <w:pPr>
        <w:rPr>
          <w:rFonts w:hint="eastAsia" w:ascii="宋体" w:hAnsi="宋体"/>
          <w:b/>
          <w:bCs/>
          <w:color w:val="auto"/>
          <w:spacing w:val="26"/>
          <w:sz w:val="52"/>
          <w:szCs w:val="110"/>
          <w:highlight w:val="none"/>
        </w:rPr>
      </w:pPr>
    </w:p>
    <w:p w14:paraId="06E4E8C3">
      <w:pPr>
        <w:spacing w:line="360" w:lineRule="auto"/>
        <w:rPr>
          <w:rFonts w:hint="eastAsia" w:ascii="宋体" w:hAnsi="宋体"/>
          <w:b/>
          <w:bCs/>
          <w:color w:val="auto"/>
          <w:spacing w:val="26"/>
          <w:sz w:val="44"/>
          <w:szCs w:val="110"/>
          <w:highlight w:val="none"/>
        </w:rPr>
      </w:pPr>
    </w:p>
    <w:p w14:paraId="052B3E4F">
      <w:pPr>
        <w:spacing w:line="360" w:lineRule="auto"/>
        <w:jc w:val="center"/>
        <w:rPr>
          <w:rFonts w:hint="eastAsia" w:ascii="宋体" w:hAnsi="宋体" w:cs="Times New Roman"/>
          <w:b/>
          <w:bCs/>
          <w:color w:val="auto"/>
          <w:spacing w:val="26"/>
          <w:sz w:val="84"/>
          <w:szCs w:val="84"/>
          <w:highlight w:val="none"/>
        </w:rPr>
      </w:pPr>
      <w:r>
        <w:rPr>
          <w:rFonts w:hint="eastAsia" w:ascii="宋体" w:hAnsi="宋体" w:cs="Times New Roman"/>
          <w:b/>
          <w:bCs/>
          <w:color w:val="auto"/>
          <w:spacing w:val="26"/>
          <w:sz w:val="84"/>
          <w:szCs w:val="84"/>
          <w:highlight w:val="none"/>
        </w:rPr>
        <w:t>招标文件</w:t>
      </w:r>
    </w:p>
    <w:p w14:paraId="565708F6">
      <w:pPr>
        <w:spacing w:line="360" w:lineRule="auto"/>
        <w:ind w:firstLine="2560" w:firstLineChars="800"/>
        <w:rPr>
          <w:rFonts w:hint="eastAsia" w:ascii="宋体" w:hAnsi="宋体"/>
          <w:color w:val="auto"/>
          <w:sz w:val="32"/>
          <w:highlight w:val="none"/>
        </w:rPr>
      </w:pPr>
    </w:p>
    <w:p w14:paraId="23D6C629">
      <w:pPr>
        <w:spacing w:line="360" w:lineRule="auto"/>
        <w:rPr>
          <w:rFonts w:hint="eastAsia" w:ascii="宋体" w:hAnsi="宋体"/>
          <w:color w:val="auto"/>
          <w:sz w:val="52"/>
          <w:highlight w:val="none"/>
        </w:rPr>
      </w:pPr>
    </w:p>
    <w:p w14:paraId="65ED5CF9">
      <w:pPr>
        <w:spacing w:line="360" w:lineRule="auto"/>
        <w:rPr>
          <w:rFonts w:hint="eastAsia" w:ascii="宋体" w:hAnsi="宋体"/>
          <w:color w:val="auto"/>
          <w:sz w:val="52"/>
          <w:highlight w:val="none"/>
        </w:rPr>
      </w:pPr>
    </w:p>
    <w:p w14:paraId="1A1FC192">
      <w:pPr>
        <w:spacing w:line="360" w:lineRule="auto"/>
        <w:rPr>
          <w:rFonts w:hint="eastAsia" w:ascii="宋体" w:hAnsi="宋体"/>
          <w:color w:val="auto"/>
          <w:sz w:val="52"/>
          <w:highlight w:val="none"/>
        </w:rPr>
      </w:pPr>
    </w:p>
    <w:p w14:paraId="0B2702CF">
      <w:pPr>
        <w:spacing w:line="360" w:lineRule="auto"/>
        <w:ind w:firstLine="1295" w:firstLineChars="403"/>
        <w:rPr>
          <w:rFonts w:hint="eastAsia" w:ascii="宋体" w:hAnsi="宋体" w:cs="宋体"/>
          <w:b/>
          <w:bCs/>
          <w:color w:val="auto"/>
          <w:sz w:val="32"/>
          <w:szCs w:val="30"/>
          <w:highlight w:val="none"/>
          <w:lang w:val="zh-CN"/>
        </w:rPr>
      </w:pPr>
    </w:p>
    <w:p w14:paraId="7BC46C83">
      <w:pPr>
        <w:spacing w:line="360" w:lineRule="auto"/>
        <w:ind w:firstLine="1295" w:firstLineChars="403"/>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招 标 单 位：</w:t>
      </w:r>
      <w:r>
        <w:rPr>
          <w:rFonts w:hint="eastAsia" w:ascii="宋体" w:hAnsi="宋体" w:cs="宋体"/>
          <w:b/>
          <w:bCs/>
          <w:color w:val="auto"/>
          <w:sz w:val="32"/>
          <w:szCs w:val="30"/>
          <w:highlight w:val="none"/>
          <w:lang w:val="zh-CN" w:eastAsia="zh-CN"/>
        </w:rPr>
        <w:t>广州新中轴建设有限公司</w:t>
      </w:r>
      <w:r>
        <w:rPr>
          <w:rFonts w:hint="eastAsia" w:ascii="宋体" w:hAnsi="宋体" w:cs="宋体"/>
          <w:b/>
          <w:bCs/>
          <w:color w:val="auto"/>
          <w:sz w:val="32"/>
          <w:szCs w:val="30"/>
          <w:highlight w:val="none"/>
          <w:lang w:val="zh-CN"/>
        </w:rPr>
        <w:t xml:space="preserve"> </w:t>
      </w:r>
    </w:p>
    <w:p w14:paraId="36F70A6C">
      <w:pPr>
        <w:spacing w:line="360" w:lineRule="auto"/>
        <w:ind w:firstLine="1295" w:firstLineChars="403"/>
        <w:rPr>
          <w:rFonts w:hint="eastAsia" w:ascii="宋体" w:hAnsi="宋体" w:cs="宋体"/>
          <w:b/>
          <w:bCs/>
          <w:color w:val="auto"/>
          <w:sz w:val="32"/>
          <w:szCs w:val="30"/>
          <w:highlight w:val="none"/>
          <w:lang w:val="zh-CN" w:eastAsia="zh-CN"/>
        </w:rPr>
      </w:pPr>
      <w:r>
        <w:rPr>
          <w:rFonts w:hint="eastAsia" w:ascii="宋体" w:hAnsi="宋体" w:cs="宋体"/>
          <w:b/>
          <w:bCs/>
          <w:color w:val="auto"/>
          <w:sz w:val="32"/>
          <w:szCs w:val="30"/>
          <w:highlight w:val="none"/>
          <w:lang w:val="zh-CN" w:eastAsia="zh-CN"/>
        </w:rPr>
        <w:t>招标代理机构：建成工程咨询股份有限公司</w:t>
      </w:r>
    </w:p>
    <w:p w14:paraId="38BB398C">
      <w:pPr>
        <w:spacing w:line="360" w:lineRule="auto"/>
        <w:ind w:firstLine="1295" w:firstLineChars="403"/>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eastAsia="zh-CN"/>
        </w:rPr>
        <w:t>日        期：202</w:t>
      </w:r>
      <w:r>
        <w:rPr>
          <w:rFonts w:hint="eastAsia" w:ascii="宋体" w:hAnsi="宋体" w:cs="宋体"/>
          <w:b/>
          <w:bCs/>
          <w:color w:val="auto"/>
          <w:sz w:val="32"/>
          <w:szCs w:val="30"/>
          <w:highlight w:val="none"/>
          <w:lang w:val="en-US" w:eastAsia="zh-CN"/>
        </w:rPr>
        <w:t>5</w:t>
      </w:r>
      <w:r>
        <w:rPr>
          <w:rFonts w:hint="eastAsia" w:ascii="宋体" w:hAnsi="宋体" w:cs="宋体"/>
          <w:b/>
          <w:bCs/>
          <w:color w:val="auto"/>
          <w:sz w:val="32"/>
          <w:szCs w:val="30"/>
          <w:highlight w:val="none"/>
          <w:lang w:val="zh-CN" w:eastAsia="zh-CN"/>
        </w:rPr>
        <w:t>年</w:t>
      </w:r>
      <w:r>
        <w:rPr>
          <w:rFonts w:hint="eastAsia" w:ascii="宋体" w:hAnsi="宋体" w:cs="宋体"/>
          <w:b/>
          <w:bCs/>
          <w:color w:val="auto"/>
          <w:sz w:val="32"/>
          <w:szCs w:val="30"/>
          <w:highlight w:val="none"/>
          <w:lang w:val="en-US" w:eastAsia="zh-CN"/>
        </w:rPr>
        <w:t>10</w:t>
      </w:r>
      <w:r>
        <w:rPr>
          <w:rFonts w:hint="eastAsia" w:ascii="宋体" w:hAnsi="宋体" w:cs="宋体"/>
          <w:b/>
          <w:bCs/>
          <w:color w:val="auto"/>
          <w:sz w:val="32"/>
          <w:szCs w:val="30"/>
          <w:highlight w:val="none"/>
          <w:lang w:val="zh-CN" w:eastAsia="zh-CN"/>
        </w:rPr>
        <w:t>月</w:t>
      </w:r>
    </w:p>
    <w:p w14:paraId="3D26A363">
      <w:pPr>
        <w:jc w:val="center"/>
        <w:rPr>
          <w:rStyle w:val="46"/>
          <w:rFonts w:hint="eastAsia" w:ascii="宋体" w:hAnsi="宋体" w:cs="宋体"/>
          <w:b/>
          <w:bCs/>
          <w:color w:val="auto"/>
          <w:highlight w:val="none"/>
          <w:lang w:bidi="ar-SA"/>
        </w:rPr>
      </w:pPr>
    </w:p>
    <w:p w14:paraId="1DCB0D76">
      <w:pPr>
        <w:jc w:val="center"/>
        <w:rPr>
          <w:rStyle w:val="46"/>
          <w:rFonts w:hint="eastAsia" w:ascii="宋体" w:hAnsi="宋体" w:cs="宋体"/>
          <w:b/>
          <w:bCs/>
          <w:color w:val="auto"/>
          <w:highlight w:val="none"/>
          <w:lang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083" w:bottom="1440" w:left="1083" w:header="851" w:footer="567" w:gutter="0"/>
          <w:pgBorders>
            <w:top w:val="none" w:sz="0" w:space="0"/>
            <w:left w:val="none" w:sz="0" w:space="0"/>
            <w:bottom w:val="none" w:sz="0" w:space="0"/>
            <w:right w:val="none" w:sz="0" w:space="0"/>
          </w:pgBorders>
          <w:cols w:space="720" w:num="1"/>
          <w:titlePg/>
          <w:docGrid w:type="lines" w:linePitch="312" w:charSpace="0"/>
        </w:sectPr>
      </w:pPr>
    </w:p>
    <w:p w14:paraId="0650036E">
      <w:pPr>
        <w:spacing w:line="360" w:lineRule="auto"/>
        <w:jc w:val="center"/>
        <w:rPr>
          <w:rStyle w:val="46"/>
          <w:rFonts w:hint="eastAsia" w:ascii="宋体" w:hAnsi="宋体" w:cs="宋体"/>
          <w:b/>
          <w:color w:val="auto"/>
          <w:sz w:val="36"/>
          <w:szCs w:val="36"/>
          <w:highlight w:val="none"/>
          <w:u w:val="none"/>
        </w:rPr>
      </w:pPr>
      <w:r>
        <w:rPr>
          <w:rStyle w:val="46"/>
          <w:rFonts w:hint="eastAsia" w:ascii="宋体" w:hAnsi="宋体" w:cs="宋体"/>
          <w:b/>
          <w:color w:val="auto"/>
          <w:sz w:val="36"/>
          <w:szCs w:val="36"/>
          <w:highlight w:val="none"/>
          <w:u w:val="none"/>
        </w:rPr>
        <w:t>目  录</w:t>
      </w:r>
    </w:p>
    <w:p w14:paraId="59644029">
      <w:pPr>
        <w:spacing w:line="360" w:lineRule="auto"/>
        <w:jc w:val="center"/>
        <w:rPr>
          <w:rStyle w:val="46"/>
          <w:rFonts w:hint="eastAsia" w:ascii="宋体" w:hAnsi="宋体" w:cs="宋体"/>
          <w:b/>
          <w:bCs/>
          <w:color w:val="auto"/>
          <w:sz w:val="24"/>
          <w:szCs w:val="24"/>
          <w:highlight w:val="none"/>
        </w:rPr>
      </w:pPr>
    </w:p>
    <w:p w14:paraId="1CFBF56C">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TOC \o "1-3" \h \z \u </w:instrText>
      </w:r>
      <w:r>
        <w:rPr>
          <w:rFonts w:hint="eastAsia" w:cs="宋体"/>
          <w:color w:val="auto"/>
          <w:sz w:val="28"/>
          <w:szCs w:val="28"/>
          <w:highlight w:val="none"/>
        </w:rPr>
        <w:fldChar w:fldCharType="separate"/>
      </w: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_Toc1590 </w:instrText>
      </w:r>
      <w:r>
        <w:rPr>
          <w:rFonts w:hint="eastAsia" w:cs="宋体"/>
          <w:color w:val="auto"/>
          <w:sz w:val="28"/>
          <w:szCs w:val="28"/>
          <w:highlight w:val="none"/>
        </w:rPr>
        <w:fldChar w:fldCharType="separate"/>
      </w:r>
      <w:r>
        <w:rPr>
          <w:rFonts w:hint="eastAsia" w:cs="宋体"/>
          <w:color w:val="auto"/>
          <w:sz w:val="28"/>
          <w:szCs w:val="28"/>
          <w:highlight w:val="none"/>
        </w:rPr>
        <w:t>第一章  投标须知</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_Toc1590 \h </w:instrText>
      </w:r>
      <w:r>
        <w:rPr>
          <w:rFonts w:hint="eastAsia" w:cs="宋体"/>
          <w:color w:val="auto"/>
          <w:sz w:val="28"/>
          <w:szCs w:val="28"/>
          <w:highlight w:val="none"/>
        </w:rPr>
        <w:fldChar w:fldCharType="separate"/>
      </w:r>
      <w:r>
        <w:rPr>
          <w:rFonts w:hint="eastAsia" w:cs="宋体"/>
          <w:color w:val="auto"/>
          <w:sz w:val="28"/>
          <w:szCs w:val="28"/>
          <w:highlight w:val="none"/>
        </w:rPr>
        <w:t>2</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3822E2FD">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_Toc7115 </w:instrText>
      </w:r>
      <w:r>
        <w:rPr>
          <w:rFonts w:hint="eastAsia" w:cs="宋体"/>
          <w:color w:val="auto"/>
          <w:sz w:val="28"/>
          <w:szCs w:val="28"/>
          <w:highlight w:val="none"/>
        </w:rPr>
        <w:fldChar w:fldCharType="separate"/>
      </w:r>
      <w:r>
        <w:rPr>
          <w:rFonts w:hint="eastAsia" w:cs="宋体"/>
          <w:color w:val="auto"/>
          <w:sz w:val="28"/>
          <w:szCs w:val="28"/>
          <w:highlight w:val="none"/>
        </w:rPr>
        <w:t>第二章  开标、评标及定标办法</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_Toc7115 \h </w:instrText>
      </w:r>
      <w:r>
        <w:rPr>
          <w:rFonts w:hint="eastAsia" w:cs="宋体"/>
          <w:color w:val="auto"/>
          <w:sz w:val="28"/>
          <w:szCs w:val="28"/>
          <w:highlight w:val="none"/>
        </w:rPr>
        <w:fldChar w:fldCharType="separate"/>
      </w:r>
      <w:r>
        <w:rPr>
          <w:rFonts w:hint="eastAsia" w:cs="宋体"/>
          <w:color w:val="auto"/>
          <w:sz w:val="28"/>
          <w:szCs w:val="28"/>
          <w:highlight w:val="none"/>
        </w:rPr>
        <w:t>39</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2F35927D">
      <w:pPr>
        <w:pStyle w:val="29"/>
        <w:tabs>
          <w:tab w:val="right" w:leader="dot" w:pos="9298"/>
          <w:tab w:val="clear" w:pos="9060"/>
        </w:tabs>
        <w:rPr>
          <w:rFonts w:hint="eastAsia" w:eastAsia="宋体" w:cs="宋体"/>
          <w:color w:val="auto"/>
          <w:sz w:val="28"/>
          <w:szCs w:val="28"/>
          <w:highlight w:val="none"/>
          <w:lang w:val="en-US" w:eastAsia="zh-CN"/>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_Toc32052 </w:instrText>
      </w:r>
      <w:r>
        <w:rPr>
          <w:rFonts w:hint="eastAsia" w:cs="宋体"/>
          <w:color w:val="auto"/>
          <w:sz w:val="28"/>
          <w:szCs w:val="28"/>
          <w:highlight w:val="none"/>
        </w:rPr>
        <w:fldChar w:fldCharType="separate"/>
      </w:r>
      <w:r>
        <w:rPr>
          <w:rFonts w:hint="eastAsia" w:cs="宋体"/>
          <w:color w:val="auto"/>
          <w:sz w:val="28"/>
          <w:szCs w:val="28"/>
          <w:highlight w:val="none"/>
        </w:rPr>
        <w:t>第三章 合同条款</w:t>
      </w:r>
      <w:r>
        <w:rPr>
          <w:rFonts w:hint="eastAsia" w:cs="宋体"/>
          <w:color w:val="auto"/>
          <w:sz w:val="28"/>
          <w:szCs w:val="28"/>
          <w:highlight w:val="none"/>
        </w:rPr>
        <w:tab/>
      </w:r>
      <w:r>
        <w:rPr>
          <w:rFonts w:hint="eastAsia" w:cs="宋体"/>
          <w:color w:val="auto"/>
          <w:sz w:val="28"/>
          <w:szCs w:val="28"/>
          <w:highlight w:val="none"/>
          <w:lang w:val="en-US" w:eastAsia="zh-CN"/>
        </w:rPr>
        <w:t>8</w:t>
      </w:r>
      <w:r>
        <w:rPr>
          <w:rFonts w:hint="eastAsia" w:cs="宋体"/>
          <w:color w:val="auto"/>
          <w:sz w:val="28"/>
          <w:szCs w:val="28"/>
          <w:highlight w:val="none"/>
        </w:rPr>
        <w:fldChar w:fldCharType="end"/>
      </w:r>
      <w:r>
        <w:rPr>
          <w:rFonts w:hint="eastAsia" w:cs="宋体"/>
          <w:color w:val="auto"/>
          <w:sz w:val="28"/>
          <w:szCs w:val="28"/>
          <w:highlight w:val="none"/>
          <w:lang w:val="en-US" w:eastAsia="zh-CN"/>
        </w:rPr>
        <w:t>6</w:t>
      </w:r>
    </w:p>
    <w:p w14:paraId="6439B5F4">
      <w:pPr>
        <w:pStyle w:val="29"/>
        <w:tabs>
          <w:tab w:val="right" w:leader="dot" w:pos="9298"/>
          <w:tab w:val="clear" w:pos="9060"/>
        </w:tabs>
        <w:rPr>
          <w:rFonts w:hint="eastAsia" w:eastAsia="宋体" w:cs="宋体"/>
          <w:color w:val="auto"/>
          <w:sz w:val="28"/>
          <w:szCs w:val="28"/>
          <w:highlight w:val="none"/>
          <w:lang w:val="en-US" w:eastAsia="zh-CN"/>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_Toc22627 </w:instrText>
      </w:r>
      <w:r>
        <w:rPr>
          <w:rFonts w:hint="eastAsia" w:cs="宋体"/>
          <w:color w:val="auto"/>
          <w:sz w:val="28"/>
          <w:szCs w:val="28"/>
          <w:highlight w:val="none"/>
        </w:rPr>
        <w:fldChar w:fldCharType="separate"/>
      </w:r>
      <w:r>
        <w:rPr>
          <w:rFonts w:hint="eastAsia" w:cs="宋体"/>
          <w:color w:val="auto"/>
          <w:sz w:val="28"/>
          <w:szCs w:val="28"/>
          <w:highlight w:val="none"/>
        </w:rPr>
        <w:t>第四章 投标文件格式</w:t>
      </w:r>
      <w:r>
        <w:rPr>
          <w:rFonts w:hint="eastAsia" w:cs="宋体"/>
          <w:color w:val="auto"/>
          <w:sz w:val="28"/>
          <w:szCs w:val="28"/>
          <w:highlight w:val="none"/>
        </w:rPr>
        <w:tab/>
      </w:r>
      <w:r>
        <w:rPr>
          <w:rFonts w:hint="eastAsia" w:cs="宋体"/>
          <w:color w:val="auto"/>
          <w:sz w:val="28"/>
          <w:szCs w:val="28"/>
          <w:highlight w:val="none"/>
          <w:lang w:val="en-US" w:eastAsia="zh-CN"/>
        </w:rPr>
        <w:t>8</w:t>
      </w:r>
      <w:r>
        <w:rPr>
          <w:rFonts w:hint="eastAsia" w:cs="宋体"/>
          <w:color w:val="auto"/>
          <w:sz w:val="28"/>
          <w:szCs w:val="28"/>
          <w:highlight w:val="none"/>
        </w:rPr>
        <w:fldChar w:fldCharType="end"/>
      </w:r>
      <w:r>
        <w:rPr>
          <w:rFonts w:hint="eastAsia" w:cs="宋体"/>
          <w:color w:val="auto"/>
          <w:sz w:val="28"/>
          <w:szCs w:val="28"/>
          <w:highlight w:val="none"/>
          <w:lang w:val="en-US" w:eastAsia="zh-CN"/>
        </w:rPr>
        <w:t>7</w:t>
      </w:r>
    </w:p>
    <w:p w14:paraId="476C4632">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_Toc22109 </w:instrText>
      </w:r>
      <w:r>
        <w:rPr>
          <w:rFonts w:hint="eastAsia" w:cs="宋体"/>
          <w:color w:val="auto"/>
          <w:sz w:val="28"/>
          <w:szCs w:val="28"/>
          <w:highlight w:val="none"/>
        </w:rPr>
        <w:fldChar w:fldCharType="separate"/>
      </w:r>
      <w:r>
        <w:rPr>
          <w:rFonts w:hint="eastAsia" w:cs="宋体"/>
          <w:color w:val="auto"/>
          <w:sz w:val="28"/>
          <w:szCs w:val="28"/>
          <w:highlight w:val="none"/>
        </w:rPr>
        <w:t xml:space="preserve">第五章 </w:t>
      </w:r>
      <w:r>
        <w:rPr>
          <w:rFonts w:hint="eastAsia" w:cs="宋体"/>
          <w:color w:val="auto"/>
          <w:sz w:val="28"/>
          <w:szCs w:val="28"/>
          <w:highlight w:val="none"/>
          <w:lang w:eastAsia="zh-CN"/>
        </w:rPr>
        <w:t>技术条件（工程建设标准）</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_Toc22109 \h </w:instrText>
      </w:r>
      <w:r>
        <w:rPr>
          <w:rFonts w:hint="eastAsia" w:cs="宋体"/>
          <w:color w:val="auto"/>
          <w:sz w:val="28"/>
          <w:szCs w:val="28"/>
          <w:highlight w:val="none"/>
        </w:rPr>
        <w:fldChar w:fldCharType="separate"/>
      </w:r>
      <w:r>
        <w:rPr>
          <w:rFonts w:hint="eastAsia" w:cs="宋体"/>
          <w:color w:val="auto"/>
          <w:sz w:val="28"/>
          <w:szCs w:val="28"/>
          <w:highlight w:val="none"/>
        </w:rPr>
        <w:t>92</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7CF1EDBA">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_Toc10124 </w:instrText>
      </w:r>
      <w:r>
        <w:rPr>
          <w:rFonts w:hint="eastAsia" w:cs="宋体"/>
          <w:color w:val="auto"/>
          <w:sz w:val="28"/>
          <w:szCs w:val="28"/>
          <w:highlight w:val="none"/>
        </w:rPr>
        <w:fldChar w:fldCharType="separate"/>
      </w:r>
      <w:r>
        <w:rPr>
          <w:rFonts w:hint="eastAsia" w:cs="宋体"/>
          <w:color w:val="auto"/>
          <w:sz w:val="28"/>
          <w:szCs w:val="28"/>
          <w:highlight w:val="none"/>
        </w:rPr>
        <w:t>第六章 图纸及勘察资料</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_Toc10124 \h </w:instrText>
      </w:r>
      <w:r>
        <w:rPr>
          <w:rFonts w:hint="eastAsia" w:cs="宋体"/>
          <w:color w:val="auto"/>
          <w:sz w:val="28"/>
          <w:szCs w:val="28"/>
          <w:highlight w:val="none"/>
        </w:rPr>
        <w:fldChar w:fldCharType="separate"/>
      </w:r>
      <w:r>
        <w:rPr>
          <w:rFonts w:hint="eastAsia" w:cs="宋体"/>
          <w:color w:val="auto"/>
          <w:sz w:val="28"/>
          <w:szCs w:val="28"/>
          <w:highlight w:val="none"/>
        </w:rPr>
        <w:t>100</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5DCF7757">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_Toc3629 </w:instrText>
      </w:r>
      <w:r>
        <w:rPr>
          <w:rFonts w:hint="eastAsia" w:cs="宋体"/>
          <w:color w:val="auto"/>
          <w:sz w:val="28"/>
          <w:szCs w:val="28"/>
          <w:highlight w:val="none"/>
        </w:rPr>
        <w:fldChar w:fldCharType="separate"/>
      </w:r>
      <w:r>
        <w:rPr>
          <w:rFonts w:hint="eastAsia" w:cs="宋体"/>
          <w:color w:val="auto"/>
          <w:sz w:val="28"/>
          <w:szCs w:val="28"/>
          <w:highlight w:val="none"/>
        </w:rPr>
        <w:t>第七章 工程量清单</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_Toc3629 \h </w:instrText>
      </w:r>
      <w:r>
        <w:rPr>
          <w:rFonts w:hint="eastAsia" w:cs="宋体"/>
          <w:color w:val="auto"/>
          <w:sz w:val="28"/>
          <w:szCs w:val="28"/>
          <w:highlight w:val="none"/>
        </w:rPr>
        <w:fldChar w:fldCharType="separate"/>
      </w:r>
      <w:r>
        <w:rPr>
          <w:rFonts w:hint="eastAsia" w:cs="宋体"/>
          <w:color w:val="auto"/>
          <w:sz w:val="28"/>
          <w:szCs w:val="28"/>
          <w:highlight w:val="none"/>
        </w:rPr>
        <w:t>101</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3AB393C9">
      <w:pPr>
        <w:pStyle w:val="29"/>
        <w:tabs>
          <w:tab w:val="right" w:leader="dot" w:pos="9298"/>
          <w:tab w:val="clear" w:pos="9060"/>
        </w:tabs>
        <w:rPr>
          <w:rFonts w:hint="eastAsia" w:cs="宋体"/>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_Toc24368 </w:instrText>
      </w:r>
      <w:r>
        <w:rPr>
          <w:rFonts w:hint="eastAsia" w:cs="宋体"/>
          <w:color w:val="auto"/>
          <w:sz w:val="28"/>
          <w:szCs w:val="28"/>
          <w:highlight w:val="none"/>
        </w:rPr>
        <w:fldChar w:fldCharType="separate"/>
      </w:r>
      <w:r>
        <w:rPr>
          <w:rFonts w:hint="eastAsia" w:cs="宋体"/>
          <w:color w:val="auto"/>
          <w:sz w:val="28"/>
          <w:szCs w:val="28"/>
          <w:highlight w:val="none"/>
        </w:rPr>
        <w:t>第八章 最高投标限价</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_Toc24368 \h </w:instrText>
      </w:r>
      <w:r>
        <w:rPr>
          <w:rFonts w:hint="eastAsia" w:cs="宋体"/>
          <w:color w:val="auto"/>
          <w:sz w:val="28"/>
          <w:szCs w:val="28"/>
          <w:highlight w:val="none"/>
        </w:rPr>
        <w:fldChar w:fldCharType="separate"/>
      </w:r>
      <w:r>
        <w:rPr>
          <w:rFonts w:hint="eastAsia" w:cs="宋体"/>
          <w:color w:val="auto"/>
          <w:sz w:val="28"/>
          <w:szCs w:val="28"/>
          <w:highlight w:val="none"/>
        </w:rPr>
        <w:t>102</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78C8328B">
      <w:pPr>
        <w:pStyle w:val="29"/>
        <w:tabs>
          <w:tab w:val="right" w:leader="dot" w:pos="9298"/>
          <w:tab w:val="clear" w:pos="9060"/>
        </w:tabs>
        <w:rPr>
          <w:rFonts w:hint="eastAsia" w:ascii="宋体" w:hAnsi="宋体" w:cs="宋体"/>
          <w:color w:val="auto"/>
          <w:highlight w:val="none"/>
          <w:lang w:bidi="ar-SA"/>
        </w:rPr>
      </w:pPr>
      <w:r>
        <w:rPr>
          <w:rFonts w:hint="eastAsia" w:cs="宋体"/>
          <w:color w:val="auto"/>
          <w:sz w:val="28"/>
          <w:szCs w:val="28"/>
          <w:highlight w:val="none"/>
        </w:rPr>
        <w:fldChar w:fldCharType="end"/>
      </w:r>
      <w:bookmarkStart w:id="0" w:name="_Toc2272545"/>
    </w:p>
    <w:p w14:paraId="499EFA99">
      <w:pPr>
        <w:widowControl/>
        <w:jc w:val="left"/>
        <w:rPr>
          <w:rFonts w:hint="eastAsia" w:ascii="宋体" w:hAnsi="宋体" w:cs="宋体"/>
          <w:color w:val="auto"/>
          <w:szCs w:val="20"/>
          <w:highlight w:val="none"/>
          <w:lang w:bidi="ar-SA"/>
        </w:rPr>
      </w:pPr>
      <w:r>
        <w:rPr>
          <w:rFonts w:hint="eastAsia" w:ascii="宋体" w:hAnsi="宋体" w:cs="宋体"/>
          <w:color w:val="auto"/>
          <w:highlight w:val="none"/>
          <w:lang w:bidi="ar-SA"/>
        </w:rPr>
        <w:br w:type="page"/>
      </w:r>
    </w:p>
    <w:p w14:paraId="794419FC">
      <w:pPr>
        <w:pStyle w:val="3"/>
        <w:rPr>
          <w:rFonts w:hint="eastAsia" w:ascii="宋体" w:hAnsi="宋体" w:cs="宋体"/>
          <w:b w:val="0"/>
          <w:color w:val="auto"/>
          <w:sz w:val="32"/>
          <w:szCs w:val="32"/>
          <w:highlight w:val="none"/>
        </w:rPr>
      </w:pPr>
      <w:bookmarkStart w:id="1" w:name="_Toc1590"/>
      <w:bookmarkStart w:id="2" w:name="_Toc31898"/>
      <w:r>
        <w:rPr>
          <w:rFonts w:hint="eastAsia" w:ascii="宋体" w:hAnsi="宋体" w:cs="宋体"/>
          <w:b w:val="0"/>
          <w:color w:val="auto"/>
          <w:sz w:val="32"/>
          <w:szCs w:val="32"/>
          <w:highlight w:val="none"/>
        </w:rPr>
        <w:t>第一章  投标须知</w:t>
      </w:r>
      <w:bookmarkEnd w:id="1"/>
      <w:bookmarkEnd w:id="2"/>
    </w:p>
    <w:bookmarkEnd w:id="0"/>
    <w:p w14:paraId="6D0888AC">
      <w:pPr>
        <w:pStyle w:val="5"/>
        <w:spacing w:line="360" w:lineRule="auto"/>
        <w:rPr>
          <w:rFonts w:hint="eastAsia" w:ascii="宋体" w:hAnsi="宋体" w:cs="宋体"/>
          <w:color w:val="auto"/>
          <w:sz w:val="28"/>
          <w:szCs w:val="28"/>
          <w:highlight w:val="none"/>
        </w:rPr>
      </w:pPr>
      <w:bookmarkStart w:id="3" w:name="_Toc16373"/>
      <w:bookmarkStart w:id="4" w:name="_Toc28582"/>
      <w:bookmarkStart w:id="5" w:name="_Toc2272546"/>
      <w:r>
        <w:rPr>
          <w:rFonts w:hint="eastAsia" w:ascii="宋体" w:hAnsi="宋体" w:cs="宋体"/>
          <w:color w:val="auto"/>
          <w:sz w:val="28"/>
          <w:szCs w:val="28"/>
          <w:highlight w:val="none"/>
        </w:rPr>
        <w:t>一、投标须知前附表</w:t>
      </w:r>
      <w:bookmarkEnd w:id="3"/>
      <w:bookmarkEnd w:id="4"/>
      <w:bookmarkEnd w:id="5"/>
    </w:p>
    <w:p w14:paraId="277333D4">
      <w:pPr>
        <w:pStyle w:val="9"/>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37"/>
        <w:gridCol w:w="814"/>
        <w:gridCol w:w="1642"/>
        <w:gridCol w:w="6330"/>
      </w:tblGrid>
      <w:tr w14:paraId="1B165E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blHeader/>
        </w:trPr>
        <w:tc>
          <w:tcPr>
            <w:tcW w:w="537" w:type="dxa"/>
            <w:tcBorders>
              <w:top w:val="double" w:color="auto" w:sz="4" w:space="0"/>
              <w:left w:val="double" w:color="auto" w:sz="4" w:space="0"/>
              <w:bottom w:val="single" w:color="auto" w:sz="4" w:space="0"/>
              <w:right w:val="single" w:color="auto" w:sz="4" w:space="0"/>
            </w:tcBorders>
            <w:noWrap w:val="0"/>
            <w:vAlign w:val="center"/>
          </w:tcPr>
          <w:p w14:paraId="0320E9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项目</w:t>
            </w:r>
          </w:p>
        </w:tc>
        <w:tc>
          <w:tcPr>
            <w:tcW w:w="814" w:type="dxa"/>
            <w:tcBorders>
              <w:top w:val="double" w:color="auto" w:sz="4" w:space="0"/>
              <w:left w:val="single" w:color="auto" w:sz="4" w:space="0"/>
              <w:bottom w:val="single" w:color="auto" w:sz="4" w:space="0"/>
              <w:right w:val="single" w:color="auto" w:sz="4" w:space="0"/>
            </w:tcBorders>
            <w:noWrap w:val="0"/>
            <w:vAlign w:val="center"/>
          </w:tcPr>
          <w:p w14:paraId="58A758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p>
        </w:tc>
        <w:tc>
          <w:tcPr>
            <w:tcW w:w="1642" w:type="dxa"/>
            <w:tcBorders>
              <w:top w:val="double" w:color="auto" w:sz="4" w:space="0"/>
              <w:left w:val="single" w:color="auto" w:sz="4" w:space="0"/>
              <w:bottom w:val="single" w:color="auto" w:sz="4" w:space="0"/>
              <w:right w:val="single" w:color="auto" w:sz="4" w:space="0"/>
            </w:tcBorders>
            <w:noWrap w:val="0"/>
            <w:vAlign w:val="center"/>
          </w:tcPr>
          <w:p w14:paraId="732BB5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内容</w:t>
            </w:r>
          </w:p>
        </w:tc>
        <w:tc>
          <w:tcPr>
            <w:tcW w:w="6330" w:type="dxa"/>
            <w:tcBorders>
              <w:top w:val="double" w:color="auto" w:sz="4" w:space="0"/>
              <w:left w:val="single" w:color="auto" w:sz="4" w:space="0"/>
              <w:bottom w:val="single" w:color="auto" w:sz="4" w:space="0"/>
              <w:right w:val="double" w:color="auto" w:sz="4" w:space="0"/>
            </w:tcBorders>
            <w:noWrap w:val="0"/>
            <w:vAlign w:val="center"/>
          </w:tcPr>
          <w:p w14:paraId="1C76BD7F">
            <w:pPr>
              <w:pStyle w:val="2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color w:val="auto"/>
                <w:kern w:val="2"/>
                <w:sz w:val="24"/>
                <w:szCs w:val="24"/>
                <w:highlight w:val="none"/>
                <w:lang w:bidi="ar-SA"/>
              </w:rPr>
            </w:pPr>
            <w:r>
              <w:rPr>
                <w:rFonts w:hint="eastAsia" w:ascii="宋体" w:hAnsi="宋体" w:eastAsia="宋体" w:cs="宋体"/>
                <w:b/>
                <w:color w:val="auto"/>
                <w:kern w:val="2"/>
                <w:sz w:val="24"/>
                <w:szCs w:val="24"/>
                <w:highlight w:val="none"/>
                <w:lang w:bidi="ar-SA"/>
              </w:rPr>
              <w:t>说明与要求</w:t>
            </w:r>
          </w:p>
        </w:tc>
      </w:tr>
      <w:tr w14:paraId="3277FA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36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5F312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5762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7644A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定义</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12576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u w:val="single"/>
                <w:lang w:bidi="ar-SA"/>
              </w:rPr>
              <w:t>招标人（即发包人）：</w:t>
            </w:r>
            <w:r>
              <w:rPr>
                <w:rFonts w:hint="eastAsia" w:ascii="宋体" w:hAnsi="宋体" w:cs="宋体"/>
                <w:color w:val="auto"/>
                <w:sz w:val="24"/>
                <w:szCs w:val="24"/>
                <w:highlight w:val="none"/>
                <w:u w:val="single"/>
                <w:lang w:eastAsia="zh-CN" w:bidi="ar-SA"/>
              </w:rPr>
              <w:t>广州新中轴建设有限公司</w:t>
            </w:r>
          </w:p>
          <w:p w14:paraId="1A7286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u w:val="single"/>
                <w:lang w:bidi="ar-SA"/>
              </w:rPr>
              <w:t>招标代理：</w:t>
            </w:r>
            <w:r>
              <w:rPr>
                <w:rFonts w:hint="eastAsia" w:ascii="宋体" w:hAnsi="宋体" w:cs="宋体"/>
                <w:color w:val="auto"/>
                <w:sz w:val="24"/>
                <w:szCs w:val="24"/>
                <w:highlight w:val="none"/>
                <w:u w:val="single"/>
                <w:lang w:eastAsia="zh-CN" w:bidi="ar-SA"/>
              </w:rPr>
              <w:t>建成工程咨询股份有限公司</w:t>
            </w:r>
          </w:p>
          <w:p w14:paraId="215AE7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bidi="ar-SA"/>
              </w:rPr>
              <w:t>设计单位：</w:t>
            </w:r>
            <w:bookmarkStart w:id="6" w:name="OLE_LINK1"/>
            <w:r>
              <w:rPr>
                <w:rFonts w:hint="eastAsia" w:ascii="宋体" w:hAnsi="宋体" w:cs="宋体"/>
                <w:color w:val="auto"/>
                <w:sz w:val="24"/>
                <w:szCs w:val="24"/>
                <w:highlight w:val="none"/>
                <w:u w:val="single"/>
                <w:lang w:val="en-US" w:eastAsia="zh-CN" w:bidi="ar-SA"/>
              </w:rPr>
              <w:t>广东省建筑</w:t>
            </w:r>
            <w:r>
              <w:rPr>
                <w:rFonts w:hint="eastAsia" w:ascii="宋体" w:hAnsi="宋体" w:eastAsia="宋体" w:cs="宋体"/>
                <w:color w:val="auto"/>
                <w:sz w:val="24"/>
                <w:szCs w:val="24"/>
                <w:highlight w:val="none"/>
                <w:u w:val="single"/>
                <w:lang w:bidi="ar-SA"/>
              </w:rPr>
              <w:t>设计研究院有限公司</w:t>
            </w:r>
            <w:bookmarkEnd w:id="6"/>
          </w:p>
          <w:p w14:paraId="45B4D0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监理单位：</w:t>
            </w:r>
            <w:r>
              <w:rPr>
                <w:rFonts w:hint="eastAsia" w:ascii="宋体" w:hAnsi="宋体" w:cs="宋体"/>
                <w:color w:val="auto"/>
                <w:sz w:val="24"/>
                <w:szCs w:val="24"/>
                <w:highlight w:val="none"/>
                <w:u w:val="single"/>
                <w:lang w:val="en-US" w:eastAsia="zh-CN" w:bidi="ar-SA"/>
              </w:rPr>
              <w:t>/</w:t>
            </w:r>
          </w:p>
        </w:tc>
      </w:tr>
      <w:tr w14:paraId="78796F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12"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A7560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4BAB8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FD42F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u w:val="single"/>
                <w:lang w:val="en-US" w:eastAsia="zh-CN" w:bidi="ar-SA"/>
              </w:rPr>
              <w:t>工程</w:t>
            </w:r>
            <w:r>
              <w:rPr>
                <w:rFonts w:hint="eastAsia" w:ascii="宋体" w:hAnsi="宋体" w:eastAsia="宋体" w:cs="宋体"/>
                <w:color w:val="auto"/>
                <w:sz w:val="24"/>
                <w:szCs w:val="24"/>
                <w:highlight w:val="none"/>
                <w:lang w:bidi="ar-SA"/>
              </w:rPr>
              <w:t>名称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F6D8E09">
            <w:pPr>
              <w:keepNext w:val="0"/>
              <w:keepLines w:val="0"/>
              <w:suppressLineNumbers w:val="0"/>
              <w:spacing w:before="0" w:beforeAutospacing="0" w:after="0" w:afterAutospacing="0" w:line="240" w:lineRule="auto"/>
              <w:ind w:left="0" w:right="0"/>
              <w:rPr>
                <w:rFonts w:hint="eastAsia"/>
                <w:color w:val="auto"/>
                <w:highlight w:val="none"/>
              </w:rPr>
            </w:pPr>
            <w:r>
              <w:rPr>
                <w:rFonts w:hint="eastAsia" w:ascii="宋体" w:hAnsi="宋体" w:cs="宋体"/>
                <w:color w:val="auto"/>
                <w:sz w:val="24"/>
                <w:szCs w:val="24"/>
                <w:highlight w:val="none"/>
                <w:u w:val="single"/>
                <w:lang w:eastAsia="zh-CN" w:bidi="ar-SA"/>
              </w:rPr>
              <w:t>广州塔广场数智生活科技体验馆项目施工总承包</w:t>
            </w:r>
          </w:p>
        </w:tc>
      </w:tr>
      <w:tr w14:paraId="3A54D0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4AC607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EAD39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7FF16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建设地点</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8BBC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lang w:eastAsia="zh-CN" w:bidi="ar-SA"/>
              </w:rPr>
              <w:t>详见本工程招标公告。</w:t>
            </w:r>
          </w:p>
        </w:tc>
      </w:tr>
      <w:tr w14:paraId="12F45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BD3E0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4A998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04242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建设规模</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7B7A4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lang w:eastAsia="zh-CN" w:bidi="ar-SA"/>
              </w:rPr>
              <w:t>详见本工程招标公告。</w:t>
            </w:r>
          </w:p>
        </w:tc>
      </w:tr>
      <w:tr w14:paraId="6570D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27BB2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1AF08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8C613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承包方式</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54B903A">
            <w:pPr>
              <w:keepNext w:val="0"/>
              <w:keepLines w:val="0"/>
              <w:pageBreakBefore w:val="0"/>
              <w:suppressLineNumbers w:val="0"/>
              <w:tabs>
                <w:tab w:val="right" w:pos="828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按本合同采用总价包干方式。具体详见合同条款约定。</w:t>
            </w:r>
          </w:p>
        </w:tc>
      </w:tr>
      <w:tr w14:paraId="4C073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04C9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46EB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C0884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质量标准</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66BC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lang w:val="en-US" w:eastAsia="zh-CN"/>
              </w:rPr>
              <w:t>符合《工程施工质量验收规范》标准</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必须达到合格工程。</w:t>
            </w:r>
          </w:p>
        </w:tc>
      </w:tr>
      <w:tr w14:paraId="313B56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9227F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3291F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9A6DE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招标范围</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05662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详见本工程招标公告。</w:t>
            </w:r>
          </w:p>
        </w:tc>
      </w:tr>
      <w:tr w14:paraId="338E2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EAF02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C3312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9969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工期要求</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FE943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val="en-US" w:eastAsia="zh-CN"/>
              </w:rPr>
              <w:t>施工总工期：3</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日历天。计划开工时间为2025年12月10日，开工时间以招标人</w:t>
            </w:r>
            <w:r>
              <w:rPr>
                <w:rFonts w:hint="eastAsia" w:ascii="宋体" w:hAnsi="宋体" w:cs="宋体"/>
                <w:color w:val="auto"/>
                <w:sz w:val="24"/>
                <w:szCs w:val="24"/>
                <w:highlight w:val="none"/>
                <w:u w:val="single"/>
                <w:lang w:val="en-US" w:eastAsia="zh-CN"/>
              </w:rPr>
              <w:t>或其委托的监理单位</w:t>
            </w:r>
            <w:r>
              <w:rPr>
                <w:rFonts w:hint="eastAsia" w:ascii="宋体" w:hAnsi="宋体" w:eastAsia="宋体" w:cs="宋体"/>
                <w:color w:val="auto"/>
                <w:sz w:val="24"/>
                <w:szCs w:val="24"/>
                <w:highlight w:val="none"/>
                <w:u w:val="single"/>
                <w:lang w:val="en-US" w:eastAsia="zh-CN"/>
              </w:rPr>
              <w:t>发出的开工令为准，其中围挡</w:t>
            </w:r>
            <w:r>
              <w:rPr>
                <w:rFonts w:hint="eastAsia" w:ascii="宋体"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lang w:val="en-US" w:eastAsia="zh-CN"/>
              </w:rPr>
              <w:t>于2025年12月30日前完成，主体结构封顶</w:t>
            </w:r>
            <w:r>
              <w:rPr>
                <w:rFonts w:hint="eastAsia" w:ascii="宋体"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lang w:val="en-US" w:eastAsia="zh-CN"/>
              </w:rPr>
              <w:t>于2026年2月10日前完成，幕墙工作面</w:t>
            </w:r>
            <w:r>
              <w:rPr>
                <w:rFonts w:hint="eastAsia" w:ascii="宋体"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lang w:val="en-US" w:eastAsia="zh-CN"/>
              </w:rPr>
              <w:t>于2026年2月28日前移交，具体详见本工程合同条款约定。</w:t>
            </w:r>
          </w:p>
        </w:tc>
      </w:tr>
      <w:tr w14:paraId="6514E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D06C8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9</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F8672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39A0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资金来源</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8F192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eastAsia="zh-CN" w:bidi="ar-SA"/>
              </w:rPr>
            </w:pPr>
            <w:r>
              <w:rPr>
                <w:rFonts w:hint="eastAsia" w:ascii="宋体" w:hAnsi="宋体" w:eastAsia="宋体" w:cs="宋体"/>
                <w:color w:val="auto"/>
                <w:sz w:val="24"/>
                <w:szCs w:val="24"/>
                <w:highlight w:val="none"/>
                <w:lang w:eastAsia="zh-CN" w:bidi="ar-SA"/>
              </w:rPr>
              <w:t>详见本工程招标公告。</w:t>
            </w:r>
          </w:p>
        </w:tc>
      </w:tr>
      <w:tr w14:paraId="677AA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729"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2E6B0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9412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20FE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投标人资质等级及项目负责人等级要求</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0526D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详见本工程招标公告。</w:t>
            </w:r>
          </w:p>
        </w:tc>
      </w:tr>
      <w:tr w14:paraId="6F998A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BA011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CBDDD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F6E25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资格审查方式</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4A74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详见本工程招标公告。</w:t>
            </w:r>
          </w:p>
        </w:tc>
      </w:tr>
      <w:tr w14:paraId="73F2CD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72893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B080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397DF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报价以及单价和总价计算方式</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62769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工程量清单计价。</w:t>
            </w:r>
          </w:p>
        </w:tc>
      </w:tr>
      <w:tr w14:paraId="5D88D8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A10CB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4D62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15.1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F85C0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投标有效期</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92E72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u w:val="single"/>
                <w:lang w:bidi="ar-SA"/>
              </w:rPr>
              <w:t>120日历天（从投标截止之日计起）。</w:t>
            </w:r>
          </w:p>
        </w:tc>
      </w:tr>
      <w:tr w14:paraId="39155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57143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4E411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04F0A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投标保证金</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0E106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是否要求投标人递交投标保证金：</w:t>
            </w:r>
          </w:p>
          <w:p w14:paraId="0281F2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sym w:font="Wingdings 2" w:char="00A3"/>
            </w:r>
            <w:r>
              <w:rPr>
                <w:rFonts w:hint="eastAsia" w:ascii="宋体" w:hAnsi="宋体" w:eastAsia="宋体" w:cs="宋体"/>
                <w:color w:val="auto"/>
                <w:sz w:val="24"/>
                <w:szCs w:val="24"/>
                <w:highlight w:val="none"/>
                <w:u w:val="single"/>
              </w:rPr>
              <w:t>要求递交投标保证金。</w:t>
            </w:r>
          </w:p>
          <w:p w14:paraId="24F1E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rPr>
              <w:t>要求递交投标保证金。</w:t>
            </w:r>
          </w:p>
        </w:tc>
      </w:tr>
      <w:tr w14:paraId="7D702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09"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12A43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950A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CBA6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踏勘现场</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05B56A2">
            <w:pPr>
              <w:pStyle w:val="2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u w:val="single"/>
              </w:rPr>
              <w:t>自行踏勘，投标人不进行踏勘的，视为已熟知现场条件，自行承担相关风险。</w:t>
            </w:r>
          </w:p>
        </w:tc>
      </w:tr>
      <w:tr w14:paraId="4FCC24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607"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AB138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BA46A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818B3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投标答疑</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49476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1.方式：网上答疑；</w:t>
            </w:r>
          </w:p>
          <w:p w14:paraId="0E26E8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2.疑问提交时间：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前</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在递交投标文件截止日期前18日</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14:paraId="2D13BA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3.招标人澄清、修补或答疑期限：在递交投标文件截止日期前15 日；</w:t>
            </w:r>
          </w:p>
          <w:p w14:paraId="6E931EF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具体要求：按照广州交易集团有限公司（广州公共资源交易中心）交易平台关于全流程电子化项目的相关指南进行操作，详见：广州交易集团有限公司（广州公共资源交易中心）网站最新指引。提问一律不得署名。</w:t>
            </w:r>
          </w:p>
        </w:tc>
      </w:tr>
      <w:tr w14:paraId="5D50E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57337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F68F5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6420A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投标截止时间</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8F64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trike/>
                <w:color w:val="auto"/>
                <w:sz w:val="24"/>
                <w:szCs w:val="24"/>
                <w:highlight w:val="none"/>
                <w:lang w:bidi="ar-SA"/>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w:t>
            </w:r>
          </w:p>
        </w:tc>
      </w:tr>
      <w:tr w14:paraId="08B09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4BF0B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3BF8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6ABB8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开标开始时间和地点</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49E8D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（技术标和经济标同时开标）</w:t>
            </w:r>
          </w:p>
          <w:p w14:paraId="61C462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1.开标开始时间：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分（与投标截止时间为同一时间），地点：</w:t>
            </w:r>
            <w:r>
              <w:rPr>
                <w:rFonts w:hint="eastAsia" w:ascii="宋体" w:hAnsi="宋体" w:eastAsia="宋体" w:cs="宋体"/>
                <w:color w:val="auto"/>
                <w:sz w:val="24"/>
                <w:szCs w:val="24"/>
                <w:highlight w:val="none"/>
                <w:u w:val="single"/>
              </w:rPr>
              <w:t>广州交易集团有限公司（广州公共资源交易中心）指定开标室。</w:t>
            </w:r>
            <w:r>
              <w:rPr>
                <w:rFonts w:hint="eastAsia" w:ascii="宋体" w:hAnsi="宋体" w:eastAsia="宋体" w:cs="宋体"/>
                <w:b/>
                <w:bCs/>
                <w:color w:val="auto"/>
                <w:sz w:val="24"/>
                <w:szCs w:val="24"/>
                <w:highlight w:val="none"/>
              </w:rPr>
              <w:t>投标人也可选择参加在线开标，具体按照交易平台相关指南进行操作。详见：</w:t>
            </w:r>
            <w:r>
              <w:rPr>
                <w:rFonts w:hint="eastAsia" w:ascii="宋体" w:hAnsi="宋体" w:eastAsia="宋体" w:cs="宋体"/>
                <w:b/>
                <w:bCs/>
                <w:color w:val="auto"/>
                <w:sz w:val="24"/>
                <w:szCs w:val="24"/>
                <w:highlight w:val="none"/>
                <w:u w:val="single"/>
              </w:rPr>
              <w:t>广州交易集团有限公司（广州公共资源交易中心）网站最新指引。</w:t>
            </w:r>
          </w:p>
          <w:p w14:paraId="204879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注：投标文件解密问题。投标人只用执行一次解密，招标人执行解密次数根据招标文件开标次数确定。</w:t>
            </w:r>
          </w:p>
          <w:p w14:paraId="7AB0C5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2.递交投标文件备用光盘时间：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分；递交地点：</w:t>
            </w:r>
            <w:r>
              <w:rPr>
                <w:rFonts w:hint="eastAsia" w:ascii="宋体" w:hAnsi="宋体" w:eastAsia="宋体" w:cs="宋体"/>
                <w:color w:val="auto"/>
                <w:sz w:val="24"/>
                <w:szCs w:val="24"/>
                <w:highlight w:val="none"/>
                <w:u w:val="single"/>
              </w:rPr>
              <w:t>广州交易集团有限公司（广州公共资源交易中心）指定开标室。</w:t>
            </w:r>
          </w:p>
          <w:p w14:paraId="646CEF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3.投标人应在投标文件[含定标文件（如有）]递交截止时间前通过广州交易集团有限公司（广州公共资源交易中心）电子招标投标交易平台递交电子投标文件[含电子定标文件（如有）]。</w:t>
            </w:r>
          </w:p>
          <w:p w14:paraId="42B04E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上述时间及地点是否有改变，请密切留意补充公告和招标答疑纪要的相关信息。</w:t>
            </w:r>
          </w:p>
          <w:p w14:paraId="2A343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请各投标人密切留意本项目的日程安排，投标人可登录广州交易集团有限公司（广州公共资源交易中心）网站首页，点击“交易业务</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建设工程”专栏中的“项目查询（日程安排、答疑纪要）”，输入项目编号或项目名称查询最新信息。</w:t>
            </w:r>
          </w:p>
        </w:tc>
      </w:tr>
      <w:tr w14:paraId="6CCE0B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86784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19</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F41D1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35.10</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1F0EC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u w:val="single"/>
                <w:lang w:bidi="ar-SA"/>
              </w:rPr>
              <w:t>采用评定分离定标办法</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5E5ABF3">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1.评标办法：通过制评审法</w:t>
            </w:r>
          </w:p>
          <w:p w14:paraId="433683CD">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评标委员会对投标文件进行资格审查，再对通过资格审查的投标文件经济标和技术标进行有效性审查，评出合格的投标人。若通过有效性审查的合格投标人大于等于</w:t>
            </w:r>
            <w:r>
              <w:rPr>
                <w:rFonts w:hint="eastAsia" w:ascii="宋体" w:hAnsi="宋体" w:cs="宋体"/>
                <w:color w:val="auto"/>
                <w:kern w:val="2"/>
                <w:sz w:val="24"/>
                <w:szCs w:val="24"/>
                <w:highlight w:val="none"/>
                <w:u w:val="single"/>
                <w:lang w:val="en-US" w:eastAsia="zh-CN"/>
              </w:rPr>
              <w:t>3</w:t>
            </w:r>
            <w:r>
              <w:rPr>
                <w:rFonts w:hint="eastAsia" w:ascii="宋体" w:hAnsi="宋体" w:eastAsia="宋体" w:cs="宋体"/>
                <w:color w:val="auto"/>
                <w:kern w:val="2"/>
                <w:sz w:val="24"/>
                <w:szCs w:val="24"/>
                <w:highlight w:val="none"/>
                <w:u w:val="single"/>
              </w:rPr>
              <w:t>家的，则全部通过有效性审查的为合格中标候选人，且进入定标阶段。通过有效性审查少于3家的，招标人将重新组织招标。</w:t>
            </w:r>
          </w:p>
          <w:p w14:paraId="7E7DD46C">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2.定标办法</w:t>
            </w:r>
            <w:r>
              <w:rPr>
                <w:rFonts w:hint="eastAsia" w:ascii="宋体" w:hAnsi="宋体" w:cs="宋体"/>
                <w:color w:val="auto"/>
                <w:kern w:val="2"/>
                <w:sz w:val="24"/>
                <w:szCs w:val="24"/>
                <w:highlight w:val="none"/>
                <w:u w:val="single"/>
                <w:lang w:eastAsia="zh-CN"/>
              </w:rPr>
              <w:t>：</w:t>
            </w:r>
            <w:r>
              <w:rPr>
                <w:rFonts w:hint="eastAsia" w:ascii="宋体" w:hAnsi="宋体" w:cs="宋体"/>
                <w:color w:val="auto"/>
                <w:kern w:val="2"/>
                <w:sz w:val="24"/>
                <w:szCs w:val="24"/>
                <w:highlight w:val="none"/>
                <w:u w:val="single"/>
                <w:lang w:val="en-US" w:eastAsia="zh-CN"/>
              </w:rPr>
              <w:t>采用评分法</w:t>
            </w:r>
            <w:r>
              <w:rPr>
                <w:rFonts w:hint="eastAsia" w:ascii="宋体" w:hAnsi="宋体" w:eastAsia="宋体" w:cs="宋体"/>
                <w:color w:val="auto"/>
                <w:kern w:val="2"/>
                <w:sz w:val="24"/>
                <w:szCs w:val="24"/>
                <w:highlight w:val="none"/>
                <w:u w:val="single"/>
              </w:rPr>
              <w:t>。总得分</w:t>
            </w:r>
            <w:r>
              <w:rPr>
                <w:rFonts w:hint="eastAsia" w:ascii="宋体" w:hAnsi="宋体" w:cs="宋体"/>
                <w:color w:val="auto"/>
                <w:kern w:val="2"/>
                <w:sz w:val="24"/>
                <w:szCs w:val="24"/>
                <w:highlight w:val="none"/>
                <w:u w:val="single"/>
                <w:lang w:eastAsia="zh-CN"/>
              </w:rPr>
              <w:t>（</w:t>
            </w:r>
            <w:r>
              <w:rPr>
                <w:rFonts w:hint="eastAsia" w:ascii="宋体" w:hAnsi="宋体" w:cs="宋体"/>
                <w:color w:val="auto"/>
                <w:kern w:val="2"/>
                <w:sz w:val="24"/>
                <w:szCs w:val="24"/>
                <w:highlight w:val="none"/>
                <w:u w:val="single"/>
                <w:lang w:val="en-US" w:eastAsia="zh-CN"/>
              </w:rPr>
              <w:t>100分</w:t>
            </w:r>
            <w:r>
              <w:rPr>
                <w:rFonts w:hint="eastAsia" w:ascii="宋体" w:hAnsi="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=方案因素（</w:t>
            </w:r>
            <w:r>
              <w:rPr>
                <w:rFonts w:hint="eastAsia" w:ascii="宋体" w:hAnsi="宋体" w:cs="宋体"/>
                <w:color w:val="auto"/>
                <w:kern w:val="2"/>
                <w:sz w:val="24"/>
                <w:szCs w:val="24"/>
                <w:highlight w:val="none"/>
                <w:u w:val="single"/>
                <w:lang w:val="en-US" w:eastAsia="zh-CN"/>
              </w:rPr>
              <w:t>60</w:t>
            </w:r>
            <w:r>
              <w:rPr>
                <w:rFonts w:hint="eastAsia" w:ascii="宋体" w:hAnsi="宋体" w:eastAsia="宋体" w:cs="宋体"/>
                <w:color w:val="auto"/>
                <w:kern w:val="2"/>
                <w:sz w:val="24"/>
                <w:szCs w:val="24"/>
                <w:highlight w:val="none"/>
                <w:u w:val="single"/>
              </w:rPr>
              <w:t>分）+答辩因素（</w:t>
            </w:r>
            <w:r>
              <w:rPr>
                <w:rFonts w:hint="eastAsia" w:ascii="宋体" w:hAnsi="宋体" w:cs="宋体"/>
                <w:color w:val="auto"/>
                <w:kern w:val="2"/>
                <w:sz w:val="24"/>
                <w:szCs w:val="24"/>
                <w:highlight w:val="none"/>
                <w:u w:val="single"/>
                <w:lang w:val="en-US" w:eastAsia="zh-CN"/>
              </w:rPr>
              <w:t>20</w:t>
            </w:r>
            <w:r>
              <w:rPr>
                <w:rFonts w:hint="eastAsia" w:ascii="宋体" w:hAnsi="宋体" w:eastAsia="宋体" w:cs="宋体"/>
                <w:color w:val="auto"/>
                <w:kern w:val="2"/>
                <w:sz w:val="24"/>
                <w:szCs w:val="24"/>
                <w:highlight w:val="none"/>
                <w:u w:val="single"/>
              </w:rPr>
              <w:t>分）+价格因素得分（20分）</w:t>
            </w:r>
          </w:p>
          <w:p w14:paraId="687D6E6F">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pacing w:val="-2"/>
                <w:kern w:val="2"/>
                <w:sz w:val="24"/>
                <w:szCs w:val="24"/>
                <w:highlight w:val="none"/>
                <w:u w:val="single"/>
                <w:lang w:bidi="ar-SA"/>
              </w:rPr>
            </w:pPr>
            <w:r>
              <w:rPr>
                <w:rFonts w:hint="eastAsia" w:ascii="宋体" w:hAnsi="宋体" w:eastAsia="宋体" w:cs="宋体"/>
                <w:color w:val="auto"/>
                <w:kern w:val="2"/>
                <w:sz w:val="24"/>
                <w:szCs w:val="24"/>
                <w:highlight w:val="none"/>
                <w:u w:val="single"/>
              </w:rPr>
              <w:t>具体要求详见第二章评标及定标办法</w:t>
            </w:r>
          </w:p>
        </w:tc>
      </w:tr>
      <w:tr w14:paraId="1D9928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8C212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41891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29.1</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931A8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履约担保</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135D02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10%，具体详见</w:t>
            </w:r>
            <w:r>
              <w:rPr>
                <w:rFonts w:hint="eastAsia" w:ascii="宋体" w:hAnsi="宋体" w:cs="宋体"/>
                <w:color w:val="auto"/>
                <w:sz w:val="24"/>
                <w:szCs w:val="24"/>
                <w:highlight w:val="none"/>
                <w:u w:val="single"/>
                <w:lang w:eastAsia="zh-CN" w:bidi="ar-SA"/>
              </w:rPr>
              <w:t>本工程</w:t>
            </w:r>
            <w:r>
              <w:rPr>
                <w:rFonts w:hint="eastAsia" w:ascii="宋体" w:hAnsi="宋体" w:eastAsia="宋体" w:cs="宋体"/>
                <w:color w:val="auto"/>
                <w:sz w:val="24"/>
                <w:szCs w:val="24"/>
                <w:highlight w:val="none"/>
                <w:u w:val="single"/>
                <w:lang w:bidi="ar-SA"/>
              </w:rPr>
              <w:t>合同条款。</w:t>
            </w:r>
          </w:p>
        </w:tc>
      </w:tr>
      <w:tr w14:paraId="43EF7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440284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CF7C1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120C5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最高投标限价</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F3EE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color w:val="auto"/>
                <w:highlight w:val="none"/>
              </w:rPr>
            </w:pPr>
            <w:r>
              <w:rPr>
                <w:rFonts w:hint="eastAsia" w:ascii="宋体" w:hAnsi="宋体" w:eastAsia="宋体" w:cs="宋体"/>
                <w:color w:val="auto"/>
                <w:sz w:val="24"/>
                <w:szCs w:val="24"/>
                <w:highlight w:val="none"/>
                <w:u w:val="single"/>
              </w:rPr>
              <w:t>本项目最高投标限价为人民币27,481,228.67</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本工程</w:t>
            </w:r>
            <w:r>
              <w:rPr>
                <w:rFonts w:hint="eastAsia" w:ascii="宋体" w:hAnsi="宋体" w:eastAsia="宋体" w:cs="宋体"/>
                <w:color w:val="auto"/>
                <w:sz w:val="24"/>
                <w:szCs w:val="24"/>
                <w:highlight w:val="none"/>
              </w:rPr>
              <w:t>《最高投标限价公布函》，</w:t>
            </w:r>
            <w:r>
              <w:rPr>
                <w:rFonts w:hint="eastAsia" w:ascii="宋体" w:hAnsi="宋体" w:eastAsia="宋体" w:cs="宋体"/>
                <w:b/>
                <w:bCs/>
                <w:color w:val="auto"/>
                <w:sz w:val="24"/>
                <w:szCs w:val="24"/>
                <w:highlight w:val="none"/>
                <w:u w:val="single"/>
              </w:rPr>
              <w:t>投标总报价高于最高投标限价的，由评标委员会作无效标处理。</w:t>
            </w:r>
          </w:p>
        </w:tc>
      </w:tr>
      <w:tr w14:paraId="00067C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70FF0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52EB7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E0B3D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非竞争费用</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6622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color w:val="auto"/>
                <w:highlight w:val="none"/>
              </w:rPr>
            </w:pPr>
            <w:r>
              <w:rPr>
                <w:rFonts w:hint="eastAsia" w:ascii="宋体" w:hAnsi="宋体" w:eastAsia="宋体" w:cs="宋体"/>
                <w:color w:val="auto"/>
                <w:sz w:val="24"/>
                <w:szCs w:val="24"/>
                <w:highlight w:val="none"/>
                <w:lang w:bidi="ar-SA"/>
              </w:rPr>
              <w:t>本项目安全</w:t>
            </w:r>
            <w:r>
              <w:rPr>
                <w:rFonts w:hint="eastAsia" w:ascii="宋体" w:hAnsi="宋体" w:cs="宋体"/>
                <w:color w:val="auto"/>
                <w:sz w:val="24"/>
                <w:szCs w:val="24"/>
                <w:highlight w:val="none"/>
                <w:lang w:eastAsia="zh-CN" w:bidi="ar-SA"/>
              </w:rPr>
              <w:t>生产</w:t>
            </w:r>
            <w:r>
              <w:rPr>
                <w:rFonts w:hint="eastAsia" w:ascii="宋体" w:hAnsi="宋体" w:eastAsia="宋体" w:cs="宋体"/>
                <w:color w:val="auto"/>
                <w:sz w:val="24"/>
                <w:szCs w:val="24"/>
                <w:highlight w:val="none"/>
                <w:lang w:bidi="ar-SA"/>
              </w:rPr>
              <w:t>措施费为</w:t>
            </w:r>
            <w:r>
              <w:rPr>
                <w:rFonts w:hint="eastAsia" w:ascii="宋体" w:hAnsi="宋体" w:eastAsia="宋体" w:cs="宋体"/>
                <w:color w:val="auto"/>
                <w:sz w:val="24"/>
                <w:szCs w:val="24"/>
                <w:highlight w:val="none"/>
                <w:u w:val="single"/>
                <w:lang w:bidi="ar-SA"/>
              </w:rPr>
              <w:t>205,866.04</w:t>
            </w:r>
            <w:r>
              <w:rPr>
                <w:rFonts w:hint="eastAsia" w:ascii="宋体" w:hAnsi="宋体" w:eastAsia="宋体" w:cs="宋体"/>
                <w:color w:val="auto"/>
                <w:sz w:val="24"/>
                <w:szCs w:val="24"/>
                <w:highlight w:val="none"/>
                <w:lang w:bidi="ar-SA"/>
              </w:rPr>
              <w:t>元，暂列金额为</w:t>
            </w:r>
            <w:r>
              <w:rPr>
                <w:rFonts w:hint="eastAsia" w:ascii="宋体" w:hAnsi="宋体" w:cs="宋体"/>
                <w:color w:val="auto"/>
                <w:sz w:val="24"/>
                <w:szCs w:val="24"/>
                <w:highlight w:val="none"/>
                <w:u w:val="single"/>
                <w:lang w:val="en-US" w:eastAsia="zh-CN" w:bidi="ar-SA"/>
              </w:rPr>
              <w:t xml:space="preserve">      0</w:t>
            </w:r>
            <w:r>
              <w:rPr>
                <w:rFonts w:hint="eastAsia" w:ascii="宋体" w:hAnsi="宋体" w:eastAsia="宋体" w:cs="宋体"/>
                <w:color w:val="auto"/>
                <w:sz w:val="24"/>
                <w:szCs w:val="24"/>
                <w:highlight w:val="none"/>
                <w:lang w:bidi="ar-SA"/>
              </w:rPr>
              <w:t>元，暂估价为</w:t>
            </w:r>
            <w:r>
              <w:rPr>
                <w:rFonts w:hint="eastAsia" w:ascii="宋体" w:hAnsi="宋体" w:cs="宋体"/>
                <w:color w:val="auto"/>
                <w:sz w:val="24"/>
                <w:szCs w:val="24"/>
                <w:highlight w:val="none"/>
                <w:u w:val="single"/>
                <w:lang w:val="en-US" w:eastAsia="zh-CN" w:bidi="ar-SA"/>
              </w:rPr>
              <w:t>0</w:t>
            </w:r>
            <w:r>
              <w:rPr>
                <w:rFonts w:hint="eastAsia" w:ascii="宋体" w:hAnsi="宋体" w:eastAsia="宋体" w:cs="宋体"/>
                <w:color w:val="auto"/>
                <w:sz w:val="24"/>
                <w:szCs w:val="24"/>
                <w:highlight w:val="none"/>
                <w:lang w:bidi="ar-SA"/>
              </w:rPr>
              <w:t>元。</w:t>
            </w:r>
          </w:p>
        </w:tc>
      </w:tr>
      <w:tr w14:paraId="576CE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B16E2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93701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B022D90">
            <w:pPr>
              <w:pStyle w:val="37"/>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保修期</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A2B9B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bidi="ar-SA"/>
              </w:rPr>
              <w:t>按照《建设工程质量管理条例》规定。</w:t>
            </w:r>
            <w:r>
              <w:rPr>
                <w:rFonts w:hint="eastAsia" w:ascii="宋体" w:hAnsi="宋体" w:cs="宋体"/>
                <w:color w:val="auto"/>
                <w:sz w:val="24"/>
                <w:szCs w:val="24"/>
                <w:highlight w:val="none"/>
                <w:lang w:val="en-US" w:eastAsia="zh-CN" w:bidi="ar-SA"/>
              </w:rPr>
              <w:t>具体以合同为准。</w:t>
            </w:r>
          </w:p>
        </w:tc>
      </w:tr>
      <w:tr w14:paraId="0CA615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53"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5CA702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5BC8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89A3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计算评标参考价的等分点值</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03069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75DAA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D3B64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8699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AA13E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进入第二阶段评审的家数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E3DF7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3A0D8F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E38E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AE5D1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47103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工程成本警戒价</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3AAE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工程成本警戒价为</w:t>
            </w:r>
            <w:r>
              <w:rPr>
                <w:rFonts w:hint="eastAsia" w:ascii="宋体" w:hAnsi="宋体" w:eastAsia="宋体" w:cs="宋体"/>
                <w:color w:val="auto"/>
                <w:sz w:val="24"/>
                <w:szCs w:val="24"/>
                <w:highlight w:val="none"/>
                <w:lang w:val="en-US" w:eastAsia="zh-CN" w:bidi="ar-SA"/>
              </w:rPr>
              <w:t>人民币（含税）</w:t>
            </w:r>
            <w:r>
              <w:rPr>
                <w:rFonts w:hint="eastAsia" w:ascii="宋体" w:hAnsi="宋体" w:cs="宋体"/>
                <w:color w:val="auto"/>
                <w:sz w:val="24"/>
                <w:szCs w:val="24"/>
                <w:highlight w:val="none"/>
                <w:u w:val="single"/>
                <w:lang w:val="en-US" w:eastAsia="zh-CN" w:bidi="ar-SA"/>
              </w:rPr>
              <w:t>24</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bidi="ar-SA"/>
              </w:rPr>
              <w:t>733</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bidi="ar-SA"/>
              </w:rPr>
              <w:t>105.80</w:t>
            </w:r>
            <w:r>
              <w:rPr>
                <w:rFonts w:hint="eastAsia" w:ascii="宋体" w:hAnsi="宋体" w:eastAsia="宋体" w:cs="宋体"/>
                <w:color w:val="auto"/>
                <w:sz w:val="24"/>
                <w:szCs w:val="24"/>
                <w:highlight w:val="none"/>
                <w:u w:val="none"/>
                <w:lang w:bidi="ar-SA"/>
              </w:rPr>
              <w:t>元</w:t>
            </w:r>
            <w:r>
              <w:rPr>
                <w:rFonts w:hint="eastAsia" w:ascii="宋体" w:hAnsi="宋体" w:eastAsia="宋体" w:cs="宋体"/>
                <w:color w:val="auto"/>
                <w:sz w:val="24"/>
                <w:szCs w:val="24"/>
                <w:highlight w:val="none"/>
                <w:lang w:bidi="ar-SA"/>
              </w:rPr>
              <w:t>。</w:t>
            </w:r>
          </w:p>
          <w:p w14:paraId="12596A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lang w:bidi="ar-SA"/>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25D5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315"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4C5A2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CD70D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69B63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第一阶段各分值的权重</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ED32F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pacing w:val="-4"/>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27EB4D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7C64E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w:t>
            </w:r>
            <w:r>
              <w:rPr>
                <w:rFonts w:hint="eastAsia" w:ascii="宋体" w:hAnsi="宋体" w:cs="宋体"/>
                <w:color w:val="auto"/>
                <w:sz w:val="24"/>
                <w:szCs w:val="24"/>
                <w:highlight w:val="none"/>
                <w:lang w:val="en-US" w:eastAsia="zh-CN" w:bidi="ar-SA"/>
              </w:rPr>
              <w:t>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AAF9E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DC1DB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评标委员会人数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818D2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评标委员会由招标人依法</w:t>
            </w:r>
            <w:r>
              <w:rPr>
                <w:rFonts w:hint="eastAsia" w:ascii="宋体" w:hAnsi="宋体" w:eastAsia="宋体" w:cs="宋体"/>
                <w:color w:val="auto"/>
                <w:sz w:val="24"/>
                <w:szCs w:val="24"/>
                <w:highlight w:val="none"/>
                <w:lang w:val="en-US" w:eastAsia="zh-CN" w:bidi="ar-SA"/>
              </w:rPr>
              <w:t>依规</w:t>
            </w:r>
            <w:r>
              <w:rPr>
                <w:rFonts w:hint="eastAsia" w:ascii="宋体" w:hAnsi="宋体" w:eastAsia="宋体" w:cs="宋体"/>
                <w:color w:val="auto"/>
                <w:sz w:val="24"/>
                <w:szCs w:val="24"/>
                <w:highlight w:val="none"/>
                <w:lang w:bidi="ar-SA"/>
              </w:rPr>
              <w:t>组建。</w:t>
            </w:r>
          </w:p>
        </w:tc>
      </w:tr>
      <w:tr w14:paraId="25B75C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F5C2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29</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694C3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2A352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定标委员会人数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A04CD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定标委员会由招标人依法</w:t>
            </w:r>
            <w:r>
              <w:rPr>
                <w:rFonts w:hint="eastAsia" w:ascii="宋体" w:hAnsi="宋体" w:eastAsia="宋体" w:cs="宋体"/>
                <w:color w:val="auto"/>
                <w:sz w:val="24"/>
                <w:szCs w:val="24"/>
                <w:highlight w:val="none"/>
                <w:u w:val="single"/>
                <w:lang w:val="en-US" w:eastAsia="zh-CN"/>
              </w:rPr>
              <w:t>依规</w:t>
            </w:r>
            <w:r>
              <w:rPr>
                <w:rFonts w:hint="eastAsia" w:ascii="宋体" w:hAnsi="宋体" w:eastAsia="宋体" w:cs="宋体"/>
                <w:color w:val="auto"/>
                <w:sz w:val="24"/>
                <w:szCs w:val="24"/>
                <w:highlight w:val="none"/>
                <w:u w:val="single"/>
              </w:rPr>
              <w:t>组建。</w:t>
            </w:r>
          </w:p>
        </w:tc>
      </w:tr>
      <w:tr w14:paraId="74BE8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3F891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48D5F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9F761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企业综合诚信评价分数</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7D2E5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37DB8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1BE8F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D2667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A217A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第二阶段投标人名次的排序方法（适用于办法一、办法二）</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C7D5F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7D96F5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41EB7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0F3A9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00727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经济分相同情况下的排序方法（适用于办法三、办法四）</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019C5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4295D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ABFF4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9E1E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780F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第二阶段投标人名次的排序方法（适用于办法五、办法六）</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242F7D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本条不适用。</w:t>
            </w:r>
          </w:p>
        </w:tc>
      </w:tr>
      <w:tr w14:paraId="4F5A7C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F092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66CE5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13.4、13.5.2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58476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合同价款的调整办法</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164F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u w:val="single"/>
              </w:rPr>
              <w:t>详见</w:t>
            </w:r>
            <w:r>
              <w:rPr>
                <w:rFonts w:hint="eastAsia" w:ascii="宋体" w:hAnsi="宋体" w:cs="宋体"/>
                <w:color w:val="auto"/>
                <w:sz w:val="24"/>
                <w:szCs w:val="24"/>
                <w:highlight w:val="none"/>
                <w:u w:val="single"/>
                <w:lang w:eastAsia="zh-CN"/>
              </w:rPr>
              <w:t>本工程</w:t>
            </w:r>
            <w:r>
              <w:rPr>
                <w:rFonts w:hint="eastAsia" w:ascii="宋体" w:hAnsi="宋体" w:eastAsia="宋体" w:cs="宋体"/>
                <w:color w:val="auto"/>
                <w:sz w:val="24"/>
                <w:szCs w:val="24"/>
                <w:highlight w:val="none"/>
                <w:u w:val="single"/>
              </w:rPr>
              <w:t>招标文件及相关合同条款</w:t>
            </w:r>
            <w:r>
              <w:rPr>
                <w:rFonts w:hint="eastAsia" w:ascii="宋体" w:hAnsi="宋体" w:eastAsia="宋体" w:cs="宋体"/>
                <w:color w:val="auto"/>
                <w:sz w:val="24"/>
                <w:szCs w:val="24"/>
                <w:highlight w:val="none"/>
                <w:u w:val="single"/>
                <w:lang w:bidi="ar-SA"/>
              </w:rPr>
              <w:t>。</w:t>
            </w:r>
          </w:p>
        </w:tc>
      </w:tr>
      <w:tr w14:paraId="19289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03961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CB0FB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80CC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bCs/>
                <w:color w:val="auto"/>
                <w:kern w:val="0"/>
                <w:sz w:val="24"/>
                <w:szCs w:val="24"/>
                <w:highlight w:val="none"/>
              </w:rPr>
              <w:t>建设工程质量检测单位</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497049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bCs/>
                <w:color w:val="auto"/>
                <w:sz w:val="24"/>
                <w:szCs w:val="24"/>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C3323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05769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36</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0E041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B84AA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分包</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D6407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lang w:val="zh-CN"/>
              </w:rPr>
              <w:t>不允许；</w:t>
            </w:r>
          </w:p>
          <w:p w14:paraId="6B1DF9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kern w:val="0"/>
                <w:sz w:val="24"/>
                <w:szCs w:val="24"/>
                <w:highlight w:val="none"/>
                <w:lang w:val="zh-CN"/>
              </w:rPr>
              <w:t>允许：分包内容要求：</w:t>
            </w:r>
            <w:r>
              <w:rPr>
                <w:rFonts w:hint="eastAsia" w:ascii="宋体" w:hAnsi="宋体" w:cs="宋体"/>
                <w:color w:val="auto"/>
                <w:kern w:val="0"/>
                <w:szCs w:val="21"/>
                <w:highlight w:val="none"/>
                <w:u w:val="single"/>
              </w:rPr>
              <w:t>中标人按照合同约定或者经招标人同意，可以将中标项目的部分非主体、非关键性工作分包给</w:t>
            </w:r>
            <w:r>
              <w:rPr>
                <w:rFonts w:hint="eastAsia" w:ascii="宋体" w:hAnsi="宋体" w:cs="宋体"/>
                <w:color w:val="auto"/>
                <w:kern w:val="0"/>
                <w:szCs w:val="21"/>
                <w:highlight w:val="none"/>
                <w:u w:val="single"/>
                <w:lang w:val="zh-CN"/>
              </w:rPr>
              <w:t>具有相应资质的单位完成</w:t>
            </w:r>
            <w:r>
              <w:rPr>
                <w:rFonts w:hint="eastAsia" w:ascii="宋体" w:hAnsi="宋体" w:cs="宋体"/>
                <w:color w:val="auto"/>
                <w:kern w:val="0"/>
                <w:szCs w:val="21"/>
                <w:highlight w:val="none"/>
                <w:u w:val="single"/>
              </w:rPr>
              <w:t>。</w:t>
            </w:r>
          </w:p>
          <w:p w14:paraId="763FBA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分包金额要求：</w:t>
            </w:r>
            <w:r>
              <w:rPr>
                <w:rFonts w:hint="eastAsia" w:ascii="宋体" w:hAnsi="宋体" w:cs="宋体"/>
                <w:color w:val="auto"/>
                <w:kern w:val="0"/>
                <w:szCs w:val="21"/>
                <w:highlight w:val="none"/>
                <w:u w:val="single"/>
              </w:rPr>
              <w:t>根据实际情况确定。</w:t>
            </w:r>
          </w:p>
          <w:p w14:paraId="2D1A69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对分包人的资质要求：</w:t>
            </w:r>
            <w:r>
              <w:rPr>
                <w:rFonts w:hint="eastAsia" w:ascii="宋体" w:hAnsi="宋体" w:cs="宋体"/>
                <w:color w:val="auto"/>
                <w:kern w:val="0"/>
                <w:szCs w:val="21"/>
                <w:highlight w:val="none"/>
                <w:u w:val="single"/>
              </w:rPr>
              <w:t>接受分包的单位应当具备相应的资质条件，并不得再次分包。</w:t>
            </w:r>
          </w:p>
          <w:p w14:paraId="1F0BB2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u w:val="single"/>
                <w:lang w:bidi="ar-SA"/>
              </w:rPr>
            </w:pPr>
            <w:r>
              <w:rPr>
                <w:rFonts w:hint="eastAsia" w:ascii="宋体" w:hAnsi="宋体" w:eastAsia="宋体" w:cs="宋体"/>
                <w:color w:val="auto"/>
                <w:kern w:val="0"/>
                <w:sz w:val="24"/>
                <w:szCs w:val="24"/>
                <w:highlight w:val="none"/>
                <w:lang w:val="zh-CN"/>
              </w:rPr>
              <w:t xml:space="preserve">        对分包人的其他要求：</w:t>
            </w:r>
            <w:r>
              <w:rPr>
                <w:rFonts w:hint="eastAsia" w:ascii="宋体" w:hAnsi="宋体" w:cs="宋体"/>
                <w:color w:val="auto"/>
                <w:kern w:val="0"/>
                <w:szCs w:val="21"/>
                <w:highlight w:val="none"/>
                <w:u w:val="single"/>
                <w:lang w:val="zh-CN"/>
              </w:rPr>
              <w:t>未在以往工程中因不诚信行为或不充分履约行为被本项目招标人书面拒绝投标的，或未被纳入联合惩戒范围的</w:t>
            </w:r>
            <w:r>
              <w:rPr>
                <w:rFonts w:hint="eastAsia" w:ascii="宋体" w:hAnsi="宋体" w:cs="宋体"/>
                <w:color w:val="auto"/>
                <w:kern w:val="0"/>
                <w:szCs w:val="21"/>
                <w:highlight w:val="none"/>
                <w:u w:val="single"/>
              </w:rPr>
              <w:t>。</w:t>
            </w:r>
          </w:p>
        </w:tc>
      </w:tr>
      <w:tr w14:paraId="55F11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8F139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37</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1B853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36.5.2</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90AD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电子招标投标解密失败及突发情况的补救</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AB15B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lang w:bidi="ar-SA"/>
              </w:rPr>
              <w:t>。</w:t>
            </w:r>
          </w:p>
          <w:p w14:paraId="367FBF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提交投标文件光盘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备用</w:t>
            </w:r>
          </w:p>
          <w:p w14:paraId="795F6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color w:val="auto"/>
                <w:spacing w:val="-2"/>
                <w:sz w:val="24"/>
                <w:szCs w:val="24"/>
                <w:highlight w:val="none"/>
                <w:lang w:bidi="ar-SA"/>
              </w:rPr>
            </w:pPr>
            <w:r>
              <w:rPr>
                <w:rFonts w:hint="eastAsia" w:ascii="宋体" w:hAnsi="宋体" w:eastAsia="宋体" w:cs="宋体"/>
                <w:color w:val="auto"/>
                <w:spacing w:val="-2"/>
                <w:sz w:val="24"/>
                <w:szCs w:val="24"/>
                <w:highlight w:val="none"/>
                <w:lang w:bidi="ar-SA"/>
              </w:rPr>
              <w:t>投标人可制作非加密的电子投标文件（PDF格式）刻入光盘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（1份），在投标须知前附表第18项规定的时间、地点提交备用。刻录好的投标文件光盘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密封在密封袋中，并在封口处加盖投标人单位公章。密封袋上应写明项目名称和招标人名称。递交的光盘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不得加密。光盘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无法读取或导入的，则视为未提交备用投标文件光盘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。如果投标人没有按规定通过交易平台网上递交电子投标文件的，不再读取提交的光盘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pacing w:val="-2"/>
                <w:sz w:val="24"/>
                <w:szCs w:val="24"/>
                <w:highlight w:val="none"/>
                <w:lang w:bidi="ar-SA"/>
              </w:rPr>
              <w:t>。</w:t>
            </w:r>
            <w:r>
              <w:rPr>
                <w:rFonts w:hint="eastAsia" w:ascii="宋体" w:hAnsi="宋体" w:eastAsia="宋体" w:cs="宋体"/>
                <w:b/>
                <w:color w:val="auto"/>
                <w:spacing w:val="-2"/>
                <w:sz w:val="24"/>
                <w:szCs w:val="24"/>
                <w:highlight w:val="none"/>
                <w:lang w:bidi="ar-SA"/>
              </w:rPr>
              <w:t>投标人也可不提交备用光盘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b/>
                <w:color w:val="auto"/>
                <w:spacing w:val="-2"/>
                <w:sz w:val="24"/>
                <w:szCs w:val="24"/>
                <w:highlight w:val="none"/>
                <w:lang w:bidi="ar-SA"/>
              </w:rPr>
              <w:t>。</w:t>
            </w:r>
          </w:p>
          <w:p w14:paraId="2BD2E7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补救方案</w:t>
            </w:r>
          </w:p>
          <w:p w14:paraId="17D4D9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（1）投标文件解密失败的补救方案：</w:t>
            </w:r>
          </w:p>
          <w:p w14:paraId="4686B8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在规定时间内，因投标人之外原因</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指网络瘫痪、服务器损坏、交易系统故障短期无法恢复</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导致的电子投标文件解密失败，在开标现场读取光盘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内容，继续开标程序。评标委员会对其投标文件的评审以光盘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内容为准。因投标人之外原因解密失败且未递交电子光盘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的，视为撤回投标文件。</w:t>
            </w:r>
          </w:p>
          <w:p w14:paraId="3E2D31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（2）评标时突发情况的补救方案</w:t>
            </w:r>
          </w:p>
          <w:p w14:paraId="7C6E0A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若遇不可抗力发生（指网络瘫痪、服务器损坏、交易系统故障短期无法恢复等因素），由评标委员会开启投标人递交的全部投标文件光盘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，并按光盘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lang w:bidi="ar-SA"/>
              </w:rPr>
              <w:t>内容进行评审。</w:t>
            </w:r>
          </w:p>
          <w:p w14:paraId="14E4B4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rPr>
              <w:t>除发生上述情况外，开标评标均以投标人通过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交易平台网上递交的电子投标文件为准</w:t>
            </w:r>
            <w:r>
              <w:rPr>
                <w:rFonts w:hint="eastAsia" w:ascii="宋体" w:hAnsi="宋体" w:eastAsia="宋体" w:cs="宋体"/>
                <w:color w:val="auto"/>
                <w:sz w:val="24"/>
                <w:szCs w:val="24"/>
                <w:highlight w:val="none"/>
                <w:lang w:bidi="ar-SA"/>
              </w:rPr>
              <w:t>。</w:t>
            </w:r>
          </w:p>
        </w:tc>
      </w:tr>
      <w:tr w14:paraId="26FDB1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DD51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u w:val="single"/>
                <w:lang w:val="en-US" w:eastAsia="zh-CN"/>
              </w:rPr>
              <w:t>38</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383B1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CD9F0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sz w:val="24"/>
                <w:szCs w:val="24"/>
                <w:highlight w:val="none"/>
                <w:u w:val="single"/>
              </w:rPr>
              <w:t>招标人拒绝接收投标文件备用光盘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的情况</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BDDD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1.在投标截止期后逾期或未在指定地点递交投标文件备用光盘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的；</w:t>
            </w:r>
          </w:p>
          <w:p w14:paraId="253D62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未按招标文件要求密封或未在密封处盖章的；</w:t>
            </w:r>
          </w:p>
          <w:p w14:paraId="567A7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rPr>
              <w:t>3.投标人代表未凭法定代表人证明书（原件）、授权委托书原件（仅限于非法定代表人）、本人身份证原件递交投标文件备用光盘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的。</w:t>
            </w:r>
          </w:p>
        </w:tc>
      </w:tr>
      <w:tr w14:paraId="7FB4E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vMerge w:val="restart"/>
            <w:tcBorders>
              <w:top w:val="single" w:color="auto" w:sz="4" w:space="0"/>
              <w:left w:val="double" w:color="auto" w:sz="4" w:space="0"/>
              <w:right w:val="single" w:color="auto" w:sz="4" w:space="0"/>
            </w:tcBorders>
            <w:noWrap w:val="0"/>
            <w:vAlign w:val="center"/>
          </w:tcPr>
          <w:p w14:paraId="19882F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39</w:t>
            </w:r>
          </w:p>
        </w:tc>
        <w:tc>
          <w:tcPr>
            <w:tcW w:w="814" w:type="dxa"/>
            <w:vMerge w:val="restart"/>
            <w:tcBorders>
              <w:top w:val="single" w:color="auto" w:sz="4" w:space="0"/>
              <w:left w:val="single" w:color="auto" w:sz="4" w:space="0"/>
              <w:right w:val="single" w:color="auto" w:sz="4" w:space="0"/>
            </w:tcBorders>
            <w:noWrap w:val="0"/>
            <w:vAlign w:val="center"/>
          </w:tcPr>
          <w:p w14:paraId="7768C9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vMerge w:val="restart"/>
            <w:tcBorders>
              <w:top w:val="single" w:color="auto" w:sz="4" w:space="0"/>
              <w:left w:val="single" w:color="auto" w:sz="4" w:space="0"/>
              <w:right w:val="single" w:color="auto" w:sz="4" w:space="0"/>
            </w:tcBorders>
            <w:noWrap w:val="0"/>
            <w:vAlign w:val="center"/>
          </w:tcPr>
          <w:p w14:paraId="1962B4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其他</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4963E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color w:val="auto"/>
                <w:highlight w:val="none"/>
              </w:rPr>
            </w:pPr>
            <w:r>
              <w:rPr>
                <w:rFonts w:hint="eastAsia" w:ascii="宋体" w:hAnsi="宋体" w:cs="宋体"/>
                <w:color w:val="auto"/>
                <w:sz w:val="24"/>
                <w:szCs w:val="24"/>
                <w:highlight w:val="none"/>
                <w:u w:val="single"/>
              </w:rPr>
              <w:t>1.中标单位在中标公示后，须提供与递交投标电子标书内容一致并包含有综合单价分析表且每页加盖单位公章的纸质文件一正一副及电子文件1份（不用生成投标书，须包括用 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cs="宋体"/>
                <w:color w:val="auto"/>
                <w:sz w:val="24"/>
                <w:szCs w:val="24"/>
                <w:highlight w:val="none"/>
                <w:u w:val="single"/>
              </w:rPr>
              <w:t>，所有电子文件不能采用压缩处理）给招标代理单位，最终所需提交时间地点及份数以招标代理书面通知为准。</w:t>
            </w:r>
          </w:p>
          <w:p w14:paraId="39EC2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rPr>
              <w:t>2.中标人</w:t>
            </w:r>
            <w:r>
              <w:rPr>
                <w:rFonts w:hint="eastAsia" w:ascii="宋体" w:hAnsi="宋体" w:cs="宋体"/>
                <w:color w:val="auto"/>
                <w:sz w:val="24"/>
                <w:szCs w:val="24"/>
                <w:highlight w:val="none"/>
                <w:u w:val="single"/>
                <w:lang w:eastAsia="zh-CN"/>
              </w:rPr>
              <w:t>按照</w:t>
            </w:r>
            <w:r>
              <w:rPr>
                <w:rFonts w:hint="eastAsia" w:ascii="宋体" w:hAnsi="宋体" w:cs="宋体"/>
                <w:color w:val="auto"/>
                <w:sz w:val="24"/>
                <w:szCs w:val="24"/>
                <w:highlight w:val="none"/>
                <w:u w:val="single"/>
              </w:rPr>
              <w:t>《广州市发展改革委转发省发展改革委关于规范公共资源交易服务收费及有关问题的通知》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穗发改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2017811号</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文件的规定，向广州交易集团有限公司</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代缴交易服务费，其费用包含在中标人投标报价中，招标人不另行支付。</w:t>
            </w:r>
          </w:p>
        </w:tc>
      </w:tr>
      <w:tr w14:paraId="7013A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vMerge w:val="continue"/>
            <w:tcBorders>
              <w:left w:val="double" w:color="auto" w:sz="4" w:space="0"/>
              <w:bottom w:val="single" w:color="auto" w:sz="4" w:space="0"/>
              <w:right w:val="single" w:color="auto" w:sz="4" w:space="0"/>
            </w:tcBorders>
            <w:noWrap w:val="0"/>
            <w:vAlign w:val="center"/>
          </w:tcPr>
          <w:p w14:paraId="562328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p>
        </w:tc>
        <w:tc>
          <w:tcPr>
            <w:tcW w:w="814" w:type="dxa"/>
            <w:vMerge w:val="continue"/>
            <w:tcBorders>
              <w:left w:val="single" w:color="auto" w:sz="4" w:space="0"/>
              <w:bottom w:val="single" w:color="auto" w:sz="4" w:space="0"/>
              <w:right w:val="single" w:color="auto" w:sz="4" w:space="0"/>
            </w:tcBorders>
            <w:noWrap w:val="0"/>
            <w:vAlign w:val="center"/>
          </w:tcPr>
          <w:p w14:paraId="7D29C9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vMerge w:val="continue"/>
            <w:tcBorders>
              <w:left w:val="single" w:color="auto" w:sz="4" w:space="0"/>
              <w:bottom w:val="single" w:color="auto" w:sz="4" w:space="0"/>
              <w:right w:val="single" w:color="auto" w:sz="4" w:space="0"/>
            </w:tcBorders>
            <w:noWrap w:val="0"/>
            <w:vAlign w:val="center"/>
          </w:tcPr>
          <w:p w14:paraId="4BF107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B72D9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招标人对中标人参与“百千万工程”的具体要求</w:t>
            </w:r>
          </w:p>
          <w:p w14:paraId="7FBD70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说明与要求：</w:t>
            </w:r>
          </w:p>
          <w:p w14:paraId="572C1F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☑具体要求在中标后按照投标承诺和招标人的要求执行。</w:t>
            </w:r>
          </w:p>
          <w:p w14:paraId="50DD65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□具体要求：/</w:t>
            </w:r>
          </w:p>
        </w:tc>
      </w:tr>
      <w:tr w14:paraId="19DB0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6DA912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40</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BA5D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D1C8D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进入定标阶段</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50A4F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通过技术标和经济标有效性审查的投标人均为合格的中标候选人，且进入定标阶段。</w:t>
            </w:r>
          </w:p>
        </w:tc>
      </w:tr>
      <w:tr w14:paraId="282508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73532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8FF2A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CAF75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合格的</w:t>
            </w:r>
            <w:r>
              <w:rPr>
                <w:rFonts w:hint="eastAsia" w:ascii="宋体" w:hAnsi="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eastAsia="zh-CN"/>
              </w:rPr>
              <w:t>候选人答辩时间和地点</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5C76B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候选人答辩时间：另行通知。</w:t>
            </w:r>
          </w:p>
          <w:p w14:paraId="617C95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地点：广州交易集团有限公司（广州公共资源交易中心）。</w:t>
            </w:r>
          </w:p>
        </w:tc>
      </w:tr>
      <w:tr w14:paraId="2E9200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4E2D5A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42</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34E31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83103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工人工资分账管理</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3EB92E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本项目按照《关于印发广州市建设领域工人工资支付分账管理实施细则的通知》（穗建规字〔2020〕37号）实行工人工资分账管理。</w:t>
            </w:r>
          </w:p>
        </w:tc>
      </w:tr>
      <w:tr w14:paraId="7A0B9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27DE52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43</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71F33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659D6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施工实名制</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0EA3C3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本工程按《广州市住房和城乡建设局关于印发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广州市建筑施工实名制管理办法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的通知》（穗建规字〔2020〕18号），实施建筑施工实名制。</w:t>
            </w:r>
          </w:p>
        </w:tc>
      </w:tr>
      <w:tr w14:paraId="233A2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noWrap w:val="0"/>
            <w:vAlign w:val="center"/>
          </w:tcPr>
          <w:p w14:paraId="79D2D2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44</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C80FC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F093A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在线签订合同</w:t>
            </w:r>
          </w:p>
        </w:tc>
        <w:tc>
          <w:tcPr>
            <w:tcW w:w="6330" w:type="dxa"/>
            <w:tcBorders>
              <w:top w:val="single" w:color="auto" w:sz="4" w:space="0"/>
              <w:left w:val="single" w:color="auto" w:sz="4" w:space="0"/>
              <w:bottom w:val="single" w:color="auto" w:sz="4" w:space="0"/>
              <w:right w:val="double" w:color="auto" w:sz="4" w:space="0"/>
            </w:tcBorders>
            <w:noWrap w:val="0"/>
            <w:vAlign w:val="center"/>
          </w:tcPr>
          <w:p w14:paraId="6AAE79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r w14:paraId="47B5B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double" w:color="auto" w:sz="4" w:space="0"/>
              <w:right w:val="single" w:color="auto" w:sz="4" w:space="0"/>
            </w:tcBorders>
            <w:noWrap w:val="0"/>
            <w:vAlign w:val="center"/>
          </w:tcPr>
          <w:p w14:paraId="03A7D8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4"/>
                <w:szCs w:val="24"/>
                <w:highlight w:val="none"/>
                <w:lang w:val="en-US" w:eastAsia="zh-CN" w:bidi="ar-SA"/>
              </w:rPr>
            </w:pPr>
          </w:p>
        </w:tc>
        <w:tc>
          <w:tcPr>
            <w:tcW w:w="814" w:type="dxa"/>
            <w:tcBorders>
              <w:top w:val="single" w:color="auto" w:sz="4" w:space="0"/>
              <w:left w:val="single" w:color="auto" w:sz="4" w:space="0"/>
              <w:bottom w:val="double" w:color="auto" w:sz="4" w:space="0"/>
              <w:right w:val="single" w:color="auto" w:sz="4" w:space="0"/>
            </w:tcBorders>
            <w:noWrap w:val="0"/>
            <w:vAlign w:val="center"/>
          </w:tcPr>
          <w:p w14:paraId="6F8FAA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bidi="ar-SA"/>
              </w:rPr>
            </w:pPr>
          </w:p>
        </w:tc>
        <w:tc>
          <w:tcPr>
            <w:tcW w:w="1642" w:type="dxa"/>
            <w:tcBorders>
              <w:top w:val="single" w:color="auto" w:sz="4" w:space="0"/>
              <w:left w:val="single" w:color="auto" w:sz="4" w:space="0"/>
              <w:bottom w:val="double" w:color="auto" w:sz="4" w:space="0"/>
              <w:right w:val="single" w:color="auto" w:sz="4" w:space="0"/>
            </w:tcBorders>
            <w:noWrap w:val="0"/>
            <w:vAlign w:val="center"/>
          </w:tcPr>
          <w:p w14:paraId="254B83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zh-CN" w:eastAsia="zh-CN"/>
              </w:rPr>
            </w:pPr>
          </w:p>
        </w:tc>
        <w:tc>
          <w:tcPr>
            <w:tcW w:w="6330" w:type="dxa"/>
            <w:tcBorders>
              <w:top w:val="single" w:color="auto" w:sz="4" w:space="0"/>
              <w:left w:val="single" w:color="auto" w:sz="4" w:space="0"/>
              <w:bottom w:val="double" w:color="auto" w:sz="4" w:space="0"/>
              <w:right w:val="double" w:color="auto" w:sz="4" w:space="0"/>
            </w:tcBorders>
            <w:shd w:val="clear" w:color="auto" w:fill="auto"/>
            <w:noWrap w:val="0"/>
            <w:vAlign w:val="center"/>
          </w:tcPr>
          <w:p w14:paraId="2B44BAAE">
            <w:pPr>
              <w:keepNext w:val="0"/>
              <w:keepLines w:val="0"/>
              <w:suppressLineNumbers w:val="0"/>
              <w:spacing w:before="0" w:beforeAutospacing="0" w:after="0" w:afterAutospacing="0" w:line="0" w:lineRule="atLeast"/>
              <w:ind w:left="0" w:right="0"/>
              <w:rPr>
                <w:rFonts w:hint="eastAsia" w:ascii="宋体" w:hAnsi="宋体" w:eastAsia="宋体" w:cs="宋体"/>
                <w:b/>
                <w:bCs/>
                <w:color w:val="auto"/>
                <w:kern w:val="2"/>
                <w:sz w:val="21"/>
                <w:szCs w:val="21"/>
                <w:highlight w:val="none"/>
                <w:u w:val="single"/>
                <w:lang w:val="en-US" w:eastAsia="zh-CN" w:bidi="ar-SA"/>
              </w:rPr>
            </w:pPr>
          </w:p>
        </w:tc>
      </w:tr>
    </w:tbl>
    <w:p w14:paraId="07BE670B">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注：企业综合诚信评价得分即企业综合诚信评价60日诚信分，以下同。</w:t>
      </w:r>
    </w:p>
    <w:p w14:paraId="473CC1D8">
      <w:pPr>
        <w:pStyle w:val="5"/>
        <w:spacing w:line="360" w:lineRule="auto"/>
        <w:rPr>
          <w:rFonts w:hint="eastAsia" w:ascii="宋体" w:hAnsi="宋体" w:cs="宋体"/>
          <w:color w:val="auto"/>
          <w:sz w:val="28"/>
          <w:szCs w:val="28"/>
          <w:highlight w:val="none"/>
        </w:rPr>
      </w:pPr>
      <w:r>
        <w:rPr>
          <w:rFonts w:hint="eastAsia" w:ascii="宋体" w:hAnsi="宋体" w:cs="宋体"/>
          <w:color w:val="auto"/>
          <w:highlight w:val="none"/>
          <w:lang w:bidi="ar-SA"/>
        </w:rPr>
        <w:br w:type="page"/>
      </w:r>
      <w:bookmarkStart w:id="7" w:name="_Toc2272547"/>
      <w:bookmarkStart w:id="8" w:name="_Toc31199"/>
      <w:bookmarkStart w:id="9" w:name="_Toc15498"/>
      <w:r>
        <w:rPr>
          <w:rFonts w:hint="eastAsia" w:ascii="宋体" w:hAnsi="宋体" w:cs="宋体"/>
          <w:color w:val="auto"/>
          <w:sz w:val="28"/>
          <w:szCs w:val="28"/>
          <w:highlight w:val="none"/>
        </w:rPr>
        <w:t>二、投标须知修改表</w:t>
      </w:r>
      <w:bookmarkEnd w:id="7"/>
      <w:bookmarkEnd w:id="8"/>
      <w:bookmarkEnd w:id="9"/>
    </w:p>
    <w:p w14:paraId="37720A5D">
      <w:pPr>
        <w:pStyle w:val="37"/>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777CF779">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条款号：2.5                          修改类型：增加</w:t>
      </w:r>
    </w:p>
    <w:p w14:paraId="3975D6DA">
      <w:pPr>
        <w:pStyle w:val="37"/>
        <w:keepNext w:val="0"/>
        <w:keepLines w:val="0"/>
        <w:pageBreakBefore w:val="0"/>
        <w:widowControl w:val="0"/>
        <w:pBdr>
          <w:bottom w:val="single" w:color="auto" w:sz="6" w:space="1"/>
        </w:pBdr>
        <w:kinsoku/>
        <w:wordWrap/>
        <w:overflowPunct/>
        <w:topLinePunct w:val="0"/>
        <w:autoSpaceDE/>
        <w:autoSpaceDN/>
        <w:bidi w:val="0"/>
        <w:snapToGrid/>
        <w:spacing w:after="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B2B4704">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条款号：5.1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61C10A0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5.1</w:t>
      </w:r>
      <w:r>
        <w:rPr>
          <w:rFonts w:hint="eastAsia" w:ascii="宋体" w:hAnsi="宋体" w:eastAsia="宋体" w:cs="宋体"/>
          <w:bCs/>
          <w:color w:val="auto"/>
          <w:sz w:val="24"/>
          <w:szCs w:val="24"/>
          <w:highlight w:val="none"/>
          <w:lang w:bidi="ar-SA"/>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2B1F407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color w:val="auto"/>
          <w:sz w:val="24"/>
          <w:szCs w:val="24"/>
          <w:highlight w:val="none"/>
          <w:u w:val="single"/>
        </w:rPr>
        <w:t>，投标人不进行踏勘的，视为已熟知现场条件，自行承担相关风险</w:t>
      </w:r>
      <w:r>
        <w:rPr>
          <w:rFonts w:hint="eastAsia" w:ascii="宋体" w:hAnsi="宋体" w:eastAsia="宋体" w:cs="宋体"/>
          <w:color w:val="auto"/>
          <w:sz w:val="24"/>
          <w:szCs w:val="24"/>
          <w:highlight w:val="none"/>
        </w:rPr>
        <w:t>。一旦中标，这种考察即被认为其结果已在中标文件中得到充分反映。</w:t>
      </w:r>
      <w:r>
        <w:rPr>
          <w:rFonts w:hint="eastAsia" w:ascii="宋体" w:hAnsi="宋体" w:eastAsia="宋体" w:cs="宋体"/>
          <w:color w:val="auto"/>
          <w:sz w:val="24"/>
          <w:szCs w:val="24"/>
          <w:highlight w:val="none"/>
          <w:u w:val="single"/>
        </w:rPr>
        <w:t>招标人不受理因投标人缺乏对现场条件的了解或掌握而提出的任何索赔。</w:t>
      </w:r>
      <w:r>
        <w:rPr>
          <w:rFonts w:hint="eastAsia" w:ascii="宋体" w:hAnsi="宋体" w:eastAsia="宋体" w:cs="宋体"/>
          <w:color w:val="auto"/>
          <w:sz w:val="24"/>
          <w:szCs w:val="24"/>
          <w:highlight w:val="none"/>
        </w:rPr>
        <w:t>考察现场的费用由投标人自己承担。</w:t>
      </w:r>
    </w:p>
    <w:p w14:paraId="1E5650E6">
      <w:pPr>
        <w:pStyle w:val="37"/>
        <w:keepNext w:val="0"/>
        <w:keepLines w:val="0"/>
        <w:pageBreakBefore w:val="0"/>
        <w:widowControl w:val="0"/>
        <w:kinsoku/>
        <w:wordWrap/>
        <w:overflowPunct/>
        <w:topLinePunct w:val="0"/>
        <w:autoSpaceDE/>
        <w:autoSpaceDN/>
        <w:bidi w:val="0"/>
        <w:snapToGrid/>
        <w:spacing w:after="0"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条款号：7.1                  修改类型：修改</w:t>
      </w:r>
    </w:p>
    <w:p w14:paraId="07A25097">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b w:val="0"/>
          <w:bCs/>
          <w:color w:val="auto"/>
          <w:sz w:val="24"/>
          <w:szCs w:val="24"/>
          <w:highlight w:val="none"/>
          <w:lang w:val="en-US" w:eastAsia="zh-CN" w:bidi="ar-SA"/>
        </w:rPr>
        <w:t>7.1</w:t>
      </w:r>
      <w:r>
        <w:rPr>
          <w:rFonts w:hint="eastAsia" w:ascii="宋体" w:hAnsi="宋体" w:eastAsia="宋体" w:cs="宋体"/>
          <w:bCs/>
          <w:color w:val="auto"/>
          <w:sz w:val="24"/>
          <w:szCs w:val="24"/>
          <w:highlight w:val="none"/>
          <w:lang w:bidi="ar-SA"/>
        </w:rPr>
        <w:t>本招标文件包括下列文件，以及所有按本须知第8条发出的招标答疑会会议纪要和按本须知第9条发出的澄清或修改：</w:t>
      </w:r>
    </w:p>
    <w:p w14:paraId="56EE8F9A">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第一章  投标须知</w:t>
      </w:r>
    </w:p>
    <w:p w14:paraId="3AA6D15E">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第二章  开标、评标及定标办法</w:t>
      </w:r>
    </w:p>
    <w:p w14:paraId="7EB4135A">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第三章  合同条款</w:t>
      </w:r>
    </w:p>
    <w:p w14:paraId="436DF6A3">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第四章  投标文件格式</w:t>
      </w:r>
    </w:p>
    <w:p w14:paraId="3593EBDB">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第五章  技术条件（工程建设标准）（另册）</w:t>
      </w:r>
    </w:p>
    <w:p w14:paraId="3BA85DEB">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第六章  图纸及勘察资料（另册）</w:t>
      </w:r>
    </w:p>
    <w:p w14:paraId="20ECBFEF">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第七章  招标工程量清单（另册）</w:t>
      </w:r>
    </w:p>
    <w:p w14:paraId="5DF21090">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第八章  最高投标限价</w:t>
      </w:r>
    </w:p>
    <w:p w14:paraId="5C29EA86">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40BBC0A">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color w:val="auto"/>
          <w:sz w:val="24"/>
          <w:szCs w:val="24"/>
          <w:highlight w:val="none"/>
          <w:lang w:val="en-US" w:eastAsia="zh-CN" w:bidi="ar-SA"/>
        </w:rPr>
        <w:t xml:space="preserve">7.1 </w:t>
      </w:r>
      <w:r>
        <w:rPr>
          <w:rFonts w:hint="eastAsia" w:ascii="宋体" w:hAnsi="宋体" w:eastAsia="宋体" w:cs="宋体"/>
          <w:bCs/>
          <w:color w:val="auto"/>
          <w:sz w:val="24"/>
          <w:szCs w:val="24"/>
          <w:highlight w:val="none"/>
          <w:lang w:bidi="ar-SA"/>
        </w:rPr>
        <w:t>本招标文件包括下列文件，以及所有按本须知第8条发出的招标答疑会会议纪要和按本须知第9条发出的澄清或修改：</w:t>
      </w:r>
    </w:p>
    <w:p w14:paraId="251A75C4">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 xml:space="preserve">第一章  </w:t>
      </w:r>
      <w:r>
        <w:rPr>
          <w:rFonts w:hint="eastAsia" w:ascii="宋体" w:hAnsi="宋体" w:eastAsia="宋体" w:cs="宋体"/>
          <w:bCs/>
          <w:color w:val="auto"/>
          <w:sz w:val="24"/>
          <w:szCs w:val="24"/>
          <w:highlight w:val="none"/>
          <w:lang w:bidi="ar-SA"/>
        </w:rPr>
        <w:t>投标须知</w:t>
      </w:r>
    </w:p>
    <w:p w14:paraId="383CD42F">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 xml:space="preserve">第二章  </w:t>
      </w:r>
      <w:r>
        <w:rPr>
          <w:rFonts w:hint="eastAsia" w:ascii="宋体" w:hAnsi="宋体" w:eastAsia="宋体" w:cs="宋体"/>
          <w:color w:val="auto"/>
          <w:sz w:val="24"/>
          <w:szCs w:val="24"/>
          <w:highlight w:val="none"/>
        </w:rPr>
        <w:t>开标、评标及定标办法</w:t>
      </w:r>
    </w:p>
    <w:p w14:paraId="093C52E5">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第三章</w:t>
      </w:r>
      <w:r>
        <w:rPr>
          <w:rFonts w:hint="eastAsia" w:ascii="宋体" w:hAnsi="宋体" w:eastAsia="宋体" w:cs="宋体"/>
          <w:bCs/>
          <w:color w:val="auto"/>
          <w:sz w:val="24"/>
          <w:szCs w:val="24"/>
          <w:highlight w:val="none"/>
          <w:lang w:bidi="ar-SA"/>
        </w:rPr>
        <w:t xml:space="preserve"> </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合同条款</w:t>
      </w:r>
    </w:p>
    <w:p w14:paraId="73F86C05">
      <w:pPr>
        <w:keepNext w:val="0"/>
        <w:keepLines w:val="0"/>
        <w:pageBreakBefore w:val="0"/>
        <w:widowControl w:val="0"/>
        <w:numPr>
          <w:ilvl w:val="0"/>
          <w:numId w:val="0"/>
        </w:numPr>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kern w:val="2"/>
          <w:sz w:val="24"/>
          <w:szCs w:val="24"/>
          <w:highlight w:val="none"/>
          <w:lang w:val="en-US" w:eastAsia="zh-CN" w:bidi="ar-SA"/>
        </w:rPr>
        <w:t>第四章</w:t>
      </w:r>
      <w:r>
        <w:rPr>
          <w:rFonts w:hint="eastAsia" w:ascii="宋体" w:hAnsi="宋体" w:eastAsia="宋体" w:cs="宋体"/>
          <w:bCs/>
          <w:color w:val="auto"/>
          <w:sz w:val="24"/>
          <w:szCs w:val="24"/>
          <w:highlight w:val="none"/>
          <w:lang w:bidi="ar-SA"/>
        </w:rPr>
        <w:t xml:space="preserve"> </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投标文件格式</w:t>
      </w:r>
    </w:p>
    <w:p w14:paraId="07D2E21A">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 xml:space="preserve">第五章  </w:t>
      </w:r>
      <w:r>
        <w:rPr>
          <w:rFonts w:hint="eastAsia" w:ascii="宋体" w:hAnsi="宋体" w:eastAsia="宋体" w:cs="宋体"/>
          <w:bCs/>
          <w:color w:val="auto"/>
          <w:sz w:val="24"/>
          <w:szCs w:val="24"/>
          <w:highlight w:val="none"/>
          <w:u w:val="single"/>
          <w:lang w:bidi="ar-SA"/>
        </w:rPr>
        <w:t>技术</w:t>
      </w:r>
      <w:r>
        <w:rPr>
          <w:rFonts w:hint="eastAsia" w:ascii="宋体" w:hAnsi="宋体" w:eastAsia="宋体" w:cs="宋体"/>
          <w:bCs/>
          <w:color w:val="auto"/>
          <w:sz w:val="24"/>
          <w:szCs w:val="24"/>
          <w:highlight w:val="none"/>
          <w:u w:val="single"/>
          <w:lang w:eastAsia="zh-CN" w:bidi="ar-SA"/>
        </w:rPr>
        <w:t>要求</w:t>
      </w:r>
      <w:r>
        <w:rPr>
          <w:rFonts w:hint="eastAsia" w:ascii="宋体" w:hAnsi="宋体" w:eastAsia="宋体" w:cs="宋体"/>
          <w:bCs/>
          <w:color w:val="auto"/>
          <w:sz w:val="24"/>
          <w:szCs w:val="24"/>
          <w:highlight w:val="none"/>
          <w:lang w:bidi="ar-SA"/>
        </w:rPr>
        <w:t>（</w:t>
      </w:r>
      <w:r>
        <w:rPr>
          <w:rFonts w:hint="eastAsia" w:ascii="宋体" w:hAnsi="宋体" w:eastAsia="宋体" w:cs="宋体"/>
          <w:bCs/>
          <w:color w:val="auto"/>
          <w:sz w:val="24"/>
          <w:szCs w:val="24"/>
          <w:highlight w:val="none"/>
          <w:lang w:eastAsia="zh-CN" w:bidi="ar-SA"/>
        </w:rPr>
        <w:t>另册</w:t>
      </w:r>
      <w:r>
        <w:rPr>
          <w:rFonts w:hint="eastAsia" w:ascii="宋体" w:hAnsi="宋体" w:eastAsia="宋体" w:cs="宋体"/>
          <w:bCs/>
          <w:color w:val="auto"/>
          <w:sz w:val="24"/>
          <w:szCs w:val="24"/>
          <w:highlight w:val="none"/>
          <w:lang w:bidi="ar-SA"/>
        </w:rPr>
        <w:t>）</w:t>
      </w:r>
    </w:p>
    <w:p w14:paraId="5CB4AF97">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第六章  图纸及勘察资料（另册）</w:t>
      </w:r>
    </w:p>
    <w:p w14:paraId="36027230">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第七章  招标工程量清单（另册）</w:t>
      </w:r>
    </w:p>
    <w:p w14:paraId="643D6964">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第八章  最高投标限价</w:t>
      </w:r>
    </w:p>
    <w:p w14:paraId="77F745C4">
      <w:pPr>
        <w:keepNext w:val="0"/>
        <w:keepLines w:val="0"/>
        <w:pageBreakBefore w:val="0"/>
        <w:widowControl w:val="0"/>
        <w:pBdr>
          <w:bottom w:val="single" w:color="auto" w:sz="6" w:space="0"/>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none"/>
          <w:lang w:bidi="ar-SA"/>
        </w:rPr>
      </w:pPr>
      <w:r>
        <w:rPr>
          <w:rFonts w:hint="eastAsia" w:ascii="宋体" w:hAnsi="宋体" w:eastAsia="宋体" w:cs="宋体"/>
          <w:bCs/>
          <w:color w:val="auto"/>
          <w:sz w:val="24"/>
          <w:szCs w:val="24"/>
          <w:highlight w:val="none"/>
          <w:u w:val="none"/>
          <w:lang w:bidi="ar-SA"/>
        </w:rPr>
        <w:t>注：招标人应在技术要求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7E194959">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条款号：8.1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70EFEC8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8.1</w:t>
      </w:r>
      <w:r>
        <w:rPr>
          <w:rFonts w:hint="eastAsia" w:ascii="宋体" w:hAnsi="宋体" w:eastAsia="宋体" w:cs="宋体"/>
          <w:bCs/>
          <w:color w:val="auto"/>
          <w:sz w:val="24"/>
          <w:szCs w:val="24"/>
          <w:highlight w:val="none"/>
          <w:lang w:bidi="ar-SA"/>
        </w:rPr>
        <w:t>投标人</w:t>
      </w:r>
      <w:r>
        <w:rPr>
          <w:rFonts w:hint="eastAsia" w:ascii="宋体" w:hAnsi="宋体" w:eastAsia="宋体" w:cs="宋体"/>
          <w:color w:val="auto"/>
          <w:sz w:val="24"/>
          <w:szCs w:val="24"/>
          <w:highlight w:val="none"/>
          <w:lang w:bidi="ar-SA"/>
        </w:rPr>
        <w:t>若对招标文件（包括招标图纸）中有疑问，可以书面形式通过</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交易平台提交给招标人或招标代理人，提交形式见本须知前附表第16项。</w:t>
      </w:r>
    </w:p>
    <w:p w14:paraId="74A4101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 xml:space="preserve">8.1 </w:t>
      </w:r>
      <w:r>
        <w:rPr>
          <w:rFonts w:hint="eastAsia" w:ascii="宋体" w:hAnsi="宋体" w:eastAsia="宋体" w:cs="宋体"/>
          <w:bCs/>
          <w:color w:val="auto"/>
          <w:sz w:val="24"/>
          <w:szCs w:val="24"/>
          <w:highlight w:val="none"/>
          <w:u w:val="single"/>
        </w:rPr>
        <w:t>投标人若对招标文件（包括招标图纸、清单、最高投标限价）中有疑问，采用网上答疑方式进行，详见本须知前附表第1</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项。招标人或招标代理人将于本须知前附表第1</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项指定的地点（交易平台）和时间对疑问进行答复。</w:t>
      </w:r>
    </w:p>
    <w:p w14:paraId="230E1BEF">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条款号：8.2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632B655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8.2招标答疑会会议纪要将在提交投标文件截止时间15日前在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交易平台“项目答疑纪要”专区公开发布。答疑纪要一经在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交易平台发布，视作已发放给所有投标人。</w:t>
      </w:r>
    </w:p>
    <w:p w14:paraId="6593B64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8.2</w:t>
      </w:r>
      <w:r>
        <w:rPr>
          <w:rFonts w:hint="eastAsia" w:ascii="宋体" w:hAnsi="宋体" w:eastAsia="宋体" w:cs="宋体"/>
          <w:color w:val="auto"/>
          <w:sz w:val="24"/>
          <w:szCs w:val="24"/>
          <w:highlight w:val="none"/>
          <w:lang w:val="en-US" w:eastAsia="zh-CN" w:bidi="ar-SA"/>
        </w:rPr>
        <w:t xml:space="preserve"> </w:t>
      </w:r>
      <w:r>
        <w:rPr>
          <w:rStyle w:val="75"/>
          <w:rFonts w:hint="eastAsia" w:ascii="宋体" w:hAnsi="宋体" w:eastAsia="宋体" w:cs="宋体"/>
          <w:color w:val="auto"/>
          <w:sz w:val="24"/>
          <w:szCs w:val="24"/>
          <w:highlight w:val="none"/>
        </w:rPr>
        <w:t>招标答疑会会议纪要将在提交投标文件截止时间15日前在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 “项目答疑纪要”专区公开发布。答疑纪要一经在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交易平台发布，视作已发放给所有投标人</w:t>
      </w:r>
      <w:r>
        <w:rPr>
          <w:rFonts w:hint="eastAsia" w:ascii="宋体" w:hAnsi="宋体" w:eastAsia="宋体" w:cs="宋体"/>
          <w:color w:val="auto"/>
          <w:sz w:val="24"/>
          <w:szCs w:val="24"/>
          <w:highlight w:val="none"/>
        </w:rPr>
        <w:t>。</w:t>
      </w:r>
    </w:p>
    <w:p w14:paraId="7F51C73D">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条款号：8.4</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EE6248E">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rPr>
        <w:t>8.4若招标答疑会会议纪要与招标文件有矛盾，以答疑会议纪要最后发出的书面形式的文件为准。</w:t>
      </w:r>
    </w:p>
    <w:p w14:paraId="5BE3E4F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8.4若</w:t>
      </w:r>
      <w:r>
        <w:rPr>
          <w:rFonts w:hint="eastAsia" w:ascii="宋体" w:hAnsi="宋体" w:eastAsia="宋体" w:cs="宋体"/>
          <w:color w:val="auto"/>
          <w:sz w:val="24"/>
          <w:szCs w:val="24"/>
          <w:highlight w:val="none"/>
          <w:u w:val="single"/>
        </w:rPr>
        <w:t>招标答疑纪要</w:t>
      </w:r>
      <w:r>
        <w:rPr>
          <w:rFonts w:hint="eastAsia" w:ascii="宋体" w:hAnsi="宋体" w:eastAsia="宋体" w:cs="宋体"/>
          <w:color w:val="auto"/>
          <w:sz w:val="24"/>
          <w:szCs w:val="24"/>
          <w:highlight w:val="none"/>
        </w:rPr>
        <w:t>与招标文件有矛盾时，</w:t>
      </w:r>
      <w:r>
        <w:rPr>
          <w:rFonts w:hint="eastAsia" w:ascii="宋体" w:hAnsi="宋体" w:eastAsia="宋体" w:cs="宋体"/>
          <w:color w:val="auto"/>
          <w:sz w:val="24"/>
          <w:szCs w:val="24"/>
          <w:highlight w:val="none"/>
          <w:u w:val="single"/>
        </w:rPr>
        <w:t>以广州交易集团有限公司（广州公共资源交易中心）网站</w:t>
      </w:r>
      <w:r>
        <w:rPr>
          <w:rFonts w:hint="eastAsia" w:ascii="宋体" w:hAnsi="宋体" w:eastAsia="宋体" w:cs="宋体"/>
          <w:color w:val="auto"/>
          <w:sz w:val="24"/>
          <w:szCs w:val="24"/>
          <w:highlight w:val="none"/>
        </w:rPr>
        <w:t>最后发布的答疑纪要为准。</w:t>
      </w:r>
    </w:p>
    <w:p w14:paraId="639B9A3C">
      <w:pPr>
        <w:keepNext w:val="0"/>
        <w:keepLines w:val="0"/>
        <w:pageBreakBefore w:val="0"/>
        <w:widowControl w:val="0"/>
        <w:pBdr>
          <w:top w:val="single" w:color="auto" w:sz="4" w:space="1"/>
          <w:bottom w:val="single" w:color="auto" w:sz="4" w:space="1"/>
        </w:pBdr>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条款号：9.2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2AAB406">
      <w:pPr>
        <w:keepNext w:val="0"/>
        <w:keepLines w:val="0"/>
        <w:pageBreakBefore w:val="0"/>
        <w:widowControl w:val="0"/>
        <w:pBdr>
          <w:top w:val="single" w:color="auto" w:sz="4" w:space="1"/>
          <w:bottom w:val="single" w:color="auto" w:sz="4"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9.2招标文件的澄清或修改将在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交易平台“项目答疑纪要”专区公开发布。答疑纪要一经在</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交易平台发布，视作已发放给所有投标人，以</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交易平台上网发布时间作为送达时间。</w:t>
      </w:r>
    </w:p>
    <w:p w14:paraId="3DC40D36">
      <w:pPr>
        <w:keepNext w:val="0"/>
        <w:keepLines w:val="0"/>
        <w:pageBreakBefore w:val="0"/>
        <w:widowControl w:val="0"/>
        <w:pBdr>
          <w:top w:val="single" w:color="auto" w:sz="4" w:space="1"/>
          <w:bottom w:val="single" w:color="auto" w:sz="4"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Style w:val="75"/>
          <w:rFonts w:hint="eastAsia" w:ascii="宋体" w:hAnsi="宋体" w:eastAsia="宋体" w:cs="宋体"/>
          <w:color w:val="auto"/>
          <w:sz w:val="24"/>
          <w:szCs w:val="24"/>
          <w:highlight w:val="none"/>
        </w:rPr>
        <w:t>9.2招标文件的澄清或修改将在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交易平台“项目答疑纪要”专区公开发布。答疑纪要一经在</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交易平台发布，视作已发放给所有投标人，以</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交易平台上网发布时间作为送达时间。</w:t>
      </w:r>
    </w:p>
    <w:p w14:paraId="4574E6CF">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bCs/>
          <w:color w:val="auto"/>
          <w:sz w:val="24"/>
          <w:szCs w:val="24"/>
          <w:highlight w:val="none"/>
          <w:lang w:bidi="ar-SA"/>
        </w:rPr>
        <w:t>9.4</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75DD1C9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9.4招标文件的澄清或修改均以书面形式明确的内容为准。当招标文件的澄清、修改、补充等在同一内容的表述不一致时，以最后发出的书面形式的文件为准。</w:t>
      </w:r>
    </w:p>
    <w:p w14:paraId="0389FD5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9.4招标文件的澄清或修改</w:t>
      </w:r>
      <w:r>
        <w:rPr>
          <w:rFonts w:hint="eastAsia" w:ascii="宋体" w:hAnsi="宋体" w:eastAsia="宋体" w:cs="宋体"/>
          <w:color w:val="auto"/>
          <w:sz w:val="24"/>
          <w:szCs w:val="24"/>
          <w:highlight w:val="none"/>
          <w:u w:val="single"/>
          <w:lang w:bidi="ar-SA"/>
        </w:rPr>
        <w:t>在广州交易集团有限公司（广州公共资源交易中心）交易平台公开发布。</w:t>
      </w:r>
      <w:r>
        <w:rPr>
          <w:rFonts w:hint="eastAsia" w:ascii="宋体" w:hAnsi="宋体" w:eastAsia="宋体" w:cs="宋体"/>
          <w:color w:val="auto"/>
          <w:sz w:val="24"/>
          <w:szCs w:val="24"/>
          <w:highlight w:val="none"/>
          <w:lang w:bidi="ar-SA"/>
        </w:rPr>
        <w:t>当招标文件的澄清、修改、补充等在同一内容的表述不一致时</w:t>
      </w:r>
      <w:r>
        <w:rPr>
          <w:rFonts w:hint="eastAsia" w:ascii="宋体" w:hAnsi="宋体" w:eastAsia="宋体" w:cs="宋体"/>
          <w:color w:val="auto"/>
          <w:sz w:val="24"/>
          <w:szCs w:val="24"/>
          <w:highlight w:val="none"/>
          <w:u w:val="single"/>
          <w:lang w:bidi="ar-SA"/>
        </w:rPr>
        <w:t>，以最后发出的文件为准</w:t>
      </w:r>
      <w:r>
        <w:rPr>
          <w:rFonts w:hint="eastAsia" w:ascii="宋体" w:hAnsi="宋体" w:eastAsia="宋体" w:cs="宋体"/>
          <w:color w:val="auto"/>
          <w:sz w:val="24"/>
          <w:szCs w:val="24"/>
          <w:highlight w:val="none"/>
          <w:lang w:bidi="ar-SA"/>
        </w:rPr>
        <w:t>。</w:t>
      </w:r>
    </w:p>
    <w:p w14:paraId="76F4A57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条款号：11.1                       修改类型：修改</w:t>
      </w:r>
    </w:p>
    <w:p w14:paraId="67DF57CD">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11.1 投标文件由技术部分（含资格审查文件）和经济部分二部分投标文件组成。</w:t>
      </w:r>
    </w:p>
    <w:p w14:paraId="00D151F4">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11.1 投标文件由</w:t>
      </w:r>
      <w:r>
        <w:rPr>
          <w:rFonts w:hint="eastAsia" w:ascii="宋体" w:hAnsi="宋体" w:eastAsia="宋体" w:cs="宋体"/>
          <w:color w:val="auto"/>
          <w:sz w:val="24"/>
          <w:szCs w:val="24"/>
          <w:highlight w:val="none"/>
          <w:u w:val="single"/>
        </w:rPr>
        <w:t>技术标投标文件（含资格审查文件）、经济标投标文件部分和定标文件</w:t>
      </w:r>
      <w:r>
        <w:rPr>
          <w:rFonts w:hint="eastAsia" w:ascii="宋体" w:hAnsi="宋体" w:eastAsia="宋体" w:cs="宋体"/>
          <w:color w:val="auto"/>
          <w:sz w:val="24"/>
          <w:szCs w:val="24"/>
          <w:highlight w:val="none"/>
        </w:rPr>
        <w:t>组成。</w:t>
      </w:r>
    </w:p>
    <w:p w14:paraId="1C9B2A96">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条款号：11.2                       修改类型：修改</w:t>
      </w:r>
    </w:p>
    <w:p w14:paraId="3FB99D2E">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11.2投标文件技术标部分主要包括下列内容</w:t>
      </w:r>
      <w:r>
        <w:rPr>
          <w:rFonts w:hint="eastAsia" w:ascii="宋体" w:hAnsi="宋体" w:cs="宋体"/>
          <w:bCs/>
          <w:color w:val="auto"/>
          <w:sz w:val="24"/>
          <w:szCs w:val="24"/>
          <w:highlight w:val="none"/>
          <w:lang w:eastAsia="zh-CN"/>
        </w:rPr>
        <w:t>：</w:t>
      </w:r>
    </w:p>
    <w:p w14:paraId="09C2746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w:t>
      </w:r>
    </w:p>
    <w:p w14:paraId="35A27F6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248FDB3D">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14:paraId="1EB562C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14:paraId="06D588F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0445B17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738CA6C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3FAE816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14:paraId="10ECD7A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14:paraId="50A604C5">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14:paraId="0059CE7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14:paraId="423FC41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256437E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277CB2B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14:paraId="0E3F10A5">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79E1B5D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EF57DB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7C52DA2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86027F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14:paraId="021E39F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14:paraId="404C80E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p>
    <w:p w14:paraId="592990B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（3）其他辅助说明资料。</w:t>
      </w:r>
    </w:p>
    <w:p w14:paraId="0D646BE5">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11.2.4投标人在广州市可使用适合本工程的机械设备（附：机械设备为自有或租赁的说明；及承诺机械设备如属于租赁的，其租赁是不属于重复租赁）。</w:t>
      </w:r>
    </w:p>
    <w:p w14:paraId="12A22913">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11.2.5施工组织设计或施工方案</w:t>
      </w:r>
      <w:r>
        <w:rPr>
          <w:rFonts w:hint="eastAsia" w:ascii="宋体" w:hAnsi="宋体" w:cs="宋体"/>
          <w:color w:val="auto"/>
          <w:sz w:val="24"/>
          <w:szCs w:val="24"/>
          <w:highlight w:val="none"/>
          <w:lang w:eastAsia="zh-CN"/>
        </w:rPr>
        <w:t>：</w:t>
      </w:r>
    </w:p>
    <w:p w14:paraId="5F1D5171">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2D9792AC">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E7CC147">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p>
    <w:p w14:paraId="1BFFA62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p>
    <w:p w14:paraId="1B95205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11.2投标文件技术标</w:t>
      </w:r>
      <w:r>
        <w:rPr>
          <w:rFonts w:hint="eastAsia" w:ascii="宋体" w:hAnsi="宋体" w:eastAsia="宋体" w:cs="宋体"/>
          <w:bCs/>
          <w:color w:val="auto"/>
          <w:sz w:val="24"/>
          <w:szCs w:val="24"/>
          <w:highlight w:val="none"/>
          <w:u w:val="single"/>
        </w:rPr>
        <w:t>投标文件</w:t>
      </w:r>
      <w:r>
        <w:rPr>
          <w:rFonts w:hint="eastAsia" w:ascii="宋体" w:hAnsi="宋体" w:eastAsia="宋体" w:cs="宋体"/>
          <w:color w:val="auto"/>
          <w:sz w:val="24"/>
          <w:szCs w:val="24"/>
          <w:highlight w:val="none"/>
          <w:u w:val="single"/>
        </w:rPr>
        <w:t>（含资格审查文件）</w:t>
      </w:r>
      <w:r>
        <w:rPr>
          <w:rFonts w:hint="eastAsia" w:ascii="宋体" w:hAnsi="宋体" w:eastAsia="宋体" w:cs="宋体"/>
          <w:bCs/>
          <w:color w:val="auto"/>
          <w:sz w:val="24"/>
          <w:szCs w:val="24"/>
          <w:highlight w:val="none"/>
        </w:rPr>
        <w:t>主要包括下列内容</w:t>
      </w:r>
      <w:r>
        <w:rPr>
          <w:rFonts w:hint="eastAsia" w:ascii="宋体" w:hAnsi="宋体" w:eastAsia="宋体" w:cs="宋体"/>
          <w:color w:val="auto"/>
          <w:sz w:val="24"/>
          <w:szCs w:val="24"/>
          <w:highlight w:val="none"/>
          <w:u w:val="single"/>
        </w:rPr>
        <w:t>（除注明原件外，均为清晰扫描件即可）</w:t>
      </w:r>
      <w:r>
        <w:rPr>
          <w:rFonts w:hint="eastAsia" w:ascii="宋体" w:hAnsi="宋体" w:cs="宋体"/>
          <w:color w:val="auto"/>
          <w:sz w:val="24"/>
          <w:szCs w:val="24"/>
          <w:highlight w:val="none"/>
          <w:u w:val="single"/>
          <w:lang w:eastAsia="zh-CN"/>
        </w:rPr>
        <w:t>：</w:t>
      </w:r>
    </w:p>
    <w:p w14:paraId="2E5F8F5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11.2.1</w:t>
      </w:r>
      <w:r>
        <w:rPr>
          <w:rFonts w:hint="eastAsia" w:ascii="宋体" w:hAnsi="宋体" w:eastAsia="宋体" w:cs="宋体"/>
          <w:color w:val="auto"/>
          <w:sz w:val="24"/>
          <w:szCs w:val="24"/>
          <w:highlight w:val="none"/>
          <w:u w:val="single"/>
        </w:rPr>
        <w:t>广州建设工程施工招标投标书（技术标）（格式见第四章）；</w:t>
      </w:r>
    </w:p>
    <w:p w14:paraId="5CE55D2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4AD1BDA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（1）投标人声明扫描件</w:t>
      </w:r>
      <w:r>
        <w:rPr>
          <w:rFonts w:hint="eastAsia" w:ascii="宋体" w:hAnsi="宋体" w:eastAsia="宋体" w:cs="宋体"/>
          <w:bCs/>
          <w:color w:val="auto"/>
          <w:sz w:val="24"/>
          <w:szCs w:val="24"/>
          <w:highlight w:val="none"/>
          <w:u w:val="single"/>
        </w:rPr>
        <w:t>（须按招标公告附件内容及格式要求编制，联合体投标的，由联合体主办方出具）</w:t>
      </w:r>
      <w:r>
        <w:rPr>
          <w:rFonts w:hint="eastAsia" w:ascii="宋体" w:hAnsi="宋体" w:eastAsia="宋体" w:cs="宋体"/>
          <w:bCs/>
          <w:color w:val="auto"/>
          <w:sz w:val="24"/>
          <w:szCs w:val="24"/>
          <w:highlight w:val="none"/>
        </w:rPr>
        <w:t>；</w:t>
      </w:r>
    </w:p>
    <w:p w14:paraId="6A12B16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r>
        <w:rPr>
          <w:rFonts w:hint="eastAsia" w:ascii="宋体" w:hAnsi="宋体" w:eastAsia="宋体" w:cs="宋体"/>
          <w:bCs/>
          <w:color w:val="auto"/>
          <w:sz w:val="24"/>
          <w:szCs w:val="24"/>
          <w:highlight w:val="none"/>
          <w:u w:val="single"/>
        </w:rPr>
        <w:t>扫描件</w:t>
      </w:r>
      <w:r>
        <w:rPr>
          <w:rFonts w:hint="eastAsia" w:ascii="宋体" w:hAnsi="宋体" w:eastAsia="宋体" w:cs="宋体"/>
          <w:bCs/>
          <w:color w:val="auto"/>
          <w:sz w:val="24"/>
          <w:szCs w:val="24"/>
          <w:highlight w:val="none"/>
        </w:rPr>
        <w:t>；</w:t>
      </w:r>
    </w:p>
    <w:p w14:paraId="4A3750A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619F070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700A6E0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7FDD9D4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r>
        <w:rPr>
          <w:rFonts w:hint="eastAsia" w:ascii="宋体" w:hAnsi="宋体" w:cs="宋体"/>
          <w:bCs/>
          <w:color w:val="auto"/>
          <w:sz w:val="24"/>
          <w:szCs w:val="24"/>
          <w:highlight w:val="none"/>
          <w:lang w:eastAsia="zh-CN"/>
        </w:rPr>
        <w:t>；</w:t>
      </w:r>
    </w:p>
    <w:p w14:paraId="22F4491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r>
        <w:rPr>
          <w:rFonts w:hint="eastAsia" w:ascii="宋体" w:hAnsi="宋体" w:cs="宋体"/>
          <w:bCs/>
          <w:color w:val="auto"/>
          <w:sz w:val="24"/>
          <w:szCs w:val="24"/>
          <w:highlight w:val="none"/>
          <w:lang w:eastAsia="zh-CN"/>
        </w:rPr>
        <w:t>；</w:t>
      </w:r>
    </w:p>
    <w:p w14:paraId="33B1C52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u w:val="single"/>
        </w:rPr>
        <w:t>拟委派技术负责人的职称证书（提供清晰扫描件）；</w:t>
      </w:r>
    </w:p>
    <w:p w14:paraId="38CDB40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（9）拟委派项目负责人的有效期内的建造师注册证书扫描件或电子证书；</w:t>
      </w:r>
    </w:p>
    <w:p w14:paraId="2BD0167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5B718A9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（11）专职安全员须具有在有效期内的安全考核合格证书（C类）或建筑施工企业专职安全生产管理人员安全生产考核合格证书（C3）扫描件或电子证书；</w:t>
      </w:r>
    </w:p>
    <w:p w14:paraId="29A1C64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（12）资格审查前，投标人须在广州市住建行业信用管理平台建立企业信用档案</w:t>
      </w:r>
      <w:r>
        <w:rPr>
          <w:rFonts w:hint="eastAsia" w:ascii="宋体" w:hAnsi="宋体" w:eastAsia="宋体" w:cs="宋体"/>
          <w:bCs/>
          <w:color w:val="auto"/>
          <w:sz w:val="24"/>
          <w:szCs w:val="24"/>
          <w:highlight w:val="none"/>
          <w:u w:val="single"/>
        </w:rPr>
        <w:t>或广州交易集团有限公司（广州公共资源交易中心）办理企业信息登记</w:t>
      </w:r>
      <w:r>
        <w:rPr>
          <w:rFonts w:hint="eastAsia" w:ascii="宋体" w:hAnsi="宋体" w:eastAsia="宋体" w:cs="宋体"/>
          <w:bCs/>
          <w:color w:val="auto"/>
          <w:sz w:val="24"/>
          <w:szCs w:val="24"/>
          <w:highlight w:val="none"/>
        </w:rPr>
        <w:t>，拟担任本工程项目负责人、专职安全员须是本企业信用档案</w:t>
      </w:r>
      <w:r>
        <w:rPr>
          <w:rFonts w:hint="eastAsia" w:ascii="宋体" w:hAnsi="宋体" w:eastAsia="宋体" w:cs="宋体"/>
          <w:bCs/>
          <w:color w:val="auto"/>
          <w:sz w:val="24"/>
          <w:szCs w:val="24"/>
          <w:highlight w:val="none"/>
          <w:u w:val="single"/>
        </w:rPr>
        <w:t>或本企业信息登记</w:t>
      </w:r>
      <w:r>
        <w:rPr>
          <w:rFonts w:hint="eastAsia" w:ascii="宋体" w:hAnsi="宋体" w:eastAsia="宋体" w:cs="宋体"/>
          <w:bCs/>
          <w:color w:val="auto"/>
          <w:sz w:val="24"/>
          <w:szCs w:val="24"/>
          <w:highlight w:val="none"/>
        </w:rPr>
        <w:t>中的在册人员。</w:t>
      </w:r>
    </w:p>
    <w:p w14:paraId="2A56015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u w:val="single"/>
        </w:rPr>
        <w:t>投标人未出现以下情形：与</w:t>
      </w:r>
      <w:r>
        <w:rPr>
          <w:rFonts w:hint="eastAsia" w:ascii="宋体" w:hAnsi="宋体" w:cs="宋体"/>
          <w:bCs/>
          <w:color w:val="auto"/>
          <w:sz w:val="24"/>
          <w:szCs w:val="24"/>
          <w:highlight w:val="none"/>
          <w:u w:val="single"/>
          <w:lang w:val="en-US" w:eastAsia="zh-CN"/>
        </w:rPr>
        <w:t>本标段</w:t>
      </w:r>
      <w:r>
        <w:rPr>
          <w:rFonts w:hint="eastAsia" w:ascii="宋体" w:hAnsi="宋体" w:eastAsia="宋体" w:cs="宋体"/>
          <w:bCs/>
          <w:color w:val="auto"/>
          <w:sz w:val="24"/>
          <w:szCs w:val="24"/>
          <w:highlight w:val="none"/>
          <w:u w:val="single"/>
        </w:rPr>
        <w:t>其它投标人的单位负责人为同一人或者存在控股、管理关系的（按投标人提供的《投标人声明》第八条内容进行评审）。如不同投标人出现单位负责人为同一人或者存在控股、管理关系的情形，则相关投标均无效。</w:t>
      </w:r>
    </w:p>
    <w:p w14:paraId="4F8637A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（14）联合体投标的，需附联合体工作协议（参考招标公告附件二）；</w:t>
      </w:r>
    </w:p>
    <w:p w14:paraId="6964DD9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14</w:t>
      </w:r>
      <w:r>
        <w:rPr>
          <w:rFonts w:hint="eastAsia" w:ascii="宋体" w:hAnsi="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投标人未被列入拖欠农民工工资失信联合惩戒对象名单（投标人无需提供资料，按交易系统比对的结果进行评审）。</w:t>
      </w:r>
    </w:p>
    <w:p w14:paraId="4B5B12D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）投标人认为应提供的其他资料。</w:t>
      </w:r>
    </w:p>
    <w:p w14:paraId="3BE3C11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上述第11.2.2（1）—（15）条没有要求提交的资料，不作为资格审查不合格的依据。</w:t>
      </w:r>
    </w:p>
    <w:p w14:paraId="046F8E1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.相关电子证书按规定需打印后手写本人签名的，应按照规定手写本人签名后再扫描提交。</w:t>
      </w:r>
    </w:p>
    <w:p w14:paraId="1D2FE68D">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在投标登记时选择了拟投入本项目的项目负责人、专职安全员，即已满足“资格审查前，投标人须在广州市住房和城乡建设局建立企业信用档案或广州交易集团有限公司（广州公共资源交易中心）办理企业信息登记及拟担任本工程项目负责人、专职安全员须是本企业信用档案中的在册人员或本企业信息登记中的在册人员”的要求，投标人无需提供证明材料。</w:t>
      </w:r>
    </w:p>
    <w:p w14:paraId="30B968F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rPr>
        <w:t>11.2.3《投标函》（格式见第四章）。</w:t>
      </w:r>
    </w:p>
    <w:p w14:paraId="0811E83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4《施工项目管理团队人员信息表》、</w:t>
      </w:r>
      <w:r>
        <w:rPr>
          <w:rFonts w:hint="eastAsia" w:ascii="宋体" w:hAnsi="宋体" w:eastAsia="宋体" w:cs="宋体"/>
          <w:color w:val="auto"/>
          <w:sz w:val="24"/>
          <w:szCs w:val="24"/>
          <w:highlight w:val="none"/>
          <w:u w:val="single"/>
        </w:rPr>
        <w:t>《主要人员简历表》（投标人需按相应表格备注要求提供相关资料）（格式见第四章）。</w:t>
      </w:r>
    </w:p>
    <w:p w14:paraId="0DC05BC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11.2.5</w:t>
      </w:r>
      <w:r>
        <w:rPr>
          <w:rFonts w:hint="eastAsia" w:ascii="宋体" w:hAnsi="宋体" w:cs="宋体"/>
          <w:color w:val="auto"/>
          <w:sz w:val="24"/>
          <w:szCs w:val="24"/>
          <w:highlight w:val="none"/>
          <w:u w:val="single"/>
          <w:lang w:eastAsia="zh-CN"/>
        </w:rPr>
        <w:t>《拟投入本工程施工的主要机械设备配备表》</w:t>
      </w:r>
      <w:r>
        <w:rPr>
          <w:rFonts w:hint="eastAsia" w:ascii="宋体" w:hAnsi="宋体" w:eastAsia="宋体" w:cs="宋体"/>
          <w:color w:val="auto"/>
          <w:sz w:val="24"/>
          <w:szCs w:val="24"/>
          <w:highlight w:val="none"/>
          <w:u w:val="single"/>
        </w:rPr>
        <w:t>（投标人需按相应表格备注要求提供相关资料）（格式见第四章）。</w:t>
      </w:r>
    </w:p>
    <w:p w14:paraId="3D2A3B9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11.2.6其他</w:t>
      </w:r>
      <w:r>
        <w:rPr>
          <w:rFonts w:hint="eastAsia" w:ascii="宋体" w:hAnsi="宋体" w:eastAsia="宋体" w:cs="宋体"/>
          <w:color w:val="auto"/>
          <w:sz w:val="24"/>
          <w:szCs w:val="24"/>
          <w:highlight w:val="none"/>
          <w:u w:val="single"/>
        </w:rPr>
        <w:t>证明材料（招标文件有规定格式的，需按招标文件格式提供，无格式要求的，格式自拟）。</w:t>
      </w:r>
    </w:p>
    <w:p w14:paraId="03AE8B3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《危险性较大的分部分项工程安全管理措施》（格式见第四章）。</w:t>
      </w:r>
    </w:p>
    <w:p w14:paraId="792EDEA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《参与编制技术标投标文件人员名单》（格式见第四章）</w:t>
      </w:r>
      <w:r>
        <w:rPr>
          <w:rFonts w:hint="eastAsia" w:ascii="宋体" w:hAnsi="宋体" w:eastAsia="宋体" w:cs="宋体"/>
          <w:color w:val="auto"/>
          <w:sz w:val="24"/>
          <w:szCs w:val="24"/>
          <w:highlight w:val="none"/>
        </w:rPr>
        <w:t>。</w:t>
      </w:r>
    </w:p>
    <w:p w14:paraId="262E01F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《投标人材料、设备响应函》（格式见第四章）</w:t>
      </w:r>
      <w:r>
        <w:rPr>
          <w:rFonts w:hint="eastAsia" w:ascii="宋体" w:hAnsi="宋体" w:eastAsia="宋体" w:cs="宋体"/>
          <w:color w:val="auto"/>
          <w:sz w:val="24"/>
          <w:szCs w:val="24"/>
          <w:highlight w:val="none"/>
        </w:rPr>
        <w:t>。</w:t>
      </w:r>
    </w:p>
    <w:p w14:paraId="571EEFF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11.2.10</w:t>
      </w:r>
      <w:r>
        <w:rPr>
          <w:rFonts w:hint="eastAsia" w:ascii="宋体" w:hAnsi="宋体" w:eastAsia="宋体" w:cs="宋体"/>
          <w:bCs/>
          <w:color w:val="auto"/>
          <w:sz w:val="24"/>
          <w:szCs w:val="24"/>
          <w:highlight w:val="none"/>
          <w:u w:val="single"/>
        </w:rPr>
        <w:t>投标人认为应提供的其他资料</w:t>
      </w:r>
      <w:r>
        <w:rPr>
          <w:rFonts w:hint="eastAsia" w:ascii="宋体" w:hAnsi="宋体" w:eastAsia="宋体" w:cs="宋体"/>
          <w:color w:val="auto"/>
          <w:sz w:val="24"/>
          <w:szCs w:val="24"/>
          <w:highlight w:val="none"/>
          <w:u w:val="single"/>
        </w:rPr>
        <w:t>（如有）</w:t>
      </w:r>
      <w:r>
        <w:rPr>
          <w:rFonts w:hint="eastAsia" w:ascii="宋体" w:hAnsi="宋体" w:eastAsia="宋体" w:cs="宋体"/>
          <w:bCs/>
          <w:color w:val="auto"/>
          <w:sz w:val="24"/>
          <w:szCs w:val="24"/>
          <w:highlight w:val="none"/>
          <w:u w:val="single"/>
        </w:rPr>
        <w:t>。</w:t>
      </w:r>
    </w:p>
    <w:p w14:paraId="57835838">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条款号：11.3                      修改类型：修改</w:t>
      </w:r>
    </w:p>
    <w:p w14:paraId="4408B08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原文：</w:t>
      </w:r>
    </w:p>
    <w:p w14:paraId="740BC4D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11.3经济部分投标文件主要包括下列内容：</w:t>
      </w:r>
    </w:p>
    <w:p w14:paraId="7266BBC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2B5A33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63B62A6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347581D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1BCB207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7F791899">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32C7789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39019DAC">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79FCD1A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74A9D98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4B3977A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5D616AA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3E367282">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06893EAF">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7020386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4CBB62C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7B79072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3507DC2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41266AA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（17）人工、主要材料和设备一览表</w:t>
      </w:r>
    </w:p>
    <w:p w14:paraId="2BE0185E">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14:paraId="0A3A3337">
      <w:pPr>
        <w:keepNext w:val="0"/>
        <w:keepLines w:val="0"/>
        <w:pageBreakBefore w:val="0"/>
        <w:widowControl w:val="0"/>
        <w:tabs>
          <w:tab w:val="left" w:pos="1125"/>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57186EE9">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p>
    <w:p w14:paraId="72F55A0D">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11.3 经济标投标文件主要包括下列内容：</w:t>
      </w:r>
    </w:p>
    <w:p w14:paraId="662AB0D5">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11.3.1</w:t>
      </w:r>
      <w:r>
        <w:rPr>
          <w:rFonts w:hint="eastAsia" w:ascii="宋体" w:hAnsi="宋体" w:eastAsia="宋体" w:cs="宋体"/>
          <w:color w:val="auto"/>
          <w:sz w:val="24"/>
          <w:szCs w:val="24"/>
          <w:highlight w:val="none"/>
          <w:u w:val="single"/>
        </w:rPr>
        <w:t>广州建设工程施工经济标招标投标书（格式见第四章）</w:t>
      </w:r>
      <w:r>
        <w:rPr>
          <w:rFonts w:hint="eastAsia" w:ascii="宋体" w:hAnsi="宋体" w:eastAsia="宋体" w:cs="宋体"/>
          <w:bCs/>
          <w:color w:val="auto"/>
          <w:sz w:val="24"/>
          <w:szCs w:val="24"/>
          <w:highlight w:val="none"/>
          <w:u w:val="single"/>
        </w:rPr>
        <w:t>。</w:t>
      </w:r>
    </w:p>
    <w:p w14:paraId="216BA679">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ED38A44">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343033EA">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2F912D48">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（3）工程量清单报价表及综合单价分析表（相关表格的内容及格式要求以招标人发出的最新版电子招标文件中的相应内容及格式为准）；</w:t>
      </w:r>
    </w:p>
    <w:p w14:paraId="77165F97">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（4）其它辅助说明资料（包括但不限于招标文件要求填写的《对投标文件编制的承诺》（格式见第四章）</w:t>
      </w:r>
      <w:r>
        <w:rPr>
          <w:rFonts w:hint="eastAsia" w:ascii="宋体" w:hAnsi="宋体" w:eastAsia="宋体" w:cs="宋体"/>
          <w:color w:val="auto"/>
          <w:sz w:val="24"/>
          <w:szCs w:val="24"/>
          <w:highlight w:val="none"/>
        </w:rPr>
        <w:t>。</w:t>
      </w:r>
    </w:p>
    <w:p w14:paraId="1B73FC1A">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w:t>
      </w:r>
      <w:r>
        <w:rPr>
          <w:rFonts w:hint="eastAsia" w:ascii="宋体" w:hAnsi="宋体" w:eastAsia="宋体" w:cs="宋体"/>
          <w:color w:val="auto"/>
          <w:sz w:val="24"/>
          <w:szCs w:val="24"/>
          <w:highlight w:val="none"/>
          <w:u w:val="single"/>
        </w:rPr>
        <w:t>按照招标文件要求填写的《参与编制经济标投标文件人员名单》（格式见第四章）</w:t>
      </w:r>
      <w:r>
        <w:rPr>
          <w:rFonts w:hint="eastAsia" w:ascii="宋体" w:hAnsi="宋体" w:eastAsia="宋体" w:cs="宋体"/>
          <w:color w:val="auto"/>
          <w:sz w:val="24"/>
          <w:szCs w:val="24"/>
          <w:highlight w:val="none"/>
        </w:rPr>
        <w:t>。</w:t>
      </w:r>
    </w:p>
    <w:p w14:paraId="48204718">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76B32F2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11.3.5投标人认为应提供的其他资料（如有）</w:t>
      </w:r>
      <w:r>
        <w:rPr>
          <w:rFonts w:hint="eastAsia" w:ascii="宋体" w:hAnsi="宋体" w:eastAsia="宋体" w:cs="宋体"/>
          <w:b/>
          <w:bCs/>
          <w:color w:val="auto"/>
          <w:sz w:val="24"/>
          <w:szCs w:val="24"/>
          <w:highlight w:val="none"/>
          <w:u w:val="single"/>
        </w:rPr>
        <w:t>。</w:t>
      </w:r>
    </w:p>
    <w:p w14:paraId="26AD99D4">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条款号：11.4           修改类型：增加</w:t>
      </w:r>
    </w:p>
    <w:p w14:paraId="36A18742">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11.4定标文件的组成</w:t>
      </w:r>
    </w:p>
    <w:p w14:paraId="7BD6417D">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80" w:firstLineChars="200"/>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11.4.1投标人依据《定标因素表》提供定标文件资料（如有），其中投标报价不需要投标人重复提供，以经济标投标文件中填报的报价为准</w:t>
      </w:r>
      <w:r>
        <w:rPr>
          <w:rFonts w:hint="eastAsia" w:ascii="宋体" w:hAnsi="宋体" w:cs="宋体"/>
          <w:color w:val="auto"/>
          <w:sz w:val="24"/>
          <w:szCs w:val="24"/>
          <w:highlight w:val="none"/>
          <w:u w:val="single"/>
          <w:lang w:eastAsia="zh-CN"/>
        </w:rPr>
        <w:t>。其中施工组织设计或施工方案（</w:t>
      </w:r>
      <w:r>
        <w:rPr>
          <w:rFonts w:hint="eastAsia" w:ascii="宋体" w:hAnsi="宋体" w:cs="宋体"/>
          <w:color w:val="auto"/>
          <w:sz w:val="24"/>
          <w:szCs w:val="24"/>
          <w:highlight w:val="none"/>
          <w:u w:val="single"/>
          <w:lang w:val="en-US" w:eastAsia="zh-CN"/>
        </w:rPr>
        <w:t>即方案因素</w:t>
      </w:r>
      <w:r>
        <w:rPr>
          <w:rFonts w:hint="eastAsia" w:ascii="宋体" w:hAnsi="宋体" w:cs="宋体"/>
          <w:color w:val="auto"/>
          <w:sz w:val="24"/>
          <w:szCs w:val="24"/>
          <w:highlight w:val="none"/>
          <w:u w:val="single"/>
          <w:lang w:eastAsia="zh-CN"/>
        </w:rPr>
        <w:t>）：</w:t>
      </w:r>
    </w:p>
    <w:p w14:paraId="1D468673">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（1）投标人在编制施工组织设计或施工方案时应按照招标人提出的施工现场建筑垃圾源头减量的具体要求以及建筑垃圾综合利用产品的使用要求提供相应措施。</w:t>
      </w:r>
    </w:p>
    <w:p w14:paraId="6B2BF617">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szCs w:val="24"/>
          <w:highlight w:val="none"/>
          <w:u w:val="single"/>
          <w:lang w:eastAsia="zh-CN"/>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超过部分不予评审。</w:t>
      </w:r>
    </w:p>
    <w:p w14:paraId="183FC9CD">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11.4.2投标人认为应该提供的资料（如有）。</w:t>
      </w:r>
    </w:p>
    <w:p w14:paraId="4408F0B3">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b/>
          <w:color w:val="auto"/>
          <w:kern w:val="0"/>
          <w:sz w:val="24"/>
          <w:szCs w:val="24"/>
          <w:highlight w:val="none"/>
          <w:u w:val="single"/>
        </w:rPr>
        <w:t>注：定标文件的递交时间和形式由投标人按照投标须知前附表第18项所规定的时间及本须知第18条的相关要求执行。</w:t>
      </w:r>
    </w:p>
    <w:p w14:paraId="122A87CE">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条款号：12.2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3D2C91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。注释：投标文件电子文档需要投标人单位盖章的材料，投标人加盖电子印章即可，不得将投标人未对电子文档加盖实物印章作为否决投标的情形。</w:t>
      </w:r>
    </w:p>
    <w:p w14:paraId="61CDD10C">
      <w:pPr>
        <w:keepNext w:val="0"/>
        <w:keepLines w:val="0"/>
        <w:pageBreakBefore w:val="0"/>
        <w:widowControl w:val="0"/>
        <w:pBdr>
          <w:bottom w:val="single" w:color="auto" w:sz="6" w:space="1"/>
        </w:pBdr>
        <w:tabs>
          <w:tab w:val="left" w:pos="6329"/>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u w:val="single"/>
        </w:rPr>
        <w:t>投标人应仔细阅读招标文件第四章投标文件格式的相关规定和要求。</w:t>
      </w:r>
      <w:r>
        <w:rPr>
          <w:rFonts w:hint="eastAsia" w:ascii="宋体" w:hAnsi="宋体" w:eastAsia="宋体" w:cs="宋体"/>
          <w:color w:val="auto"/>
          <w:sz w:val="24"/>
          <w:szCs w:val="24"/>
          <w:highlight w:val="none"/>
        </w:rPr>
        <w:t>投标文件全部采用电子文档，投标文件所附证书证件均为原件</w:t>
      </w:r>
      <w:r>
        <w:rPr>
          <w:rFonts w:hint="eastAsia" w:ascii="宋体" w:hAnsi="宋体" w:eastAsia="宋体" w:cs="宋体"/>
          <w:color w:val="auto"/>
          <w:sz w:val="24"/>
          <w:szCs w:val="24"/>
          <w:highlight w:val="none"/>
          <w:u w:val="single"/>
        </w:rPr>
        <w:t>清晰</w:t>
      </w:r>
      <w:r>
        <w:rPr>
          <w:rFonts w:hint="eastAsia" w:ascii="宋体" w:hAnsi="宋体" w:eastAsia="宋体" w:cs="宋体"/>
          <w:color w:val="auto"/>
          <w:sz w:val="24"/>
          <w:szCs w:val="24"/>
          <w:highlight w:val="none"/>
        </w:rPr>
        <w:t>扫描件，并采用单位数字证书，对投标文件加盖电子印章。投标文件中需个人签字或盖章的，应加盖个人电子印章或在线下完成后扫描上传。按照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rPr>
        <w:t>。注释：投标文件电子文档需要投标人单位盖章的材料，投标人加盖电子印章即可，不得将投标人未对电子文档加盖实物印章作为否决投标的情形。</w:t>
      </w:r>
    </w:p>
    <w:p w14:paraId="59B9EF25">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条款号：12.3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1C52D8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12.3 投标文件应按照交易平台关于全流程电子化项目的相关指南进行编制，详见：</w:t>
      </w:r>
      <w:r>
        <w:rPr>
          <w:rFonts w:hint="eastAsia" w:ascii="宋体" w:hAnsi="宋体" w:eastAsia="宋体" w:cs="宋体"/>
          <w:bCs/>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w:t>
      </w:r>
    </w:p>
    <w:p w14:paraId="015C8178">
      <w:pPr>
        <w:pStyle w:val="22"/>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如不按上述要求编制引起系统无法检索、读取相关信息的，其后果由投标人承担。</w:t>
      </w:r>
    </w:p>
    <w:p w14:paraId="4F58EAE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bidi="ar-SA"/>
        </w:rPr>
        <w:t>现文：</w:t>
      </w:r>
      <w:r>
        <w:rPr>
          <w:rFonts w:hint="eastAsia" w:ascii="宋体" w:hAnsi="宋体" w:eastAsia="宋体" w:cs="宋体"/>
          <w:b w:val="0"/>
          <w:bCs/>
          <w:color w:val="auto"/>
          <w:sz w:val="24"/>
          <w:szCs w:val="24"/>
          <w:highlight w:val="none"/>
          <w:lang w:bidi="ar-SA"/>
        </w:rPr>
        <w:t>12.3 投标文件应按照交易平台关于全流程电子化项目的相关指南进行编制，详见：广州交易集团有限公司（广州公共资源交易中心）网站发布的相关指南。</w:t>
      </w:r>
    </w:p>
    <w:p w14:paraId="5F21643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14:paraId="729D7854">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条款号：13.1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62E28E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13.1 本工程的投标报价采用投标须知前附表第12项所规定的方式。投标报价（含单价及总价）精确到“分”。</w:t>
      </w:r>
    </w:p>
    <w:p w14:paraId="7D858DE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13.1本工程的投标报价采用投标须知前附表第12项所规定的方式。</w:t>
      </w:r>
      <w:r>
        <w:rPr>
          <w:rFonts w:hint="eastAsia" w:ascii="宋体" w:hAnsi="宋体" w:eastAsia="宋体" w:cs="宋体"/>
          <w:color w:val="auto"/>
          <w:sz w:val="24"/>
          <w:szCs w:val="24"/>
          <w:highlight w:val="none"/>
          <w:u w:val="single"/>
        </w:rPr>
        <w:t>投标文件中的大写金额和小写金额不一致的，以大写金额为准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投标报价（含单价及总价）精确到“分”。</w:t>
      </w:r>
    </w:p>
    <w:p w14:paraId="65095885">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条款号：13.2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14:paraId="0417A93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1AAC0D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现文内容以本项目施工合同相关条款为准。</w:t>
      </w:r>
    </w:p>
    <w:p w14:paraId="2C02007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条款号：13.3                    修改类型：修改</w:t>
      </w:r>
    </w:p>
    <w:p w14:paraId="7D17E70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5F897B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u w:val="single"/>
        </w:rPr>
        <w:t>现文内容以本项目施工合同相关条款为准。</w:t>
      </w:r>
    </w:p>
    <w:p w14:paraId="0ECE755D">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条款号：13.4</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9A5FBE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390C60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现文内容以本项目施工合同相关条款为准。</w:t>
      </w:r>
    </w:p>
    <w:p w14:paraId="2815184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条款号：13.5             修改类型：修改</w:t>
      </w:r>
    </w:p>
    <w:p w14:paraId="1A456EB4">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2"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
          <w:color w:val="auto"/>
          <w:sz w:val="24"/>
          <w:szCs w:val="24"/>
          <w:highlight w:val="none"/>
        </w:rPr>
        <w:t>原文：</w:t>
      </w:r>
      <w:r>
        <w:rPr>
          <w:rStyle w:val="75"/>
          <w:rFonts w:hint="eastAsia" w:ascii="宋体" w:hAnsi="宋体" w:eastAsia="宋体" w:cs="宋体"/>
          <w:bCs/>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8DB9585">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Cs/>
          <w:color w:val="auto"/>
          <w:sz w:val="24"/>
          <w:szCs w:val="24"/>
          <w:highlight w:val="none"/>
        </w:rPr>
        <w:t>13.5.1中标的投标文件工程量清单中已有相同项目的适用综合单价，则沿用；</w:t>
      </w:r>
    </w:p>
    <w:p w14:paraId="734FD962">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Cs/>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7DCE48E">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Cs/>
          <w:color w:val="auto"/>
          <w:sz w:val="24"/>
          <w:szCs w:val="24"/>
          <w:highlight w:val="none"/>
        </w:rPr>
      </w:pPr>
      <w:r>
        <w:rPr>
          <w:rStyle w:val="75"/>
          <w:rFonts w:hint="eastAsia" w:ascii="宋体" w:hAnsi="宋体" w:eastAsia="宋体" w:cs="宋体"/>
          <w:bCs/>
          <w:color w:val="auto"/>
          <w:sz w:val="24"/>
          <w:szCs w:val="24"/>
          <w:highlight w:val="none"/>
        </w:rPr>
        <w:t>13.5.3 中标的投标文件工程量清单中没有相同项目或类似项目的，如可套取相关定额，则以相关定额为基数下浮计算单价</w:t>
      </w:r>
      <w:r>
        <w:rPr>
          <w:rStyle w:val="75"/>
          <w:rFonts w:hint="eastAsia" w:ascii="宋体" w:hAnsi="宋体" w:cs="宋体"/>
          <w:bCs/>
          <w:color w:val="auto"/>
          <w:sz w:val="24"/>
          <w:szCs w:val="24"/>
          <w:highlight w:val="none"/>
          <w:lang w:eastAsia="zh-CN"/>
        </w:rPr>
        <w:t>，</w:t>
      </w:r>
      <w:r>
        <w:rPr>
          <w:rStyle w:val="75"/>
          <w:rFonts w:hint="eastAsia" w:ascii="宋体" w:hAnsi="宋体" w:eastAsia="宋体" w:cs="宋体"/>
          <w:bCs/>
          <w:color w:val="auto"/>
          <w:sz w:val="24"/>
          <w:szCs w:val="24"/>
          <w:highlight w:val="none"/>
        </w:rPr>
        <w:t>下浮率为中标价相对于最高投标限价的下浮率（下浮率=</w:t>
      </w:r>
      <w:r>
        <w:rPr>
          <w:rStyle w:val="75"/>
          <w:rFonts w:hint="eastAsia" w:ascii="宋体" w:hAnsi="宋体" w:cs="宋体"/>
          <w:bCs/>
          <w:color w:val="auto"/>
          <w:sz w:val="24"/>
          <w:szCs w:val="24"/>
          <w:highlight w:val="none"/>
          <w:lang w:eastAsia="zh-CN"/>
        </w:rPr>
        <w:t>（</w:t>
      </w:r>
      <w:r>
        <w:rPr>
          <w:rStyle w:val="75"/>
          <w:rFonts w:hint="eastAsia" w:ascii="宋体" w:hAnsi="宋体" w:eastAsia="宋体" w:cs="宋体"/>
          <w:bCs/>
          <w:color w:val="auto"/>
          <w:sz w:val="24"/>
          <w:szCs w:val="24"/>
          <w:highlight w:val="none"/>
        </w:rPr>
        <w:t>最高投标限价-中标价)/最高投标限价）。</w:t>
      </w:r>
    </w:p>
    <w:p w14:paraId="0F096B8C">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0" w:firstLineChars="200"/>
        <w:rPr>
          <w:rStyle w:val="75"/>
          <w:rFonts w:hint="eastAsia" w:ascii="宋体" w:hAnsi="宋体" w:eastAsia="宋体" w:cs="宋体"/>
          <w:b/>
          <w:color w:val="auto"/>
          <w:sz w:val="24"/>
          <w:szCs w:val="24"/>
          <w:highlight w:val="none"/>
        </w:rPr>
      </w:pPr>
      <w:r>
        <w:rPr>
          <w:rStyle w:val="75"/>
          <w:rFonts w:hint="eastAsia" w:ascii="宋体" w:hAnsi="宋体" w:eastAsia="宋体" w:cs="宋体"/>
          <w:bCs/>
          <w:color w:val="auto"/>
          <w:sz w:val="24"/>
          <w:szCs w:val="24"/>
          <w:highlight w:val="none"/>
        </w:rPr>
        <w:t>13.5.4 如相关定额没有相应子目的，其计价方式由招标人在本招标文件第三章中另行规定。未规定的，中标后双方协商约定。</w:t>
      </w:r>
    </w:p>
    <w:p w14:paraId="143B92D4">
      <w:pPr>
        <w:keepNext w:val="0"/>
        <w:keepLines w:val="0"/>
        <w:pageBreakBefore w:val="0"/>
        <w:widowControl w:val="0"/>
        <w:pBdr>
          <w:bottom w:val="single" w:color="000000" w:sz="6" w:space="1"/>
        </w:pBdr>
        <w:kinsoku/>
        <w:wordWrap/>
        <w:overflowPunct/>
        <w:topLinePunct w:val="0"/>
        <w:autoSpaceDE/>
        <w:autoSpaceDN/>
        <w:bidi w:val="0"/>
        <w:snapToGrid/>
        <w:spacing w:line="360" w:lineRule="auto"/>
        <w:ind w:left="0" w:leftChars="0" w:firstLine="482" w:firstLineChars="200"/>
        <w:rPr>
          <w:rStyle w:val="75"/>
          <w:rFonts w:hint="eastAsia" w:ascii="宋体" w:hAnsi="宋体" w:eastAsia="宋体" w:cs="宋体"/>
          <w:color w:val="auto"/>
          <w:sz w:val="24"/>
          <w:szCs w:val="24"/>
          <w:highlight w:val="none"/>
          <w:u w:val="single"/>
        </w:rPr>
      </w:pPr>
      <w:r>
        <w:rPr>
          <w:rStyle w:val="75"/>
          <w:rFonts w:hint="eastAsia" w:ascii="宋体" w:hAnsi="宋体" w:eastAsia="宋体" w:cs="宋体"/>
          <w:b/>
          <w:color w:val="auto"/>
          <w:sz w:val="24"/>
          <w:szCs w:val="24"/>
          <w:highlight w:val="none"/>
        </w:rPr>
        <w:t>现文：</w:t>
      </w:r>
      <w:r>
        <w:rPr>
          <w:rStyle w:val="75"/>
          <w:rFonts w:hint="eastAsia" w:ascii="宋体" w:hAnsi="宋体" w:eastAsia="宋体" w:cs="宋体"/>
          <w:color w:val="auto"/>
          <w:sz w:val="24"/>
          <w:szCs w:val="24"/>
          <w:highlight w:val="none"/>
          <w:u w:val="none"/>
        </w:rPr>
        <w:t>13.5</w:t>
      </w:r>
      <w:r>
        <w:rPr>
          <w:rStyle w:val="75"/>
          <w:rFonts w:hint="eastAsia" w:ascii="宋体" w:hAnsi="宋体" w:eastAsia="宋体" w:cs="宋体"/>
          <w:color w:val="auto"/>
          <w:sz w:val="24"/>
          <w:szCs w:val="24"/>
          <w:highlight w:val="none"/>
          <w:u w:val="none"/>
          <w:lang w:val="en-US" w:eastAsia="zh-CN"/>
        </w:rPr>
        <w:t xml:space="preserve"> </w:t>
      </w:r>
      <w:r>
        <w:rPr>
          <w:rStyle w:val="75"/>
          <w:rFonts w:hint="eastAsia" w:ascii="宋体" w:hAnsi="宋体" w:eastAsia="宋体" w:cs="宋体"/>
          <w:color w:val="auto"/>
          <w:sz w:val="24"/>
          <w:szCs w:val="24"/>
          <w:highlight w:val="none"/>
          <w:u w:val="single"/>
          <w:lang w:val="en-US" w:eastAsia="zh-CN"/>
        </w:rPr>
        <w:t>现文内容以本项目施工合同相关条款为准。</w:t>
      </w:r>
    </w:p>
    <w:p w14:paraId="0DA639A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 xml:space="preserve">            修改类型：修改</w:t>
      </w:r>
    </w:p>
    <w:p w14:paraId="716E468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3.6暂列金额、暂估价</w:t>
      </w:r>
    </w:p>
    <w:p w14:paraId="221BD8C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FEF65A5">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暂估价是指招标人在工程量清单中提供的用于支付必然发生但暂时不能确定价格的材料的单价以及专业工程的金额。</w:t>
      </w:r>
    </w:p>
    <w:p w14:paraId="3CDD5B5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23E697A">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D505B77">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9143518">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E46239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DDB9E8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single"/>
          <w:lang w:val="en-US" w:eastAsia="zh-CN"/>
        </w:rPr>
        <w:t>现文内容以本项目施工合同相关条款为准。</w:t>
      </w:r>
    </w:p>
    <w:p w14:paraId="3AA01E45">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修改类型：修改</w:t>
      </w:r>
    </w:p>
    <w:p w14:paraId="70EA874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color w:val="auto"/>
          <w:sz w:val="24"/>
          <w:szCs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274E8CE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u w:val="single"/>
          <w:lang w:val="en-US" w:eastAsia="zh-CN"/>
        </w:rPr>
        <w:t>现文内容以本项目施工合同相关条款为准。</w:t>
      </w:r>
    </w:p>
    <w:p w14:paraId="22C9D54E">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修改类型：修改</w:t>
      </w:r>
    </w:p>
    <w:p w14:paraId="3117D22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w:t>
      </w:r>
      <w:r>
        <w:rPr>
          <w:rFonts w:hint="eastAsia" w:ascii="宋体" w:hAnsi="宋体" w:cs="宋体"/>
          <w:b w:val="0"/>
          <w:bCs/>
          <w:color w:val="auto"/>
          <w:sz w:val="24"/>
          <w:szCs w:val="24"/>
          <w:highlight w:val="none"/>
          <w:lang w:val="en-US" w:eastAsia="zh-CN"/>
        </w:rPr>
        <w:t>8</w:t>
      </w:r>
      <w:r>
        <w:rPr>
          <w:rFonts w:hint="eastAsia" w:ascii="宋体" w:hAnsi="宋体" w:eastAsia="宋体" w:cs="宋体"/>
          <w:color w:val="auto"/>
          <w:sz w:val="24"/>
          <w:szCs w:val="24"/>
          <w:highlight w:val="none"/>
        </w:rPr>
        <w:t>属于承包人自行采购的主要材料、设备，招标人应当在招标文件中提出材料、设备的技术标准或者质量要求，或者提出不少于3个同等档次品牌或分包商供投标人报价时选择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61E2BC2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属于承包人自行采购的主要材料、设备，招标人应当在招标文件中提出材料、设备的技术标准或者质量要求，或者提出不少于3个同等档次品牌或分包商供投标人报价时选择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凡招标人在招标文件中提出参考品牌的，必须在参考品牌后面加上“或相当于”字样。</w:t>
      </w:r>
      <w:r>
        <w:rPr>
          <w:rFonts w:hint="eastAsia" w:ascii="宋体" w:hAnsi="宋体" w:eastAsia="宋体" w:cs="宋体"/>
          <w:color w:val="auto"/>
          <w:sz w:val="24"/>
          <w:szCs w:val="24"/>
          <w:highlight w:val="none"/>
          <w:u w:val="single"/>
        </w:rPr>
        <w:t>投标人在投标文件中应</w:t>
      </w:r>
      <w:r>
        <w:rPr>
          <w:rFonts w:hint="eastAsia" w:ascii="宋体" w:hAnsi="宋体" w:cs="宋体"/>
          <w:color w:val="auto"/>
          <w:sz w:val="24"/>
          <w:szCs w:val="24"/>
          <w:highlight w:val="none"/>
          <w:u w:val="single"/>
          <w:lang w:val="en-US" w:eastAsia="zh-CN"/>
        </w:rPr>
        <w:t>按招标文件要求提供《投标人材料、设备响应函》</w:t>
      </w:r>
      <w:r>
        <w:rPr>
          <w:rFonts w:hint="eastAsia" w:ascii="宋体" w:hAnsi="宋体" w:eastAsia="宋体" w:cs="宋体"/>
          <w:color w:val="auto"/>
          <w:sz w:val="24"/>
          <w:szCs w:val="24"/>
          <w:highlight w:val="none"/>
          <w:u w:val="single"/>
        </w:rPr>
        <w:t>。</w:t>
      </w:r>
    </w:p>
    <w:p w14:paraId="40C5E0F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 xml:space="preserve">            修改类型：修改</w:t>
      </w:r>
    </w:p>
    <w:p w14:paraId="36F904F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350C09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u w:val="single"/>
          <w:lang w:val="en-US" w:eastAsia="zh-CN"/>
        </w:rPr>
        <w:t>现文内容以本项目施工合同相关条款为准。</w:t>
      </w:r>
    </w:p>
    <w:p w14:paraId="11DB3E0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 xml:space="preserve">                       修改类型：增加</w:t>
      </w:r>
    </w:p>
    <w:p w14:paraId="2473F28B">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13.1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招标人另行增加该部分费用（中标人要充分考虑最不利因素影响而采用的施工方案所需的费用）。</w:t>
      </w:r>
    </w:p>
    <w:p w14:paraId="60E45FA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color w:val="auto"/>
          <w:sz w:val="24"/>
          <w:szCs w:val="24"/>
          <w:highlight w:val="none"/>
          <w:lang w:val="en-US" w:eastAsia="zh-CN"/>
        </w:rPr>
        <w:t>15.2</w:t>
      </w:r>
      <w:r>
        <w:rPr>
          <w:rFonts w:hint="eastAsia" w:ascii="宋体" w:hAnsi="宋体" w:eastAsia="宋体" w:cs="宋体"/>
          <w:b/>
          <w:color w:val="auto"/>
          <w:sz w:val="24"/>
          <w:szCs w:val="24"/>
          <w:highlight w:val="none"/>
        </w:rPr>
        <w:t xml:space="preserve">            修改类型：修改</w:t>
      </w:r>
    </w:p>
    <w:p w14:paraId="58AD529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bCs/>
          <w:color w:val="auto"/>
          <w:sz w:val="24"/>
          <w:szCs w:val="24"/>
          <w:highlight w:val="none"/>
          <w:lang w:val="en-US" w:eastAsia="zh-CN"/>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313BE9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lang w:val="en-US" w:eastAsia="zh-CN"/>
        </w:rPr>
        <w:t>15.2在特殊情况下，招标人在原定投标有效期内，可以根据需要以书面形式向投标人提出延长投标有效期的要求，对此要求投标人须以书面形式予以答复。</w:t>
      </w:r>
      <w:r>
        <w:rPr>
          <w:rFonts w:hint="eastAsia" w:ascii="宋体" w:hAnsi="宋体" w:eastAsia="宋体" w:cs="宋体"/>
          <w:color w:val="auto"/>
          <w:sz w:val="24"/>
          <w:szCs w:val="24"/>
          <w:highlight w:val="none"/>
          <w:u w:val="single"/>
          <w:lang w:val="en-US" w:eastAsia="zh-CN"/>
        </w:rPr>
        <w:t>投标人可以拒绝招标人这种要求。同意延长投标有效期的投标人既不能要求也不允许修改其投标文件。</w:t>
      </w:r>
    </w:p>
    <w:p w14:paraId="3065B73E">
      <w:pPr>
        <w:keepNext w:val="0"/>
        <w:keepLines w:val="0"/>
        <w:pageBreakBefore w:val="0"/>
        <w:widowControl w:val="0"/>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条款号：16.1.3-16.5</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w:t>
      </w:r>
      <w:r>
        <w:rPr>
          <w:rFonts w:hint="eastAsia" w:ascii="宋体" w:hAnsi="宋体" w:cs="宋体"/>
          <w:b/>
          <w:color w:val="auto"/>
          <w:sz w:val="24"/>
          <w:szCs w:val="24"/>
          <w:highlight w:val="none"/>
          <w:lang w:val="en-US" w:eastAsia="zh-CN" w:bidi="ar-SA"/>
        </w:rPr>
        <w:t>删除</w:t>
      </w:r>
    </w:p>
    <w:p w14:paraId="62320F7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16.1.3 采用电子形式的保函、担保或保证保险提交投标保证金的，应在招标文件中明确电子递交途径。</w:t>
      </w:r>
    </w:p>
    <w:p w14:paraId="35B8520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16.2开标时投标人没有按要求提供投标保证金的，其投标文件将被否决；未按招标文件要求提交符合免予提供投标保证金相关证明材料，且未提交投标保证金的投标人，视为未按要求提供投标保证金。</w:t>
      </w:r>
    </w:p>
    <w:p w14:paraId="3EC96F70">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16.3投标保证金应依据法律法规的相关规定退还。</w:t>
      </w:r>
    </w:p>
    <w:p w14:paraId="41E847B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16.4如有下列情况之一的，招标人可以不予退还投标保证金（是否退还投标保证金由招标人在招标文件中规定）：</w:t>
      </w:r>
    </w:p>
    <w:p w14:paraId="5BC2ADC4">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16.4.1因投标人原因造成投标文件未解密的；</w:t>
      </w:r>
    </w:p>
    <w:p w14:paraId="20626D3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16.4.2投标人在投标有效期内撤销投标文件；</w:t>
      </w:r>
    </w:p>
    <w:p w14:paraId="0FCAF91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16.4.3中标人未能在规定期限内按要求提交履约担保；</w:t>
      </w:r>
    </w:p>
    <w:p w14:paraId="6EA3DE8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16.4.4中标人未能在规定期限内签署合同协议。</w:t>
      </w:r>
    </w:p>
    <w:p w14:paraId="33F9A57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16.5投标人如存在下列情况之一的，将被拒绝在一定时期内参与招标人后续工程投标（拒绝限需在招标文件中明确）：</w:t>
      </w:r>
    </w:p>
    <w:p w14:paraId="1CC43E9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16.5.1投标人存在16.4条款所列情形且投标人提交的保函、担保或保证保险无法兑付的；</w:t>
      </w:r>
    </w:p>
    <w:p w14:paraId="0A9D79C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16.5.2采用非电子形式提交投标保证金的投标人存在16.4条款所列情形，且未按招标人要求补交银行保函、专业工程担保公司担保或保证保险原件的；</w:t>
      </w:r>
    </w:p>
    <w:p w14:paraId="3B1DFC11">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16.5.3按招标文件要求免于提供投标保证金的投标人存在16.4条款所列情形，且未按招标人要求补交投标保证金的；</w:t>
      </w:r>
    </w:p>
    <w:p w14:paraId="633B16EE">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16.5.3按招标文件要求免于提供投标保证金的投标人存在16.4条款所列情形的。</w:t>
      </w:r>
    </w:p>
    <w:p w14:paraId="4A0BCA4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color w:val="auto"/>
          <w:sz w:val="24"/>
          <w:szCs w:val="24"/>
          <w:highlight w:val="none"/>
          <w:lang w:bidi="ar-SA"/>
        </w:rPr>
        <w:t>注：16.5.3款由招标人二选一，需在招标文件中明确。</w:t>
      </w:r>
    </w:p>
    <w:p w14:paraId="28E6D8AB">
      <w:pPr>
        <w:pStyle w:val="37"/>
        <w:keepNext w:val="0"/>
        <w:keepLines w:val="0"/>
        <w:pageBreakBefore w:val="0"/>
        <w:widowControl w:val="0"/>
        <w:kinsoku/>
        <w:wordWrap/>
        <w:overflowPunct/>
        <w:topLinePunct w:val="0"/>
        <w:autoSpaceDE/>
        <w:autoSpaceDN/>
        <w:bidi w:val="0"/>
        <w:snapToGrid/>
        <w:spacing w:after="0"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投标文件的签署    修改类型：修改</w:t>
      </w:r>
    </w:p>
    <w:p w14:paraId="67A3BDD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 xml:space="preserve">投标文件的签署   </w:t>
      </w:r>
    </w:p>
    <w:p w14:paraId="26B0E593">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bCs/>
          <w:color w:val="auto"/>
          <w:kern w:val="0"/>
          <w:sz w:val="24"/>
          <w:szCs w:val="24"/>
          <w:highlight w:val="none"/>
        </w:rPr>
        <w:t>投标人应采用单位数字证书，按招标文件要求在相应位置加盖电子印章。投标文件中需个人签字或盖章的，</w:t>
      </w:r>
      <w:r>
        <w:rPr>
          <w:rFonts w:hint="eastAsia" w:ascii="宋体" w:hAnsi="宋体" w:eastAsia="宋体" w:cs="宋体"/>
          <w:b/>
          <w:color w:val="auto"/>
          <w:kern w:val="0"/>
          <w:sz w:val="24"/>
          <w:szCs w:val="24"/>
          <w:highlight w:val="none"/>
        </w:rPr>
        <w:t>应加盖个人电子印章或在线下完成后扫描上传。</w:t>
      </w:r>
      <w:r>
        <w:rPr>
          <w:rFonts w:hint="eastAsia" w:ascii="宋体" w:hAnsi="宋体" w:eastAsia="宋体" w:cs="宋体"/>
          <w:bCs/>
          <w:color w:val="auto"/>
          <w:kern w:val="0"/>
          <w:sz w:val="24"/>
          <w:szCs w:val="24"/>
          <w:highlight w:val="none"/>
        </w:rPr>
        <w:t>按照交易平台关于全流程电子化项目的相关指南进行操作。详见：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35C29B9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投标文件的签署及份数</w:t>
      </w:r>
    </w:p>
    <w:p w14:paraId="3FE5455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17.1</w:t>
      </w:r>
      <w:r>
        <w:rPr>
          <w:rFonts w:hint="eastAsia" w:ascii="宋体" w:hAnsi="宋体" w:eastAsia="宋体" w:cs="宋体"/>
          <w:bCs/>
          <w:color w:val="auto"/>
          <w:kern w:val="0"/>
          <w:sz w:val="24"/>
          <w:szCs w:val="24"/>
          <w:highlight w:val="none"/>
        </w:rPr>
        <w:t>投标人应采用单位数字证书，对投标文件加盖电子印章。投标文件中需个人签字或盖章的，</w:t>
      </w:r>
      <w:r>
        <w:rPr>
          <w:rFonts w:hint="eastAsia" w:ascii="宋体" w:hAnsi="宋体" w:eastAsia="宋体" w:cs="宋体"/>
          <w:b/>
          <w:color w:val="auto"/>
          <w:kern w:val="0"/>
          <w:sz w:val="24"/>
          <w:szCs w:val="24"/>
          <w:highlight w:val="none"/>
        </w:rPr>
        <w:t>应加盖个人电子印章或在线下完成后扫描上传。</w:t>
      </w:r>
      <w:r>
        <w:rPr>
          <w:rFonts w:hint="eastAsia" w:ascii="宋体" w:hAnsi="宋体" w:eastAsia="宋体" w:cs="宋体"/>
          <w:bCs/>
          <w:color w:val="auto"/>
          <w:kern w:val="0"/>
          <w:sz w:val="24"/>
          <w:szCs w:val="24"/>
          <w:highlight w:val="none"/>
        </w:rPr>
        <w:t>按照交易平台关于全流程电子化项目的相关指南进行操作。</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u w:val="single"/>
        </w:rPr>
        <w:t>广州交易集团有限公司（广州公共资源交易中心）最新指引</w:t>
      </w:r>
      <w:r>
        <w:rPr>
          <w:rFonts w:hint="eastAsia" w:ascii="宋体" w:hAnsi="宋体" w:eastAsia="宋体" w:cs="宋体"/>
          <w:color w:val="auto"/>
          <w:sz w:val="24"/>
          <w:szCs w:val="24"/>
          <w:highlight w:val="none"/>
        </w:rPr>
        <w:t>。</w:t>
      </w:r>
    </w:p>
    <w:p w14:paraId="7A443E9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17.2投标文件份数为含电子印章的加密电子投标文件1套。</w:t>
      </w:r>
      <w:r>
        <w:rPr>
          <w:rFonts w:hint="eastAsia" w:ascii="宋体" w:hAnsi="宋体" w:eastAsia="宋体" w:cs="宋体"/>
          <w:color w:val="auto"/>
          <w:sz w:val="24"/>
          <w:szCs w:val="24"/>
          <w:highlight w:val="none"/>
          <w:u w:val="single"/>
        </w:rPr>
        <w:t>中标单位在中标公示后，须提供与递交投标电子标书内容一致并包含有综合单价分析表且每页加盖单位公章的纸质文件一正一副及电子文件1份（不用生成投标书，须包括用 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，所有电子文件不能采用压缩处理）给招标代理单位，最终所需提交时间地点及份数以招标代理书面通知为准。</w:t>
      </w:r>
    </w:p>
    <w:p w14:paraId="4ACD2C8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bCs/>
          <w:color w:val="auto"/>
          <w:sz w:val="24"/>
          <w:szCs w:val="24"/>
          <w:highlight w:val="none"/>
          <w:lang w:bidi="ar-SA"/>
        </w:rPr>
        <w:t>18.</w:t>
      </w:r>
      <w:r>
        <w:rPr>
          <w:rFonts w:hint="eastAsia" w:ascii="宋体" w:hAnsi="宋体" w:eastAsia="宋体" w:cs="宋体"/>
          <w:b/>
          <w:color w:val="auto"/>
          <w:sz w:val="24"/>
          <w:szCs w:val="24"/>
          <w:highlight w:val="none"/>
          <w:lang w:bidi="ar-SA"/>
        </w:rPr>
        <w:t xml:space="preserve">               修改类型：修改</w:t>
      </w:r>
    </w:p>
    <w:p w14:paraId="249BA1E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b/>
          <w:bCs w:val="0"/>
          <w:color w:val="auto"/>
          <w:sz w:val="24"/>
          <w:szCs w:val="24"/>
          <w:highlight w:val="none"/>
          <w:lang w:bidi="ar-SA"/>
        </w:rPr>
        <w:t>18</w:t>
      </w:r>
      <w:r>
        <w:rPr>
          <w:rFonts w:hint="eastAsia" w:ascii="宋体" w:hAnsi="宋体" w:eastAsia="宋体" w:cs="宋体"/>
          <w:b/>
          <w:bCs w:val="0"/>
          <w:color w:val="auto"/>
          <w:sz w:val="24"/>
          <w:szCs w:val="24"/>
          <w:highlight w:val="none"/>
          <w:lang w:eastAsia="zh-CN" w:bidi="ar-SA"/>
        </w:rPr>
        <w:t xml:space="preserve"> </w:t>
      </w:r>
      <w:r>
        <w:rPr>
          <w:rFonts w:hint="eastAsia" w:ascii="宋体" w:hAnsi="宋体" w:eastAsia="宋体" w:cs="宋体"/>
          <w:b/>
          <w:bCs w:val="0"/>
          <w:color w:val="auto"/>
          <w:sz w:val="24"/>
          <w:szCs w:val="24"/>
          <w:highlight w:val="none"/>
          <w:lang w:val="en-US" w:eastAsia="zh-CN" w:bidi="ar-SA"/>
        </w:rPr>
        <w:t xml:space="preserve"> </w:t>
      </w:r>
      <w:r>
        <w:rPr>
          <w:rFonts w:hint="eastAsia" w:ascii="宋体" w:hAnsi="宋体" w:eastAsia="宋体" w:cs="宋体"/>
          <w:b/>
          <w:color w:val="auto"/>
          <w:sz w:val="24"/>
          <w:szCs w:val="24"/>
          <w:highlight w:val="none"/>
          <w:lang w:bidi="ar-SA"/>
        </w:rPr>
        <w:t>投标文件的密封和标记</w:t>
      </w:r>
    </w:p>
    <w:p w14:paraId="7FD5A1E6">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18.1递交的电子投标文件（不含备用光盘）必须进行加密。按照交易平台关于</w:t>
      </w:r>
      <w:r>
        <w:rPr>
          <w:rFonts w:hint="eastAsia" w:ascii="宋体" w:hAnsi="宋体" w:eastAsia="宋体" w:cs="宋体"/>
          <w:color w:val="auto"/>
          <w:sz w:val="24"/>
          <w:szCs w:val="24"/>
          <w:highlight w:val="none"/>
          <w:lang w:bidi="ar-SA"/>
        </w:rPr>
        <w:t>全流程电子化项目的相关指南进行操作。详见：</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 xml:space="preserve"> 。</w:t>
      </w:r>
    </w:p>
    <w:p w14:paraId="33E19E7B">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18.2 未按要求加密的投标文件，</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w:t>
      </w:r>
      <w:r>
        <w:rPr>
          <w:rFonts w:hint="eastAsia" w:ascii="宋体" w:hAnsi="宋体" w:eastAsia="宋体" w:cs="宋体"/>
          <w:bCs/>
          <w:color w:val="auto"/>
          <w:sz w:val="24"/>
          <w:szCs w:val="24"/>
          <w:highlight w:val="none"/>
          <w:lang w:bidi="ar-SA"/>
        </w:rPr>
        <w:t>将予以拒收。</w:t>
      </w:r>
    </w:p>
    <w:p w14:paraId="49AE396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bCs/>
          <w:color w:val="auto"/>
          <w:sz w:val="24"/>
          <w:szCs w:val="24"/>
          <w:highlight w:val="none"/>
          <w:lang w:bidi="ar-SA"/>
        </w:rPr>
        <w:t>18</w:t>
      </w:r>
      <w:r>
        <w:rPr>
          <w:rFonts w:hint="eastAsia" w:ascii="宋体" w:hAnsi="宋体" w:eastAsia="宋体" w:cs="宋体"/>
          <w:b/>
          <w:bCs/>
          <w:color w:val="auto"/>
          <w:sz w:val="24"/>
          <w:szCs w:val="24"/>
          <w:highlight w:val="none"/>
          <w:lang w:eastAsia="zh-CN" w:bidi="ar-SA"/>
        </w:rPr>
        <w:t xml:space="preserve"> </w:t>
      </w:r>
      <w:r>
        <w:rPr>
          <w:rFonts w:hint="eastAsia" w:ascii="宋体" w:hAnsi="宋体" w:eastAsia="宋体" w:cs="宋体"/>
          <w:b/>
          <w:bCs/>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 xml:space="preserve"> </w:t>
      </w:r>
      <w:r>
        <w:rPr>
          <w:rFonts w:hint="eastAsia" w:ascii="宋体" w:hAnsi="宋体" w:eastAsia="宋体" w:cs="宋体"/>
          <w:b/>
          <w:color w:val="auto"/>
          <w:sz w:val="24"/>
          <w:szCs w:val="24"/>
          <w:highlight w:val="none"/>
        </w:rPr>
        <w:t>投标文件</w:t>
      </w:r>
      <w:r>
        <w:rPr>
          <w:rFonts w:hint="eastAsia" w:ascii="宋体" w:hAnsi="宋体" w:eastAsia="宋体" w:cs="宋体"/>
          <w:b/>
          <w:color w:val="auto"/>
          <w:sz w:val="24"/>
          <w:szCs w:val="24"/>
          <w:highlight w:val="none"/>
          <w:u w:val="single"/>
        </w:rPr>
        <w:t>（含定标文件）</w:t>
      </w:r>
      <w:r>
        <w:rPr>
          <w:rFonts w:hint="eastAsia" w:ascii="宋体" w:hAnsi="宋体" w:eastAsia="宋体" w:cs="宋体"/>
          <w:b/>
          <w:color w:val="auto"/>
          <w:sz w:val="24"/>
          <w:szCs w:val="24"/>
          <w:highlight w:val="none"/>
        </w:rPr>
        <w:t>的密封和标记</w:t>
      </w:r>
    </w:p>
    <w:p w14:paraId="3B82CDCA">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18.1递交的电子投标文件</w:t>
      </w:r>
      <w:r>
        <w:rPr>
          <w:rFonts w:hint="eastAsia" w:ascii="宋体" w:hAnsi="宋体" w:eastAsia="宋体" w:cs="宋体"/>
          <w:bCs/>
          <w:color w:val="auto"/>
          <w:sz w:val="24"/>
          <w:szCs w:val="24"/>
          <w:highlight w:val="none"/>
          <w:u w:val="single"/>
        </w:rPr>
        <w:t>[含电子定标文件（如有），不含备用光盘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必须进行加密。按照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rPr>
        <w:t>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rPr>
        <w:t>。</w:t>
      </w:r>
    </w:p>
    <w:p w14:paraId="093822C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bCs/>
          <w:color w:val="auto"/>
          <w:sz w:val="24"/>
          <w:szCs w:val="24"/>
          <w:highlight w:val="none"/>
        </w:rPr>
        <w:t>未按要求加密的投标文件</w:t>
      </w:r>
      <w:r>
        <w:rPr>
          <w:rFonts w:hint="eastAsia" w:ascii="宋体" w:hAnsi="宋体" w:eastAsia="宋体" w:cs="宋体"/>
          <w:bCs/>
          <w:color w:val="auto"/>
          <w:sz w:val="24"/>
          <w:szCs w:val="24"/>
          <w:highlight w:val="none"/>
          <w:u w:val="single"/>
        </w:rPr>
        <w:t>[含电子定标文件（如有）]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r>
        <w:rPr>
          <w:rFonts w:hint="eastAsia" w:ascii="宋体" w:hAnsi="宋体" w:eastAsia="宋体" w:cs="宋体"/>
          <w:color w:val="auto"/>
          <w:sz w:val="24"/>
          <w:szCs w:val="24"/>
          <w:highlight w:val="none"/>
        </w:rPr>
        <w:t>。</w:t>
      </w:r>
    </w:p>
    <w:p w14:paraId="7C41E87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18.3投标人可制作非加密的电子投标文件</w:t>
      </w:r>
      <w:r>
        <w:rPr>
          <w:rFonts w:hint="eastAsia" w:ascii="宋体" w:hAnsi="宋体" w:eastAsia="宋体" w:cs="宋体"/>
          <w:bCs/>
          <w:color w:val="auto"/>
          <w:sz w:val="24"/>
          <w:szCs w:val="24"/>
          <w:highlight w:val="none"/>
          <w:u w:val="single"/>
        </w:rPr>
        <w:t>[含电子定标文件（如有）]</w:t>
      </w:r>
      <w:r>
        <w:rPr>
          <w:rFonts w:hint="eastAsia" w:ascii="宋体" w:hAnsi="宋体" w:eastAsia="宋体" w:cs="宋体"/>
          <w:color w:val="auto"/>
          <w:sz w:val="24"/>
          <w:szCs w:val="24"/>
          <w:highlight w:val="none"/>
          <w:u w:val="single"/>
        </w:rPr>
        <w:t>光盘</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U盘</w:t>
      </w:r>
      <w:r>
        <w:rPr>
          <w:rFonts w:hint="eastAsia" w:ascii="宋体" w:hAnsi="宋体" w:eastAsia="宋体" w:cs="宋体"/>
          <w:color w:val="auto"/>
          <w:sz w:val="24"/>
          <w:szCs w:val="24"/>
          <w:highlight w:val="none"/>
          <w:u w:val="single"/>
        </w:rPr>
        <w:t>备用，制作要求详见投标须知前附表第36项。</w:t>
      </w:r>
    </w:p>
    <w:p w14:paraId="063E72F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                          修改类型：修改</w:t>
      </w:r>
    </w:p>
    <w:p w14:paraId="2D1C746C">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原文：19.投标文件的递交和接收</w:t>
      </w:r>
    </w:p>
    <w:p w14:paraId="7CD89E3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现文：19.</w:t>
      </w:r>
      <w:r>
        <w:rPr>
          <w:rFonts w:hint="eastAsia" w:ascii="宋体" w:hAnsi="宋体" w:eastAsia="宋体" w:cs="宋体"/>
          <w:b/>
          <w:color w:val="auto"/>
          <w:sz w:val="24"/>
          <w:szCs w:val="24"/>
          <w:highlight w:val="none"/>
          <w:u w:val="single"/>
        </w:rPr>
        <w:t>投标登记和</w:t>
      </w:r>
      <w:r>
        <w:rPr>
          <w:rFonts w:hint="eastAsia" w:ascii="宋体" w:hAnsi="宋体" w:eastAsia="宋体" w:cs="宋体"/>
          <w:b/>
          <w:color w:val="auto"/>
          <w:sz w:val="24"/>
          <w:szCs w:val="24"/>
          <w:highlight w:val="none"/>
        </w:rPr>
        <w:t>投标文件的递交和接收</w:t>
      </w:r>
    </w:p>
    <w:p w14:paraId="0BBA8A3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条款号：19.1                        修改类型：修改</w:t>
      </w:r>
    </w:p>
    <w:p w14:paraId="5D8ADACD">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19.1</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14:paraId="1596228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19.1</w:t>
      </w:r>
      <w:r>
        <w:rPr>
          <w:rFonts w:hint="eastAsia" w:ascii="宋体" w:hAnsi="宋体" w:eastAsia="宋体" w:cs="宋体"/>
          <w:bCs/>
          <w:color w:val="auto"/>
          <w:sz w:val="24"/>
          <w:szCs w:val="24"/>
          <w:highlight w:val="none"/>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u w:val="single"/>
        </w:rPr>
        <w:t>[含电子定标文件（如有）]</w:t>
      </w:r>
      <w:r>
        <w:rPr>
          <w:rFonts w:hint="eastAsia" w:ascii="宋体" w:hAnsi="宋体" w:eastAsia="宋体" w:cs="宋体"/>
          <w:color w:val="auto"/>
          <w:sz w:val="24"/>
          <w:szCs w:val="24"/>
          <w:highlight w:val="none"/>
        </w:rPr>
        <w:t>。</w:t>
      </w:r>
    </w:p>
    <w:p w14:paraId="792177D2">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条款号：19.2                       修改类型：修改</w:t>
      </w:r>
    </w:p>
    <w:p w14:paraId="0A9ECC62">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19.2</w:t>
      </w:r>
      <w:r>
        <w:rPr>
          <w:rFonts w:hint="eastAsia" w:ascii="宋体" w:hAnsi="宋体" w:eastAsia="宋体" w:cs="宋体"/>
          <w:bCs/>
          <w:color w:val="auto"/>
          <w:sz w:val="24"/>
          <w:szCs w:val="24"/>
          <w:highlight w:val="none"/>
        </w:rPr>
        <w:t>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67ECEA58">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19.2</w:t>
      </w:r>
      <w:r>
        <w:rPr>
          <w:rFonts w:hint="eastAsia" w:ascii="宋体" w:hAnsi="宋体" w:eastAsia="宋体" w:cs="宋体"/>
          <w:bCs/>
          <w:color w:val="auto"/>
          <w:sz w:val="24"/>
          <w:szCs w:val="24"/>
          <w:highlight w:val="none"/>
        </w:rPr>
        <w:t>投标人完成电子</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u w:val="single"/>
        </w:rPr>
        <w:t>[含电子定标文件（如有）]</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7FC36E7E">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条款号：19.3                       修改类型：修改</w:t>
      </w:r>
    </w:p>
    <w:p w14:paraId="4734F3C0">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19.3</w:t>
      </w:r>
      <w:r>
        <w:rPr>
          <w:rFonts w:hint="eastAsia" w:ascii="宋体" w:hAnsi="宋体" w:eastAsia="宋体" w:cs="宋体"/>
          <w:bCs/>
          <w:color w:val="auto"/>
          <w:sz w:val="24"/>
          <w:szCs w:val="24"/>
          <w:highlight w:val="none"/>
        </w:rPr>
        <w:t>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28F9CF1B">
      <w:pPr>
        <w:keepNext w:val="0"/>
        <w:keepLines w:val="0"/>
        <w:pageBreakBefore w:val="0"/>
        <w:widowControl w:val="0"/>
        <w:pBdr>
          <w:bottom w:val="single" w:color="auto" w:sz="6" w:space="1"/>
        </w:pBdr>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19.3</w:t>
      </w:r>
      <w:r>
        <w:rPr>
          <w:rFonts w:hint="eastAsia" w:ascii="宋体" w:hAnsi="宋体" w:eastAsia="宋体" w:cs="宋体"/>
          <w:bCs/>
          <w:color w:val="auto"/>
          <w:sz w:val="24"/>
          <w:szCs w:val="24"/>
          <w:highlight w:val="none"/>
        </w:rPr>
        <w:t>逾期送达的电子投标文件</w:t>
      </w:r>
      <w:r>
        <w:rPr>
          <w:rFonts w:hint="eastAsia" w:ascii="宋体" w:hAnsi="宋体" w:eastAsia="宋体" w:cs="宋体"/>
          <w:color w:val="auto"/>
          <w:sz w:val="24"/>
          <w:szCs w:val="24"/>
          <w:highlight w:val="none"/>
          <w:u w:val="single"/>
        </w:rPr>
        <w:t>[含电子定标文件（如有）]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交易平台将予以拒收。</w:t>
      </w:r>
    </w:p>
    <w:p w14:paraId="7FBC5892">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条款号：19.5                                   修改类型：修改</w:t>
      </w:r>
    </w:p>
    <w:p w14:paraId="421B3936">
      <w:pPr>
        <w:keepNext w:val="0"/>
        <w:keepLines w:val="0"/>
        <w:pageBreakBefore w:val="0"/>
        <w:widowControl w:val="0"/>
        <w:pBdr>
          <w:top w:val="single" w:color="auto" w:sz="4" w:space="1"/>
        </w:pBdr>
        <w:tabs>
          <w:tab w:val="left" w:pos="4536"/>
        </w:tabs>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14:paraId="3E3AD163">
      <w:pPr>
        <w:keepNext w:val="0"/>
        <w:keepLines w:val="0"/>
        <w:pageBreakBefore w:val="0"/>
        <w:widowControl w:val="0"/>
        <w:pBdr>
          <w:top w:val="single" w:color="auto" w:sz="4" w:space="1"/>
        </w:pBdr>
        <w:tabs>
          <w:tab w:val="left" w:pos="4536"/>
        </w:tabs>
        <w:kinsoku/>
        <w:wordWrap/>
        <w:overflowPunct/>
        <w:topLinePunct w:val="0"/>
        <w:autoSpaceDE/>
        <w:autoSpaceDN/>
        <w:bidi w:val="0"/>
        <w:adjustRightInd w:val="0"/>
        <w:snapToGrid/>
        <w:spacing w:line="360" w:lineRule="auto"/>
        <w:ind w:left="0" w:leftChars="0" w:firstLine="482"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广州交易集团有限公司（广州公共资源交易中心）交易平台将按招标文件规定的时间同时开启技术标投标文件（含资格审查文件）、经济标投标文件和定标文件（如有）</w:t>
      </w:r>
      <w:r>
        <w:rPr>
          <w:rFonts w:hint="eastAsia" w:ascii="宋体" w:hAnsi="宋体" w:eastAsia="宋体" w:cs="宋体"/>
          <w:color w:val="auto"/>
          <w:sz w:val="24"/>
          <w:szCs w:val="24"/>
          <w:highlight w:val="none"/>
        </w:rPr>
        <w:t>。</w:t>
      </w:r>
    </w:p>
    <w:p w14:paraId="066DF33A">
      <w:pPr>
        <w:keepNext w:val="0"/>
        <w:keepLines w:val="0"/>
        <w:pageBreakBefore w:val="0"/>
        <w:widowControl w:val="0"/>
        <w:pBdr>
          <w:top w:val="single" w:color="auto" w:sz="4" w:space="1"/>
        </w:pBdr>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val="0"/>
          <w:color w:val="auto"/>
          <w:sz w:val="24"/>
          <w:szCs w:val="24"/>
          <w:highlight w:val="none"/>
          <w:u w:val="none"/>
          <w:lang w:bidi="ar-SA"/>
        </w:rPr>
      </w:pPr>
      <w:r>
        <w:rPr>
          <w:rFonts w:hint="eastAsia" w:ascii="宋体" w:hAnsi="宋体" w:eastAsia="宋体" w:cs="宋体"/>
          <w:b/>
          <w:bCs w:val="0"/>
          <w:color w:val="auto"/>
          <w:sz w:val="24"/>
          <w:szCs w:val="24"/>
          <w:highlight w:val="none"/>
          <w:u w:val="none"/>
          <w:lang w:bidi="ar-SA"/>
        </w:rPr>
        <w:t>条款号：20.3                       修改类型：修改</w:t>
      </w:r>
    </w:p>
    <w:p w14:paraId="536D7217">
      <w:pPr>
        <w:keepNext w:val="0"/>
        <w:keepLines w:val="0"/>
        <w:pageBreakBefore w:val="0"/>
        <w:widowControl w:val="0"/>
        <w:pBdr>
          <w:top w:val="single" w:color="auto" w:sz="4" w:space="1"/>
        </w:pBdr>
        <w:tabs>
          <w:tab w:val="left" w:pos="4536"/>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b w:val="0"/>
          <w:bCs/>
          <w:color w:val="auto"/>
          <w:sz w:val="24"/>
          <w:szCs w:val="24"/>
          <w:highlight w:val="none"/>
          <w:u w:val="none"/>
          <w:lang w:bidi="ar-SA"/>
        </w:rPr>
      </w:pPr>
      <w:r>
        <w:rPr>
          <w:rFonts w:hint="eastAsia" w:ascii="宋体" w:hAnsi="宋体" w:eastAsia="宋体" w:cs="宋体"/>
          <w:b w:val="0"/>
          <w:bCs/>
          <w:color w:val="auto"/>
          <w:sz w:val="24"/>
          <w:szCs w:val="24"/>
          <w:highlight w:val="none"/>
          <w:u w:val="none"/>
          <w:lang w:bidi="ar-SA"/>
        </w:rPr>
        <w:t>原文：20.3 到投标截止时间止，招标人收到的投标文件少于3家的，招标人将重新组织招标（当N个标段同时招标且不允许兼中时，若有效投标人不足N+2家，则重新组织招标）。</w:t>
      </w:r>
    </w:p>
    <w:p w14:paraId="4309C9EF">
      <w:pPr>
        <w:keepNext w:val="0"/>
        <w:keepLines w:val="0"/>
        <w:pageBreakBefore w:val="0"/>
        <w:widowControl w:val="0"/>
        <w:pBdr>
          <w:top w:val="none" w:color="auto" w:sz="0" w:space="1"/>
          <w:left w:val="none" w:color="auto" w:sz="0" w:space="0"/>
          <w:bottom w:val="none" w:color="auto" w:sz="0" w:space="0"/>
          <w:right w:val="none" w:color="auto" w:sz="0" w:space="0"/>
          <w:between w:val="none" w:color="auto" w:sz="0" w:space="0"/>
        </w:pBdr>
        <w:tabs>
          <w:tab w:val="left" w:pos="4536"/>
        </w:tabs>
        <w:kinsoku/>
        <w:wordWrap/>
        <w:overflowPunct/>
        <w:topLinePunct w:val="0"/>
        <w:autoSpaceDE/>
        <w:autoSpaceDN/>
        <w:bidi w:val="0"/>
        <w:snapToGrid/>
        <w:spacing w:line="360" w:lineRule="auto"/>
        <w:ind w:left="0" w:leftChars="0" w:firstLine="480" w:firstLineChars="200"/>
        <w:rPr>
          <w:rFonts w:hint="eastAsia" w:ascii="宋体" w:hAnsi="宋体" w:eastAsia="宋体" w:cs="宋体"/>
          <w:b/>
          <w:color w:val="auto"/>
          <w:sz w:val="24"/>
          <w:szCs w:val="24"/>
          <w:highlight w:val="none"/>
          <w:lang w:bidi="ar-SA"/>
        </w:rPr>
      </w:pPr>
      <w:r>
        <w:rPr>
          <w:rFonts w:hint="eastAsia" w:ascii="宋体" w:hAnsi="宋体" w:eastAsia="宋体" w:cs="宋体"/>
          <w:b w:val="0"/>
          <w:bCs/>
          <w:color w:val="auto"/>
          <w:sz w:val="24"/>
          <w:szCs w:val="24"/>
          <w:highlight w:val="none"/>
          <w:u w:val="none"/>
          <w:lang w:bidi="ar-SA"/>
        </w:rPr>
        <w:t>现文：20.3 到投标截止时间止，招标人收到的投标文件少于</w:t>
      </w:r>
      <w:r>
        <w:rPr>
          <w:rFonts w:hint="eastAsia" w:ascii="宋体" w:hAnsi="宋体" w:cs="宋体"/>
          <w:b w:val="0"/>
          <w:bCs/>
          <w:color w:val="auto"/>
          <w:sz w:val="24"/>
          <w:szCs w:val="24"/>
          <w:highlight w:val="none"/>
          <w:u w:val="single"/>
          <w:lang w:val="en-US" w:eastAsia="zh-CN" w:bidi="ar-SA"/>
        </w:rPr>
        <w:t>3</w:t>
      </w:r>
      <w:r>
        <w:rPr>
          <w:rFonts w:hint="eastAsia" w:ascii="宋体" w:hAnsi="宋体" w:eastAsia="宋体" w:cs="宋体"/>
          <w:b w:val="0"/>
          <w:bCs/>
          <w:color w:val="auto"/>
          <w:sz w:val="24"/>
          <w:szCs w:val="24"/>
          <w:highlight w:val="none"/>
          <w:u w:val="none"/>
          <w:lang w:bidi="ar-SA"/>
        </w:rPr>
        <w:t>家的，招标人将重新组织招标。</w:t>
      </w:r>
      <w:r>
        <w:rPr>
          <w:rFonts w:hint="eastAsia" w:ascii="宋体" w:hAnsi="宋体" w:eastAsia="宋体" w:cs="宋体"/>
          <w:b/>
          <w:color w:val="auto"/>
          <w:sz w:val="24"/>
          <w:szCs w:val="24"/>
          <w:highlight w:val="none"/>
          <w:lang w:bidi="ar-SA"/>
        </w:rPr>
        <w:t xml:space="preserve"> </w:t>
      </w:r>
    </w:p>
    <w:p w14:paraId="55EC5B2A">
      <w:pPr>
        <w:keepNext w:val="0"/>
        <w:keepLines w:val="0"/>
        <w:pageBreakBefore w:val="0"/>
        <w:widowControl w:val="0"/>
        <w:pBdr>
          <w:top w:val="single" w:color="auto" w:sz="4" w:space="1"/>
          <w:left w:val="none" w:color="auto" w:sz="0" w:space="0"/>
          <w:bottom w:val="none" w:color="auto" w:sz="0" w:space="0"/>
          <w:right w:val="none" w:color="auto" w:sz="0" w:space="0"/>
          <w:between w:val="none" w:color="auto" w:sz="0" w:space="0"/>
        </w:pBdr>
        <w:tabs>
          <w:tab w:val="left" w:pos="4536"/>
        </w:tabs>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条款号：21.1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224590D2">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21.1 本须知前附表第17项规定的投标截止时间</w:t>
      </w:r>
      <w:r>
        <w:rPr>
          <w:rFonts w:hint="eastAsia" w:ascii="宋体" w:hAnsi="宋体" w:eastAsia="宋体" w:cs="宋体"/>
          <w:bCs/>
          <w:color w:val="auto"/>
          <w:sz w:val="24"/>
          <w:szCs w:val="24"/>
          <w:highlight w:val="none"/>
          <w:lang w:bidi="ar-SA"/>
        </w:rPr>
        <w:t>后送达的电子投标文件，</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交易平台将予以拒收。</w:t>
      </w:r>
    </w:p>
    <w:p w14:paraId="47C3571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21.1 本须知前附表第17项规定的投标截止时间后送达的电子投标文件</w:t>
      </w:r>
      <w:r>
        <w:rPr>
          <w:rFonts w:hint="eastAsia" w:ascii="宋体" w:hAnsi="宋体" w:eastAsia="宋体" w:cs="宋体"/>
          <w:color w:val="auto"/>
          <w:sz w:val="24"/>
          <w:szCs w:val="24"/>
          <w:highlight w:val="none"/>
          <w:u w:val="single"/>
        </w:rPr>
        <w:t>[含电子定标文件]</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u w:val="single"/>
          <w:lang w:bidi="ar-SA"/>
        </w:rPr>
        <w:t>广州交易集团有限公司（广州公共资源交易中心）</w:t>
      </w:r>
      <w:r>
        <w:rPr>
          <w:rFonts w:hint="eastAsia" w:ascii="宋体" w:hAnsi="宋体" w:eastAsia="宋体" w:cs="宋体"/>
          <w:color w:val="auto"/>
          <w:sz w:val="24"/>
          <w:szCs w:val="24"/>
          <w:highlight w:val="none"/>
          <w:lang w:bidi="ar-SA"/>
        </w:rPr>
        <w:t>交易平台将予以拒收。</w:t>
      </w:r>
    </w:p>
    <w:p w14:paraId="4657B1B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条款号：24.1  24.2                     修改类型：修改</w:t>
      </w:r>
    </w:p>
    <w:p w14:paraId="5C93746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14:paraId="12AD9674">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14:paraId="4BE349A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24.1开标后，直至合格的中标候选人公示为止，凡属于对投标文件的审查、澄清、评价和比较有关的资料以及合格的中标候选人的推荐</w:t>
      </w:r>
      <w:r>
        <w:rPr>
          <w:rFonts w:hint="eastAsia" w:ascii="宋体" w:hAnsi="宋体" w:eastAsia="宋体" w:cs="宋体"/>
          <w:color w:val="auto"/>
          <w:sz w:val="24"/>
          <w:szCs w:val="24"/>
          <w:highlight w:val="none"/>
          <w:u w:val="single"/>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sz w:val="24"/>
          <w:szCs w:val="24"/>
          <w:highlight w:val="none"/>
        </w:rPr>
        <w:t>情况，与评标有关的其他任何情况均严格保密。</w:t>
      </w:r>
    </w:p>
    <w:p w14:paraId="1B20A412">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24.2在投标文件的评审和比较、合格的中标候选人推荐</w:t>
      </w:r>
      <w:r>
        <w:rPr>
          <w:rFonts w:hint="eastAsia" w:ascii="宋体" w:hAnsi="宋体" w:eastAsia="宋体" w:cs="宋体"/>
          <w:color w:val="auto"/>
          <w:sz w:val="24"/>
          <w:szCs w:val="24"/>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eastAsia="宋体" w:cs="宋体"/>
          <w:color w:val="auto"/>
          <w:sz w:val="24"/>
          <w:szCs w:val="24"/>
          <w:highlight w:val="none"/>
        </w:rPr>
        <w:t>以及授予合同的过程中，投标人向招标人、评标委员会</w:t>
      </w:r>
      <w:r>
        <w:rPr>
          <w:rFonts w:hint="eastAsia" w:ascii="宋体" w:hAnsi="宋体" w:eastAsia="宋体" w:cs="宋体"/>
          <w:color w:val="auto"/>
          <w:sz w:val="24"/>
          <w:szCs w:val="24"/>
          <w:highlight w:val="none"/>
          <w:u w:val="single"/>
        </w:rPr>
        <w:t>和定标委员会</w:t>
      </w:r>
      <w:r>
        <w:rPr>
          <w:rFonts w:hint="eastAsia" w:ascii="宋体" w:hAnsi="宋体" w:eastAsia="宋体" w:cs="宋体"/>
          <w:color w:val="auto"/>
          <w:sz w:val="24"/>
          <w:szCs w:val="24"/>
          <w:highlight w:val="none"/>
        </w:rPr>
        <w:t>施加不公正影响的任何行为，都将会导致其投标被拒绝。</w:t>
      </w:r>
    </w:p>
    <w:p w14:paraId="6D07FFC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条款号：27.1                        修改类型：修改</w:t>
      </w:r>
    </w:p>
    <w:p w14:paraId="142951BC">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27.1</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w:t>
      </w:r>
      <w:r>
        <w:rPr>
          <w:rFonts w:hint="eastAsia" w:ascii="宋体" w:hAnsi="宋体" w:eastAsia="宋体" w:cs="宋体"/>
          <w:b/>
          <w:bCs/>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EC09386">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交易平台、广东省招标投标监管网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中国招标投标公共服务平台</w:t>
      </w:r>
      <w:r>
        <w:rPr>
          <w:rFonts w:hint="eastAsia" w:ascii="宋体" w:hAnsi="宋体" w:cs="宋体"/>
          <w:color w:val="auto"/>
          <w:sz w:val="24"/>
          <w:szCs w:val="24"/>
          <w:highlight w:val="none"/>
          <w:u w:val="single"/>
          <w:lang w:eastAsia="zh-CN"/>
        </w:rPr>
        <w:t>和广州国企阳光采购信息发布平台</w:t>
      </w:r>
      <w:r>
        <w:rPr>
          <w:rFonts w:hint="eastAsia" w:ascii="宋体" w:hAnsi="宋体" w:eastAsia="宋体" w:cs="宋体"/>
          <w:color w:val="auto"/>
          <w:sz w:val="24"/>
          <w:szCs w:val="24"/>
          <w:highlight w:val="none"/>
        </w:rPr>
        <w:t>公示合格中标候选人，公示期为三天。</w:t>
      </w:r>
      <w:r>
        <w:rPr>
          <w:rFonts w:hint="eastAsia" w:ascii="宋体" w:hAnsi="宋体" w:eastAsia="宋体" w:cs="宋体"/>
          <w:b/>
          <w:bCs/>
          <w:color w:val="auto"/>
          <w:sz w:val="24"/>
          <w:szCs w:val="24"/>
          <w:highlight w:val="none"/>
        </w:rPr>
        <w:t>投标人或其他利害关系人对评标结果有异议的，应当在合格中标候选人公示期间提出，可以通过线下或线上的形式提出异议。线上提交的，应通过交易平台进行，招标人也应通过交易平台答复线上提交的异议。作出答复前，应当暂停招标投标活动。</w:t>
      </w:r>
    </w:p>
    <w:p w14:paraId="3E46058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合格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中国招标投标公共服务平台</w:t>
      </w:r>
      <w:r>
        <w:rPr>
          <w:rFonts w:hint="eastAsia" w:ascii="宋体" w:hAnsi="宋体" w:cs="宋体"/>
          <w:color w:val="auto"/>
          <w:sz w:val="24"/>
          <w:szCs w:val="24"/>
          <w:highlight w:val="none"/>
          <w:u w:val="single"/>
          <w:lang w:eastAsia="zh-CN"/>
        </w:rPr>
        <w:t>和广州国企阳光采购信息发布平台</w:t>
      </w:r>
      <w:r>
        <w:rPr>
          <w:rFonts w:hint="eastAsia" w:ascii="宋体" w:hAnsi="宋体" w:eastAsia="宋体" w:cs="宋体"/>
          <w:color w:val="auto"/>
          <w:sz w:val="24"/>
          <w:szCs w:val="24"/>
          <w:highlight w:val="none"/>
          <w:u w:val="single"/>
        </w:rPr>
        <w:t>进行中标结果公示。</w:t>
      </w:r>
      <w:r>
        <w:rPr>
          <w:rFonts w:hint="eastAsia" w:ascii="宋体" w:hAnsi="宋体" w:eastAsia="宋体" w:cs="宋体"/>
          <w:b/>
          <w:color w:val="auto"/>
          <w:sz w:val="24"/>
          <w:szCs w:val="24"/>
          <w:highlight w:val="none"/>
          <w:u w:val="single"/>
        </w:rPr>
        <w:t>因投诉生效导致中标人不符合中标资格的，或定标后出现中标人不符合法定情形的，招标人可从其他合格中标候选人中采用原定标办法，由原定标委员会确定中标人，也可以重新组织招标</w:t>
      </w:r>
      <w:r>
        <w:rPr>
          <w:rFonts w:hint="eastAsia" w:ascii="宋体" w:hAnsi="宋体" w:eastAsia="宋体" w:cs="宋体"/>
          <w:b/>
          <w:color w:val="auto"/>
          <w:sz w:val="24"/>
          <w:szCs w:val="24"/>
          <w:highlight w:val="none"/>
          <w:u w:val="single"/>
          <w:lang w:eastAsia="zh-CN"/>
        </w:rPr>
        <w:t>。</w:t>
      </w:r>
    </w:p>
    <w:p w14:paraId="0553F410">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条款号：27.4                        修改类型：修改</w:t>
      </w:r>
    </w:p>
    <w:p w14:paraId="5F4704A1">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14:paraId="2027596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27.4在产生合格中标候选人后，招标人将合格中标候选人的投标文件商务部分文件的所有内容（包括人员、业绩、奖项等资料）在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交易平台和广东省招标投标监管网公开。</w:t>
      </w:r>
    </w:p>
    <w:p w14:paraId="731D11BB">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w:t>
      </w:r>
      <w:r>
        <w:rPr>
          <w:rFonts w:hint="eastAsia" w:ascii="宋体" w:hAnsi="宋体" w:eastAsia="宋体" w:cs="宋体"/>
          <w:b/>
          <w:color w:val="auto"/>
          <w:sz w:val="24"/>
          <w:szCs w:val="24"/>
          <w:highlight w:val="none"/>
          <w:lang w:val="en-US" w:eastAsia="zh-CN"/>
        </w:rPr>
        <w:t>8.2</w:t>
      </w:r>
      <w:r>
        <w:rPr>
          <w:rFonts w:hint="eastAsia" w:ascii="宋体" w:hAnsi="宋体" w:eastAsia="宋体" w:cs="宋体"/>
          <w:b/>
          <w:color w:val="auto"/>
          <w:sz w:val="24"/>
          <w:szCs w:val="24"/>
          <w:highlight w:val="none"/>
        </w:rPr>
        <w:t xml:space="preserve">                        修改类型：修改</w:t>
      </w:r>
    </w:p>
    <w:p w14:paraId="4B01B8B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59228CA">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8.2中标通知书发出之日起30日后，中标人未按上款的规定与招标人订立合同，</w:t>
      </w:r>
      <w:r>
        <w:rPr>
          <w:rFonts w:hint="eastAsia" w:ascii="宋体" w:hAnsi="宋体" w:eastAsia="宋体" w:cs="宋体"/>
          <w:color w:val="auto"/>
          <w:sz w:val="24"/>
          <w:szCs w:val="24"/>
          <w:highlight w:val="none"/>
          <w:u w:val="single"/>
          <w:lang w:val="en-US" w:eastAsia="zh-CN"/>
        </w:rPr>
        <w:t>招标人将解除中标通知书，且依法承担相应法律责任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原中标人给招标人造成的损失的，还应当对超过部分予以赔偿。</w:t>
      </w:r>
      <w:r>
        <w:rPr>
          <w:rFonts w:hint="eastAsia" w:ascii="宋体" w:hAnsi="宋体" w:eastAsia="宋体" w:cs="宋体"/>
          <w:color w:val="auto"/>
          <w:sz w:val="24"/>
          <w:szCs w:val="24"/>
          <w:highlight w:val="none"/>
          <w:lang w:val="en-US" w:eastAsia="zh-CN"/>
        </w:rPr>
        <w:t>原中标人有异议的，可以向人民法院起诉。</w:t>
      </w:r>
    </w:p>
    <w:p w14:paraId="185DAB8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条款号：29.1                        修改类型：修改</w:t>
      </w:r>
    </w:p>
    <w:p w14:paraId="232055D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29.1在收到中标通知书后的</w:t>
      </w:r>
      <w:r>
        <w:rPr>
          <w:rFonts w:hint="eastAsia" w:ascii="宋体" w:hAnsi="宋体" w:eastAsia="宋体" w:cs="宋体"/>
          <w:b/>
          <w:color w:val="auto"/>
          <w:sz w:val="24"/>
          <w:szCs w:val="24"/>
          <w:highlight w:val="none"/>
        </w:rPr>
        <w:t>15日</w:t>
      </w:r>
      <w:r>
        <w:rPr>
          <w:rFonts w:hint="eastAsia" w:ascii="宋体" w:hAnsi="宋体" w:eastAsia="宋体" w:cs="宋体"/>
          <w:color w:val="auto"/>
          <w:sz w:val="24"/>
          <w:szCs w:val="24"/>
          <w:highlight w:val="none"/>
        </w:rPr>
        <w:t>内，中标人应按本须知前附表第20项的规定向招标人提交履约担保。</w:t>
      </w:r>
    </w:p>
    <w:p w14:paraId="550B5E7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29.1</w:t>
      </w:r>
      <w:r>
        <w:rPr>
          <w:rFonts w:hint="eastAsia" w:ascii="宋体" w:hAnsi="宋体" w:cs="宋体"/>
          <w:color w:val="auto"/>
          <w:sz w:val="24"/>
          <w:szCs w:val="24"/>
          <w:highlight w:val="none"/>
          <w:u w:val="single"/>
          <w:lang w:val="en-US" w:eastAsia="zh-CN"/>
        </w:rPr>
        <w:t>按合同约定时间内</w:t>
      </w:r>
      <w:r>
        <w:rPr>
          <w:rFonts w:hint="eastAsia" w:ascii="宋体" w:hAnsi="宋体" w:eastAsia="宋体" w:cs="宋体"/>
          <w:color w:val="auto"/>
          <w:sz w:val="24"/>
          <w:szCs w:val="24"/>
          <w:highlight w:val="none"/>
        </w:rPr>
        <w:t>，中标人应按本须知前附表第</w:t>
      </w:r>
      <w:r>
        <w:rPr>
          <w:rFonts w:hint="eastAsia" w:ascii="宋体" w:hAnsi="宋体" w:eastAsia="宋体" w:cs="宋体"/>
          <w:color w:val="auto"/>
          <w:sz w:val="24"/>
          <w:szCs w:val="24"/>
          <w:highlight w:val="none"/>
          <w:u w:val="single"/>
        </w:rPr>
        <w:t>21</w:t>
      </w:r>
      <w:r>
        <w:rPr>
          <w:rFonts w:hint="eastAsia" w:ascii="宋体" w:hAnsi="宋体" w:eastAsia="宋体" w:cs="宋体"/>
          <w:color w:val="auto"/>
          <w:sz w:val="24"/>
          <w:szCs w:val="24"/>
          <w:highlight w:val="none"/>
        </w:rPr>
        <w:t>项的规定向招标人提交履约担保。</w:t>
      </w:r>
    </w:p>
    <w:p w14:paraId="45D7B70A">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u w:val="single"/>
        </w:rPr>
        <w:t>28.4</w:t>
      </w:r>
      <w:r>
        <w:rPr>
          <w:rFonts w:hint="eastAsia" w:ascii="宋体" w:hAnsi="宋体" w:eastAsia="宋体" w:cs="宋体"/>
          <w:b/>
          <w:color w:val="auto"/>
          <w:sz w:val="24"/>
          <w:szCs w:val="24"/>
          <w:highlight w:val="none"/>
        </w:rPr>
        <w:t xml:space="preserve">                        修改类型：修改</w:t>
      </w:r>
    </w:p>
    <w:p w14:paraId="625E492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val="0"/>
          <w:color w:val="auto"/>
          <w:sz w:val="24"/>
          <w:szCs w:val="24"/>
          <w:highlight w:val="none"/>
          <w:u w:val="single"/>
        </w:rPr>
        <w:t>28.4招标人支付工程款时，中标人应按规定开具发票。</w:t>
      </w:r>
    </w:p>
    <w:p w14:paraId="4268E66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val="0"/>
          <w:color w:val="auto"/>
          <w:sz w:val="24"/>
          <w:szCs w:val="24"/>
          <w:highlight w:val="none"/>
          <w:u w:val="single"/>
        </w:rPr>
        <w:t>28.4工程进度款支付应不低于已完成工程价款的80%，招标人支付工程款时，中标人应按规定开具发票。质量保证金不超过工程价款总额3%。当年开工、当年不能竣工的新开工项目可以采用过程结算。</w:t>
      </w:r>
    </w:p>
    <w:p w14:paraId="75508398">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条款号：29.2                        修改类型：修改</w:t>
      </w:r>
    </w:p>
    <w:p w14:paraId="6BAC78F4">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DE0CFF0">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：29.2合同正式签订之日后的</w:t>
      </w:r>
      <w:r>
        <w:rPr>
          <w:rFonts w:hint="eastAsia" w:ascii="宋体" w:hAnsi="宋体" w:eastAsia="宋体" w:cs="宋体"/>
          <w:color w:val="auto"/>
          <w:sz w:val="24"/>
          <w:szCs w:val="24"/>
          <w:highlight w:val="none"/>
          <w:u w:val="single"/>
        </w:rPr>
        <w:t>30日内，</w:t>
      </w:r>
      <w:r>
        <w:rPr>
          <w:rFonts w:hint="eastAsia" w:ascii="宋体" w:hAnsi="宋体" w:eastAsia="宋体" w:cs="宋体"/>
          <w:color w:val="auto"/>
          <w:sz w:val="24"/>
          <w:szCs w:val="24"/>
          <w:highlight w:val="none"/>
        </w:rPr>
        <w:t>中标人未按上款的规定递交履约担保，</w:t>
      </w:r>
      <w:r>
        <w:rPr>
          <w:rFonts w:hint="eastAsia" w:ascii="宋体" w:hAnsi="宋体" w:eastAsia="宋体" w:cs="宋体"/>
          <w:color w:val="auto"/>
          <w:sz w:val="24"/>
          <w:szCs w:val="24"/>
          <w:highlight w:val="none"/>
          <w:u w:val="single"/>
        </w:rPr>
        <w:t>招标人将解除中标通知书，且依法承担相应法律责任。原中标人给招标人造成的损失的，还应当予以赔偿。</w:t>
      </w:r>
      <w:r>
        <w:rPr>
          <w:rFonts w:hint="eastAsia" w:ascii="宋体" w:hAnsi="宋体" w:eastAsia="宋体" w:cs="宋体"/>
          <w:color w:val="auto"/>
          <w:sz w:val="24"/>
          <w:szCs w:val="24"/>
          <w:highlight w:val="none"/>
        </w:rPr>
        <w:t>原中标人有异议的，可以向人民法院起诉。</w:t>
      </w:r>
    </w:p>
    <w:p w14:paraId="499D66A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条款号：30.1                        修改类型：修改</w:t>
      </w:r>
    </w:p>
    <w:p w14:paraId="6250F229">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30.1在合同双方全权代表在合同协议书上签字，并分别加盖双方单位的公章后，合同正式生效。</w:t>
      </w:r>
    </w:p>
    <w:p w14:paraId="11BDA74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30.1在合同双方全权代表在合同协议书上签字，并分别加盖双方单位的公章</w:t>
      </w:r>
      <w:r>
        <w:rPr>
          <w:rFonts w:hint="eastAsia" w:ascii="宋体" w:hAnsi="宋体" w:eastAsia="宋体" w:cs="宋体"/>
          <w:color w:val="auto"/>
          <w:sz w:val="24"/>
          <w:szCs w:val="24"/>
          <w:highlight w:val="none"/>
          <w:u w:val="single"/>
        </w:rPr>
        <w:t>且承包人提交履约担保后，合同正式生效。</w:t>
      </w:r>
    </w:p>
    <w:p w14:paraId="667A2B57">
      <w:pPr>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条款号：31                          修改类型：修改</w:t>
      </w:r>
    </w:p>
    <w:p w14:paraId="51CDFDD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原文：31.其它费用</w:t>
      </w:r>
    </w:p>
    <w:p w14:paraId="74B26E7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31.</w:t>
      </w:r>
      <w:r>
        <w:rPr>
          <w:rFonts w:hint="eastAsia" w:ascii="宋体" w:hAnsi="宋体" w:eastAsia="宋体" w:cs="宋体"/>
          <w:b/>
          <w:bCs/>
          <w:color w:val="auto"/>
          <w:sz w:val="24"/>
          <w:szCs w:val="24"/>
          <w:highlight w:val="none"/>
        </w:rPr>
        <w:t>其它费用</w:t>
      </w:r>
    </w:p>
    <w:p w14:paraId="6AF67B3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中标人应交纳交易服务费，该费用包含在投标价中。</w:t>
      </w:r>
    </w:p>
    <w:p w14:paraId="11534285">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369E3CD1">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（以下无正文）</w:t>
      </w:r>
    </w:p>
    <w:p w14:paraId="446B9BCC">
      <w:pPr>
        <w:pStyle w:val="5"/>
        <w:tabs>
          <w:tab w:val="right" w:leader="dot" w:pos="9060"/>
        </w:tabs>
        <w:spacing w:line="360" w:lineRule="auto"/>
        <w:rPr>
          <w:rFonts w:hint="eastAsia" w:ascii="宋体" w:hAnsi="宋体" w:cs="宋体"/>
          <w:color w:val="auto"/>
          <w:sz w:val="28"/>
          <w:szCs w:val="28"/>
          <w:highlight w:val="none"/>
        </w:rPr>
      </w:pPr>
      <w:r>
        <w:rPr>
          <w:rFonts w:hint="eastAsia" w:ascii="宋体" w:hAnsi="宋体" w:eastAsia="宋体" w:cs="宋体"/>
          <w:color w:val="auto"/>
          <w:highlight w:val="none"/>
          <w:lang w:bidi="ar-SA"/>
        </w:rPr>
        <w:br w:type="page"/>
      </w:r>
      <w:bookmarkStart w:id="10" w:name="_Toc5941"/>
      <w:bookmarkStart w:id="11" w:name="_Toc406"/>
      <w:bookmarkStart w:id="12" w:name="_Toc27485"/>
      <w:bookmarkStart w:id="13" w:name="_Toc7019"/>
      <w:bookmarkStart w:id="14" w:name="_Toc5805"/>
      <w:bookmarkStart w:id="15" w:name="_Toc21331"/>
      <w:bookmarkStart w:id="16" w:name="_Toc432"/>
      <w:bookmarkStart w:id="17" w:name="_Toc2272548"/>
      <w:bookmarkStart w:id="18" w:name="_Toc5355"/>
      <w:bookmarkStart w:id="19" w:name="_Toc1651"/>
      <w:bookmarkStart w:id="20" w:name="_Toc14321"/>
      <w:bookmarkStart w:id="21" w:name="_Toc27873"/>
      <w:bookmarkStart w:id="22" w:name="_Toc14676"/>
      <w:bookmarkStart w:id="23" w:name="_Toc105014623"/>
      <w:bookmarkStart w:id="24" w:name="_Toc14950"/>
      <w:r>
        <w:rPr>
          <w:rFonts w:hint="eastAsia" w:ascii="宋体" w:hAnsi="宋体" w:cs="宋体"/>
          <w:color w:val="auto"/>
          <w:sz w:val="28"/>
          <w:szCs w:val="28"/>
          <w:highlight w:val="none"/>
        </w:rPr>
        <w:t>三、投标须知通用条款</w:t>
      </w:r>
      <w:bookmarkEnd w:id="10"/>
      <w:bookmarkEnd w:id="11"/>
      <w:bookmarkEnd w:id="12"/>
      <w:bookmarkEnd w:id="13"/>
      <w:bookmarkEnd w:id="14"/>
      <w:bookmarkEnd w:id="15"/>
      <w:bookmarkEnd w:id="16"/>
      <w:bookmarkEnd w:id="17"/>
      <w:bookmarkEnd w:id="18"/>
      <w:bookmarkEnd w:id="19"/>
      <w:bookmarkEnd w:id="20"/>
      <w:bookmarkEnd w:id="21"/>
      <w:bookmarkEnd w:id="22"/>
    </w:p>
    <w:p w14:paraId="7D54DD57">
      <w:pPr>
        <w:widowControl/>
        <w:spacing w:before="100" w:beforeAutospacing="1" w:after="100" w:afterAutospacing="1" w:line="360" w:lineRule="auto"/>
        <w:jc w:val="center"/>
        <w:outlineLvl w:val="2"/>
        <w:rPr>
          <w:rFonts w:hint="eastAsia" w:ascii="宋体" w:hAnsi="宋体" w:cs="宋体"/>
          <w:b/>
          <w:bCs/>
          <w:color w:val="auto"/>
          <w:kern w:val="0"/>
          <w:sz w:val="24"/>
          <w:szCs w:val="24"/>
          <w:highlight w:val="none"/>
        </w:rPr>
      </w:pPr>
      <w:bookmarkStart w:id="25" w:name="_Toc28097"/>
      <w:bookmarkStart w:id="26" w:name="_Toc31237"/>
      <w:bookmarkStart w:id="27" w:name="_Toc27739"/>
      <w:bookmarkStart w:id="28" w:name="_Toc81"/>
      <w:bookmarkStart w:id="29" w:name="_Toc17135"/>
      <w:bookmarkStart w:id="30" w:name="_Toc25900"/>
      <w:bookmarkStart w:id="31" w:name="_Toc27047"/>
      <w:bookmarkStart w:id="32" w:name="_Toc26119"/>
      <w:bookmarkStart w:id="33" w:name="_Toc9566"/>
      <w:bookmarkStart w:id="34" w:name="_Toc19152"/>
      <w:bookmarkStart w:id="35" w:name="_Toc22974"/>
      <w:bookmarkStart w:id="36" w:name="_Toc2272549"/>
      <w:bookmarkStart w:id="37" w:name="_Toc3006"/>
      <w:bookmarkStart w:id="38" w:name="_Toc58838571"/>
      <w:r>
        <w:rPr>
          <w:rFonts w:hint="eastAsia" w:ascii="宋体" w:hAnsi="宋体" w:cs="宋体"/>
          <w:b/>
          <w:bCs/>
          <w:color w:val="auto"/>
          <w:kern w:val="0"/>
          <w:sz w:val="24"/>
          <w:szCs w:val="24"/>
          <w:highlight w:val="none"/>
        </w:rPr>
        <w:t>（一）总则</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64F1AF9">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1、定义</w:t>
      </w:r>
    </w:p>
    <w:p w14:paraId="4CF4DED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本招标文件使用的下列词语具有如下规定的意义：</w:t>
      </w:r>
    </w:p>
    <w:p w14:paraId="1B2A774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（1）“招标人”（即发包人）、“项目建设管理单位”（或称“项目代建单位”）、“招标代理”、“设计单位”、“监理单位”均已在投标须知前附表中列明。</w:t>
      </w:r>
    </w:p>
    <w:p w14:paraId="56A79E7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（2）“投标人”指向招标人提交投标文件的当事人。   </w:t>
      </w:r>
    </w:p>
    <w:p w14:paraId="642E18F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（3）“承包人”指其投标被招标人接受并与其签订承包合同的当事人。</w:t>
      </w:r>
    </w:p>
    <w:p w14:paraId="4E2758B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（4）“招标文件”指由招标代理发出的本文件（包括全部章节、附件）及招标答疑会会议纪要和</w:t>
      </w:r>
      <w:r>
        <w:rPr>
          <w:rFonts w:hint="eastAsia" w:ascii="宋体" w:hAnsi="宋体" w:eastAsia="宋体" w:cs="宋体"/>
          <w:bCs/>
          <w:color w:val="auto"/>
          <w:sz w:val="24"/>
          <w:szCs w:val="24"/>
          <w:highlight w:val="none"/>
        </w:rPr>
        <w:t>招标文件的澄清与修改</w:t>
      </w:r>
      <w:r>
        <w:rPr>
          <w:rFonts w:hint="eastAsia" w:ascii="宋体" w:hAnsi="宋体" w:eastAsia="宋体" w:cs="宋体"/>
          <w:color w:val="auto"/>
          <w:sz w:val="24"/>
          <w:szCs w:val="24"/>
          <w:highlight w:val="none"/>
        </w:rPr>
        <w:t>文件。</w:t>
      </w:r>
    </w:p>
    <w:p w14:paraId="1324EF9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（5）“投标文件”指投标人根据本项目招标文件向招标人提交的全部文件。</w:t>
      </w:r>
    </w:p>
    <w:p w14:paraId="48B8A73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（6）“书面形式”指打字或印刷的文件和数据电文（包括电报、电传、传真、电子数据交换和电子邮件）。</w:t>
      </w:r>
    </w:p>
    <w:p w14:paraId="79A5CCB1">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2、招标说明</w:t>
      </w:r>
    </w:p>
    <w:p w14:paraId="241254B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2.1本招标工程项目按照《中华人民共和国招标投标法》等有关法律、行政法规、规章和规范性文件，通过招标方式选定承包人。</w:t>
      </w:r>
    </w:p>
    <w:p w14:paraId="2FC0AD1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2.2工程名称、建设地点、建设规模、承包方式、质量标准、招标范围、工期要求等均在投标须知前附表中列明。</w:t>
      </w:r>
    </w:p>
    <w:p w14:paraId="58AADC8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2.3设计说明：详见招标图纸。</w:t>
      </w:r>
    </w:p>
    <w:p w14:paraId="63762CC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2.4工程施工特点：详见招标图纸。</w:t>
      </w:r>
    </w:p>
    <w:p w14:paraId="79E9E329">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3．资金来源</w:t>
      </w:r>
    </w:p>
    <w:p w14:paraId="70B6802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3.1本招标工程项目资金来源见投标须知前附表第9项</w:t>
      </w:r>
    </w:p>
    <w:p w14:paraId="66FA4CC0">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4．合格投标人的条件</w:t>
      </w:r>
    </w:p>
    <w:p w14:paraId="3976CE1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4.1详见本项目招标公告</w:t>
      </w:r>
    </w:p>
    <w:p w14:paraId="7B2E90BA">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5．踏勘现场</w:t>
      </w:r>
    </w:p>
    <w:p w14:paraId="6545729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5.1 投标人应按本投标须知前附表第15项所述时间和要求对工程现场及周围环境进行踏勘，</w:t>
      </w:r>
      <w:r>
        <w:rPr>
          <w:rFonts w:hint="eastAsia" w:ascii="宋体" w:hAnsi="宋体" w:eastAsia="宋体" w:cs="宋体"/>
          <w:color w:val="auto"/>
          <w:sz w:val="24"/>
          <w:szCs w:val="24"/>
          <w:highlight w:val="none"/>
        </w:rPr>
        <w:t>投标人应充分重视和仔细地进行这种考察，</w:t>
      </w:r>
      <w:r>
        <w:rPr>
          <w:rFonts w:hint="eastAsia" w:ascii="宋体" w:hAnsi="宋体" w:eastAsia="宋体" w:cs="宋体"/>
          <w:bCs/>
          <w:color w:val="auto"/>
          <w:sz w:val="24"/>
          <w:szCs w:val="24"/>
          <w:highlight w:val="none"/>
        </w:rPr>
        <w:t>以便投标人获取</w:t>
      </w:r>
      <w:r>
        <w:rPr>
          <w:rFonts w:hint="eastAsia" w:ascii="宋体" w:hAnsi="宋体" w:eastAsia="宋体" w:cs="宋体"/>
          <w:color w:val="auto"/>
          <w:sz w:val="24"/>
          <w:szCs w:val="24"/>
          <w:highlight w:val="none"/>
        </w:rPr>
        <w:t>那些须投标人自己负责的</w:t>
      </w:r>
      <w:r>
        <w:rPr>
          <w:rFonts w:hint="eastAsia" w:ascii="宋体" w:hAnsi="宋体" w:eastAsia="宋体" w:cs="宋体"/>
          <w:bCs/>
          <w:color w:val="auto"/>
          <w:sz w:val="24"/>
          <w:szCs w:val="24"/>
          <w:highlight w:val="none"/>
        </w:rPr>
        <w:t>有关编制投标文件和签署合同所涉及现场所有的资料。</w:t>
      </w:r>
      <w:r>
        <w:rPr>
          <w:rFonts w:hint="eastAsia" w:ascii="宋体" w:hAnsi="宋体" w:eastAsia="宋体" w:cs="宋体"/>
          <w:color w:val="auto"/>
          <w:sz w:val="24"/>
          <w:szCs w:val="24"/>
          <w:highlight w:val="none"/>
        </w:rPr>
        <w:t>一旦中标，这种考察即被认为其结果已在中标文件中得到充分反映。考察现场的费用由投标人自己承担。</w:t>
      </w:r>
    </w:p>
    <w:p w14:paraId="5496FE4A">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招标人向投标人提供的有关现场的数据和资料，是招标人现有的能被投标人利用的资料，招标人对投标人做出的任何推论、理解和结论均不负责任。</w:t>
      </w:r>
    </w:p>
    <w:p w14:paraId="2115079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 经招标人允许，投标人可为踏勘目的进入招标人的项目现场。</w:t>
      </w:r>
      <w:r>
        <w:rPr>
          <w:rFonts w:hint="eastAsia" w:ascii="宋体" w:hAnsi="宋体" w:eastAsia="宋体" w:cs="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szCs w:val="24"/>
          <w:highlight w:val="none"/>
        </w:rPr>
        <w:t>投标人不得因此使招标人承担有关的责任和蒙受损失。</w:t>
      </w:r>
    </w:p>
    <w:p w14:paraId="1BF730C7">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6．投标费用</w:t>
      </w:r>
    </w:p>
    <w:p w14:paraId="6DF0FF36">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不论投标结果如何，投标人应承担</w:t>
      </w:r>
      <w:r>
        <w:rPr>
          <w:rFonts w:hint="eastAsia" w:ascii="宋体" w:hAnsi="宋体" w:eastAsia="宋体" w:cs="宋体"/>
          <w:bCs/>
          <w:color w:val="auto"/>
          <w:sz w:val="24"/>
          <w:szCs w:val="24"/>
          <w:highlight w:val="none"/>
        </w:rPr>
        <w:t>自身</w:t>
      </w:r>
      <w:r>
        <w:rPr>
          <w:rFonts w:hint="eastAsia" w:ascii="宋体" w:hAnsi="宋体" w:eastAsia="宋体" w:cs="宋体"/>
          <w:color w:val="auto"/>
          <w:sz w:val="24"/>
          <w:szCs w:val="24"/>
          <w:highlight w:val="none"/>
        </w:rPr>
        <w:t>因投标文件编制、递交及其他</w:t>
      </w:r>
      <w:r>
        <w:rPr>
          <w:rFonts w:hint="eastAsia" w:ascii="宋体" w:hAnsi="宋体" w:eastAsia="宋体" w:cs="宋体"/>
          <w:bCs/>
          <w:color w:val="auto"/>
          <w:sz w:val="24"/>
          <w:szCs w:val="24"/>
          <w:highlight w:val="none"/>
        </w:rPr>
        <w:t>参加本招标活动</w:t>
      </w:r>
      <w:r>
        <w:rPr>
          <w:rFonts w:hint="eastAsia" w:ascii="宋体" w:hAnsi="宋体" w:eastAsia="宋体" w:cs="宋体"/>
          <w:color w:val="auto"/>
          <w:sz w:val="24"/>
          <w:szCs w:val="24"/>
          <w:highlight w:val="none"/>
        </w:rPr>
        <w:t>所涉及的一切费用，招标人对上述费用不负任何责任。</w:t>
      </w:r>
    </w:p>
    <w:p w14:paraId="77B29D21">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39" w:name="_Toc8212"/>
      <w:bookmarkStart w:id="40" w:name="_Toc2272550"/>
      <w:bookmarkStart w:id="41" w:name="_Toc20940"/>
      <w:bookmarkStart w:id="42" w:name="_Toc16971"/>
      <w:bookmarkStart w:id="43" w:name="_Toc20411"/>
      <w:bookmarkStart w:id="44" w:name="_Toc22591"/>
      <w:bookmarkStart w:id="45" w:name="_Toc10822"/>
      <w:bookmarkStart w:id="46" w:name="_Toc487"/>
      <w:bookmarkStart w:id="47" w:name="_Toc58838572"/>
      <w:bookmarkStart w:id="48" w:name="_Toc18222"/>
      <w:bookmarkStart w:id="49" w:name="_Toc17551"/>
      <w:bookmarkStart w:id="50" w:name="_Toc18412"/>
      <w:bookmarkStart w:id="51" w:name="_Toc5537"/>
      <w:bookmarkStart w:id="52" w:name="_Toc12012"/>
      <w:r>
        <w:rPr>
          <w:rFonts w:hint="eastAsia" w:ascii="宋体" w:hAnsi="宋体" w:eastAsia="宋体" w:cs="宋体"/>
          <w:color w:val="auto"/>
          <w:kern w:val="0"/>
          <w:sz w:val="24"/>
          <w:szCs w:val="24"/>
          <w:highlight w:val="none"/>
        </w:rPr>
        <w:t>（二）招标文件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38688D7">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7.招标文件的组成</w:t>
      </w:r>
    </w:p>
    <w:p w14:paraId="7EACE36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7.1</w:t>
      </w:r>
      <w:r>
        <w:rPr>
          <w:rFonts w:hint="eastAsia" w:ascii="宋体" w:hAnsi="宋体" w:eastAsia="宋体" w:cs="宋体"/>
          <w:color w:val="auto"/>
          <w:sz w:val="24"/>
          <w:szCs w:val="24"/>
          <w:highlight w:val="none"/>
        </w:rPr>
        <w:t>本招标文件包括下列文件，以及所有按本须知第8条发出的招标答疑会会议纪要和按本须知第9条发出的澄清或修改：</w:t>
      </w:r>
    </w:p>
    <w:p w14:paraId="51737D7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第一章  </w:t>
      </w:r>
      <w:r>
        <w:rPr>
          <w:rFonts w:hint="eastAsia" w:ascii="宋体" w:hAnsi="宋体" w:eastAsia="宋体" w:cs="宋体"/>
          <w:color w:val="auto"/>
          <w:sz w:val="24"/>
          <w:szCs w:val="24"/>
          <w:highlight w:val="none"/>
        </w:rPr>
        <w:t>投标须知</w:t>
      </w:r>
    </w:p>
    <w:p w14:paraId="43F90F5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第二章  </w:t>
      </w:r>
      <w:r>
        <w:rPr>
          <w:rFonts w:hint="eastAsia" w:ascii="宋体" w:hAnsi="宋体" w:eastAsia="宋体" w:cs="宋体"/>
          <w:color w:val="auto"/>
          <w:sz w:val="24"/>
          <w:szCs w:val="24"/>
          <w:highlight w:val="none"/>
        </w:rPr>
        <w:t>开标、评标及定标办法</w:t>
      </w:r>
    </w:p>
    <w:p w14:paraId="44ABF03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14:paraId="3C327C1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第四章  </w:t>
      </w:r>
      <w:r>
        <w:rPr>
          <w:rFonts w:hint="eastAsia" w:ascii="宋体" w:hAnsi="宋体" w:eastAsia="宋体" w:cs="宋体"/>
          <w:color w:val="auto"/>
          <w:sz w:val="24"/>
          <w:szCs w:val="24"/>
          <w:highlight w:val="none"/>
        </w:rPr>
        <w:t>投标文件格式</w:t>
      </w:r>
    </w:p>
    <w:p w14:paraId="3117C7A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第五章  </w:t>
      </w:r>
      <w:r>
        <w:rPr>
          <w:rFonts w:hint="eastAsia" w:ascii="宋体" w:hAnsi="宋体" w:eastAsia="宋体" w:cs="宋体"/>
          <w:color w:val="auto"/>
          <w:sz w:val="24"/>
          <w:szCs w:val="24"/>
          <w:highlight w:val="none"/>
        </w:rPr>
        <w:t>技术条件（工程建设标准）（另册）</w:t>
      </w:r>
    </w:p>
    <w:p w14:paraId="792FE95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第六章  </w:t>
      </w:r>
      <w:r>
        <w:rPr>
          <w:rFonts w:hint="eastAsia" w:ascii="宋体" w:hAnsi="宋体" w:eastAsia="宋体" w:cs="宋体"/>
          <w:color w:val="auto"/>
          <w:sz w:val="24"/>
          <w:szCs w:val="24"/>
          <w:highlight w:val="none"/>
        </w:rPr>
        <w:t>图纸及勘察资料（另册）</w:t>
      </w:r>
    </w:p>
    <w:p w14:paraId="37AB0D5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第七章  招标</w:t>
      </w:r>
      <w:r>
        <w:rPr>
          <w:rFonts w:hint="eastAsia" w:ascii="宋体" w:hAnsi="宋体" w:eastAsia="宋体" w:cs="宋体"/>
          <w:color w:val="auto"/>
          <w:sz w:val="24"/>
          <w:szCs w:val="24"/>
          <w:highlight w:val="none"/>
        </w:rPr>
        <w:t>工程量清单（另册）</w:t>
      </w:r>
    </w:p>
    <w:p w14:paraId="576C794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第八章  最高投标限价</w:t>
      </w:r>
    </w:p>
    <w:p w14:paraId="51C6815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267C90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5A23EA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投标人一旦中标，招标文件的内容对招标人和中标人双方均有约束力。</w:t>
      </w:r>
    </w:p>
    <w:p w14:paraId="641D9C13">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8．招标答疑</w:t>
      </w:r>
    </w:p>
    <w:p w14:paraId="7DD0B9A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投标人若对招标文件（包括招标图纸）中有疑问，可以书面形式通过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交易平台提交给招标人或招标代理人，提交形式见本须知前附表第16项。</w:t>
      </w:r>
    </w:p>
    <w:p w14:paraId="5620446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w:t>
      </w:r>
    </w:p>
    <w:p w14:paraId="3CE7DB2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8.3答疑会会议纪要为招标文件的一部分。</w:t>
      </w:r>
    </w:p>
    <w:p w14:paraId="4BD1B76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8.4若招标答疑会会议纪要与招标文件有矛盾，以答疑会议纪要最后发出的书面形式的文件为准。</w:t>
      </w:r>
    </w:p>
    <w:p w14:paraId="42FDB5BB">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9.招标文件的澄清与修改</w:t>
      </w:r>
    </w:p>
    <w:p w14:paraId="1E2012E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9.1招标文件发出后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在提交投标文件截止时间15日前，招标人可对招标文件进行必要的澄清或修改。</w:t>
      </w:r>
    </w:p>
    <w:p w14:paraId="7F03DDB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交易平台上网发布时间作为送达时间。</w:t>
      </w:r>
    </w:p>
    <w:p w14:paraId="40FFC00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9.3招标文件的修改内容为招标文件的组成部分。</w:t>
      </w:r>
    </w:p>
    <w:p w14:paraId="761ABBA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14:paraId="1F8016F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3DD78CD">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53" w:name="_Toc17219"/>
      <w:bookmarkStart w:id="54" w:name="_Toc23386"/>
      <w:bookmarkStart w:id="55" w:name="_Toc2791"/>
      <w:bookmarkStart w:id="56" w:name="_Toc9985"/>
      <w:bookmarkStart w:id="57" w:name="_Toc32431"/>
      <w:bookmarkStart w:id="58" w:name="_Toc12567"/>
      <w:bookmarkStart w:id="59" w:name="_Toc1039"/>
      <w:bookmarkStart w:id="60" w:name="_Toc10961"/>
      <w:bookmarkStart w:id="61" w:name="_Toc27598"/>
      <w:bookmarkStart w:id="62" w:name="_Toc2272551"/>
      <w:bookmarkStart w:id="63" w:name="_Toc6993"/>
      <w:bookmarkStart w:id="64" w:name="_Toc58838573"/>
      <w:bookmarkStart w:id="65" w:name="_Toc29946"/>
      <w:bookmarkStart w:id="66" w:name="_Toc32551"/>
      <w:r>
        <w:rPr>
          <w:rFonts w:hint="eastAsia" w:ascii="宋体" w:hAnsi="宋体" w:eastAsia="宋体" w:cs="宋体"/>
          <w:color w:val="auto"/>
          <w:kern w:val="0"/>
          <w:sz w:val="24"/>
          <w:szCs w:val="24"/>
          <w:highlight w:val="none"/>
        </w:rPr>
        <w:t>（三）投标文件的编制</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DC600B4">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10．投标文件的语言及度量衡单位</w:t>
      </w:r>
    </w:p>
    <w:p w14:paraId="79AEC9B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投标文件和与投标有关的所有文件均应使用中文。</w:t>
      </w:r>
    </w:p>
    <w:p w14:paraId="2615A9C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除工程规范另有规定外，投标文件使用的度量衡单位，均采用中华人民共和国法定计量单位。</w:t>
      </w:r>
    </w:p>
    <w:p w14:paraId="3415E981">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11．投标文件的组成</w:t>
      </w:r>
    </w:p>
    <w:p w14:paraId="7C052E1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11.1 投标文件由技术部分（含资格审查文件）和经济部分二部分投标文件组成</w:t>
      </w:r>
      <w:r>
        <w:rPr>
          <w:rFonts w:hint="eastAsia" w:ascii="宋体" w:hAnsi="宋体" w:eastAsia="宋体" w:cs="宋体"/>
          <w:b/>
          <w:color w:val="auto"/>
          <w:sz w:val="24"/>
          <w:szCs w:val="24"/>
          <w:highlight w:val="none"/>
        </w:rPr>
        <w:t>。</w:t>
      </w:r>
    </w:p>
    <w:p w14:paraId="5D7B6C4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11.2投标文件技术标部分主要包括下列内容</w:t>
      </w:r>
      <w:r>
        <w:rPr>
          <w:rFonts w:hint="eastAsia" w:ascii="宋体" w:hAnsi="宋体" w:cs="宋体"/>
          <w:bCs/>
          <w:color w:val="auto"/>
          <w:sz w:val="24"/>
          <w:szCs w:val="24"/>
          <w:highlight w:val="none"/>
          <w:lang w:eastAsia="zh-CN"/>
        </w:rPr>
        <w:t>：</w:t>
      </w:r>
    </w:p>
    <w:p w14:paraId="2AE9048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w:t>
      </w:r>
    </w:p>
    <w:p w14:paraId="0609255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4012196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14:paraId="349D739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14:paraId="6ABF018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16FA754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4BDAED9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639B708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14:paraId="1B5E1B9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14:paraId="32A4DCC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14:paraId="4F2CDE7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14:paraId="0616600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5309701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3F4C1E5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14:paraId="5D74274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568CCBE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0D6E88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001EF67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8B2A68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14:paraId="47F6739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14:paraId="7616444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p>
    <w:p w14:paraId="10F1B30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（3）其他辅助说明资料。</w:t>
      </w:r>
    </w:p>
    <w:p w14:paraId="444F5D8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11.2.4投标人在广州市可使用适合本工程的机械设备（附：机械设备为自有或租赁的说明；及承诺机械设备如属于租赁的，其租赁是不属于重复租赁）。</w:t>
      </w:r>
    </w:p>
    <w:p w14:paraId="75681278">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11.2.5施工组织设计或施工方案</w:t>
      </w:r>
      <w:r>
        <w:rPr>
          <w:rFonts w:hint="eastAsia" w:ascii="宋体" w:hAnsi="宋体" w:cs="宋体"/>
          <w:color w:val="auto"/>
          <w:sz w:val="24"/>
          <w:szCs w:val="24"/>
          <w:highlight w:val="none"/>
          <w:lang w:eastAsia="zh-CN"/>
        </w:rPr>
        <w:t>：</w:t>
      </w:r>
    </w:p>
    <w:p w14:paraId="410A5B10">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27999AC1">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1281D5E">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p>
    <w:p w14:paraId="55D4854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 经济部分投标文件主要包括下列内容：</w:t>
      </w:r>
    </w:p>
    <w:p w14:paraId="6AB7578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按招标文件的要求填写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99A225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623A910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22B8012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174E817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61BD957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4E3101E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7779C47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630E69A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108600F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413BB37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3F26DAB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0493386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71C09D3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17D2605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6447BFE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11A4517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0FBAF80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35AD2CF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（17）人工、主要材料和设备一览表</w:t>
      </w:r>
    </w:p>
    <w:p w14:paraId="7AE10FB5">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14:paraId="412A548D">
      <w:pPr>
        <w:keepNext w:val="0"/>
        <w:keepLines w:val="0"/>
        <w:pageBreakBefore w:val="0"/>
        <w:tabs>
          <w:tab w:val="left" w:pos="1125"/>
        </w:tabs>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411DFD0B">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12．投标文件格式</w:t>
      </w:r>
    </w:p>
    <w:p w14:paraId="6B822BE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投标文件包括本须知第11条中规定的内容，投标人提交的投标文件应当使用招标文件所提供的投标文件全部格式（表格可以按同样格式扩展）。</w:t>
      </w:r>
    </w:p>
    <w:p w14:paraId="6B233FC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。注释：投标文件电子文档需要投标人单位盖章的材料，投标人加盖电子印章即可，不得将投标人未对电子文档加盖实物印章作为否决投标的情形。</w:t>
      </w:r>
    </w:p>
    <w:p w14:paraId="79605A6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7887F6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14:paraId="5C0745B7">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13．投标报价及造价承包和变更结算方式</w:t>
      </w:r>
    </w:p>
    <w:p w14:paraId="3EE1D8C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本工程的投标报价采用投标须知前附表第12项所规定的方式。投标报价（含单价及总价）精确到“分”。</w:t>
      </w:r>
    </w:p>
    <w:p w14:paraId="4FFE5C6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7D6066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FE3BD1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550813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2552DE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13.5.1中标的投标文件工程量清单中已有相同项目的适用综合单价，则沿用；</w:t>
      </w:r>
    </w:p>
    <w:p w14:paraId="2CC6B01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7D208D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13.5.3 中标的投标文件工程量清单中没有相同项目或类似项目的，如可套取相关定额，则以相关定额为基数下浮计算单价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下浮率为中标价相对于最高投标限价的下浮率（下浮率=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最高投标限价-中标价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最高投标限价）。</w:t>
      </w:r>
    </w:p>
    <w:p w14:paraId="52571A0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13.5.4 如相关定额没有相应子目的，其计价方式由招标人在本招标文件第三章中另行规定。未规定的，中标后双方协商约定。</w:t>
      </w:r>
    </w:p>
    <w:p w14:paraId="3525A40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13.6暂列金额、暂估价</w:t>
      </w:r>
    </w:p>
    <w:p w14:paraId="27C579A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628108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暂估价是指招标人在工程量清单中提供的用于支付必然发生但暂时不能确定价格的材料的单价以及专业工程的金额。</w:t>
      </w:r>
    </w:p>
    <w:p w14:paraId="3572DE2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5A49911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2C4FCC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62AEE2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7D635E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2C1159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1C0675B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596A71F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DD0DFD8">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14．投标货币</w:t>
      </w:r>
    </w:p>
    <w:p w14:paraId="3F9634C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本工程投标报价采用的币种为人民币。</w:t>
      </w:r>
    </w:p>
    <w:p w14:paraId="459061C4">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15．投标有效期</w:t>
      </w:r>
    </w:p>
    <w:p w14:paraId="5E7BAA1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投标有效期见投标须知前附表第13项所规定的期限，在此期限内，凡符合本招标文件要求的投标文件均保持有效。</w:t>
      </w:r>
    </w:p>
    <w:p w14:paraId="642E690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D9B371D">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16．投标保证金</w:t>
      </w:r>
    </w:p>
    <w:p w14:paraId="23630904">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14:paraId="5A383D77">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16.1.1采用现金或者支票形式提交的，投标保证金须从投标人的银行基本账户转出。</w:t>
      </w:r>
    </w:p>
    <w:p w14:paraId="4C7333F7">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BE54CD7">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16.1.3采用电子形式的保函、担保或保证保险提交投标保证金的，应在招标文件中明确电子递交途径。</w:t>
      </w:r>
    </w:p>
    <w:p w14:paraId="762A926A">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5E0474A">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16.3投标保证金应依据法律法规的相关规定退还。</w:t>
      </w:r>
    </w:p>
    <w:p w14:paraId="3779E22B">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16.4如有下列情况之一的，招标人可以不予退还投标保证金（是否退还投标保证金由招标人在招标文件中规定）：</w:t>
      </w:r>
    </w:p>
    <w:p w14:paraId="6D578976">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14:paraId="3FE066B2">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14:paraId="2AE58B03">
      <w:pPr>
        <w:pStyle w:val="37"/>
        <w:keepNext w:val="0"/>
        <w:keepLines w:val="0"/>
        <w:pageBreakBefore w:val="0"/>
        <w:kinsoku/>
        <w:wordWrap/>
        <w:overflowPunct/>
        <w:topLinePunct w:val="0"/>
        <w:autoSpaceDE/>
        <w:autoSpaceDN/>
        <w:bidi w:val="0"/>
        <w:adjustRightInd/>
        <w:spacing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14:paraId="70DF996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16.4.4中标人未能在规定期限内签署合同协议。</w:t>
      </w:r>
    </w:p>
    <w:p w14:paraId="14F4FAA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16.5投标人如存在下列情况之一的，将被拒绝在一定时期内参与招标人后续工程投标（拒绝时限需在招标文件中明确）：</w:t>
      </w:r>
    </w:p>
    <w:p w14:paraId="14F907C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16.5.1投标人存在16.4条款所列情形且投标人提交的保函、担保或保证保险无法兑付的；</w:t>
      </w:r>
    </w:p>
    <w:p w14:paraId="42C3114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16.5.2采用非电子形式提交投标保证金的投标人存在16.4条款所列情形，且未按招标人要求补交银行保函、专业工程担保公司担保或保证保险原件的；</w:t>
      </w:r>
    </w:p>
    <w:p w14:paraId="3359810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16.5.3按招标文件要求免于提供投标保证金的投标人存在16.4条款所列情形，且未按招标人要求补交投标保证金的；</w:t>
      </w:r>
    </w:p>
    <w:p w14:paraId="51B1008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16.5.3按招标文件要求免于提供投标保证金的投标人存在16.4条款所列情形的。</w:t>
      </w:r>
    </w:p>
    <w:p w14:paraId="3CFADA0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注：16.5.3款由招标人二选一，需在招标文件中明确。</w:t>
      </w:r>
    </w:p>
    <w:p w14:paraId="2F3F75BC">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17．投标文件的签署</w:t>
      </w:r>
    </w:p>
    <w:p w14:paraId="1D8A374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F4E0D09">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67" w:name="_Toc2272552"/>
      <w:bookmarkStart w:id="68" w:name="_Toc29510"/>
      <w:bookmarkStart w:id="69" w:name="_Toc13520"/>
      <w:bookmarkStart w:id="70" w:name="_Toc19111"/>
      <w:bookmarkStart w:id="71" w:name="_Toc287"/>
      <w:bookmarkStart w:id="72" w:name="_Toc58838574"/>
      <w:bookmarkStart w:id="73" w:name="_Toc20027"/>
      <w:bookmarkStart w:id="74" w:name="_Toc1148"/>
      <w:bookmarkStart w:id="75" w:name="_Toc7267"/>
      <w:bookmarkStart w:id="76" w:name="_Toc26758"/>
      <w:bookmarkStart w:id="77" w:name="_Toc3745"/>
      <w:bookmarkStart w:id="78" w:name="_Toc8074"/>
      <w:bookmarkStart w:id="79" w:name="_Toc2364"/>
      <w:bookmarkStart w:id="80" w:name="_Toc32474"/>
      <w:r>
        <w:rPr>
          <w:rFonts w:hint="eastAsia" w:ascii="宋体" w:hAnsi="宋体" w:eastAsia="宋体" w:cs="宋体"/>
          <w:color w:val="auto"/>
          <w:kern w:val="0"/>
          <w:sz w:val="24"/>
          <w:szCs w:val="24"/>
          <w:highlight w:val="none"/>
        </w:rPr>
        <w:t>（四）投标文件的提交</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5202A45">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投标文件的密封和标记</w:t>
      </w:r>
    </w:p>
    <w:p w14:paraId="36CEA2B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8C40F8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14:paraId="2BC14A6E">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19．投标文件的递交和接收</w:t>
      </w:r>
    </w:p>
    <w:p w14:paraId="59111F1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14:paraId="7A09929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3C01F6C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32598DF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投标截止前，招标人拒绝接收符合条件的投标文件，投标人可向招标投标监督机构投诉。</w:t>
      </w:r>
    </w:p>
    <w:p w14:paraId="154DA96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14:paraId="0E186C24">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20．投标文件提交的截止时间</w:t>
      </w:r>
    </w:p>
    <w:p w14:paraId="4400C3D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20.1投标人应在投标须知前附表第17项所述的时间前提交投标文件。</w:t>
      </w:r>
    </w:p>
    <w:p w14:paraId="2BCE738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A46CE2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14:paraId="3DDD49FD">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21．迟交的投标文件</w:t>
      </w:r>
    </w:p>
    <w:p w14:paraId="52F0068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0ACEF56A">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22．投标文件的修改与撤回</w:t>
      </w:r>
    </w:p>
    <w:p w14:paraId="2EF60AF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22.1在规定的投标截止时间前，投标人可以修改或撤回已递交的投标文件，但应以书面形式通知招标人。</w:t>
      </w:r>
    </w:p>
    <w:p w14:paraId="13A683E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22.2投标人修改或撤回已递交的投标文件，需在交易平台发出修改或撤回通知，并按要求加盖电子印章。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14:paraId="68B97BF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14:paraId="3F442B3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在投标截止时间之后，投标人不得补充、修改和更换投标文件。</w:t>
      </w:r>
    </w:p>
    <w:p w14:paraId="7201C2E4">
      <w:pPr>
        <w:keepNext w:val="0"/>
        <w:keepLines w:val="0"/>
        <w:pageBreakBefore w:val="0"/>
        <w:widowControl/>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eastAsia="宋体" w:cs="宋体"/>
          <w:color w:val="auto"/>
          <w:kern w:val="0"/>
          <w:sz w:val="24"/>
          <w:szCs w:val="24"/>
          <w:highlight w:val="none"/>
        </w:rPr>
      </w:pPr>
      <w:bookmarkStart w:id="81" w:name="_Toc12230"/>
      <w:bookmarkStart w:id="82" w:name="_Toc25975"/>
      <w:bookmarkStart w:id="83" w:name="_Toc25367"/>
      <w:bookmarkStart w:id="84" w:name="_Toc25942"/>
      <w:bookmarkStart w:id="85" w:name="_Toc18302"/>
      <w:bookmarkStart w:id="86" w:name="_Toc2272553"/>
      <w:bookmarkStart w:id="87" w:name="_Toc26190"/>
      <w:bookmarkStart w:id="88" w:name="_Toc28404"/>
      <w:bookmarkStart w:id="89" w:name="_Toc26236"/>
      <w:bookmarkStart w:id="90" w:name="_Toc17990"/>
      <w:bookmarkStart w:id="91" w:name="_Toc21589"/>
      <w:bookmarkStart w:id="92" w:name="_Toc58838575"/>
      <w:bookmarkStart w:id="93" w:name="_Toc9521"/>
      <w:bookmarkStart w:id="94" w:name="_Toc18143"/>
      <w:r>
        <w:rPr>
          <w:rFonts w:hint="eastAsia" w:ascii="宋体" w:hAnsi="宋体" w:eastAsia="宋体" w:cs="宋体"/>
          <w:color w:val="auto"/>
          <w:kern w:val="0"/>
          <w:sz w:val="24"/>
          <w:szCs w:val="24"/>
          <w:highlight w:val="none"/>
        </w:rPr>
        <w:t>（五）开标、评标、定标及合同签定</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0E3E625">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23、开标。</w:t>
      </w:r>
    </w:p>
    <w:p w14:paraId="070C5BF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详见第二章开标、评标及定标办法</w:t>
      </w:r>
    </w:p>
    <w:p w14:paraId="1FCD7AE2">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24．评标过程的保密</w:t>
      </w:r>
    </w:p>
    <w:p w14:paraId="206E364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14:paraId="0412D40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14:paraId="05B8A19D">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25．投标文件的澄清，计算错误的修正</w:t>
      </w:r>
    </w:p>
    <w:p w14:paraId="4E4B749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14:paraId="60A53457">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26．投标文件的评审、比较和否决</w:t>
      </w:r>
    </w:p>
    <w:p w14:paraId="1C35762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14:paraId="475AB15D">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27．中标通知书</w:t>
      </w:r>
    </w:p>
    <w:p w14:paraId="66826D8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w:t>
      </w:r>
      <w:r>
        <w:rPr>
          <w:rFonts w:hint="eastAsia" w:ascii="宋体" w:hAnsi="宋体" w:eastAsia="宋体" w:cs="宋体"/>
          <w:b/>
          <w:bCs/>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5E1404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27.2招标人应当自确定中标人后，向招标投标监管机构提交招标投标情况的书面报告；经招投标监管机构备案后，方可发出中标通知书。</w:t>
      </w:r>
    </w:p>
    <w:p w14:paraId="197BBB0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27.3中标人必须在收到中标通知书后24小时之内以书面形式回复招标人，确认收到。</w:t>
      </w:r>
    </w:p>
    <w:p w14:paraId="4D2F6C0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14:paraId="1712525F">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28．合同协议书的签订</w:t>
      </w:r>
    </w:p>
    <w:p w14:paraId="525CB2F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14:paraId="09D7B2C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EA1550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3676F8A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28.4招标人支付工程款时，中标人应按规定开具发票。</w:t>
      </w:r>
    </w:p>
    <w:p w14:paraId="7DC07CD6">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29．履约担保</w:t>
      </w:r>
    </w:p>
    <w:p w14:paraId="59090CA6">
      <w:pPr>
        <w:keepNext w:val="0"/>
        <w:keepLines w:val="0"/>
        <w:pageBreakBefore w:val="0"/>
        <w:kinsoku/>
        <w:wordWrap/>
        <w:overflowPunct/>
        <w:topLinePunct w:val="0"/>
        <w:autoSpaceDE/>
        <w:autoSpaceDN/>
        <w:bidi w:val="0"/>
        <w:adjustRightInd/>
        <w:snapToGrid w:val="0"/>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在收到中标通知书后的</w:t>
      </w:r>
      <w:r>
        <w:rPr>
          <w:rFonts w:hint="eastAsia" w:ascii="宋体" w:hAnsi="宋体" w:eastAsia="宋体" w:cs="宋体"/>
          <w:b/>
          <w:color w:val="auto"/>
          <w:sz w:val="24"/>
          <w:szCs w:val="24"/>
          <w:highlight w:val="none"/>
        </w:rPr>
        <w:t>15日</w:t>
      </w:r>
      <w:r>
        <w:rPr>
          <w:rFonts w:hint="eastAsia" w:ascii="宋体" w:hAnsi="宋体" w:eastAsia="宋体" w:cs="宋体"/>
          <w:color w:val="auto"/>
          <w:sz w:val="24"/>
          <w:szCs w:val="24"/>
          <w:highlight w:val="none"/>
        </w:rPr>
        <w:t>内，中标人应按本须知前附表第20项的规定向招标人提交履约担保；</w:t>
      </w:r>
    </w:p>
    <w:p w14:paraId="007F654F">
      <w:pPr>
        <w:keepNext w:val="0"/>
        <w:keepLines w:val="0"/>
        <w:pageBreakBefore w:val="0"/>
        <w:kinsoku/>
        <w:wordWrap/>
        <w:overflowPunct/>
        <w:topLinePunct w:val="0"/>
        <w:autoSpaceDE/>
        <w:autoSpaceDN/>
        <w:bidi w:val="0"/>
        <w:adjustRightInd/>
        <w:snapToGrid w:val="0"/>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794E66C">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30．合同生效</w:t>
      </w:r>
    </w:p>
    <w:p w14:paraId="2BBE64D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30.1在合同双方全权代表在合同协议书上签字，并分别加盖双方单位的公章后，合同正式生效。</w:t>
      </w:r>
    </w:p>
    <w:p w14:paraId="70445E7F">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31．其它费用</w:t>
      </w:r>
    </w:p>
    <w:p w14:paraId="7C3166FF">
      <w:pPr>
        <w:keepNext w:val="0"/>
        <w:keepLines w:val="0"/>
        <w:pageBreakBefore w:val="0"/>
        <w:kinsoku/>
        <w:wordWrap/>
        <w:overflowPunct/>
        <w:topLinePunct w:val="0"/>
        <w:autoSpaceDE/>
        <w:autoSpaceDN/>
        <w:bidi w:val="0"/>
        <w:adjustRightInd/>
        <w:spacing w:beforeAutospacing="0" w:afterAutospacing="0"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32．腐败与欺诈行为</w:t>
      </w:r>
    </w:p>
    <w:p w14:paraId="357EDD8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在招标和合同实施期间，招标人要求投标人和承包人遵守最高的道德标准。</w:t>
      </w:r>
    </w:p>
    <w:p w14:paraId="773A58A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32．1对本条款的规定，特定义如下词汇：</w:t>
      </w:r>
    </w:p>
    <w:p w14:paraId="220B69E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1）、“腐败行为”是指在招标或合同执行期间，通过提供、给予、接受或索要任何有价值的东西，从而影响招标人有关人员工作的行为；</w:t>
      </w:r>
    </w:p>
    <w:p w14:paraId="02A69DA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1A2180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32．2如果投标人被认定在本招标的竞争中有腐败或欺诈行为，则会被取消投标资格。</w:t>
      </w:r>
    </w:p>
    <w:p w14:paraId="2A49628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32.3投标人如在本项目中存在串通投标、弄虚作假</w:t>
      </w:r>
      <w:r>
        <w:rPr>
          <w:rFonts w:hint="eastAsia" w:ascii="宋体" w:hAnsi="宋体" w:eastAsia="宋体" w:cs="宋体"/>
          <w:b/>
          <w:bCs/>
          <w:color w:val="auto"/>
          <w:sz w:val="24"/>
          <w:szCs w:val="24"/>
          <w:highlight w:val="none"/>
        </w:rPr>
        <w:t>骗取中标、</w:t>
      </w:r>
      <w:r>
        <w:rPr>
          <w:rFonts w:hint="eastAsia" w:ascii="宋体" w:hAnsi="宋体" w:eastAsia="宋体" w:cs="宋体"/>
          <w:color w:val="auto"/>
          <w:sz w:val="24"/>
          <w:szCs w:val="24"/>
          <w:highlight w:val="none"/>
        </w:rPr>
        <w:t>行贿情形的，中标无效，行政监督部门将对其违法行为进行政处罚。</w:t>
      </w:r>
      <w:r>
        <w:rPr>
          <w:rFonts w:hint="eastAsia" w:ascii="宋体" w:hAnsi="宋体" w:eastAsia="宋体" w:cs="宋体"/>
          <w:b/>
          <w:bCs/>
          <w:color w:val="auto"/>
          <w:sz w:val="24"/>
          <w:szCs w:val="24"/>
          <w:highlight w:val="none"/>
        </w:rPr>
        <w:t>该投标人将被招标人列入黑名单并限制其参与招标人后续项目的投标。</w:t>
      </w:r>
    </w:p>
    <w:bookmarkEnd w:id="23"/>
    <w:bookmarkEnd w:id="24"/>
    <w:p w14:paraId="3FD3D56F">
      <w:pPr>
        <w:pStyle w:val="37"/>
        <w:spacing w:after="0" w:line="360" w:lineRule="auto"/>
        <w:ind w:firstLine="480" w:firstLineChars="200"/>
        <w:rPr>
          <w:rFonts w:hint="eastAsia" w:ascii="宋体" w:hAnsi="宋体" w:cs="宋体"/>
          <w:color w:val="auto"/>
          <w:sz w:val="24"/>
          <w:szCs w:val="24"/>
          <w:highlight w:val="none"/>
        </w:rPr>
      </w:pPr>
    </w:p>
    <w:p w14:paraId="139FCC65">
      <w:pPr>
        <w:pStyle w:val="3"/>
        <w:spacing w:line="360" w:lineRule="auto"/>
        <w:rPr>
          <w:rFonts w:hint="eastAsia" w:ascii="宋体" w:hAnsi="宋体" w:cs="宋体"/>
          <w:b w:val="0"/>
          <w:color w:val="auto"/>
          <w:sz w:val="32"/>
          <w:szCs w:val="32"/>
          <w:highlight w:val="none"/>
        </w:rPr>
      </w:pPr>
      <w:r>
        <w:rPr>
          <w:rFonts w:hint="eastAsia" w:ascii="宋体" w:hAnsi="宋体" w:eastAsia="宋体" w:cs="宋体"/>
          <w:color w:val="auto"/>
          <w:sz w:val="24"/>
          <w:szCs w:val="24"/>
          <w:highlight w:val="none"/>
          <w:lang w:bidi="ar-SA"/>
        </w:rPr>
        <w:br w:type="page"/>
      </w:r>
      <w:bookmarkStart w:id="95" w:name="_Toc8763"/>
      <w:bookmarkStart w:id="96" w:name="_Toc2272554"/>
      <w:bookmarkStart w:id="97" w:name="_Toc7115"/>
      <w:r>
        <w:rPr>
          <w:rFonts w:hint="eastAsia" w:ascii="宋体" w:hAnsi="宋体" w:cs="宋体"/>
          <w:b w:val="0"/>
          <w:color w:val="auto"/>
          <w:sz w:val="32"/>
          <w:szCs w:val="32"/>
          <w:highlight w:val="none"/>
        </w:rPr>
        <w:t>第二章  开标、评标及定标办法</w:t>
      </w:r>
      <w:bookmarkEnd w:id="95"/>
      <w:bookmarkEnd w:id="96"/>
      <w:bookmarkEnd w:id="97"/>
    </w:p>
    <w:p w14:paraId="1C1F5253">
      <w:pPr>
        <w:pStyle w:val="5"/>
        <w:spacing w:line="360" w:lineRule="auto"/>
        <w:rPr>
          <w:rFonts w:hint="eastAsia" w:ascii="宋体" w:hAnsi="宋体" w:cs="宋体"/>
          <w:color w:val="auto"/>
          <w:sz w:val="28"/>
          <w:szCs w:val="28"/>
          <w:highlight w:val="none"/>
        </w:rPr>
      </w:pPr>
      <w:bookmarkStart w:id="98" w:name="_Toc2272555"/>
      <w:bookmarkStart w:id="99" w:name="_Toc23576"/>
      <w:bookmarkStart w:id="100" w:name="_Toc26460"/>
      <w:r>
        <w:rPr>
          <w:rFonts w:hint="eastAsia" w:ascii="宋体" w:hAnsi="宋体" w:cs="宋体"/>
          <w:color w:val="auto"/>
          <w:sz w:val="28"/>
          <w:szCs w:val="28"/>
          <w:highlight w:val="none"/>
        </w:rPr>
        <w:t>一、开标、评标及定标办法修改表</w:t>
      </w:r>
      <w:bookmarkEnd w:id="98"/>
      <w:bookmarkEnd w:id="99"/>
      <w:bookmarkEnd w:id="100"/>
    </w:p>
    <w:p w14:paraId="2179FE33">
      <w:pPr>
        <w:pStyle w:val="37"/>
        <w:spacing w:after="0"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HYPERLINK "http://www.gzcc.gov.cn/）下载GZZB2018-3"</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http://zfcj.gz.gov.cn/）下载GZZB2018-3</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范本查阅。</w:t>
      </w:r>
    </w:p>
    <w:p w14:paraId="601D2D3A">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
        </w:rPr>
        <w:t>条款号：</w:t>
      </w:r>
      <w:r>
        <w:rPr>
          <w:rFonts w:hint="eastAsia" w:ascii="宋体" w:hAnsi="宋体" w:eastAsia="宋体" w:cs="宋体"/>
          <w:color w:val="auto"/>
          <w:sz w:val="24"/>
          <w:szCs w:val="24"/>
          <w:highlight w:val="none"/>
          <w:lang w:bidi="ar"/>
        </w:rPr>
        <w:t>35</w:t>
      </w:r>
      <w:r>
        <w:rPr>
          <w:rFonts w:hint="eastAsia" w:ascii="宋体" w:hAnsi="宋体" w:eastAsia="宋体" w:cs="宋体"/>
          <w:b/>
          <w:color w:val="auto"/>
          <w:sz w:val="24"/>
          <w:szCs w:val="24"/>
          <w:highlight w:val="none"/>
          <w:lang w:bidi="ar"/>
        </w:rPr>
        <w:t xml:space="preserve">          修改类型：修改</w:t>
      </w:r>
    </w:p>
    <w:p w14:paraId="39D1FFDD">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
        </w:rPr>
        <w:t>原文：</w:t>
      </w:r>
      <w:r>
        <w:rPr>
          <w:rFonts w:hint="eastAsia" w:ascii="宋体" w:hAnsi="宋体" w:eastAsia="宋体" w:cs="宋体"/>
          <w:color w:val="auto"/>
          <w:sz w:val="24"/>
          <w:szCs w:val="24"/>
          <w:highlight w:val="none"/>
          <w:lang w:bidi="ar"/>
        </w:rPr>
        <w:t>开标、评标及定标所依据的规则</w:t>
      </w:r>
    </w:p>
    <w:p w14:paraId="3836789B">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35.1《中华人民共和国招标投标法》；</w:t>
      </w:r>
    </w:p>
    <w:p w14:paraId="75E92AA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35.2《中华人民共和国招标投标法实施条例》；</w:t>
      </w:r>
    </w:p>
    <w:p w14:paraId="69C2010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35.3《评标委员会和评标方法暂行规定》（七部委第12号令）</w:t>
      </w:r>
    </w:p>
    <w:p w14:paraId="4990671A">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35.4《工程建设项目施工招标投标办法》（七部委2003年第30号令）</w:t>
      </w:r>
    </w:p>
    <w:p w14:paraId="0C5FA72D">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35.5《广东省实施〈中华人民共和国招标投标法〉办法》；</w:t>
      </w:r>
    </w:p>
    <w:p w14:paraId="0A552643">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35.6《房屋建筑和市政基础设施工程施工招标投标管理办法》（建设部令第89号）</w:t>
      </w:r>
    </w:p>
    <w:p w14:paraId="3B839928">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35.7《财政部工业和信息化部关于印发〈政府采购促进中小企业发展管理办法〉的通知》（财库〔2020〕46号）</w:t>
      </w:r>
    </w:p>
    <w:p w14:paraId="1AC3A51E">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35.8《广东省加强建设工程招标投标监督管理的若干规定》（粤发[2004]4号）；</w:t>
      </w:r>
    </w:p>
    <w:p w14:paraId="10631EA9">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35.9《广东省政府采购促进中小企业发展实施细则（试行）》</w:t>
      </w:r>
    </w:p>
    <w:p w14:paraId="3B5D9E6C">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35.10《广州市工程建设项目招标投标管理办法》（穗建规字〔2023〕12号）；</w:t>
      </w:r>
    </w:p>
    <w:p w14:paraId="1351EE0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35.11《广州市财政局 广州市工业和信息化局转发广东省财政厅 广东省发展和改革委员会 广东省工业和信息化厅 广东省地方金融监督管理局关于印发</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广东省政府采购促进中小企业发展实施细则（试行）</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的通知》（穗财采〔2023〕8号）；</w:t>
      </w:r>
    </w:p>
    <w:p w14:paraId="47647EDC">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color w:val="auto"/>
          <w:sz w:val="24"/>
          <w:szCs w:val="24"/>
          <w:highlight w:val="none"/>
          <w:lang w:bidi="ar"/>
        </w:rPr>
        <w:t>35.12本项目招标文件。</w:t>
      </w:r>
    </w:p>
    <w:p w14:paraId="3376A54B">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
        </w:rPr>
        <w:t>现文：</w:t>
      </w:r>
      <w:r>
        <w:rPr>
          <w:rFonts w:hint="eastAsia" w:ascii="宋体" w:hAnsi="宋体" w:eastAsia="宋体" w:cs="宋体"/>
          <w:color w:val="auto"/>
          <w:sz w:val="24"/>
          <w:szCs w:val="24"/>
          <w:highlight w:val="none"/>
          <w:lang w:bidi="ar"/>
        </w:rPr>
        <w:t>开标、评标及定标所依据的规则</w:t>
      </w:r>
    </w:p>
    <w:p w14:paraId="60559232">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 开标、评标及定标所依据的规则</w:t>
      </w:r>
    </w:p>
    <w:p w14:paraId="6D6CB4F6">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35.1《中华人民共和国招标投标法》；</w:t>
      </w:r>
    </w:p>
    <w:p w14:paraId="3766A972">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35.2《中华人民共和国招标投标法实施条例》；</w:t>
      </w:r>
    </w:p>
    <w:p w14:paraId="59A0A9C2">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35.3《评标委员会和评标方法暂行规定》（七部委第12号令）；</w:t>
      </w:r>
    </w:p>
    <w:p w14:paraId="7BC1F580">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35.4《工程建设项目施工招标投标办法》（七部委2003年第30号令）；</w:t>
      </w:r>
    </w:p>
    <w:p w14:paraId="4919E98D">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35.5《广东省实施〈中华人民共和国招标投标法〉办法》；</w:t>
      </w:r>
    </w:p>
    <w:p w14:paraId="284A0721">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
        </w:rPr>
        <w:t>35.6《房屋建筑和市政基础设施工程施工招标投标管理办法》（建设部令第89号）；</w:t>
      </w:r>
    </w:p>
    <w:p w14:paraId="1C05293C">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35.7《财政部工业和信息化部关于印发〈政府采购促进中小企业发展管理办法〉的通知》（财库〔2020〕46号）</w:t>
      </w:r>
    </w:p>
    <w:p w14:paraId="76D4A4E9">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35.8《广东省加强建设工程招标投标监督管理的若干规定》（粤发</w:t>
      </w:r>
      <w:r>
        <w:rPr>
          <w:rFonts w:hint="eastAsia" w:ascii="宋体" w:hAnsi="宋体" w:cs="宋体"/>
          <w:color w:val="auto"/>
          <w:sz w:val="24"/>
          <w:szCs w:val="24"/>
          <w:highlight w:val="none"/>
          <w:lang w:eastAsia="zh-CN" w:bidi="ar"/>
        </w:rPr>
        <w:t>〔2004〕4号</w:t>
      </w:r>
      <w:r>
        <w:rPr>
          <w:rFonts w:hint="eastAsia" w:ascii="宋体" w:hAnsi="宋体" w:eastAsia="宋体" w:cs="宋体"/>
          <w:color w:val="auto"/>
          <w:sz w:val="24"/>
          <w:szCs w:val="24"/>
          <w:highlight w:val="none"/>
          <w:lang w:bidi="ar"/>
        </w:rPr>
        <w:t>）；</w:t>
      </w:r>
    </w:p>
    <w:p w14:paraId="0EC18867">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35.9《广东省政府采购促进中小企业发展实施细则（试行）》</w:t>
      </w:r>
    </w:p>
    <w:p w14:paraId="13863D73">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35.10《广州市工程建设项目招标投标管理办法》（穗建规字〔2023〕12号）；</w:t>
      </w:r>
    </w:p>
    <w:p w14:paraId="7647372A">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35.11《广州市财政局 广州市工业和信息化局转发广东省财政厅 广东省发展和改革委员会 广东省工业和信息化厅 广东省地方金融监督管理局关于印发</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广东省政府采购促进中小企业发展实施细则（试行）</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的通知》（穗财采〔2023〕8号）；</w:t>
      </w:r>
    </w:p>
    <w:p w14:paraId="5FBE3847">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35.12本项目招标文件。</w:t>
      </w:r>
    </w:p>
    <w:p w14:paraId="466778AD">
      <w:pPr>
        <w:keepNext w:val="0"/>
        <w:keepLines w:val="0"/>
        <w:pageBreakBefore w:val="0"/>
        <w:widowControl/>
        <w:pBdr>
          <w:bottom w:val="single" w:color="000000"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35.13本项目采用评定分离定标办法，其中：评标采用通过制评审法，定标采用</w:t>
      </w:r>
      <w:r>
        <w:rPr>
          <w:rFonts w:hint="eastAsia" w:ascii="宋体" w:hAnsi="宋体" w:cs="宋体"/>
          <w:color w:val="auto"/>
          <w:sz w:val="24"/>
          <w:szCs w:val="24"/>
          <w:highlight w:val="none"/>
          <w:u w:val="single"/>
          <w:lang w:val="en-US" w:eastAsia="zh-CN" w:bidi="ar"/>
        </w:rPr>
        <w:t>评分</w:t>
      </w:r>
      <w:r>
        <w:rPr>
          <w:rFonts w:hint="eastAsia" w:ascii="宋体" w:hAnsi="宋体" w:eastAsia="宋体" w:cs="宋体"/>
          <w:color w:val="auto"/>
          <w:sz w:val="24"/>
          <w:szCs w:val="24"/>
          <w:highlight w:val="none"/>
          <w:u w:val="single"/>
          <w:lang w:bidi="ar"/>
        </w:rPr>
        <w:t>法。</w:t>
      </w:r>
    </w:p>
    <w:p w14:paraId="430A6EE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 xml:space="preserve">   修改类型：修改</w:t>
      </w:r>
    </w:p>
    <w:p w14:paraId="021E777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36.1 招标人按投标须知前附表第18项所规定的时间和地点公开开标，并邀请所有投标人参加。截标后，开标开始时间因故推迟的，相关评标信息仍以原定的开标开始时间的信息为准。</w:t>
      </w:r>
    </w:p>
    <w:p w14:paraId="5B4BD16D">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 xml:space="preserve">36.1 </w:t>
      </w:r>
      <w:r>
        <w:rPr>
          <w:rStyle w:val="75"/>
          <w:rFonts w:hint="eastAsia" w:ascii="宋体" w:hAnsi="宋体" w:eastAsia="宋体" w:cs="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Style w:val="75"/>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0E2C34B5">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修改类型：删除</w:t>
      </w:r>
    </w:p>
    <w:p w14:paraId="788335B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40F7E9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条款号：36.4             修改类型：修改</w:t>
      </w:r>
    </w:p>
    <w:p w14:paraId="74AB1DC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1D8CAB87">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36.4若递交投标文件的投标人不足</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家，则重新组织招标。</w:t>
      </w:r>
    </w:p>
    <w:p w14:paraId="40F5860E">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条款号：36.5.1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79B274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36.5.1在投标截止时间后一个小时内，投标人通过</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EAD83D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36.5.1在投标截止时间后一个小时内，投标人通过</w:t>
      </w:r>
      <w:r>
        <w:rPr>
          <w:rFonts w:hint="eastAsia" w:ascii="宋体" w:hAnsi="宋体" w:eastAsia="宋体" w:cs="宋体"/>
          <w:color w:val="auto"/>
          <w:sz w:val="24"/>
          <w:szCs w:val="24"/>
          <w:highlight w:val="none"/>
          <w:u w:val="single"/>
          <w:lang w:bidi="ar-SA"/>
        </w:rPr>
        <w:t>广州交易集团有限公司（广州公共资源交易中心）</w:t>
      </w:r>
      <w:r>
        <w:rPr>
          <w:rFonts w:hint="eastAsia" w:ascii="宋体" w:hAnsi="宋体" w:eastAsia="宋体" w:cs="宋体"/>
          <w:color w:val="auto"/>
          <w:sz w:val="24"/>
          <w:szCs w:val="24"/>
          <w:highlight w:val="none"/>
          <w:lang w:bidi="ar-SA"/>
        </w:rPr>
        <w:t>交易平台对已递交的电子投标文件进行解密。投标人完成解密后，再由</w:t>
      </w:r>
      <w:r>
        <w:rPr>
          <w:rFonts w:hint="eastAsia" w:ascii="宋体" w:hAnsi="宋体" w:eastAsia="宋体" w:cs="宋体"/>
          <w:color w:val="auto"/>
          <w:sz w:val="24"/>
          <w:szCs w:val="24"/>
          <w:highlight w:val="none"/>
          <w:u w:val="single"/>
          <w:lang w:bidi="ar-SA"/>
        </w:rPr>
        <w:t>招标人或招标代理机构</w:t>
      </w:r>
      <w:r>
        <w:rPr>
          <w:rFonts w:hint="eastAsia" w:ascii="宋体" w:hAnsi="宋体" w:eastAsia="宋体" w:cs="宋体"/>
          <w:color w:val="auto"/>
          <w:sz w:val="24"/>
          <w:szCs w:val="24"/>
          <w:highlight w:val="none"/>
          <w:lang w:bidi="ar-SA"/>
        </w:rPr>
        <w:t>进行解密。解密完成后，公布招标项目名称、投标人名称、投标报价、工期及其他内容；</w:t>
      </w:r>
    </w:p>
    <w:p w14:paraId="16D3300C">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条款号：36.5.3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0030AEE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投标人代表、招标人代表、监标人、记录人等有关人员在开标记录上签字确认；若有关人员不签字的，不影响开标程序；</w:t>
      </w:r>
    </w:p>
    <w:p w14:paraId="03CE742D">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投标人代表、招标人代表、监标人、记录人等有关人员在开标记录上签字确认；若有关人员不签字的，不影响开标程序；</w:t>
      </w:r>
      <w:r>
        <w:rPr>
          <w:rFonts w:hint="eastAsia" w:ascii="宋体" w:hAnsi="宋体" w:eastAsia="宋体" w:cs="宋体"/>
          <w:color w:val="auto"/>
          <w:sz w:val="24"/>
          <w:szCs w:val="24"/>
          <w:highlight w:val="none"/>
          <w:u w:val="single"/>
          <w:lang w:bidi="ar-SA"/>
        </w:rPr>
        <w:t>若投标人不参加开标会的，或不签字确认的，视同该投标人认可开标结果。</w:t>
      </w:r>
    </w:p>
    <w:p w14:paraId="03BBE60F">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条款号：37.                    修改类型：修改</w:t>
      </w:r>
    </w:p>
    <w:p w14:paraId="4ECA60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原文：37.</w:t>
      </w:r>
      <w:r>
        <w:rPr>
          <w:rFonts w:hint="eastAsia" w:ascii="宋体" w:hAnsi="宋体" w:eastAsia="宋体" w:cs="宋体"/>
          <w:color w:val="auto"/>
          <w:sz w:val="24"/>
          <w:szCs w:val="24"/>
          <w:highlight w:val="none"/>
          <w:lang w:bidi="ar-SA"/>
        </w:rPr>
        <w:t>评标</w:t>
      </w:r>
    </w:p>
    <w:p w14:paraId="7590B97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37.1评标委员会由招标人依法组建。</w:t>
      </w:r>
    </w:p>
    <w:p w14:paraId="577CE78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37.2评标委员会在开始评标前，应了解评标专家的职责及守则，认真阅读《评标委员会成员声明》的内容并签名，签字后方可进行评标；</w:t>
      </w:r>
    </w:p>
    <w:p w14:paraId="46CF1E5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lang w:val="en-US" w:eastAsia="zh-CN" w:bidi="ar-SA"/>
        </w:rPr>
        <w:t>37.3</w:t>
      </w:r>
      <w:r>
        <w:rPr>
          <w:rFonts w:hint="eastAsia" w:ascii="宋体" w:hAnsi="宋体" w:eastAsia="宋体" w:cs="宋体"/>
          <w:color w:val="auto"/>
          <w:sz w:val="24"/>
          <w:szCs w:val="24"/>
          <w:highlight w:val="none"/>
          <w:lang w:bidi="ar-SA"/>
        </w:rPr>
        <w:t>评标委员会的职责及守则：</w:t>
      </w:r>
    </w:p>
    <w:p w14:paraId="0B1402D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.1根据评标细则，对投标文件进行认真评审，完成评审报告；</w:t>
      </w:r>
    </w:p>
    <w:p w14:paraId="59C2AC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.2向招标人报告评审意见，推荐合格的中标候选人。</w:t>
      </w:r>
    </w:p>
    <w:p w14:paraId="474AECE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.3 所有参加评标人员必须遵守国家、地方政府制定的有关工程招标投标的法则、规定，遵守有关工程招标投标的保密制度；如有违反者，给予行政处分；情节严重，构成犯罪的，由司法机关依法追究其刑事责任。</w:t>
      </w:r>
    </w:p>
    <w:p w14:paraId="2562140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.4全体参与评标人员：</w:t>
      </w:r>
    </w:p>
    <w:p w14:paraId="04FBF70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.4.1 必须遵守评标纪律、不得泄密；</w:t>
      </w:r>
    </w:p>
    <w:p w14:paraId="6635553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.4.2 必须公正、不得循私；</w:t>
      </w:r>
    </w:p>
    <w:p w14:paraId="0BA797C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.4.3 必须科学、不得草率；</w:t>
      </w:r>
    </w:p>
    <w:p w14:paraId="35A8737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.4.4 必须客观、不得带有成见；</w:t>
      </w:r>
    </w:p>
    <w:p w14:paraId="1622A60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.4.5 必须平等、不得强加于人；</w:t>
      </w:r>
    </w:p>
    <w:p w14:paraId="2E26B7B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.4.6 必须严谨、不得随意马虎。</w:t>
      </w:r>
    </w:p>
    <w:p w14:paraId="53D0A6F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bidi="ar-SA"/>
        </w:rPr>
        <w:t xml:space="preserve"> 评标结束后，评标委员会递交评标报告并依法推荐中标候选人。</w:t>
      </w:r>
    </w:p>
    <w:p w14:paraId="19881C66">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现文：37.</w:t>
      </w:r>
      <w:r>
        <w:rPr>
          <w:rFonts w:hint="eastAsia" w:ascii="宋体" w:hAnsi="宋体" w:eastAsia="宋体" w:cs="宋体"/>
          <w:color w:val="auto"/>
          <w:sz w:val="24"/>
          <w:szCs w:val="24"/>
          <w:highlight w:val="none"/>
          <w:lang w:bidi="ar-SA"/>
        </w:rPr>
        <w:t>评标</w:t>
      </w:r>
    </w:p>
    <w:p w14:paraId="1F2A4E5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37.1评标委员会由招标人</w:t>
      </w:r>
      <w:r>
        <w:rPr>
          <w:rFonts w:hint="eastAsia" w:ascii="宋体" w:hAnsi="宋体" w:eastAsia="宋体" w:cs="宋体"/>
          <w:color w:val="auto"/>
          <w:sz w:val="24"/>
          <w:szCs w:val="24"/>
          <w:highlight w:val="none"/>
          <w:lang w:eastAsia="zh-CN" w:bidi="ar-SA"/>
        </w:rPr>
        <w:t>依法依规</w:t>
      </w:r>
      <w:r>
        <w:rPr>
          <w:rFonts w:hint="eastAsia" w:ascii="宋体" w:hAnsi="宋体" w:eastAsia="宋体" w:cs="宋体"/>
          <w:color w:val="auto"/>
          <w:sz w:val="24"/>
          <w:szCs w:val="24"/>
          <w:highlight w:val="none"/>
          <w:lang w:bidi="ar-SA"/>
        </w:rPr>
        <w:t>组建。</w:t>
      </w:r>
    </w:p>
    <w:p w14:paraId="6E12CD7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37.2评标委员会在开始评标前，应了解评标专家的职责及守则，认真阅读附表八《评标委员会成员声明》的内容并签名，签字后方可进行评标；</w:t>
      </w:r>
    </w:p>
    <w:p w14:paraId="7BCA8DB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lang w:val="en-US" w:eastAsia="zh-CN" w:bidi="ar-SA"/>
        </w:rPr>
        <w:t>37.3</w:t>
      </w:r>
      <w:r>
        <w:rPr>
          <w:rFonts w:hint="eastAsia" w:ascii="宋体" w:hAnsi="宋体" w:eastAsia="宋体" w:cs="宋体"/>
          <w:color w:val="auto"/>
          <w:sz w:val="24"/>
          <w:szCs w:val="24"/>
          <w:highlight w:val="none"/>
          <w:lang w:bidi="ar-SA"/>
        </w:rPr>
        <w:t>评标委员会的职责及守则：</w:t>
      </w:r>
    </w:p>
    <w:p w14:paraId="0C3046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.1根据评标细则，对投标文件进行认真评审，完成评审报告；</w:t>
      </w:r>
    </w:p>
    <w:p w14:paraId="1C71AB2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.2向招标人推荐</w:t>
      </w:r>
      <w:r>
        <w:rPr>
          <w:rFonts w:hint="eastAsia" w:ascii="宋体" w:hAnsi="宋体" w:eastAsia="宋体" w:cs="宋体"/>
          <w:color w:val="auto"/>
          <w:sz w:val="24"/>
          <w:szCs w:val="24"/>
          <w:highlight w:val="none"/>
          <w:u w:val="single"/>
          <w:lang w:bidi="ar-SA"/>
        </w:rPr>
        <w:t>进入定标阶段的合格的中标候选人[</w:t>
      </w:r>
      <w:r>
        <w:rPr>
          <w:rFonts w:hint="eastAsia" w:ascii="宋体" w:hAnsi="宋体" w:cs="宋体"/>
          <w:color w:val="auto"/>
          <w:sz w:val="24"/>
          <w:szCs w:val="24"/>
          <w:highlight w:val="none"/>
          <w:u w:val="single"/>
          <w:lang w:val="en-US" w:eastAsia="zh-CN" w:bidi="ar-SA"/>
        </w:rPr>
        <w:t>合格的</w:t>
      </w:r>
      <w:r>
        <w:rPr>
          <w:rFonts w:hint="eastAsia" w:ascii="宋体" w:hAnsi="宋体" w:eastAsia="宋体" w:cs="宋体"/>
          <w:color w:val="auto"/>
          <w:sz w:val="24"/>
          <w:szCs w:val="24"/>
          <w:highlight w:val="none"/>
          <w:u w:val="single"/>
          <w:lang w:bidi="ar-SA"/>
        </w:rPr>
        <w:t>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sz w:val="24"/>
          <w:szCs w:val="24"/>
          <w:highlight w:val="none"/>
          <w:lang w:bidi="ar-SA"/>
        </w:rPr>
        <w:t>，并递交资格审查报告和评标报告。</w:t>
      </w:r>
    </w:p>
    <w:p w14:paraId="15B501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.3所有参加评标人员必须遵守国家、地方政府制定的有关工程招标投标的法则、规定，遵守有关工程招标投标的保密制度；如有违反者，给予行政处分；情节严重，构成犯罪的，由司法机关依法追究其刑事责任；</w:t>
      </w:r>
    </w:p>
    <w:p w14:paraId="48507E0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.4全体参与评标人员：</w:t>
      </w:r>
    </w:p>
    <w:p w14:paraId="13EDDB0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.4.1 必须遵守评标纪律、不得泄密；</w:t>
      </w:r>
    </w:p>
    <w:p w14:paraId="308F163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.4.2 必须公正、不得循私；</w:t>
      </w:r>
    </w:p>
    <w:p w14:paraId="44568CC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.4.3 必须科学、不得草率；</w:t>
      </w:r>
    </w:p>
    <w:p w14:paraId="19C7774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.4.4 必须客观、不得带有成见；</w:t>
      </w:r>
    </w:p>
    <w:p w14:paraId="759AC5B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.4.5 必须平等、不得强加于人；</w:t>
      </w:r>
    </w:p>
    <w:p w14:paraId="57F142D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37.</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.4.6 必须严谨、不得随意马虎。</w:t>
      </w:r>
    </w:p>
    <w:p w14:paraId="6C9A466B">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u w:val="single"/>
          <w:lang w:bidi="ar-SA"/>
        </w:rPr>
      </w:pPr>
      <w:r>
        <w:rPr>
          <w:rFonts w:hint="eastAsia" w:ascii="宋体" w:hAnsi="宋体" w:eastAsia="宋体" w:cs="宋体"/>
          <w:color w:val="auto"/>
          <w:kern w:val="2"/>
          <w:sz w:val="24"/>
          <w:szCs w:val="24"/>
          <w:highlight w:val="none"/>
          <w:u w:val="single"/>
          <w:lang w:bidi="ar-SA"/>
        </w:rPr>
        <w:t>37.</w:t>
      </w:r>
      <w:r>
        <w:rPr>
          <w:rFonts w:hint="eastAsia" w:hAnsi="宋体" w:cs="宋体"/>
          <w:color w:val="auto"/>
          <w:kern w:val="2"/>
          <w:sz w:val="24"/>
          <w:szCs w:val="24"/>
          <w:highlight w:val="none"/>
          <w:u w:val="single"/>
          <w:lang w:val="en-US" w:eastAsia="zh-CN" w:bidi="ar-SA"/>
        </w:rPr>
        <w:t>4</w:t>
      </w:r>
      <w:r>
        <w:rPr>
          <w:rFonts w:hint="eastAsia" w:ascii="宋体" w:hAnsi="宋体" w:eastAsia="宋体" w:cs="宋体"/>
          <w:color w:val="auto"/>
          <w:kern w:val="2"/>
          <w:sz w:val="24"/>
          <w:szCs w:val="24"/>
          <w:highlight w:val="none"/>
          <w:u w:val="single"/>
          <w:lang w:bidi="ar-SA"/>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1D56E41">
      <w:pPr>
        <w:keepNext w:val="0"/>
        <w:keepLines w:val="0"/>
        <w:pageBreakBefore w:val="0"/>
        <w:pBdr>
          <w:bottom w:val="single" w:color="auto" w:sz="4"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auto"/>
          <w:sz w:val="24"/>
          <w:szCs w:val="24"/>
          <w:highlight w:val="none"/>
          <w:u w:val="none"/>
          <w:lang w:val="en-US" w:eastAsia="zh-CN" w:bidi="ar-SA"/>
        </w:rPr>
      </w:pPr>
      <w:r>
        <w:rPr>
          <w:rFonts w:hint="eastAsia" w:ascii="宋体" w:hAnsi="宋体" w:eastAsia="宋体" w:cs="宋体"/>
          <w:b w:val="0"/>
          <w:bCs/>
          <w:color w:val="auto"/>
          <w:sz w:val="24"/>
          <w:szCs w:val="24"/>
          <w:highlight w:val="none"/>
          <w:u w:val="none"/>
          <w:lang w:bidi="ar-SA"/>
        </w:rPr>
        <w:t>37.</w:t>
      </w:r>
      <w:r>
        <w:rPr>
          <w:rFonts w:hint="eastAsia" w:ascii="宋体" w:hAnsi="宋体" w:cs="宋体"/>
          <w:b w:val="0"/>
          <w:bCs/>
          <w:color w:val="auto"/>
          <w:sz w:val="24"/>
          <w:szCs w:val="24"/>
          <w:highlight w:val="none"/>
          <w:u w:val="none"/>
          <w:lang w:val="en-US" w:eastAsia="zh-CN" w:bidi="ar-SA"/>
        </w:rPr>
        <w:t xml:space="preserve">5 </w:t>
      </w:r>
      <w:r>
        <w:rPr>
          <w:rFonts w:hint="eastAsia" w:ascii="宋体" w:hAnsi="宋体" w:eastAsia="宋体" w:cs="宋体"/>
          <w:b w:val="0"/>
          <w:bCs/>
          <w:color w:val="auto"/>
          <w:sz w:val="24"/>
          <w:szCs w:val="24"/>
          <w:highlight w:val="none"/>
        </w:rPr>
        <w:t>评标结束后，评标委员会递交</w:t>
      </w:r>
      <w:r>
        <w:rPr>
          <w:rFonts w:hint="eastAsia" w:ascii="宋体" w:hAnsi="宋体" w:eastAsia="宋体" w:cs="宋体"/>
          <w:b w:val="0"/>
          <w:bCs/>
          <w:color w:val="auto"/>
          <w:sz w:val="24"/>
          <w:szCs w:val="24"/>
          <w:highlight w:val="none"/>
          <w:u w:val="none"/>
        </w:rPr>
        <w:t>资格审查报告和</w:t>
      </w:r>
      <w:r>
        <w:rPr>
          <w:rFonts w:hint="eastAsia" w:ascii="宋体" w:hAnsi="宋体" w:eastAsia="宋体" w:cs="宋体"/>
          <w:b w:val="0"/>
          <w:bCs/>
          <w:color w:val="auto"/>
          <w:sz w:val="24"/>
          <w:szCs w:val="24"/>
          <w:highlight w:val="none"/>
        </w:rPr>
        <w:t>评标报告并</w:t>
      </w:r>
      <w:r>
        <w:rPr>
          <w:rFonts w:hint="eastAsia" w:ascii="宋体" w:hAnsi="宋体" w:eastAsia="宋体" w:cs="宋体"/>
          <w:b w:val="0"/>
          <w:bCs/>
          <w:color w:val="auto"/>
          <w:sz w:val="24"/>
          <w:szCs w:val="24"/>
          <w:highlight w:val="none"/>
          <w:u w:val="single"/>
        </w:rPr>
        <w:t>依法推荐合格的中标候选人进入定标阶段[</w:t>
      </w:r>
      <w:r>
        <w:rPr>
          <w:rFonts w:hint="eastAsia" w:ascii="宋体" w:hAnsi="宋体" w:cs="宋体"/>
          <w:b w:val="0"/>
          <w:bCs/>
          <w:color w:val="auto"/>
          <w:sz w:val="24"/>
          <w:szCs w:val="24"/>
          <w:highlight w:val="none"/>
          <w:u w:val="single"/>
          <w:lang w:val="en-US" w:eastAsia="zh-CN"/>
        </w:rPr>
        <w:t>合格的</w:t>
      </w:r>
      <w:r>
        <w:rPr>
          <w:rFonts w:hint="eastAsia" w:ascii="宋体" w:hAnsi="宋体" w:eastAsia="宋体" w:cs="宋体"/>
          <w:b w:val="0"/>
          <w:bCs/>
          <w:color w:val="auto"/>
          <w:sz w:val="24"/>
          <w:szCs w:val="24"/>
          <w:highlight w:val="none"/>
          <w:u w:val="single"/>
        </w:rPr>
        <w:t>中标候选人不排序，按统一社会信用代码后4位（除校验码外）大小排位，如统一社会信用代码后4位出现字母情况的，字母以“0”进行代替大小排位；如出现后4位（除校验码外）大小一致的，则随机排位]。</w:t>
      </w:r>
    </w:p>
    <w:p w14:paraId="07B617DB">
      <w:pPr>
        <w:pStyle w:val="9"/>
        <w:keepNext w:val="0"/>
        <w:keepLines w:val="0"/>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条款号：38.1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A5BA425">
      <w:pPr>
        <w:keepNext w:val="0"/>
        <w:keepLines w:val="0"/>
        <w:pageBreakBefore w:val="0"/>
        <w:pBdr>
          <w:bottom w:val="single" w:color="auto" w:sz="4"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1AECF76">
      <w:pPr>
        <w:keepNext w:val="0"/>
        <w:keepLines w:val="0"/>
        <w:pageBreakBefore w:val="0"/>
        <w:pBdr>
          <w:bottom w:val="single" w:color="auto" w:sz="4"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w:t>
      </w:r>
      <w:r>
        <w:rPr>
          <w:rFonts w:hint="eastAsia" w:ascii="宋体" w:hAnsi="宋体" w:eastAsia="宋体" w:cs="宋体"/>
          <w:color w:val="auto"/>
          <w:sz w:val="24"/>
          <w:szCs w:val="24"/>
          <w:highlight w:val="none"/>
          <w:lang w:val="en-US" w:eastAsia="zh-CN"/>
        </w:rPr>
        <w:t>的成员</w:t>
      </w:r>
      <w:r>
        <w:rPr>
          <w:rFonts w:hint="eastAsia" w:ascii="宋体" w:hAnsi="宋体" w:eastAsia="宋体" w:cs="宋体"/>
          <w:color w:val="auto"/>
          <w:sz w:val="24"/>
          <w:szCs w:val="24"/>
          <w:highlight w:val="none"/>
        </w:rPr>
        <w:t>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14:paraId="3AD4A68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条款号：38.5            修改类型：修改</w:t>
      </w:r>
    </w:p>
    <w:p w14:paraId="2586F576">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97E6ABD">
      <w:pPr>
        <w:keepNext w:val="0"/>
        <w:keepLines w:val="0"/>
        <w:pageBreakBefore w:val="0"/>
        <w:pBdr>
          <w:bottom w:val="single" w:color="auto" w:sz="4"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val="0"/>
          <w:bCs/>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val="0"/>
          <w:bCs/>
          <w:color w:val="auto"/>
          <w:sz w:val="24"/>
          <w:szCs w:val="24"/>
          <w:highlight w:val="none"/>
        </w:rPr>
        <w:t>38.5投标人如在本项目中存在串通投标、弄虚作假、行贿情形且在评标</w:t>
      </w:r>
      <w:r>
        <w:rPr>
          <w:rFonts w:hint="eastAsia" w:ascii="宋体" w:hAnsi="宋体" w:eastAsia="宋体" w:cs="宋体"/>
          <w:b w:val="0"/>
          <w:bCs/>
          <w:color w:val="auto"/>
          <w:sz w:val="24"/>
          <w:szCs w:val="24"/>
          <w:highlight w:val="none"/>
          <w:u w:val="none"/>
        </w:rPr>
        <w:t>或定标</w:t>
      </w:r>
      <w:r>
        <w:rPr>
          <w:rFonts w:hint="eastAsia" w:ascii="宋体" w:hAnsi="宋体" w:eastAsia="宋体" w:cs="宋体"/>
          <w:b w:val="0"/>
          <w:bCs/>
          <w:color w:val="auto"/>
          <w:sz w:val="24"/>
          <w:szCs w:val="24"/>
          <w:highlight w:val="none"/>
        </w:rPr>
        <w:t>过程中未被发现的，该投标不改变本项目评标结果排序，</w:t>
      </w:r>
      <w:r>
        <w:rPr>
          <w:rFonts w:hint="eastAsia" w:ascii="宋体" w:hAnsi="宋体" w:eastAsia="宋体" w:cs="宋体"/>
          <w:b w:val="0"/>
          <w:bCs/>
          <w:color w:val="auto"/>
          <w:sz w:val="24"/>
          <w:szCs w:val="24"/>
          <w:highlight w:val="none"/>
          <w:u w:val="single"/>
        </w:rPr>
        <w:t>若在定标过程中被确定为中标人，其中标无效，招标人可从其他合格的中标候选人中采用原定标办法，由原定标委员会重新确定中标人，也可以重新招标。</w:t>
      </w:r>
    </w:p>
    <w:p w14:paraId="4424E0A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条款号：39                                修改类型：修改</w:t>
      </w:r>
    </w:p>
    <w:p w14:paraId="50CF262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原文：39．定标</w:t>
      </w:r>
    </w:p>
    <w:p w14:paraId="10F6EEF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39.1招标人根据评标委员会递交的评标报告，最终审定中标人。</w:t>
      </w:r>
    </w:p>
    <w:p w14:paraId="485258F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39.2依法必须进行公开招标的项目，招标人应当确定排名第一的中标候选人为中标人。</w:t>
      </w:r>
    </w:p>
    <w:p w14:paraId="010992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E18CFB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0EFF665F">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41B7CA6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u w:val="single"/>
        </w:rPr>
        <w:t>定标详细规定条款详见本章第</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条内容</w:t>
      </w:r>
      <w:r>
        <w:rPr>
          <w:rFonts w:hint="eastAsia" w:ascii="宋体" w:hAnsi="宋体" w:eastAsia="宋体" w:cs="宋体"/>
          <w:bCs/>
          <w:color w:val="auto"/>
          <w:sz w:val="24"/>
          <w:szCs w:val="24"/>
          <w:highlight w:val="none"/>
          <w:u w:val="single"/>
        </w:rPr>
        <w:t>。</w:t>
      </w:r>
    </w:p>
    <w:p w14:paraId="46B01CA8">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条款号：可选办法一（适合综合评分法一，技术标与经济标先后分别开启）  </w:t>
      </w:r>
    </w:p>
    <w:p w14:paraId="2DA21915">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4C2A85E7">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5AA7AF9F">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条款号：可选办法二（适合综合评分法一，技术标与经济标同时开启）   </w:t>
      </w:r>
    </w:p>
    <w:p w14:paraId="327B43E6">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1890C315">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007C12F0">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条款号：可选办法三（适合综合评分法二，技术标与经济标先后分别开启） </w:t>
      </w:r>
    </w:p>
    <w:p w14:paraId="3104F75A">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 修改类型：删除</w:t>
      </w:r>
    </w:p>
    <w:p w14:paraId="056B1468">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5A79B990">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条款号：可选办法四（适合综合评分法二，技术标与经济标同时开启）  </w:t>
      </w:r>
    </w:p>
    <w:p w14:paraId="4C98B3DD">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438286E7">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16BD6BA2">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条款号：可选办法五（适合综合评分法三，技术标与经济标先后分别开启）  </w:t>
      </w:r>
    </w:p>
    <w:p w14:paraId="29FABCBA">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05F756F5">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0A8A5637">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条款号：可选办法六（适合综合评分法三，技术标与经济标同时开启） </w:t>
      </w:r>
    </w:p>
    <w:p w14:paraId="76E25830">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 xml:space="preserve"> 修改类型：删除</w:t>
      </w:r>
    </w:p>
    <w:p w14:paraId="4CDFB254">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73D6EE80">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条款号：可选办法八（适合经评审的最低投标价法，技术标与经济标同时开启）</w:t>
      </w:r>
    </w:p>
    <w:p w14:paraId="6FC37D60">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修改类型：删除</w:t>
      </w:r>
    </w:p>
    <w:p w14:paraId="384B47F3">
      <w:pPr>
        <w:keepNext w:val="0"/>
        <w:keepLines w:val="0"/>
        <w:pageBreakBefore w:val="0"/>
        <w:pBdr>
          <w:bottom w:val="single" w:color="000000" w:sz="6" w:space="1"/>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
          <w:color w:val="auto"/>
          <w:sz w:val="24"/>
          <w:szCs w:val="24"/>
          <w:highlight w:val="none"/>
        </w:rPr>
      </w:pPr>
      <w:r>
        <w:rPr>
          <w:rStyle w:val="75"/>
          <w:rFonts w:hint="eastAsia" w:ascii="宋体" w:hAnsi="宋体" w:eastAsia="宋体" w:cs="宋体"/>
          <w:b/>
          <w:color w:val="auto"/>
          <w:sz w:val="24"/>
          <w:szCs w:val="24"/>
          <w:highlight w:val="none"/>
        </w:rPr>
        <w:t>原文：详见《广州市建设工程施工公开招标项目招标文件范本GZZB2018-3》</w:t>
      </w:r>
    </w:p>
    <w:p w14:paraId="4243EDE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条款号：可选办法七、40.           修改类型：修改</w:t>
      </w:r>
    </w:p>
    <w:p w14:paraId="2C777AB1">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b/>
          <w:bCs/>
          <w:color w:val="auto"/>
          <w:sz w:val="24"/>
          <w:szCs w:val="24"/>
          <w:highlight w:val="none"/>
          <w:lang w:bidi="ar-SA"/>
        </w:rPr>
        <w:t>可选办法七（适合综合评分法四，技术标与经济标同时开启）</w:t>
      </w:r>
    </w:p>
    <w:p w14:paraId="11B5ACC4">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rPr>
        <w:t>40．开标和评标程序</w:t>
      </w:r>
    </w:p>
    <w:p w14:paraId="70CE60B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40.1技术标（含资格审查文件）与经济标投标文件同时公开开标；</w:t>
      </w:r>
    </w:p>
    <w:p w14:paraId="422116A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40.2由评标委员会对所有已公开开标的投标人进行资格审查；</w:t>
      </w:r>
    </w:p>
    <w:p w14:paraId="435C1DB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40.3技术标投标文件有效性审查；</w:t>
      </w:r>
    </w:p>
    <w:p w14:paraId="50677AB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40.4技术标详细审查评分；</w:t>
      </w:r>
    </w:p>
    <w:p w14:paraId="5C44EEE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 xml:space="preserve">40.5经济标详细审查评分； </w:t>
      </w:r>
    </w:p>
    <w:p w14:paraId="73311E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40.6评标委员会按照投标人总得分由高至低排序；</w:t>
      </w:r>
    </w:p>
    <w:p w14:paraId="3CF725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40.7经济标投标文件有效性审查；</w:t>
      </w:r>
    </w:p>
    <w:p w14:paraId="55358FE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40.8评标委员会按排序向招标人推荐中标候选人名单，并递交资格审查报告及评标报告。</w:t>
      </w:r>
    </w:p>
    <w:p w14:paraId="587CE0AA">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rPr>
        <w:t>40．开标和评标程序：</w:t>
      </w:r>
    </w:p>
    <w:p w14:paraId="16FCFEC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40.1投标人递交技术标投标文件</w:t>
      </w:r>
      <w:r>
        <w:rPr>
          <w:rFonts w:hint="eastAsia" w:ascii="宋体" w:hAnsi="宋体" w:eastAsia="宋体" w:cs="宋体"/>
          <w:color w:val="auto"/>
          <w:sz w:val="24"/>
          <w:szCs w:val="24"/>
          <w:highlight w:val="none"/>
          <w:u w:val="single"/>
        </w:rPr>
        <w:t>（含资格审查文件）</w:t>
      </w:r>
      <w:r>
        <w:rPr>
          <w:rFonts w:hint="eastAsia" w:ascii="宋体" w:hAnsi="宋体" w:eastAsia="宋体" w:cs="宋体"/>
          <w:color w:val="auto"/>
          <w:sz w:val="24"/>
          <w:szCs w:val="24"/>
          <w:highlight w:val="none"/>
        </w:rPr>
        <w:t>、经济标投标文件</w:t>
      </w:r>
      <w:r>
        <w:rPr>
          <w:rFonts w:hint="eastAsia" w:ascii="宋体" w:hAnsi="宋体" w:eastAsia="宋体" w:cs="宋体"/>
          <w:color w:val="auto"/>
          <w:sz w:val="24"/>
          <w:szCs w:val="24"/>
          <w:highlight w:val="none"/>
          <w:u w:val="single"/>
        </w:rPr>
        <w:t>、定标文件</w:t>
      </w:r>
      <w:r>
        <w:rPr>
          <w:rFonts w:hint="eastAsia" w:ascii="宋体" w:hAnsi="宋体" w:eastAsia="宋体" w:cs="宋体"/>
          <w:color w:val="auto"/>
          <w:sz w:val="24"/>
          <w:szCs w:val="24"/>
          <w:highlight w:val="none"/>
        </w:rPr>
        <w:t>；</w:t>
      </w:r>
    </w:p>
    <w:p w14:paraId="4FBB48F3">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40.2技术标投标文件</w:t>
      </w:r>
      <w:r>
        <w:rPr>
          <w:rFonts w:hint="eastAsia" w:ascii="宋体" w:hAnsi="宋体" w:eastAsia="宋体" w:cs="宋体"/>
          <w:color w:val="auto"/>
          <w:sz w:val="24"/>
          <w:szCs w:val="24"/>
          <w:highlight w:val="none"/>
          <w:u w:val="single"/>
        </w:rPr>
        <w:t>（含资格审查文件）</w:t>
      </w:r>
      <w:r>
        <w:rPr>
          <w:rFonts w:hint="eastAsia" w:ascii="宋体" w:hAnsi="宋体" w:eastAsia="宋体" w:cs="宋体"/>
          <w:color w:val="auto"/>
          <w:sz w:val="24"/>
          <w:szCs w:val="24"/>
          <w:highlight w:val="none"/>
        </w:rPr>
        <w:t>、经济标投标文件</w:t>
      </w:r>
      <w:r>
        <w:rPr>
          <w:rFonts w:hint="eastAsia" w:ascii="宋体" w:hAnsi="宋体" w:eastAsia="宋体" w:cs="宋体"/>
          <w:color w:val="auto"/>
          <w:sz w:val="24"/>
          <w:szCs w:val="24"/>
          <w:highlight w:val="none"/>
          <w:u w:val="single"/>
        </w:rPr>
        <w:t>、定标文件</w:t>
      </w:r>
      <w:r>
        <w:rPr>
          <w:rFonts w:hint="eastAsia" w:ascii="宋体" w:hAnsi="宋体" w:eastAsia="宋体" w:cs="宋体"/>
          <w:color w:val="auto"/>
          <w:sz w:val="24"/>
          <w:szCs w:val="24"/>
          <w:highlight w:val="none"/>
        </w:rPr>
        <w:t>同时公开开标；</w:t>
      </w:r>
    </w:p>
    <w:p w14:paraId="5CEE085F">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40.3由评标委员会对所有已公开开标的投标人进行资格审查，并编写资格审查报告；</w:t>
      </w:r>
    </w:p>
    <w:p w14:paraId="2C36DF42">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40.4技术标投标文件有效性审查；</w:t>
      </w:r>
    </w:p>
    <w:p w14:paraId="576B6C0D">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经济标投标文件有效性审查；</w:t>
      </w:r>
    </w:p>
    <w:p w14:paraId="124BC2EC">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6评标委员会按通过技术标及经济标有效性审查的合格投标人向招标人推荐合格的中标候选人进入定标阶段[合格的中标候选人不排序，按统一社会信用代码后4位（除校验码外）大小排位，如统一社会信用代码后4位出现字母情况的，字母以“0”进行代替大小排位；如出现后4位（除校验码外）大小一致的，则随机排位]，并递交资格审查报告及评标报告；</w:t>
      </w:r>
    </w:p>
    <w:p w14:paraId="74D17078">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7定标委员会对评标委员会推荐的合格的中标候选人采用</w:t>
      </w:r>
      <w:r>
        <w:rPr>
          <w:rFonts w:hint="eastAsia" w:ascii="宋体" w:hAnsi="宋体" w:cs="宋体"/>
          <w:color w:val="auto"/>
          <w:sz w:val="24"/>
          <w:szCs w:val="24"/>
          <w:highlight w:val="none"/>
          <w:u w:val="single"/>
          <w:lang w:val="en-US" w:eastAsia="zh-CN" w:bidi="ar"/>
        </w:rPr>
        <w:t>评分</w:t>
      </w:r>
      <w:r>
        <w:rPr>
          <w:rFonts w:hint="eastAsia" w:ascii="宋体" w:hAnsi="宋体" w:cs="宋体"/>
          <w:color w:val="auto"/>
          <w:sz w:val="24"/>
          <w:szCs w:val="24"/>
          <w:highlight w:val="none"/>
          <w:u w:val="single"/>
          <w:lang w:val="en-US" w:eastAsia="zh-CN"/>
        </w:rPr>
        <w:t>法，决出中标人，并推荐得分最高的为中标人。定标结束后，定标委员会向招标人递交定标报告。</w:t>
      </w:r>
    </w:p>
    <w:p w14:paraId="1C3E3F2A">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1E85E74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41.1 开标由招标人主持；</w:t>
      </w:r>
    </w:p>
    <w:p w14:paraId="6079094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 xml:space="preserve">41.1 </w:t>
      </w:r>
      <w:r>
        <w:rPr>
          <w:rFonts w:hint="eastAsia" w:ascii="宋体" w:hAnsi="宋体" w:eastAsia="宋体" w:cs="宋体"/>
          <w:color w:val="auto"/>
          <w:sz w:val="24"/>
          <w:szCs w:val="24"/>
          <w:highlight w:val="none"/>
          <w:u w:val="single"/>
          <w:lang w:bidi="ar-SA"/>
        </w:rPr>
        <w:t>开标由招标人或其委托的招标代理机构主持；</w:t>
      </w:r>
    </w:p>
    <w:p w14:paraId="37DED013">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条款号：41.2.1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30ED5D44">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41.2.1投标截止期前，各投标人递交投标文件（包括技术标投标文件、经济标投标文件）至</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交易平台。有关投标文件提交的事项详见第一章投标须知。</w:t>
      </w:r>
    </w:p>
    <w:p w14:paraId="4E382D07">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41.2.1</w:t>
      </w:r>
      <w:r>
        <w:rPr>
          <w:rStyle w:val="75"/>
          <w:rFonts w:hint="eastAsia" w:ascii="宋体" w:hAnsi="宋体" w:eastAsia="宋体" w:cs="宋体"/>
          <w:color w:val="auto"/>
          <w:sz w:val="24"/>
          <w:szCs w:val="24"/>
          <w:highlight w:val="none"/>
        </w:rPr>
        <w:t>投标截止期前，各投标人递交投标文件（包括技术标投标文件（含资格审查文件）、经济标投标文件</w:t>
      </w:r>
      <w:r>
        <w:rPr>
          <w:rStyle w:val="75"/>
          <w:rFonts w:hint="eastAsia" w:ascii="宋体" w:hAnsi="宋体" w:eastAsia="宋体" w:cs="宋体"/>
          <w:color w:val="auto"/>
          <w:sz w:val="24"/>
          <w:szCs w:val="24"/>
          <w:highlight w:val="none"/>
          <w:u w:val="single"/>
        </w:rPr>
        <w:t>、定标文件</w:t>
      </w:r>
      <w:r>
        <w:rPr>
          <w:rStyle w:val="75"/>
          <w:rFonts w:hint="eastAsia" w:ascii="宋体" w:hAnsi="宋体" w:eastAsia="宋体" w:cs="宋体"/>
          <w:color w:val="auto"/>
          <w:sz w:val="24"/>
          <w:szCs w:val="24"/>
          <w:highlight w:val="none"/>
        </w:rPr>
        <w:t>）至</w:t>
      </w:r>
      <w:r>
        <w:rPr>
          <w:rStyle w:val="75"/>
          <w:rFonts w:hint="eastAsia" w:ascii="宋体" w:hAnsi="宋体" w:eastAsia="宋体" w:cs="宋体"/>
          <w:color w:val="auto"/>
          <w:sz w:val="24"/>
          <w:szCs w:val="24"/>
          <w:highlight w:val="none"/>
          <w:u w:val="single"/>
        </w:rPr>
        <w:t>广州交易集团有限公司（广州公共资源交易中心）</w:t>
      </w:r>
      <w:r>
        <w:rPr>
          <w:rStyle w:val="75"/>
          <w:rFonts w:hint="eastAsia" w:ascii="宋体" w:hAnsi="宋体" w:eastAsia="宋体" w:cs="宋体"/>
          <w:color w:val="auto"/>
          <w:sz w:val="24"/>
          <w:szCs w:val="24"/>
          <w:highlight w:val="none"/>
        </w:rPr>
        <w:t>交易平台。有关投标文件提交的事项详见第一章投标须知。</w:t>
      </w:r>
    </w:p>
    <w:p w14:paraId="033AD29F">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SA"/>
        </w:rPr>
      </w:pPr>
      <w:r>
        <w:rPr>
          <w:rFonts w:hint="eastAsia" w:ascii="宋体" w:hAnsi="宋体" w:eastAsia="宋体" w:cs="宋体"/>
          <w:b/>
          <w:color w:val="auto"/>
          <w:sz w:val="24"/>
          <w:szCs w:val="24"/>
          <w:highlight w:val="none"/>
          <w:lang w:bidi="ar-SA"/>
        </w:rPr>
        <w:t>条款号：41.2.</w:t>
      </w:r>
      <w:r>
        <w:rPr>
          <w:rFonts w:hint="eastAsia" w:ascii="宋体" w:hAnsi="宋体" w:cs="宋体"/>
          <w:b/>
          <w:color w:val="auto"/>
          <w:sz w:val="24"/>
          <w:szCs w:val="24"/>
          <w:highlight w:val="none"/>
          <w:lang w:val="en-US" w:eastAsia="zh-CN" w:bidi="ar-SA"/>
        </w:rPr>
        <w:t>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w:t>
      </w:r>
      <w:r>
        <w:rPr>
          <w:rFonts w:hint="eastAsia" w:ascii="宋体" w:hAnsi="宋体" w:cs="宋体"/>
          <w:b/>
          <w:color w:val="auto"/>
          <w:sz w:val="24"/>
          <w:szCs w:val="24"/>
          <w:highlight w:val="none"/>
          <w:lang w:val="en-US" w:eastAsia="zh-CN" w:bidi="ar-SA"/>
        </w:rPr>
        <w:t>删除</w:t>
      </w:r>
    </w:p>
    <w:p w14:paraId="01825BE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41.2.</w:t>
      </w:r>
      <w:r>
        <w:rPr>
          <w:rFonts w:hint="eastAsia" w:ascii="宋体" w:hAnsi="宋体" w:cs="宋体"/>
          <w:color w:val="auto"/>
          <w:sz w:val="24"/>
          <w:szCs w:val="24"/>
          <w:highlight w:val="none"/>
          <w:lang w:val="en-US" w:eastAsia="zh-CN" w:bidi="ar-SA"/>
        </w:rPr>
        <w:t>2开标前，首先由招标人随机抽取确定该工程计算评标参考价的等分点值X。</w:t>
      </w:r>
    </w:p>
    <w:p w14:paraId="458F7852">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条款号：41.2.3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82451BA">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原文：</w:t>
      </w:r>
      <w:r>
        <w:rPr>
          <w:rFonts w:hint="eastAsia" w:ascii="宋体" w:hAnsi="宋体" w:eastAsia="宋体" w:cs="宋体"/>
          <w:color w:val="auto"/>
          <w:sz w:val="24"/>
          <w:szCs w:val="24"/>
          <w:highlight w:val="none"/>
          <w:lang w:bidi="ar-SA"/>
        </w:rPr>
        <w:t>41.2.3开标时，投标人代表有权出席开标会，也可以自主决定不参加开标会，若投标人代表对开标过程提出异议，该投标人代表须同时出示本人身份证原件。</w:t>
      </w:r>
    </w:p>
    <w:p w14:paraId="28965D43">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现文：</w:t>
      </w:r>
      <w:r>
        <w:rPr>
          <w:rFonts w:hint="eastAsia" w:ascii="宋体" w:hAnsi="宋体" w:eastAsia="宋体" w:cs="宋体"/>
          <w:color w:val="auto"/>
          <w:sz w:val="24"/>
          <w:szCs w:val="24"/>
          <w:highlight w:val="none"/>
          <w:lang w:bidi="ar-SA"/>
        </w:rPr>
        <w:t>41.2.3开标时，</w:t>
      </w:r>
      <w:r>
        <w:rPr>
          <w:rFonts w:hint="eastAsia" w:ascii="宋体" w:hAnsi="宋体" w:eastAsia="宋体" w:cs="宋体"/>
          <w:color w:val="auto"/>
          <w:sz w:val="24"/>
          <w:szCs w:val="24"/>
          <w:highlight w:val="none"/>
          <w:u w:val="single"/>
          <w:lang w:bidi="ar-SA"/>
        </w:rPr>
        <w:t>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93924B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条款号：41.2.4.1     　               修改类型：修改</w:t>
      </w:r>
    </w:p>
    <w:p w14:paraId="1CAA091D">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b w:val="0"/>
          <w:bCs w:val="0"/>
          <w:color w:val="auto"/>
          <w:sz w:val="24"/>
          <w:szCs w:val="24"/>
          <w:highlight w:val="none"/>
        </w:rPr>
        <w:t>41.2.4.1</w:t>
      </w:r>
      <w:r>
        <w:rPr>
          <w:rFonts w:hint="eastAsia" w:ascii="宋体" w:hAnsi="宋体" w:eastAsia="宋体" w:cs="宋体"/>
          <w:color w:val="auto"/>
          <w:sz w:val="24"/>
          <w:szCs w:val="24"/>
          <w:highlight w:val="none"/>
        </w:rPr>
        <w:t>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4EC12C7">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val="0"/>
          <w:bCs/>
          <w:color w:val="auto"/>
          <w:sz w:val="24"/>
          <w:szCs w:val="24"/>
          <w:highlight w:val="none"/>
        </w:rPr>
        <w:t>41.2.4.1</w:t>
      </w:r>
      <w:r>
        <w:rPr>
          <w:rFonts w:hint="eastAsia" w:ascii="宋体" w:hAnsi="宋体" w:eastAsia="宋体" w:cs="宋体"/>
          <w:color w:val="auto"/>
          <w:sz w:val="24"/>
          <w:szCs w:val="24"/>
          <w:highlight w:val="none"/>
        </w:rPr>
        <w:t>开标时，公布：a、投标人名称；b、投标文件密封情况；c、投标报价；</w:t>
      </w:r>
      <w:r>
        <w:rPr>
          <w:rFonts w:hint="eastAsia" w:ascii="宋体" w:hAnsi="宋体" w:eastAsia="宋体" w:cs="宋体"/>
          <w:color w:val="auto"/>
          <w:sz w:val="24"/>
          <w:szCs w:val="24"/>
          <w:highlight w:val="none"/>
          <w:u w:val="single"/>
        </w:rPr>
        <w:t>d、项目负责人；e、技术负责人；f、专职安全员；g、</w:t>
      </w:r>
      <w:r>
        <w:rPr>
          <w:rFonts w:hint="eastAsia" w:ascii="宋体" w:hAnsi="宋体" w:eastAsia="宋体" w:cs="宋体"/>
          <w:color w:val="auto"/>
          <w:sz w:val="24"/>
          <w:szCs w:val="24"/>
          <w:highlight w:val="none"/>
        </w:rPr>
        <w:t>法定代表人证明及授权委托等主要内容及开标记录表中的其他必要内容。投标报价以数字和文字两种方式表述的，应公布文字表述的投标报价。</w:t>
      </w:r>
    </w:p>
    <w:p w14:paraId="2709A7C0">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条款号：41.3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F5678D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原文：</w:t>
      </w:r>
      <w:r>
        <w:rPr>
          <w:rFonts w:hint="eastAsia" w:ascii="宋体" w:hAnsi="宋体" w:eastAsia="宋体" w:cs="宋体"/>
          <w:color w:val="auto"/>
          <w:sz w:val="24"/>
          <w:szCs w:val="24"/>
          <w:highlight w:val="none"/>
          <w:lang w:bidi="ar-SA"/>
        </w:rPr>
        <w:t>41.3招标人对开标过程进行记录，并存档备查，投标人在开标记录上签字。</w:t>
      </w:r>
    </w:p>
    <w:p w14:paraId="518DF382">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bCs/>
          <w:color w:val="auto"/>
          <w:sz w:val="24"/>
          <w:szCs w:val="24"/>
          <w:highlight w:val="none"/>
          <w:lang w:bidi="ar-SA"/>
        </w:rPr>
        <w:t>现文：</w:t>
      </w:r>
      <w:r>
        <w:rPr>
          <w:rFonts w:hint="eastAsia" w:ascii="宋体" w:hAnsi="宋体" w:eastAsia="宋体" w:cs="宋体"/>
          <w:color w:val="auto"/>
          <w:sz w:val="24"/>
          <w:szCs w:val="24"/>
          <w:highlight w:val="none"/>
          <w:lang w:bidi="ar-SA"/>
        </w:rPr>
        <w:t>41.3招标人</w:t>
      </w:r>
      <w:r>
        <w:rPr>
          <w:rFonts w:hint="eastAsia" w:ascii="宋体" w:hAnsi="宋体" w:eastAsia="宋体" w:cs="宋体"/>
          <w:color w:val="auto"/>
          <w:sz w:val="24"/>
          <w:szCs w:val="24"/>
          <w:highlight w:val="none"/>
          <w:u w:val="single"/>
          <w:lang w:bidi="ar-SA"/>
        </w:rPr>
        <w:t>或招标代理</w:t>
      </w:r>
      <w:r>
        <w:rPr>
          <w:rFonts w:hint="eastAsia" w:ascii="宋体" w:hAnsi="宋体" w:eastAsia="宋体" w:cs="宋体"/>
          <w:color w:val="auto"/>
          <w:sz w:val="24"/>
          <w:szCs w:val="24"/>
          <w:highlight w:val="none"/>
          <w:lang w:bidi="ar-SA"/>
        </w:rPr>
        <w:t>对开标过程进行记录，并存档备查，投标人在开标记录上签字，</w:t>
      </w:r>
      <w:r>
        <w:rPr>
          <w:rFonts w:hint="eastAsia" w:ascii="宋体" w:hAnsi="宋体" w:eastAsia="宋体" w:cs="宋体"/>
          <w:color w:val="auto"/>
          <w:sz w:val="24"/>
          <w:szCs w:val="24"/>
          <w:highlight w:val="none"/>
          <w:u w:val="single"/>
          <w:lang w:bidi="ar-SA"/>
        </w:rPr>
        <w:t>投标人未签字且未提出异议的将被视为默认开标结果</w:t>
      </w:r>
      <w:r>
        <w:rPr>
          <w:rFonts w:hint="eastAsia" w:ascii="宋体" w:hAnsi="宋体" w:eastAsia="宋体" w:cs="宋体"/>
          <w:color w:val="auto"/>
          <w:sz w:val="24"/>
          <w:szCs w:val="24"/>
          <w:highlight w:val="none"/>
          <w:lang w:bidi="ar-SA"/>
        </w:rPr>
        <w:t>。</w:t>
      </w:r>
    </w:p>
    <w:p w14:paraId="2E22F083">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条款号：42.2</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6B2F0F0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42.2评标委员会的组成：方式</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w:t>
      </w:r>
    </w:p>
    <w:p w14:paraId="52EF1513">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方式一：评标委员会为综合评标委员会，负责资格审查及评标工作。</w:t>
      </w:r>
    </w:p>
    <w:p w14:paraId="089A3023">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color w:val="auto"/>
          <w:sz w:val="24"/>
          <w:szCs w:val="24"/>
          <w:highlight w:val="none"/>
          <w:lang w:bidi="ar-SA"/>
        </w:rPr>
        <w:t>方式二：评标委员会由技术评审组和经济评审组组成。其中：资格审查及技术评审由技术评标组负责，经济评审由经济评审组负责。</w:t>
      </w:r>
    </w:p>
    <w:p w14:paraId="272EBBEA">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42.2评标委员会的组成：方式</w:t>
      </w:r>
      <w:r>
        <w:rPr>
          <w:rFonts w:hint="eastAsia" w:ascii="宋体" w:hAnsi="宋体" w:eastAsia="宋体" w:cs="宋体"/>
          <w:color w:val="auto"/>
          <w:sz w:val="24"/>
          <w:szCs w:val="24"/>
          <w:highlight w:val="none"/>
          <w:u w:val="single"/>
          <w:lang w:bidi="ar-SA"/>
        </w:rPr>
        <w:t xml:space="preserve">  一  </w:t>
      </w:r>
      <w:r>
        <w:rPr>
          <w:rFonts w:hint="eastAsia" w:ascii="宋体" w:hAnsi="宋体" w:eastAsia="宋体" w:cs="宋体"/>
          <w:color w:val="auto"/>
          <w:sz w:val="24"/>
          <w:szCs w:val="24"/>
          <w:highlight w:val="none"/>
          <w:lang w:bidi="ar-SA"/>
        </w:rPr>
        <w:t>。</w:t>
      </w:r>
    </w:p>
    <w:p w14:paraId="3F764F40">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方式一：评标委员会为综合评标委员会，负责资格审查及评标工作。</w:t>
      </w:r>
    </w:p>
    <w:p w14:paraId="59474DD6">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方式二：评标委员会由技术评审组和经济评审组组成。其中：资格审查及技术评审由技术评标组负责，经济评审由经济评审组负责。</w:t>
      </w:r>
    </w:p>
    <w:p w14:paraId="2057B7E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 42.3            修改类型：增加</w:t>
      </w:r>
    </w:p>
    <w:p w14:paraId="7760D9FE">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u w:val="single"/>
          <w:lang w:bidi="ar-SA"/>
        </w:rPr>
        <w:t>定标委员会的组成：由招标人</w:t>
      </w:r>
      <w:r>
        <w:rPr>
          <w:rFonts w:hint="eastAsia" w:ascii="宋体" w:hAnsi="宋体" w:eastAsia="宋体" w:cs="宋体"/>
          <w:color w:val="auto"/>
          <w:sz w:val="24"/>
          <w:szCs w:val="24"/>
          <w:highlight w:val="none"/>
          <w:u w:val="single"/>
          <w:lang w:eastAsia="zh-CN" w:bidi="ar-SA"/>
        </w:rPr>
        <w:t>依法依规</w:t>
      </w:r>
      <w:r>
        <w:rPr>
          <w:rFonts w:hint="eastAsia" w:ascii="宋体" w:hAnsi="宋体" w:eastAsia="宋体" w:cs="宋体"/>
          <w:color w:val="auto"/>
          <w:sz w:val="24"/>
          <w:szCs w:val="24"/>
          <w:highlight w:val="none"/>
          <w:u w:val="single"/>
          <w:lang w:bidi="ar-SA"/>
        </w:rPr>
        <w:t>组建，负责定标环节。</w:t>
      </w:r>
    </w:p>
    <w:p w14:paraId="752BD893">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w:t>
      </w:r>
      <w:r>
        <w:rPr>
          <w:rFonts w:hint="eastAsia" w:ascii="宋体" w:hAnsi="宋体" w:eastAsia="宋体" w:cs="宋体"/>
          <w:b/>
          <w:color w:val="auto"/>
          <w:sz w:val="24"/>
          <w:szCs w:val="24"/>
          <w:highlight w:val="none"/>
          <w:lang w:val="en-US" w:eastAsia="zh-CN" w:bidi="ar-SA"/>
        </w:rPr>
        <w:t>3.3</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1E2CBC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w:t>
      </w:r>
      <w:r>
        <w:rPr>
          <w:rFonts w:hint="eastAsia" w:ascii="宋体" w:hAnsi="宋体" w:eastAsia="宋体" w:cs="宋体"/>
          <w:color w:val="auto"/>
          <w:sz w:val="24"/>
          <w:szCs w:val="24"/>
          <w:highlight w:val="none"/>
          <w:lang w:val="en-US" w:eastAsia="zh-CN" w:bidi="ar-SA"/>
        </w:rPr>
        <w:t>3.3资格审查不合格的投标文件不参加下一阶段的评标，不参与评标参考价的计算。</w:t>
      </w:r>
    </w:p>
    <w:p w14:paraId="0627BE4D">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w:t>
      </w:r>
      <w:r>
        <w:rPr>
          <w:rFonts w:hint="eastAsia" w:ascii="宋体" w:hAnsi="宋体" w:eastAsia="宋体" w:cs="宋体"/>
          <w:color w:val="auto"/>
          <w:sz w:val="24"/>
          <w:szCs w:val="24"/>
          <w:highlight w:val="none"/>
          <w:lang w:val="en-US" w:eastAsia="zh-CN" w:bidi="ar-SA"/>
        </w:rPr>
        <w:t>3.3</w:t>
      </w:r>
      <w:r>
        <w:rPr>
          <w:rFonts w:hint="eastAsia" w:ascii="宋体" w:hAnsi="宋体" w:eastAsia="宋体" w:cs="宋体"/>
          <w:color w:val="auto"/>
          <w:sz w:val="24"/>
          <w:szCs w:val="24"/>
          <w:highlight w:val="none"/>
          <w:u w:val="single"/>
          <w:lang w:val="en-US" w:eastAsia="zh-CN" w:bidi="ar-SA"/>
        </w:rPr>
        <w:t>资格审查不合格的投标文件不参与下一阶段的评审。</w:t>
      </w:r>
    </w:p>
    <w:p w14:paraId="5929817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 43.1            修改类型：修改</w:t>
      </w:r>
    </w:p>
    <w:p w14:paraId="3675EAC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3FEC84F2">
      <w:pPr>
        <w:keepNext w:val="0"/>
        <w:keepLines w:val="0"/>
        <w:pageBreakBefore w:val="0"/>
        <w:pBdr>
          <w:bottom w:val="single" w:color="auto" w:sz="4" w:space="0"/>
        </w:pBdr>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val="0"/>
          <w:bCs/>
          <w:color w:val="auto"/>
          <w:sz w:val="24"/>
          <w:szCs w:val="24"/>
          <w:highlight w:val="none"/>
          <w:u w:val="single"/>
          <w:lang w:bidi="ar-SA"/>
        </w:rPr>
      </w:pPr>
      <w:r>
        <w:rPr>
          <w:rFonts w:hint="eastAsia" w:ascii="宋体" w:hAnsi="宋体" w:eastAsia="宋体" w:cs="宋体"/>
          <w:b/>
          <w:bCs w:val="0"/>
          <w:color w:val="auto"/>
          <w:sz w:val="24"/>
          <w:szCs w:val="24"/>
          <w:highlight w:val="none"/>
          <w:lang w:bidi="ar-SA"/>
        </w:rPr>
        <w:t>现文：</w:t>
      </w:r>
      <w:r>
        <w:rPr>
          <w:rFonts w:hint="eastAsia" w:ascii="宋体" w:hAnsi="宋体" w:eastAsia="宋体" w:cs="宋体"/>
          <w:b w:val="0"/>
          <w:bCs/>
          <w:color w:val="auto"/>
          <w:sz w:val="24"/>
          <w:szCs w:val="24"/>
          <w:highlight w:val="none"/>
          <w:lang w:bidi="ar-SA"/>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eastAsia="宋体" w:cs="宋体"/>
          <w:b w:val="0"/>
          <w:bCs/>
          <w:color w:val="auto"/>
          <w:sz w:val="24"/>
          <w:szCs w:val="24"/>
          <w:highlight w:val="none"/>
          <w:u w:val="single"/>
          <w:lang w:bidi="ar-SA"/>
        </w:rPr>
        <w:t>评委发现资格审查文件中含义不明确、对同类问题表述不一致、有明显文字和计算错误的，应当要求投标人作必要的澄清、说明后再判定投标人是否通过资格审查，不得直接认定其不通过资格审查。</w:t>
      </w:r>
    </w:p>
    <w:p w14:paraId="28CECDA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条款号：44.1                         修改类型：修改</w:t>
      </w:r>
    </w:p>
    <w:p w14:paraId="2559B66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F40BCDF">
      <w:pPr>
        <w:keepNext w:val="0"/>
        <w:keepLines w:val="0"/>
        <w:pageBreakBefore w:val="0"/>
        <w:pBdr>
          <w:bottom w:val="single" w:color="auto" w:sz="4" w:space="0"/>
        </w:pBdr>
        <w:kinsoku/>
        <w:wordWrap/>
        <w:overflowPunct/>
        <w:topLinePunct w:val="0"/>
        <w:autoSpaceDE/>
        <w:autoSpaceDN/>
        <w:bidi w:val="0"/>
        <w:adjustRightInd/>
        <w:spacing w:line="360" w:lineRule="auto"/>
        <w:ind w:firstLine="482" w:firstLineChars="200"/>
        <w:textAlignment w:val="auto"/>
        <w:rPr>
          <w:rStyle w:val="75"/>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：44.1</w:t>
      </w:r>
      <w:r>
        <w:rPr>
          <w:rFonts w:hint="eastAsia" w:ascii="宋体" w:hAnsi="宋体" w:eastAsia="宋体" w:cs="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家，则重新招标。</w:t>
      </w:r>
      <w:r>
        <w:rPr>
          <w:rFonts w:hint="eastAsia" w:ascii="宋体" w:hAnsi="宋体" w:eastAsia="宋体" w:cs="宋体"/>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14:paraId="63AE91F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color w:val="auto"/>
          <w:sz w:val="24"/>
          <w:szCs w:val="24"/>
          <w:highlight w:val="none"/>
          <w:lang w:val="en-US" w:eastAsia="zh-CN" w:bidi="ar-SA"/>
        </w:rPr>
        <w:t>44.2</w:t>
      </w:r>
      <w:r>
        <w:rPr>
          <w:rFonts w:hint="eastAsia" w:ascii="宋体" w:hAnsi="宋体" w:eastAsia="宋体" w:cs="宋体"/>
          <w:b/>
          <w:color w:val="auto"/>
          <w:sz w:val="24"/>
          <w:szCs w:val="24"/>
          <w:highlight w:val="none"/>
          <w:lang w:bidi="ar-SA"/>
        </w:rPr>
        <w:t xml:space="preserve">            修改类型：</w:t>
      </w:r>
      <w:r>
        <w:rPr>
          <w:rFonts w:hint="eastAsia" w:ascii="宋体" w:hAnsi="宋体" w:eastAsia="宋体" w:cs="宋体"/>
          <w:b/>
          <w:color w:val="auto"/>
          <w:sz w:val="24"/>
          <w:szCs w:val="24"/>
          <w:highlight w:val="none"/>
          <w:lang w:val="en-US" w:eastAsia="zh-CN" w:bidi="ar-SA"/>
        </w:rPr>
        <w:t>删除</w:t>
      </w:r>
    </w:p>
    <w:p w14:paraId="272EE7CF">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val="0"/>
          <w:bCs/>
          <w:color w:val="auto"/>
          <w:sz w:val="24"/>
          <w:szCs w:val="24"/>
          <w:highlight w:val="none"/>
          <w:lang w:bidi="ar-SA"/>
        </w:rPr>
      </w:pPr>
      <w:r>
        <w:rPr>
          <w:rFonts w:hint="eastAsia" w:ascii="宋体" w:hAnsi="宋体" w:eastAsia="宋体" w:cs="宋体"/>
          <w:b/>
          <w:color w:val="auto"/>
          <w:sz w:val="24"/>
          <w:szCs w:val="24"/>
          <w:highlight w:val="none"/>
          <w:lang w:val="en-US" w:eastAsia="zh-CN" w:bidi="ar-SA"/>
        </w:rPr>
        <w:t>原</w:t>
      </w:r>
      <w:r>
        <w:rPr>
          <w:rFonts w:hint="eastAsia" w:ascii="宋体" w:hAnsi="宋体" w:eastAsia="宋体" w:cs="宋体"/>
          <w:b/>
          <w:color w:val="auto"/>
          <w:sz w:val="24"/>
          <w:szCs w:val="24"/>
          <w:highlight w:val="none"/>
          <w:lang w:bidi="ar-SA"/>
        </w:rPr>
        <w:t>文：</w:t>
      </w:r>
      <w:r>
        <w:rPr>
          <w:rFonts w:hint="eastAsia" w:ascii="宋体" w:hAnsi="宋体" w:eastAsia="宋体" w:cs="宋体"/>
          <w:b w:val="0"/>
          <w:bCs/>
          <w:color w:val="auto"/>
          <w:sz w:val="24"/>
          <w:szCs w:val="24"/>
          <w:highlight w:val="none"/>
          <w:lang w:bidi="ar-SA"/>
        </w:rPr>
        <w:t>技术标详细审查评分：评标委员会按照附表四《技术标详细审查评分表》的标准，对通过技术标有效性审查的投标文件技术标进行详细审查，评出技术分，得分四舍五入精确到小数点后两位。</w:t>
      </w:r>
    </w:p>
    <w:p w14:paraId="08FFCFA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SA"/>
        </w:rPr>
      </w:pPr>
      <w:r>
        <w:rPr>
          <w:rFonts w:hint="eastAsia" w:ascii="宋体" w:hAnsi="宋体" w:eastAsia="宋体" w:cs="宋体"/>
          <w:b/>
          <w:color w:val="auto"/>
          <w:sz w:val="24"/>
          <w:szCs w:val="24"/>
          <w:highlight w:val="none"/>
          <w:lang w:bidi="ar-SA"/>
        </w:rPr>
        <w:t>条款号：45.               修改类型：</w:t>
      </w:r>
      <w:r>
        <w:rPr>
          <w:rFonts w:hint="eastAsia" w:ascii="宋体" w:hAnsi="宋体" w:cs="宋体"/>
          <w:b/>
          <w:color w:val="auto"/>
          <w:sz w:val="24"/>
          <w:szCs w:val="24"/>
          <w:highlight w:val="none"/>
          <w:lang w:val="en-US" w:eastAsia="zh-CN" w:bidi="ar-SA"/>
        </w:rPr>
        <w:t>删除</w:t>
      </w:r>
    </w:p>
    <w:p w14:paraId="7F102079">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45.经济标评审和得分汇总</w:t>
      </w:r>
    </w:p>
    <w:p w14:paraId="2D3509BC">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45.1若通过技术标有效性审查的投标人中所有投标报价均大于等于最高投标限价*D%（D的取值范围为[94,100]</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由招标人自主确定）的（具体金额为：</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元），则本项目招标失败，由招标人依法重新招标。</w:t>
      </w:r>
    </w:p>
    <w:p w14:paraId="7198DC90">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45.2按方法</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计算评标参考价：</w:t>
      </w:r>
    </w:p>
    <w:p w14:paraId="233F6D88">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b/>
          <w:bCs/>
          <w:color w:val="auto"/>
          <w:sz w:val="24"/>
          <w:szCs w:val="24"/>
          <w:highlight w:val="none"/>
          <w:lang w:bidi="ar-SA"/>
        </w:rPr>
      </w:pPr>
      <w:r>
        <w:rPr>
          <w:rFonts w:hint="eastAsia" w:ascii="宋体" w:hAnsi="宋体" w:eastAsia="宋体" w:cs="宋体"/>
          <w:b/>
          <w:bCs/>
          <w:color w:val="auto"/>
          <w:sz w:val="24"/>
          <w:szCs w:val="24"/>
          <w:highlight w:val="none"/>
          <w:lang w:bidi="ar-SA"/>
        </w:rPr>
        <w:t>方法：区间抽取法</w:t>
      </w:r>
    </w:p>
    <w:p w14:paraId="77DEAE66">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24218EF">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评标参考价=（Q高-Q低）/100*Ｘ+Q低</w:t>
      </w:r>
    </w:p>
    <w:p w14:paraId="663732AB">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Q低：为达到或超过技术标及格分数线的投标人最低报价与工程成本警示价两者中的较高值；</w:t>
      </w:r>
    </w:p>
    <w:p w14:paraId="2725A348">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Q高：为（最高投标限价*D%）（D的取值范围为[94,100]</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由招标人自定）</w:t>
      </w:r>
    </w:p>
    <w:p w14:paraId="2202FE37">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X</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为等分点值，从[0,100]整数中随机抽取</w:t>
      </w:r>
    </w:p>
    <w:p w14:paraId="54858F28">
      <w:pPr>
        <w:pStyle w:val="37"/>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45.3当标价等于评标参考价时得100分，标价每高于评标参考价1%，扣1.5分，每低于评标参考价1%，扣1分，扣至0分为止，得出经济分，精确到小数点后两位。</w:t>
      </w:r>
    </w:p>
    <w:p w14:paraId="5566D064">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val="0"/>
          <w:bCs/>
          <w:color w:val="auto"/>
          <w:kern w:val="2"/>
          <w:sz w:val="24"/>
          <w:szCs w:val="24"/>
          <w:highlight w:val="none"/>
          <w:lang w:bidi="ar-SA"/>
        </w:rPr>
        <w:t>45.4计算通过技术标有效性审查的投标人总得分。投标人总得分=（技术得分×技术得</w:t>
      </w:r>
      <w:r>
        <w:rPr>
          <w:rFonts w:hint="eastAsia" w:ascii="宋体" w:hAnsi="宋体" w:eastAsia="宋体" w:cs="宋体"/>
          <w:b w:val="0"/>
          <w:bCs/>
          <w:color w:val="auto"/>
          <w:sz w:val="24"/>
          <w:szCs w:val="24"/>
          <w:highlight w:val="none"/>
          <w:lang w:bidi="ar-SA"/>
        </w:rPr>
        <w:t>分权重＋经济得分×经济得分权重）×（1-综合诚信评价分数权重）＋综合诚信评价排名得分×综合诚信评价分数权重）。技术、经济得分权重按投标须知前附表的规定执行。总得分四舍五入保留两位小数。</w:t>
      </w:r>
    </w:p>
    <w:p w14:paraId="61735241">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条款号：46.1</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3D53E91A">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lang w:bidi="ar-SA"/>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color w:val="auto"/>
          <w:spacing w:val="2"/>
          <w:sz w:val="24"/>
          <w:szCs w:val="24"/>
          <w:highlight w:val="none"/>
          <w:lang w:bidi="ar-SA"/>
        </w:rPr>
        <w:t>46.1</w:t>
      </w:r>
      <w:r>
        <w:rPr>
          <w:rFonts w:hint="eastAsia" w:ascii="宋体" w:hAnsi="宋体" w:eastAsia="宋体" w:cs="宋体"/>
          <w:color w:val="auto"/>
          <w:sz w:val="24"/>
          <w:szCs w:val="24"/>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261C7C1E">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color w:val="auto"/>
          <w:spacing w:val="2"/>
          <w:sz w:val="24"/>
          <w:szCs w:val="24"/>
          <w:highlight w:val="none"/>
          <w:lang w:bidi="ar-SA"/>
        </w:rPr>
        <w:t>46.1</w:t>
      </w:r>
      <w:r>
        <w:rPr>
          <w:rFonts w:hint="eastAsia" w:ascii="宋体" w:hAnsi="宋体" w:eastAsia="宋体" w:cs="宋体"/>
          <w:color w:val="auto"/>
          <w:sz w:val="24"/>
          <w:szCs w:val="24"/>
          <w:highlight w:val="none"/>
        </w:rPr>
        <w:t>经济标的有效性审查：</w:t>
      </w:r>
      <w:r>
        <w:rPr>
          <w:rFonts w:hint="eastAsia" w:ascii="宋体" w:hAnsi="宋体" w:eastAsia="宋体" w:cs="宋体"/>
          <w:color w:val="auto"/>
          <w:sz w:val="24"/>
          <w:szCs w:val="24"/>
          <w:highlight w:val="none"/>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E91694">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color w:val="auto"/>
          <w:sz w:val="24"/>
          <w:szCs w:val="24"/>
          <w:highlight w:val="none"/>
        </w:rPr>
        <w:t>46.2.5</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47E4A8DA">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5571ADE9">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color w:val="auto"/>
          <w:sz w:val="24"/>
          <w:szCs w:val="24"/>
          <w:highlight w:val="none"/>
        </w:rPr>
        <w:t>46.2.5如果投标人的有关规费、暂列金额、暂估价、</w:t>
      </w:r>
      <w:r>
        <w:rPr>
          <w:rFonts w:hint="eastAsia" w:ascii="宋体" w:hAnsi="宋体" w:eastAsia="宋体" w:cs="宋体"/>
          <w:color w:val="auto"/>
          <w:sz w:val="24"/>
          <w:szCs w:val="24"/>
          <w:highlight w:val="none"/>
          <w:u w:val="single"/>
        </w:rPr>
        <w:t>安全</w:t>
      </w:r>
      <w:r>
        <w:rPr>
          <w:rFonts w:hint="eastAsia" w:ascii="宋体" w:hAnsi="宋体" w:cs="宋体"/>
          <w:color w:val="auto"/>
          <w:sz w:val="24"/>
          <w:szCs w:val="24"/>
          <w:highlight w:val="none"/>
          <w:u w:val="single"/>
          <w:lang w:eastAsia="zh-CN"/>
        </w:rPr>
        <w:t>生产</w:t>
      </w:r>
      <w:r>
        <w:rPr>
          <w:rFonts w:hint="eastAsia" w:ascii="宋体" w:hAnsi="宋体" w:eastAsia="宋体" w:cs="宋体"/>
          <w:color w:val="auto"/>
          <w:sz w:val="24"/>
          <w:szCs w:val="24"/>
          <w:highlight w:val="none"/>
          <w:u w:val="single"/>
        </w:rPr>
        <w:t>措施费</w:t>
      </w:r>
      <w:r>
        <w:rPr>
          <w:rFonts w:hint="eastAsia" w:ascii="宋体" w:hAnsi="宋体" w:eastAsia="宋体" w:cs="宋体"/>
          <w:color w:val="auto"/>
          <w:sz w:val="24"/>
          <w:szCs w:val="24"/>
          <w:highlight w:val="none"/>
        </w:rPr>
        <w:t>等未按招标文件规定的金额填写的，由评标委员会按照招标文件规定的金额进行修正；</w:t>
      </w:r>
    </w:p>
    <w:p w14:paraId="3A57C5E1">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条款号：46.2.8</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5855EBBE">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lang w:bidi="ar-SA"/>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b w:val="0"/>
          <w:bCs/>
          <w:color w:val="auto"/>
          <w:spacing w:val="2"/>
          <w:sz w:val="24"/>
          <w:szCs w:val="24"/>
          <w:highlight w:val="none"/>
          <w:lang w:bidi="ar-SA"/>
        </w:rPr>
        <w:t>46.2.8按上述修正错误的原则及方法调整或修正投标文件的投标报价，调整后的投标报价对投标人起约束作用。如果投标人不接受修正后的报价，则取消其投标资格，并且其投标保证金也将不予退还。</w:t>
      </w:r>
    </w:p>
    <w:p w14:paraId="566EA49D">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b w:val="0"/>
          <w:bCs/>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b w:val="0"/>
          <w:bCs/>
          <w:color w:val="auto"/>
          <w:spacing w:val="2"/>
          <w:sz w:val="24"/>
          <w:szCs w:val="24"/>
          <w:highlight w:val="none"/>
          <w:lang w:bidi="ar-SA"/>
        </w:rPr>
        <w:t>46.2.8按上述修正错误的原则及方法调整或修正投标文件的投标报价，调整后的投标报价对投标人起约束作用。</w:t>
      </w:r>
      <w:r>
        <w:rPr>
          <w:rFonts w:hint="eastAsia" w:ascii="宋体" w:hAnsi="宋体" w:eastAsia="宋体" w:cs="宋体"/>
          <w:b w:val="0"/>
          <w:bCs/>
          <w:color w:val="auto"/>
          <w:spacing w:val="2"/>
          <w:sz w:val="24"/>
          <w:szCs w:val="24"/>
          <w:highlight w:val="none"/>
          <w:u w:val="single"/>
          <w:lang w:bidi="ar-SA"/>
        </w:rPr>
        <w:t>如果投标人不接受修正后的报价，则取消其投标资格。</w:t>
      </w:r>
    </w:p>
    <w:p w14:paraId="1AC0BFDF">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条款号：47.、</w:t>
      </w:r>
      <w:r>
        <w:rPr>
          <w:rFonts w:hint="eastAsia" w:ascii="宋体" w:hAnsi="宋体" w:eastAsia="宋体" w:cs="宋体"/>
          <w:b/>
          <w:color w:val="auto"/>
          <w:kern w:val="0"/>
          <w:sz w:val="24"/>
          <w:szCs w:val="24"/>
          <w:highlight w:val="none"/>
          <w:lang w:bidi="ar-SA"/>
        </w:rPr>
        <w:t>48.</w:t>
      </w:r>
      <w:r>
        <w:rPr>
          <w:rFonts w:hint="eastAsia" w:ascii="宋体" w:hAnsi="宋体" w:eastAsia="宋体" w:cs="宋体"/>
          <w:b/>
          <w:color w:val="auto"/>
          <w:sz w:val="24"/>
          <w:szCs w:val="24"/>
          <w:highlight w:val="none"/>
          <w:lang w:bidi="ar-SA"/>
        </w:rPr>
        <w:t xml:space="preserve">                修改类型：修改</w:t>
      </w:r>
    </w:p>
    <w:p w14:paraId="1101AC4F">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A3F98C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48.评标委员会应在通过投标文件经济标有效性审查的投标人中，按步骤45.4确定的投标人第二阶段排序，推荐前3名依次为第一中标候选人至第三中标候选人</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并编制评标报告。</w:t>
      </w:r>
    </w:p>
    <w:p w14:paraId="2A5430FC">
      <w:pPr>
        <w:keepNext w:val="0"/>
        <w:keepLines w:val="0"/>
        <w:pageBreakBefore w:val="0"/>
        <w:pBdr>
          <w:bottom w:val="single" w:color="auto" w:sz="4" w:space="0"/>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47.</w:t>
      </w:r>
      <w:r>
        <w:rPr>
          <w:rFonts w:hint="eastAsia" w:ascii="宋体" w:hAnsi="宋体" w:eastAsia="宋体" w:cs="宋体"/>
          <w:color w:val="auto"/>
          <w:sz w:val="24"/>
          <w:szCs w:val="24"/>
          <w:highlight w:val="none"/>
          <w:u w:val="single"/>
        </w:rPr>
        <w:t>评标委员会按只有通过有效性审查的投标人的投标文件方可进入下一阶段有效性审查的原则，根据有效性审查结果，取消被否决投标的投标人为合格的中标候选人资格，其余通过全部有效性审查的投标人均为合格的中标候选人资格且进入定标阶段。</w:t>
      </w:r>
    </w:p>
    <w:p w14:paraId="3367ADFA">
      <w:pPr>
        <w:keepNext w:val="0"/>
        <w:keepLines w:val="0"/>
        <w:pageBreakBefore w:val="0"/>
        <w:numPr>
          <w:ilvl w:val="0"/>
          <w:numId w:val="0"/>
        </w:numPr>
        <w:pBdr>
          <w:bottom w:val="single" w:color="auto" w:sz="4" w:space="0"/>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color w:val="auto"/>
          <w:kern w:val="2"/>
          <w:sz w:val="24"/>
          <w:szCs w:val="24"/>
          <w:highlight w:val="none"/>
          <w:lang w:val="en-US" w:eastAsia="zh-CN" w:bidi="ar-SA"/>
        </w:rPr>
        <w:t>48.</w:t>
      </w:r>
      <w:r>
        <w:rPr>
          <w:rFonts w:hint="eastAsia" w:ascii="宋体" w:hAnsi="宋体" w:eastAsia="宋体" w:cs="宋体"/>
          <w:color w:val="auto"/>
          <w:sz w:val="24"/>
          <w:szCs w:val="24"/>
          <w:highlight w:val="none"/>
          <w:u w:val="single"/>
          <w:lang w:bidi="ar-SA"/>
        </w:rPr>
        <w:t>评标委员会应在通过投标文件经济标有效性审查的投标人中，确定合格的中标候选人资格[合格的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color w:val="auto"/>
          <w:sz w:val="24"/>
          <w:szCs w:val="24"/>
          <w:highlight w:val="none"/>
          <w:u w:val="single"/>
          <w:lang w:eastAsia="zh-CN" w:bidi="ar-SA"/>
        </w:rPr>
        <w:t>，</w:t>
      </w:r>
      <w:r>
        <w:rPr>
          <w:rFonts w:hint="eastAsia" w:ascii="宋体" w:hAnsi="宋体" w:eastAsia="宋体" w:cs="宋体"/>
          <w:color w:val="auto"/>
          <w:sz w:val="24"/>
          <w:szCs w:val="24"/>
          <w:highlight w:val="none"/>
          <w:u w:val="single"/>
          <w:lang w:bidi="ar-SA"/>
        </w:rPr>
        <w:t>并编制评标报告。</w:t>
      </w:r>
    </w:p>
    <w:p w14:paraId="7543D839">
      <w:pPr>
        <w:keepNext w:val="0"/>
        <w:keepLines w:val="0"/>
        <w:pageBreakBefore w:val="0"/>
        <w:tabs>
          <w:tab w:val="left" w:pos="441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条款号：4</w:t>
      </w:r>
      <w:r>
        <w:rPr>
          <w:rFonts w:hint="eastAsia" w:ascii="宋体" w:hAnsi="宋体" w:eastAsia="宋体" w:cs="宋体"/>
          <w:b/>
          <w:color w:val="auto"/>
          <w:sz w:val="24"/>
          <w:szCs w:val="24"/>
          <w:highlight w:val="none"/>
          <w:lang w:val="en-US" w:eastAsia="zh-CN" w:bidi="ar-SA"/>
        </w:rPr>
        <w:t>9</w:t>
      </w:r>
      <w:r>
        <w:rPr>
          <w:rFonts w:hint="eastAsia" w:ascii="宋体" w:hAnsi="宋体" w:eastAsia="宋体" w:cs="宋体"/>
          <w:b/>
          <w:color w:val="auto"/>
          <w:sz w:val="24"/>
          <w:szCs w:val="24"/>
          <w:highlight w:val="none"/>
          <w:lang w:bidi="ar-SA"/>
        </w:rPr>
        <w:tab/>
      </w:r>
      <w:r>
        <w:rPr>
          <w:rFonts w:hint="eastAsia" w:ascii="宋体" w:hAnsi="宋体" w:eastAsia="宋体" w:cs="宋体"/>
          <w:b/>
          <w:color w:val="auto"/>
          <w:sz w:val="24"/>
          <w:szCs w:val="24"/>
          <w:highlight w:val="none"/>
          <w:lang w:bidi="ar-SA"/>
        </w:rPr>
        <w:t>修改类型：修改</w:t>
      </w:r>
    </w:p>
    <w:p w14:paraId="2FEB5C33">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lang w:bidi="ar-SA"/>
        </w:rPr>
      </w:pPr>
      <w:r>
        <w:rPr>
          <w:rFonts w:hint="eastAsia" w:ascii="宋体" w:hAnsi="宋体" w:eastAsia="宋体" w:cs="宋体"/>
          <w:b/>
          <w:color w:val="auto"/>
          <w:spacing w:val="2"/>
          <w:sz w:val="24"/>
          <w:szCs w:val="24"/>
          <w:highlight w:val="none"/>
          <w:lang w:bidi="ar-SA"/>
        </w:rPr>
        <w:t>原文：</w:t>
      </w:r>
      <w:r>
        <w:rPr>
          <w:rFonts w:hint="eastAsia" w:ascii="宋体" w:hAnsi="宋体" w:eastAsia="宋体" w:cs="宋体"/>
          <w:color w:val="auto"/>
          <w:spacing w:val="2"/>
          <w:sz w:val="24"/>
          <w:szCs w:val="24"/>
          <w:highlight w:val="none"/>
          <w:lang w:bidi="ar-SA"/>
        </w:rPr>
        <w:t>4</w:t>
      </w:r>
      <w:r>
        <w:rPr>
          <w:rFonts w:hint="eastAsia" w:ascii="宋体" w:hAnsi="宋体" w:eastAsia="宋体" w:cs="宋体"/>
          <w:color w:val="auto"/>
          <w:spacing w:val="2"/>
          <w:sz w:val="24"/>
          <w:szCs w:val="24"/>
          <w:highlight w:val="none"/>
          <w:lang w:val="en-US" w:eastAsia="zh-CN" w:bidi="ar-SA"/>
        </w:rPr>
        <w:t>9</w:t>
      </w:r>
      <w:r>
        <w:rPr>
          <w:rFonts w:hint="eastAsia" w:ascii="宋体" w:hAnsi="宋体" w:eastAsia="宋体" w:cs="宋体"/>
          <w:color w:val="auto"/>
          <w:sz w:val="24"/>
          <w:szCs w:val="24"/>
          <w:highlight w:val="none"/>
        </w:rPr>
        <w:t>若通过经济标有效性审查的投标人不足三家，应当依法重新招标。（当N个标段同时招标且不允许兼中时，若有效投标人不足N+2家，应当依法重新招标）</w:t>
      </w:r>
    </w:p>
    <w:p w14:paraId="245860DE">
      <w:pPr>
        <w:keepNext w:val="0"/>
        <w:keepLines w:val="0"/>
        <w:pageBreakBefore w:val="0"/>
        <w:pBdr>
          <w:bottom w:val="single" w:color="auto" w:sz="6" w:space="1"/>
        </w:pBdr>
        <w:kinsoku/>
        <w:wordWrap/>
        <w:overflowPunct/>
        <w:topLinePunct w:val="0"/>
        <w:autoSpaceDE/>
        <w:autoSpaceDN/>
        <w:bidi w:val="0"/>
        <w:adjustRightInd/>
        <w:spacing w:line="360" w:lineRule="auto"/>
        <w:ind w:firstLine="490" w:firstLineChars="200"/>
        <w:textAlignment w:val="auto"/>
        <w:rPr>
          <w:rFonts w:hint="eastAsia" w:ascii="宋体" w:hAnsi="宋体" w:eastAsia="宋体" w:cs="宋体"/>
          <w:color w:val="auto"/>
          <w:spacing w:val="2"/>
          <w:sz w:val="24"/>
          <w:szCs w:val="24"/>
          <w:highlight w:val="none"/>
          <w:u w:val="single"/>
          <w:lang w:bidi="ar-SA"/>
        </w:rPr>
      </w:pPr>
      <w:r>
        <w:rPr>
          <w:rFonts w:hint="eastAsia" w:ascii="宋体" w:hAnsi="宋体" w:eastAsia="宋体" w:cs="宋体"/>
          <w:b/>
          <w:color w:val="auto"/>
          <w:spacing w:val="2"/>
          <w:sz w:val="24"/>
          <w:szCs w:val="24"/>
          <w:highlight w:val="none"/>
          <w:lang w:bidi="ar-SA"/>
        </w:rPr>
        <w:t>现文：</w:t>
      </w:r>
      <w:r>
        <w:rPr>
          <w:rFonts w:hint="eastAsia" w:ascii="宋体" w:hAnsi="宋体" w:eastAsia="宋体" w:cs="宋体"/>
          <w:color w:val="auto"/>
          <w:spacing w:val="2"/>
          <w:sz w:val="24"/>
          <w:szCs w:val="24"/>
          <w:highlight w:val="none"/>
          <w:lang w:bidi="ar-SA"/>
        </w:rPr>
        <w:t>4</w:t>
      </w:r>
      <w:r>
        <w:rPr>
          <w:rFonts w:hint="eastAsia" w:ascii="宋体" w:hAnsi="宋体" w:eastAsia="宋体" w:cs="宋体"/>
          <w:color w:val="auto"/>
          <w:spacing w:val="2"/>
          <w:sz w:val="24"/>
          <w:szCs w:val="24"/>
          <w:highlight w:val="none"/>
          <w:lang w:val="en-US" w:eastAsia="zh-CN" w:bidi="ar-SA"/>
        </w:rPr>
        <w:t>9</w:t>
      </w:r>
      <w:r>
        <w:rPr>
          <w:rFonts w:hint="eastAsia" w:ascii="宋体" w:hAnsi="宋体" w:eastAsia="宋体" w:cs="宋体"/>
          <w:color w:val="auto"/>
          <w:sz w:val="24"/>
          <w:szCs w:val="24"/>
          <w:highlight w:val="none"/>
        </w:rPr>
        <w:t>若通过经济标有效性审查的投标人不足</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家，应当依法重新招标。</w:t>
      </w:r>
    </w:p>
    <w:p w14:paraId="1CF63E0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w:t>
      </w:r>
      <w:r>
        <w:rPr>
          <w:rFonts w:hint="eastAsia" w:ascii="宋体" w:hAnsi="宋体" w:eastAsia="宋体" w:cs="宋体"/>
          <w:b/>
          <w:color w:val="auto"/>
          <w:kern w:val="0"/>
          <w:sz w:val="24"/>
          <w:szCs w:val="24"/>
          <w:highlight w:val="none"/>
          <w:lang w:bidi="ar-SA"/>
        </w:rPr>
        <w:t>50</w:t>
      </w:r>
      <w:r>
        <w:rPr>
          <w:rFonts w:hint="eastAsia" w:ascii="宋体" w:hAnsi="宋体" w:eastAsia="宋体" w:cs="宋体"/>
          <w:b/>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bidi="ar-SA"/>
        </w:rPr>
        <w:t xml:space="preserve">                      </w:t>
      </w:r>
      <w:r>
        <w:rPr>
          <w:rFonts w:hint="eastAsia" w:ascii="宋体" w:hAnsi="宋体" w:eastAsia="宋体" w:cs="宋体"/>
          <w:b/>
          <w:color w:val="auto"/>
          <w:sz w:val="24"/>
          <w:szCs w:val="24"/>
          <w:highlight w:val="none"/>
          <w:lang w:bidi="ar-SA"/>
        </w:rPr>
        <w:t>修改类型：增加</w:t>
      </w:r>
    </w:p>
    <w:p w14:paraId="224E7CAD">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u w:val="singl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b/>
          <w:bCs/>
          <w:color w:val="auto"/>
          <w:sz w:val="24"/>
          <w:szCs w:val="24"/>
          <w:highlight w:val="none"/>
          <w:u w:val="single"/>
          <w:lang w:bidi="ar-SA"/>
        </w:rPr>
        <w:t>50</w:t>
      </w:r>
      <w:r>
        <w:rPr>
          <w:rFonts w:hint="eastAsia" w:ascii="宋体" w:hAnsi="宋体" w:eastAsia="宋体" w:cs="宋体"/>
          <w:b/>
          <w:bCs/>
          <w:color w:val="auto"/>
          <w:sz w:val="24"/>
          <w:szCs w:val="24"/>
          <w:highlight w:val="none"/>
          <w:u w:val="single"/>
          <w:lang w:eastAsia="zh-CN" w:bidi="ar-SA"/>
        </w:rPr>
        <w:t xml:space="preserve"> </w:t>
      </w:r>
      <w:r>
        <w:rPr>
          <w:rFonts w:hint="eastAsia" w:ascii="宋体" w:hAnsi="宋体" w:eastAsia="宋体" w:cs="宋体"/>
          <w:b/>
          <w:bCs/>
          <w:color w:val="auto"/>
          <w:sz w:val="24"/>
          <w:szCs w:val="24"/>
          <w:highlight w:val="none"/>
          <w:u w:val="single"/>
          <w:lang w:val="en-US" w:eastAsia="zh-CN" w:bidi="ar-SA"/>
        </w:rPr>
        <w:t xml:space="preserve"> </w:t>
      </w:r>
      <w:r>
        <w:rPr>
          <w:rFonts w:hint="eastAsia" w:ascii="宋体" w:hAnsi="宋体" w:eastAsia="宋体" w:cs="宋体"/>
          <w:b/>
          <w:bCs/>
          <w:color w:val="auto"/>
          <w:sz w:val="24"/>
          <w:szCs w:val="24"/>
          <w:highlight w:val="none"/>
          <w:u w:val="single"/>
          <w:lang w:bidi="ar-SA"/>
        </w:rPr>
        <w:t>定标</w:t>
      </w:r>
    </w:p>
    <w:p w14:paraId="78B0090B">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评标结束后，招标人按以下规定组建定标委员会，在评标委员会推荐的合格投标人中确定中标人：</w:t>
      </w:r>
    </w:p>
    <w:p w14:paraId="6317DF55">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定标由招标人依法组建的定标委员会负责。</w:t>
      </w:r>
    </w:p>
    <w:p w14:paraId="543C10B9">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50.1 定标时间和地点</w:t>
      </w:r>
    </w:p>
    <w:p w14:paraId="15C295F8">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招标人在合格的中标候选人公示完成后10个工作日内在广州交易集团有限公司（广州公共资源交易中心）开展定标工作，招标人按规定程序在投标人须知的时间和地点完成定标工作。</w:t>
      </w:r>
    </w:p>
    <w:p w14:paraId="245FC708">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 定标规则</w:t>
      </w:r>
    </w:p>
    <w:p w14:paraId="107188F1">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本项目采用</w:t>
      </w:r>
      <w:r>
        <w:rPr>
          <w:rFonts w:hint="eastAsia" w:ascii="宋体" w:hAnsi="宋体" w:cs="宋体"/>
          <w:color w:val="auto"/>
          <w:sz w:val="24"/>
          <w:szCs w:val="24"/>
          <w:highlight w:val="none"/>
          <w:u w:val="single"/>
          <w:lang w:val="en-US" w:eastAsia="zh-CN"/>
        </w:rPr>
        <w:t>评分</w:t>
      </w:r>
      <w:r>
        <w:rPr>
          <w:rFonts w:hint="eastAsia" w:ascii="宋体" w:hAnsi="宋体" w:eastAsia="宋体" w:cs="宋体"/>
          <w:color w:val="auto"/>
          <w:sz w:val="24"/>
          <w:szCs w:val="24"/>
          <w:highlight w:val="none"/>
          <w:u w:val="single"/>
        </w:rPr>
        <w:t>法</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具体定标方法如下：</w:t>
      </w:r>
    </w:p>
    <w:p w14:paraId="6A878543">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 定标程序</w:t>
      </w:r>
    </w:p>
    <w:p w14:paraId="6BF8B6B9">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50.2.1.1定标工作开始后，定标委员会应推荐一人为定标委员会组长，主持当次定标会议。</w:t>
      </w:r>
    </w:p>
    <w:p w14:paraId="62E963C7">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50.2.1.2定标辅助资料为评标阶段的评标报告、投标人提交的投标文件（含评标部分文件和定标部分文件）。</w:t>
      </w:r>
    </w:p>
    <w:p w14:paraId="57F877CC">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50.2.1.3定标委员会根据定标辅助资料，在同等条件下，定标因素的相对标准按以下</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个方面进行</w:t>
      </w:r>
      <w:r>
        <w:rPr>
          <w:rFonts w:hint="eastAsia" w:ascii="宋体" w:hAnsi="宋体" w:cs="宋体"/>
          <w:color w:val="auto"/>
          <w:sz w:val="24"/>
          <w:szCs w:val="24"/>
          <w:highlight w:val="none"/>
          <w:u w:val="single"/>
          <w:lang w:val="en-US" w:eastAsia="zh-CN"/>
        </w:rPr>
        <w:t>评审</w:t>
      </w:r>
      <w:r>
        <w:rPr>
          <w:rFonts w:hint="eastAsia" w:ascii="宋体" w:hAnsi="宋体" w:eastAsia="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方案</w:t>
      </w:r>
      <w:r>
        <w:rPr>
          <w:rFonts w:hint="eastAsia" w:ascii="宋体" w:hAnsi="宋体" w:eastAsia="宋体" w:cs="宋体"/>
          <w:color w:val="auto"/>
          <w:sz w:val="24"/>
          <w:szCs w:val="24"/>
          <w:highlight w:val="none"/>
          <w:u w:val="single"/>
        </w:rPr>
        <w:t>因素；（2）答辩因素；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3）价格因素。</w:t>
      </w:r>
      <w:r>
        <w:rPr>
          <w:rFonts w:hint="eastAsia" w:ascii="宋体" w:hAnsi="宋体" w:eastAsia="宋体" w:cs="宋体"/>
          <w:color w:val="auto"/>
          <w:sz w:val="24"/>
          <w:szCs w:val="24"/>
          <w:highlight w:val="none"/>
          <w:u w:val="single"/>
        </w:rPr>
        <w:t>（详见附表《定标因素表》）：</w:t>
      </w:r>
    </w:p>
    <w:p w14:paraId="6F145A10">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50.2.1.4将所有定标委员会成员对同一投标人的评分进行相加（总得分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100分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方案因素（60分）+答辩因素（20分）+</w:t>
      </w:r>
      <w:r>
        <w:rPr>
          <w:rFonts w:hint="eastAsia" w:ascii="宋体" w:hAnsi="宋体" w:eastAsia="宋体" w:cs="宋体"/>
          <w:color w:val="auto"/>
          <w:sz w:val="24"/>
          <w:szCs w:val="24"/>
          <w:highlight w:val="none"/>
          <w:u w:val="single"/>
        </w:rPr>
        <w:t>价格因素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20分）</w:t>
      </w:r>
      <w:r>
        <w:rPr>
          <w:rFonts w:hint="eastAsia" w:ascii="宋体" w:hAnsi="宋体" w:eastAsia="宋体" w:cs="宋体"/>
          <w:color w:val="auto"/>
          <w:sz w:val="24"/>
          <w:szCs w:val="24"/>
          <w:highlight w:val="none"/>
          <w:u w:val="single"/>
        </w:rPr>
        <w:t>），计算算术平均值，保留两位小数，第三位小数四舍五入。按总分由高至低排序，总分最高的为中标人。</w:t>
      </w:r>
    </w:p>
    <w:p w14:paraId="52545570">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注：若合格的中标候选人总得分相同且影响定标排序的，以</w:t>
      </w:r>
      <w:r>
        <w:rPr>
          <w:rFonts w:hint="eastAsia" w:ascii="宋体" w:hAnsi="宋体" w:cs="宋体"/>
          <w:color w:val="auto"/>
          <w:sz w:val="24"/>
          <w:szCs w:val="24"/>
          <w:highlight w:val="none"/>
          <w:u w:val="single"/>
          <w:lang w:val="en-US" w:eastAsia="zh-CN"/>
        </w:rPr>
        <w:t>方案因素得分高的排前，若方案因素得分</w:t>
      </w:r>
      <w:r>
        <w:rPr>
          <w:rFonts w:hint="eastAsia" w:ascii="宋体" w:hAnsi="宋体" w:eastAsia="宋体" w:cs="宋体"/>
          <w:color w:val="auto"/>
          <w:sz w:val="24"/>
          <w:szCs w:val="24"/>
          <w:highlight w:val="none"/>
          <w:u w:val="single"/>
        </w:rPr>
        <w:t>仍</w:t>
      </w:r>
      <w:r>
        <w:rPr>
          <w:rFonts w:hint="eastAsia" w:ascii="宋体" w:hAnsi="宋体" w:cs="宋体"/>
          <w:color w:val="auto"/>
          <w:sz w:val="24"/>
          <w:szCs w:val="24"/>
          <w:highlight w:val="none"/>
          <w:u w:val="single"/>
          <w:lang w:val="en-US" w:eastAsia="zh-CN"/>
        </w:rPr>
        <w:t>相同的，以</w:t>
      </w:r>
      <w:r>
        <w:rPr>
          <w:rFonts w:hint="eastAsia" w:ascii="宋体" w:hAnsi="宋体" w:eastAsia="宋体" w:cs="宋体"/>
          <w:color w:val="auto"/>
          <w:sz w:val="24"/>
          <w:szCs w:val="24"/>
          <w:highlight w:val="none"/>
          <w:u w:val="single"/>
        </w:rPr>
        <w:t>答辩因素得分高的排前；若答辩因素得分仍相同的，以价格因素得分高的排前，若价格因素得分仍相同的，由定标委员会投票确定排序。</w:t>
      </w:r>
    </w:p>
    <w:p w14:paraId="12345A2A">
      <w:pPr>
        <w:keepNext w:val="0"/>
        <w:keepLines w:val="0"/>
        <w:pageBreakBefore w:val="0"/>
        <w:pBdr>
          <w:bottom w:val="single" w:color="auto" w:sz="6" w:space="1"/>
        </w:pBd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50.2.2定标委员会组长根据评分情况向招标人推荐中标人。</w:t>
      </w:r>
    </w:p>
    <w:p w14:paraId="0583949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条款号：附表一 《资格审查表》            修改类型：修改</w:t>
      </w:r>
    </w:p>
    <w:p w14:paraId="3DA480F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7F559B6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见后附（现文：附表一《资格审查表》）</w:t>
      </w:r>
    </w:p>
    <w:p w14:paraId="5E351AB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条款号：附表二 《技术标有效性审查表》     修改类型：修改</w:t>
      </w:r>
    </w:p>
    <w:p w14:paraId="5FB29177">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4ADA453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见后附（现文：附表二《技术标有效性审查表》）</w:t>
      </w:r>
    </w:p>
    <w:p w14:paraId="55D4FFC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条款号：附表三 《经济标有效性审查表》     修改类型：修改</w:t>
      </w:r>
    </w:p>
    <w:p w14:paraId="4F2BA5B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31B6BD5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现文：</w:t>
      </w:r>
      <w:r>
        <w:rPr>
          <w:rFonts w:hint="eastAsia" w:ascii="宋体" w:hAnsi="宋体" w:eastAsia="宋体" w:cs="宋体"/>
          <w:color w:val="auto"/>
          <w:sz w:val="24"/>
          <w:szCs w:val="24"/>
          <w:highlight w:val="none"/>
          <w:lang w:bidi="ar-SA"/>
        </w:rPr>
        <w:t>见后附（现文：附表三《经济标有效性审查表》）</w:t>
      </w:r>
    </w:p>
    <w:p w14:paraId="74807986">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条款号：附表四《技术标详细审查评分表》     修改类型：</w:t>
      </w:r>
      <w:r>
        <w:rPr>
          <w:rFonts w:hint="eastAsia" w:ascii="宋体" w:hAnsi="宋体" w:cs="宋体"/>
          <w:b/>
          <w:color w:val="auto"/>
          <w:sz w:val="24"/>
          <w:szCs w:val="24"/>
          <w:highlight w:val="none"/>
          <w:lang w:val="en-US" w:eastAsia="zh-CN" w:bidi="ar-SA"/>
        </w:rPr>
        <w:t>删除</w:t>
      </w:r>
    </w:p>
    <w:p w14:paraId="307606F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111F2EB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条款号：附表</w:t>
      </w:r>
      <w:r>
        <w:rPr>
          <w:rFonts w:hint="eastAsia" w:ascii="宋体" w:hAnsi="宋体" w:eastAsia="宋体" w:cs="宋体"/>
          <w:b/>
          <w:color w:val="auto"/>
          <w:sz w:val="24"/>
          <w:szCs w:val="24"/>
          <w:highlight w:val="none"/>
          <w:lang w:val="en-US" w:eastAsia="zh-CN" w:bidi="ar-SA"/>
        </w:rPr>
        <w:t>五</w:t>
      </w:r>
      <w:r>
        <w:rPr>
          <w:rFonts w:hint="eastAsia" w:ascii="宋体" w:hAnsi="宋体" w:eastAsia="宋体" w:cs="宋体"/>
          <w:b/>
          <w:color w:val="auto"/>
          <w:sz w:val="24"/>
          <w:szCs w:val="24"/>
          <w:highlight w:val="none"/>
          <w:lang w:bidi="ar-SA"/>
        </w:rPr>
        <w:t>《经济标评分表》     修改类型：</w:t>
      </w:r>
      <w:r>
        <w:rPr>
          <w:rFonts w:hint="eastAsia" w:ascii="宋体" w:hAnsi="宋体" w:cs="宋体"/>
          <w:b/>
          <w:color w:val="auto"/>
          <w:sz w:val="24"/>
          <w:szCs w:val="24"/>
          <w:highlight w:val="none"/>
          <w:lang w:val="en-US" w:eastAsia="zh-CN" w:bidi="ar-SA"/>
        </w:rPr>
        <w:t>删除</w:t>
      </w:r>
    </w:p>
    <w:p w14:paraId="18C5A6AE">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b/>
          <w:color w:val="auto"/>
          <w:sz w:val="24"/>
          <w:szCs w:val="24"/>
          <w:highlight w:val="none"/>
          <w:lang w:bidi="ar-SA"/>
        </w:rPr>
        <w:t>原文：</w:t>
      </w:r>
      <w:r>
        <w:rPr>
          <w:rFonts w:hint="eastAsia" w:ascii="宋体" w:hAnsi="宋体" w:eastAsia="宋体" w:cs="宋体"/>
          <w:color w:val="auto"/>
          <w:sz w:val="24"/>
          <w:szCs w:val="24"/>
          <w:highlight w:val="none"/>
          <w:lang w:bidi="ar-SA"/>
        </w:rPr>
        <w:t>见范本</w:t>
      </w:r>
    </w:p>
    <w:p w14:paraId="0771F517">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7622B646">
      <w:pPr>
        <w:spacing w:line="360" w:lineRule="auto"/>
        <w:jc w:val="center"/>
        <w:rPr>
          <w:rStyle w:val="75"/>
          <w:rFonts w:hint="eastAsia" w:ascii="宋体" w:hAnsi="宋体" w:cs="宋体"/>
          <w:b/>
          <w:color w:val="auto"/>
          <w:sz w:val="28"/>
          <w:szCs w:val="28"/>
          <w:highlight w:val="none"/>
        </w:rPr>
      </w:pPr>
      <w:r>
        <w:rPr>
          <w:rFonts w:hint="eastAsia" w:ascii="宋体" w:hAnsi="宋体" w:cs="宋体"/>
          <w:b/>
          <w:color w:val="auto"/>
          <w:sz w:val="24"/>
          <w:szCs w:val="24"/>
          <w:highlight w:val="none"/>
        </w:rPr>
        <w:t>（以下无正文）</w:t>
      </w:r>
      <w:r>
        <w:rPr>
          <w:rFonts w:hint="eastAsia" w:ascii="宋体" w:hAnsi="宋体" w:cs="宋体"/>
          <w:b/>
          <w:color w:val="auto"/>
          <w:sz w:val="24"/>
          <w:szCs w:val="24"/>
          <w:highlight w:val="none"/>
        </w:rPr>
        <w:br w:type="page"/>
      </w:r>
      <w:bookmarkStart w:id="101" w:name="_Toc105014631"/>
      <w:bookmarkStart w:id="102" w:name="_Toc2272556"/>
      <w:r>
        <w:rPr>
          <w:rStyle w:val="75"/>
          <w:rFonts w:hint="eastAsia" w:ascii="宋体" w:hAnsi="宋体" w:cs="宋体"/>
          <w:b/>
          <w:color w:val="auto"/>
          <w:sz w:val="28"/>
          <w:szCs w:val="28"/>
          <w:highlight w:val="none"/>
        </w:rPr>
        <w:t>二、开标、评标及定标办法通用条款</w:t>
      </w:r>
      <w:bookmarkEnd w:id="101"/>
    </w:p>
    <w:p w14:paraId="2190CB8D">
      <w:pPr>
        <w:pStyle w:val="6"/>
        <w:spacing w:before="156" w:beforeAutospacing="0" w:after="156" w:afterAutospacing="0" w:line="360" w:lineRule="auto"/>
        <w:ind w:firstLine="482" w:firstLineChars="200"/>
        <w:rPr>
          <w:rFonts w:hint="eastAsia" w:cs="宋体"/>
          <w:b/>
          <w:bCs/>
          <w:color w:val="auto"/>
          <w:sz w:val="24"/>
          <w:szCs w:val="24"/>
          <w:highlight w:val="none"/>
        </w:rPr>
      </w:pPr>
      <w:bookmarkStart w:id="103" w:name="_Toc21525501"/>
      <w:bookmarkEnd w:id="103"/>
      <w:bookmarkStart w:id="104" w:name="_Toc28942"/>
      <w:bookmarkStart w:id="105" w:name="_Toc32637"/>
      <w:bookmarkStart w:id="106" w:name="_Toc105014632"/>
      <w:bookmarkStart w:id="107" w:name="_Toc2272557"/>
      <w:r>
        <w:rPr>
          <w:rFonts w:hint="eastAsia" w:cs="宋体"/>
          <w:b/>
          <w:bCs/>
          <w:color w:val="auto"/>
          <w:sz w:val="24"/>
          <w:szCs w:val="24"/>
          <w:highlight w:val="none"/>
        </w:rPr>
        <w:t>（一）总则</w:t>
      </w:r>
      <w:bookmarkEnd w:id="104"/>
      <w:bookmarkEnd w:id="105"/>
      <w:bookmarkEnd w:id="106"/>
      <w:bookmarkEnd w:id="107"/>
    </w:p>
    <w:p w14:paraId="767056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35.开标、评标及定标所依据的规则</w:t>
      </w:r>
    </w:p>
    <w:p w14:paraId="3FB88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14:paraId="4E6D3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14:paraId="1F875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14:paraId="245F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14:paraId="54F02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14:paraId="34555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14:paraId="59F41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35.7《财政部工业和信息化部关于印发〈政府采购促进中小企业发展管理办法〉的通知》（财库〔2020〕46号）</w:t>
      </w:r>
    </w:p>
    <w:p w14:paraId="64BCE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35.8《广东省加强建设工程招标投标监督管理的若干规定》（粤发[2004]4号）；</w:t>
      </w:r>
    </w:p>
    <w:p w14:paraId="41B8C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35.9《广东省政府采购促进中小企业发展实施细则（试行）》</w:t>
      </w:r>
    </w:p>
    <w:p w14:paraId="0F132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35.10《广州市工程建设项目招标投标管理办法》（穗建规字〔2023〕12号）；</w:t>
      </w:r>
    </w:p>
    <w:p w14:paraId="30466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35.11《广州市财政局 广州市工业和信息化局转发广东省财政厅 广东省发展和改革委员会 广东省工业和信息化厅 广东省地方金融监督管理局关于印发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广东省政府采购促进中小企业发展实施细则（试行）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的通知》（穗财采〔2023〕8号）；</w:t>
      </w:r>
    </w:p>
    <w:p w14:paraId="4438A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35.12本项目招标文件。</w:t>
      </w:r>
    </w:p>
    <w:p w14:paraId="45D819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36.开标</w:t>
      </w:r>
    </w:p>
    <w:p w14:paraId="11591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7FE18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14:paraId="713A06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9C90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12C5A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14:paraId="0641E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36.5.1在投标截止时间后一个小时内，投标人通过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4A784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14:paraId="1DE3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14:paraId="120C2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14:paraId="6F465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BA69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14:paraId="5443E4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37．评标</w:t>
      </w:r>
    </w:p>
    <w:p w14:paraId="3F971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14:paraId="6D368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37.2评标委员会在开始评标前，应了解评标专家的职责及守则，认真阅读《评标委员会成员声明》的内容并签名，签字后方可进行评标；</w:t>
      </w:r>
    </w:p>
    <w:p w14:paraId="07565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37.3</w:t>
      </w:r>
      <w:r>
        <w:rPr>
          <w:rFonts w:hint="eastAsia" w:ascii="宋体" w:hAnsi="宋体" w:eastAsia="宋体" w:cs="宋体"/>
          <w:color w:val="auto"/>
          <w:sz w:val="24"/>
          <w:szCs w:val="24"/>
          <w:highlight w:val="none"/>
        </w:rPr>
        <w:t>评标委员会的职责及守则：</w:t>
      </w:r>
    </w:p>
    <w:p w14:paraId="43F6B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.1根据评标细则，对投标文件进行认真评审，完成评审报告；</w:t>
      </w:r>
    </w:p>
    <w:p w14:paraId="4CFF5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.2向招标人报告评审意见，推荐合格的中标候选人。</w:t>
      </w:r>
    </w:p>
    <w:p w14:paraId="709DF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8B6C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.4全体参与评标人员：</w:t>
      </w:r>
    </w:p>
    <w:p w14:paraId="0F3DA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.4.1 必须遵守评标纪律、不得泄密；</w:t>
      </w:r>
    </w:p>
    <w:p w14:paraId="5D523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.4.2 必须公正、不得循私；</w:t>
      </w:r>
    </w:p>
    <w:p w14:paraId="11B50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.4.3 必须科学、不得草率；</w:t>
      </w:r>
    </w:p>
    <w:p w14:paraId="7142B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.4.4 必须客观、不得带有成见；</w:t>
      </w:r>
    </w:p>
    <w:p w14:paraId="5BAB6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.4.5 必须平等、不得强加于人；</w:t>
      </w:r>
    </w:p>
    <w:p w14:paraId="78731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.4.6 必须严谨、不得随意马虎。</w:t>
      </w:r>
    </w:p>
    <w:p w14:paraId="3EB56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评标结束后，评标委员会递交评标报告并依法推荐中标候选人。 </w:t>
      </w:r>
    </w:p>
    <w:p w14:paraId="2C0CD6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38．投标文件的澄清</w:t>
      </w:r>
    </w:p>
    <w:p w14:paraId="14483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481D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523A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14:paraId="6E645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1A9B3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5CE0F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39．定标</w:t>
      </w:r>
    </w:p>
    <w:p w14:paraId="7AC3A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14:paraId="5276B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14:paraId="36F60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117CE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8FEB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bookmarkStart w:id="108" w:name="_Toc2272558"/>
      <w:bookmarkEnd w:id="108"/>
      <w:bookmarkStart w:id="109" w:name="_Toc105014633"/>
      <w:bookmarkStart w:id="110" w:name="_Toc21525502"/>
    </w:p>
    <w:p w14:paraId="031688BA">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（二）开标评标办法程序和细则</w:t>
      </w:r>
      <w:bookmarkEnd w:id="109"/>
      <w:bookmarkEnd w:id="110"/>
    </w:p>
    <w:p w14:paraId="2BC12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11" w:name="_Toc100130481"/>
      <w:bookmarkStart w:id="112" w:name="_Toc71617140"/>
      <w:r>
        <w:rPr>
          <w:rFonts w:hint="eastAsia" w:ascii="宋体" w:hAnsi="宋体" w:eastAsia="宋体" w:cs="宋体"/>
          <w:color w:val="auto"/>
          <w:sz w:val="24"/>
          <w:szCs w:val="24"/>
          <w:highlight w:val="none"/>
        </w:rPr>
        <w:t>注：以下八种评标办法所述企业综合诚信评价分数即投标截止当日广州市工程招标代理行业协会网站上公布的企业综合诚信评价60日诚信分。</w:t>
      </w:r>
    </w:p>
    <w:p w14:paraId="14E48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283F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可选办法七（适合综合评分法四，技术标与经济标同时开启）</w:t>
      </w:r>
      <w:bookmarkEnd w:id="111"/>
      <w:bookmarkEnd w:id="112"/>
    </w:p>
    <w:p w14:paraId="10785E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40．开标和评标程序</w:t>
      </w:r>
    </w:p>
    <w:p w14:paraId="29B59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14:paraId="4EFA3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14:paraId="3711C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14:paraId="33E51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14:paraId="0FDBA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14:paraId="6ED55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14:paraId="34696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14:paraId="71864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14:paraId="6139F7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41．开标细则</w:t>
      </w:r>
    </w:p>
    <w:p w14:paraId="5FC13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14:paraId="35EFE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14:paraId="5CCEA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交易平台。有关投标文件提交的事项详见第一章投标须知。 </w:t>
      </w:r>
    </w:p>
    <w:p w14:paraId="113A9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41.2.2开标前，首先由招标人随机抽取确定该工程计算评标参考价的等分点值X。</w:t>
      </w:r>
    </w:p>
    <w:p w14:paraId="6A241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14501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41.2.4按36.5.1的规定完成解密后，公布下列内容，并予以记录，记录提交评标委员会评审：</w:t>
      </w:r>
    </w:p>
    <w:p w14:paraId="1801A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570F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41.3招标人对开标过程进行记录，并存档备查，投标人在技术标开标记录上签字。</w:t>
      </w:r>
    </w:p>
    <w:p w14:paraId="2C7E3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14:paraId="63DC3A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资格审查及评标细则</w:t>
      </w:r>
    </w:p>
    <w:p w14:paraId="6E02C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14:paraId="4BE059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DE9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14:paraId="1BEF8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14:paraId="3CC92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43．投标人资格审查</w:t>
      </w:r>
    </w:p>
    <w:p w14:paraId="046F8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29E6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14:paraId="4D5AE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14:paraId="66132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3CA3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14:paraId="58E87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14:paraId="2E7C92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44．技术标评审</w:t>
      </w:r>
    </w:p>
    <w:p w14:paraId="04B62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15D4B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40978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45．经济标评审和得分汇总</w:t>
      </w:r>
    </w:p>
    <w:p w14:paraId="5791E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45.1若通过技术标有效性审查的投标人中所有投标报价均大于等于最高投标限价*D%（D的取值范围为[94,100]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由招标人自主确定）的（具体金额为：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元），则本项目招标失败，由招标人依法重新招标。</w:t>
      </w:r>
    </w:p>
    <w:p w14:paraId="3F0990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45.2按方法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计算评标参考价：</w:t>
      </w:r>
    </w:p>
    <w:p w14:paraId="277682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SA"/>
        </w:rPr>
        <w:t>方法：区间抽取法</w:t>
      </w:r>
    </w:p>
    <w:p w14:paraId="46F09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6A12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SA"/>
        </w:rPr>
        <w:t>评标参考价=（Q</w:t>
      </w:r>
      <w:r>
        <w:rPr>
          <w:rFonts w:hint="eastAsia" w:ascii="宋体" w:hAnsi="宋体" w:eastAsia="宋体" w:cs="宋体"/>
          <w:color w:val="auto"/>
          <w:kern w:val="0"/>
          <w:sz w:val="24"/>
          <w:szCs w:val="24"/>
          <w:highlight w:val="none"/>
          <w:vertAlign w:val="subscript"/>
          <w:lang w:bidi="ar-SA"/>
        </w:rPr>
        <w:t>高</w:t>
      </w:r>
      <w:r>
        <w:rPr>
          <w:rFonts w:hint="eastAsia" w:ascii="宋体" w:hAnsi="宋体" w:eastAsia="宋体" w:cs="宋体"/>
          <w:color w:val="auto"/>
          <w:kern w:val="0"/>
          <w:sz w:val="24"/>
          <w:szCs w:val="24"/>
          <w:highlight w:val="none"/>
          <w:lang w:bidi="ar-SA"/>
        </w:rPr>
        <w:t>-Q</w:t>
      </w:r>
      <w:r>
        <w:rPr>
          <w:rFonts w:hint="eastAsia" w:ascii="宋体" w:hAnsi="宋体" w:eastAsia="宋体" w:cs="宋体"/>
          <w:color w:val="auto"/>
          <w:kern w:val="0"/>
          <w:sz w:val="24"/>
          <w:szCs w:val="24"/>
          <w:highlight w:val="none"/>
          <w:vertAlign w:val="subscript"/>
          <w:lang w:bidi="ar-SA"/>
        </w:rPr>
        <w:t>低</w:t>
      </w:r>
      <w:r>
        <w:rPr>
          <w:rFonts w:hint="eastAsia" w:ascii="宋体" w:hAnsi="宋体" w:eastAsia="宋体" w:cs="宋体"/>
          <w:color w:val="auto"/>
          <w:kern w:val="0"/>
          <w:sz w:val="24"/>
          <w:szCs w:val="24"/>
          <w:highlight w:val="none"/>
          <w:lang w:bidi="ar-SA"/>
        </w:rPr>
        <w:t>）/100*Ｘ+Q</w:t>
      </w:r>
      <w:r>
        <w:rPr>
          <w:rFonts w:hint="eastAsia" w:ascii="宋体" w:hAnsi="宋体" w:eastAsia="宋体" w:cs="宋体"/>
          <w:color w:val="auto"/>
          <w:kern w:val="0"/>
          <w:sz w:val="24"/>
          <w:szCs w:val="24"/>
          <w:highlight w:val="none"/>
          <w:vertAlign w:val="subscript"/>
          <w:lang w:bidi="ar-SA"/>
        </w:rPr>
        <w:t>低</w:t>
      </w:r>
    </w:p>
    <w:p w14:paraId="79360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Q</w:t>
      </w:r>
      <w:r>
        <w:rPr>
          <w:rFonts w:hint="eastAsia" w:ascii="宋体" w:hAnsi="宋体" w:eastAsia="宋体" w:cs="宋体"/>
          <w:color w:val="auto"/>
          <w:sz w:val="24"/>
          <w:szCs w:val="24"/>
          <w:highlight w:val="none"/>
          <w:vertAlign w:val="subscript"/>
          <w:lang w:bidi="ar-SA"/>
        </w:rPr>
        <w:t>低</w:t>
      </w:r>
      <w:r>
        <w:rPr>
          <w:rFonts w:hint="eastAsia" w:ascii="宋体" w:hAnsi="宋体" w:eastAsia="宋体" w:cs="宋体"/>
          <w:color w:val="auto"/>
          <w:sz w:val="24"/>
          <w:szCs w:val="24"/>
          <w:highlight w:val="none"/>
          <w:lang w:bidi="ar-SA"/>
        </w:rPr>
        <w:t>：为达到或超过技术标及格分数线的投标人最低报价与工程成本警示价两者中的较高值；</w:t>
      </w:r>
    </w:p>
    <w:p w14:paraId="5B4CF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SA"/>
        </w:rPr>
        <w:t>Q</w:t>
      </w:r>
      <w:r>
        <w:rPr>
          <w:rFonts w:hint="eastAsia" w:ascii="宋体" w:hAnsi="宋体" w:eastAsia="宋体" w:cs="宋体"/>
          <w:color w:val="auto"/>
          <w:kern w:val="0"/>
          <w:sz w:val="24"/>
          <w:szCs w:val="24"/>
          <w:highlight w:val="none"/>
          <w:vertAlign w:val="subscript"/>
          <w:lang w:bidi="ar-SA"/>
        </w:rPr>
        <w:t>高</w:t>
      </w:r>
      <w:r>
        <w:rPr>
          <w:rFonts w:hint="eastAsia" w:ascii="宋体" w:hAnsi="宋体" w:eastAsia="宋体" w:cs="宋体"/>
          <w:color w:val="auto"/>
          <w:sz w:val="24"/>
          <w:szCs w:val="24"/>
          <w:highlight w:val="none"/>
          <w:lang w:bidi="ar-SA"/>
        </w:rPr>
        <w:t>：为（最高投标限价*D%）（D的取值范围为[94,100]</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由招标人自定）</w:t>
      </w:r>
    </w:p>
    <w:p w14:paraId="62EA3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X</w:t>
      </w:r>
      <w:r>
        <w:rPr>
          <w:rFonts w:hint="eastAsia" w:ascii="宋体" w:hAnsi="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为等分点值，在开标前从[0,100]整数中随机抽取。</w:t>
      </w:r>
    </w:p>
    <w:p w14:paraId="42AE7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SA"/>
        </w:rPr>
        <w:t>45.3</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14:paraId="54B3C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rPr>
        <w:t>经济得分×经济得分权重）×（1-诚信综合评价分数权重）</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rPr>
        <w:t>诚信综合评价排名得分×诚信综合评价分数权重）。技术、经济得分权重按投标须知前附表的规定执行。总得分四舍五入保留两位小数。</w:t>
      </w:r>
    </w:p>
    <w:p w14:paraId="09E18A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46.经济标的有效性审查</w:t>
      </w:r>
    </w:p>
    <w:p w14:paraId="33B7D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42A48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14:paraId="65CE6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14:paraId="27E6B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46.2.2经算术复核的投标人报价与其投标报价不一致时，按就低不就高原则确定其最终报价；</w:t>
      </w:r>
    </w:p>
    <w:p w14:paraId="1D7D1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DA4C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46.2.4当合价、金额累加错误时，按就低不就高原则，如果累加修正值小于原累加值，则按累加修正值；如果累加修正值大于原累加值，则按原累加值；</w:t>
      </w:r>
    </w:p>
    <w:p w14:paraId="25033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3E30E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4362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05F92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546D5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D658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48.评标委员会应在通过投标文件经济标有效性审查的投标人中，按步骤45.4确定的投标人排序，推荐前3名依次为第一中标候选人至第三中标候选人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并编制评标报告。</w:t>
      </w:r>
    </w:p>
    <w:p w14:paraId="0F1FA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102"/>
    <w:p w14:paraId="539500D9">
      <w:pPr>
        <w:widowControl/>
        <w:spacing w:line="360" w:lineRule="auto"/>
        <w:jc w:val="left"/>
        <w:rPr>
          <w:rFonts w:hint="eastAsia" w:ascii="宋体" w:hAnsi="宋体" w:cs="宋体"/>
          <w:b/>
          <w:color w:val="auto"/>
          <w:sz w:val="24"/>
          <w:szCs w:val="24"/>
          <w:highlight w:val="none"/>
          <w:lang w:bidi="ar-SA"/>
        </w:rPr>
      </w:pPr>
      <w:r>
        <w:rPr>
          <w:rFonts w:hint="eastAsia" w:ascii="宋体" w:hAnsi="宋体" w:eastAsia="宋体" w:cs="宋体"/>
          <w:b/>
          <w:color w:val="auto"/>
          <w:sz w:val="24"/>
          <w:szCs w:val="24"/>
          <w:highlight w:val="none"/>
          <w:lang w:bidi="ar-SA"/>
        </w:rPr>
        <w:br w:type="page"/>
      </w:r>
    </w:p>
    <w:p w14:paraId="1C47C7AD">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附表一：</w:t>
      </w:r>
    </w:p>
    <w:p w14:paraId="016A4872">
      <w:pPr>
        <w:jc w:val="center"/>
        <w:outlineLvl w:val="1"/>
        <w:rPr>
          <w:rFonts w:hint="eastAsia" w:ascii="宋体" w:hAnsi="宋体" w:cs="宋体"/>
          <w:b/>
          <w:color w:val="auto"/>
          <w:sz w:val="28"/>
          <w:szCs w:val="28"/>
          <w:highlight w:val="none"/>
        </w:rPr>
      </w:pPr>
      <w:bookmarkStart w:id="113" w:name="_Toc18377"/>
      <w:r>
        <w:rPr>
          <w:rFonts w:hint="eastAsia" w:ascii="宋体" w:hAnsi="宋体" w:cs="宋体"/>
          <w:b/>
          <w:color w:val="auto"/>
          <w:sz w:val="28"/>
          <w:szCs w:val="28"/>
          <w:highlight w:val="none"/>
        </w:rPr>
        <w:t>资格审查表</w:t>
      </w:r>
      <w:bookmarkEnd w:id="113"/>
    </w:p>
    <w:p w14:paraId="144796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419A803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17"/>
        <w:gridCol w:w="3990"/>
        <w:gridCol w:w="4227"/>
        <w:gridCol w:w="720"/>
      </w:tblGrid>
      <w:tr w14:paraId="5BD6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B453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序号</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08121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审查项目</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9952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DB67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审查结果</w:t>
            </w:r>
          </w:p>
        </w:tc>
      </w:tr>
      <w:tr w14:paraId="7A5D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66"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90DE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E957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投标人参加投标的意思表达清楚，投标人代表被授权有效；</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0C0C2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投标人声明原件扫描件；法定代表人/</w:t>
            </w:r>
            <w:r>
              <w:rPr>
                <w:rFonts w:hint="eastAsia" w:ascii="宋体" w:hAnsi="宋体" w:eastAsia="宋体" w:cs="宋体"/>
                <w:bCs/>
                <w:color w:val="auto"/>
                <w:sz w:val="21"/>
                <w:szCs w:val="21"/>
                <w:highlight w:val="none"/>
              </w:rPr>
              <w:t>企业负责人</w:t>
            </w:r>
            <w:r>
              <w:rPr>
                <w:rFonts w:hint="eastAsia" w:ascii="宋体" w:hAnsi="宋体" w:eastAsia="宋体" w:cs="宋体"/>
                <w:color w:val="auto"/>
                <w:sz w:val="21"/>
                <w:szCs w:val="21"/>
                <w:highlight w:val="none"/>
              </w:rPr>
              <w:t>证明书；委托投标的还应提供法人授权委托证明书扫描件。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C66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02F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6A4B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54CB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投标人具有独立法人资格，按国家法律经营；</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2785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70F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41FC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1B04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6C59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投标人持有建设行政主管部门颁发的企业资质证书及安全生产许可证；投标人资质符合公告要求；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5DF1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76D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22DA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9734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8762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投标人拟担任本工程项目负责人符合公告要求；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8B53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83C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39AD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58F5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5</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7C31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持有项目负责人安全生产考核合格证（B类）或建筑施工企业项目负责人安全生产考核合格证；</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162E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7A9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30AF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DE09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6</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6595B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投标人拟担任本工程技术负责人符合公告要求；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36271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bCs/>
                <w:color w:val="auto"/>
                <w:sz w:val="21"/>
                <w:szCs w:val="21"/>
                <w:highlight w:val="none"/>
                <w:u w:val="single"/>
              </w:rPr>
              <w:t>拟委派技术负责人的职称证书清晰扫描件。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C6A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31AC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E8F6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7</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38D9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专职安全员须具有安全生产考核合格证（C类）或建筑施工企业专职安全生产管理人员安全生产考核合格证书（C3）；项目负责人和专职安全员不为同一人；</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ACA1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专职安全员的安全生产考核合格证（C类）或建筑施工企业专职安全生产管理人员安全生产考核合格证（C3）证书扫描件或电子证书</w:t>
            </w:r>
            <w:r>
              <w:rPr>
                <w:rFonts w:hint="eastAsia" w:ascii="宋体" w:hAnsi="宋体" w:cs="宋体"/>
                <w:color w:val="auto"/>
                <w:sz w:val="21"/>
                <w:szCs w:val="21"/>
                <w:highlight w:val="none"/>
                <w:u w:val="single"/>
                <w:lang w:eastAsia="zh-CN"/>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40E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3ECF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86"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43C5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8</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F643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投标人提供的投标人声明符合公告要求；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322DD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投标人声明扫描件。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3B4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10F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82F1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9</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5F38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pacing w:val="-2"/>
                <w:sz w:val="21"/>
                <w:szCs w:val="21"/>
                <w:highlight w:val="none"/>
                <w:lang w:bidi="ar-SA"/>
              </w:rPr>
            </w:pPr>
            <w:r>
              <w:rPr>
                <w:rFonts w:hint="eastAsia" w:ascii="宋体" w:hAnsi="宋体" w:eastAsia="宋体" w:cs="宋体"/>
                <w:color w:val="auto"/>
                <w:sz w:val="21"/>
                <w:szCs w:val="21"/>
                <w:highlight w:val="none"/>
              </w:rPr>
              <w:t>投标人声明中签字</w:t>
            </w:r>
            <w:r>
              <w:rPr>
                <w:rFonts w:hint="eastAsia" w:ascii="宋体" w:hAnsi="宋体" w:eastAsia="宋体" w:cs="宋体"/>
                <w:color w:val="auto"/>
                <w:sz w:val="21"/>
                <w:szCs w:val="21"/>
                <w:highlight w:val="none"/>
                <w:u w:val="single"/>
              </w:rPr>
              <w:t>或盖章</w:t>
            </w:r>
            <w:r>
              <w:rPr>
                <w:rFonts w:hint="eastAsia" w:ascii="宋体" w:hAnsi="宋体" w:eastAsia="宋体" w:cs="宋体"/>
                <w:color w:val="auto"/>
                <w:sz w:val="21"/>
                <w:szCs w:val="21"/>
                <w:highlight w:val="none"/>
              </w:rPr>
              <w:t>的项目负责人和技术负责人与本项目拟派的项目负责人和技术负责人一致；</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2D01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695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1E96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F4E1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10</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75A0A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关于联合体投标:本项目不接受联合体投</w:t>
            </w:r>
          </w:p>
          <w:p w14:paraId="05D9126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0"/>
                <w:sz w:val="21"/>
                <w:szCs w:val="21"/>
                <w:highlight w:val="none"/>
                <w:lang w:bidi="ar-SA"/>
              </w:rPr>
            </w:pPr>
            <w:r>
              <w:rPr>
                <w:rFonts w:hint="eastAsia" w:ascii="宋体" w:hAnsi="宋体" w:eastAsia="宋体" w:cs="宋体"/>
                <w:color w:val="auto"/>
                <w:szCs w:val="21"/>
                <w:highlight w:val="none"/>
                <w:u w:val="none"/>
              </w:rPr>
              <w:t>标</w:t>
            </w:r>
            <w:r>
              <w:rPr>
                <w:rFonts w:hint="eastAsia" w:ascii="宋体" w:hAnsi="宋体" w:eastAsia="宋体" w:cs="宋体"/>
                <w:color w:val="auto"/>
                <w:sz w:val="21"/>
                <w:szCs w:val="21"/>
                <w:highlight w:val="none"/>
              </w:rPr>
              <w:t>；</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10C11E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0"/>
                <w:sz w:val="21"/>
                <w:szCs w:val="21"/>
                <w:highlight w:val="none"/>
                <w:u w:val="none"/>
                <w:lang w:eastAsia="zh-CN" w:bidi="ar-SA"/>
              </w:rPr>
            </w:pPr>
            <w:r>
              <w:rPr>
                <w:rFonts w:hint="eastAsia" w:ascii="宋体" w:hAnsi="宋体" w:cs="宋体"/>
                <w:color w:val="auto"/>
                <w:szCs w:val="21"/>
                <w:highlight w:val="none"/>
                <w:lang w:val="en-US" w:eastAsia="zh-CN"/>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6BCD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2BF4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F083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11</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568B0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资格审查前，投标人须在广州市住建行业信用管理平台内建立企业信用档案</w:t>
            </w:r>
            <w:r>
              <w:rPr>
                <w:rFonts w:hint="eastAsia" w:ascii="宋体" w:hAnsi="宋体" w:eastAsia="宋体" w:cs="宋体"/>
                <w:color w:val="auto"/>
                <w:sz w:val="21"/>
                <w:szCs w:val="21"/>
                <w:highlight w:val="none"/>
                <w:u w:val="single"/>
                <w:lang w:bidi="ar-SA"/>
              </w:rPr>
              <w:t>或广州交易集团有限公司（广州公共资源交易中心）办理企业信息登记</w:t>
            </w:r>
            <w:r>
              <w:rPr>
                <w:rFonts w:hint="eastAsia" w:ascii="宋体" w:hAnsi="宋体" w:eastAsia="宋体" w:cs="宋体"/>
                <w:color w:val="auto"/>
                <w:sz w:val="21"/>
                <w:szCs w:val="21"/>
                <w:highlight w:val="none"/>
                <w:lang w:bidi="ar-SA"/>
              </w:rPr>
              <w:t>，拟担任本工程项目负责人、专职安全员须是本企业信用档案</w:t>
            </w:r>
            <w:r>
              <w:rPr>
                <w:rFonts w:hint="eastAsia" w:ascii="宋体" w:hAnsi="宋体" w:eastAsia="宋体" w:cs="宋体"/>
                <w:color w:val="auto"/>
                <w:sz w:val="21"/>
                <w:szCs w:val="21"/>
                <w:highlight w:val="none"/>
                <w:u w:val="single"/>
                <w:lang w:bidi="ar-SA"/>
              </w:rPr>
              <w:t>或本企业信息登记</w:t>
            </w:r>
            <w:r>
              <w:rPr>
                <w:rFonts w:hint="eastAsia" w:ascii="宋体" w:hAnsi="宋体" w:eastAsia="宋体" w:cs="宋体"/>
                <w:color w:val="auto"/>
                <w:sz w:val="21"/>
                <w:szCs w:val="21"/>
                <w:highlight w:val="none"/>
                <w:lang w:bidi="ar-SA"/>
              </w:rPr>
              <w:t>中的在册人员；</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D5B8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投标人在广州市住建行业信用管理平台内企业信用档案</w:t>
            </w:r>
            <w:r>
              <w:rPr>
                <w:rFonts w:hint="eastAsia" w:ascii="宋体" w:hAnsi="宋体" w:eastAsia="宋体" w:cs="宋体"/>
                <w:color w:val="auto"/>
                <w:sz w:val="21"/>
                <w:szCs w:val="21"/>
                <w:highlight w:val="none"/>
                <w:u w:val="single"/>
                <w:lang w:bidi="ar-SA"/>
              </w:rPr>
              <w:t>或广州交易集团有限公司（广州公共资源交易中心）</w:t>
            </w:r>
            <w:r>
              <w:rPr>
                <w:rFonts w:hint="eastAsia" w:ascii="宋体" w:hAnsi="宋体" w:eastAsia="宋体" w:cs="宋体"/>
                <w:color w:val="auto"/>
                <w:sz w:val="21"/>
                <w:szCs w:val="21"/>
                <w:highlight w:val="none"/>
                <w:lang w:bidi="ar-SA"/>
              </w:rPr>
              <w:t>的企业和人员信息。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08D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0C01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DE5E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12</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55122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rPr>
              <w:t>投标人未出现以下情形：与</w:t>
            </w:r>
            <w:r>
              <w:rPr>
                <w:rFonts w:hint="eastAsia" w:ascii="宋体" w:hAnsi="宋体" w:cs="宋体"/>
                <w:color w:val="auto"/>
                <w:sz w:val="21"/>
                <w:szCs w:val="21"/>
                <w:highlight w:val="none"/>
                <w:lang w:val="en-US" w:eastAsia="zh-CN"/>
              </w:rPr>
              <w:t>本标段</w:t>
            </w:r>
            <w:r>
              <w:rPr>
                <w:rFonts w:hint="eastAsia" w:ascii="宋体" w:hAnsi="宋体" w:eastAsia="宋体" w:cs="宋体"/>
                <w:color w:val="auto"/>
                <w:sz w:val="21"/>
                <w:szCs w:val="21"/>
                <w:highlight w:val="none"/>
              </w:rPr>
              <w:t>其它投标人的单位负责人为同一人或者存在控股、管理关系的（按投标人提供的《投标人声明》第</w:t>
            </w:r>
            <w:r>
              <w:rPr>
                <w:rFonts w:hint="eastAsia" w:ascii="宋体" w:hAnsi="宋体" w:cs="宋体"/>
                <w:color w:val="auto"/>
                <w:sz w:val="21"/>
                <w:szCs w:val="21"/>
                <w:highlight w:val="none"/>
                <w:lang w:eastAsia="zh-CN"/>
              </w:rPr>
              <w:t>九</w:t>
            </w:r>
            <w:r>
              <w:rPr>
                <w:rFonts w:hint="eastAsia" w:ascii="宋体" w:hAnsi="宋体" w:eastAsia="宋体" w:cs="宋体"/>
                <w:color w:val="auto"/>
                <w:sz w:val="21"/>
                <w:szCs w:val="21"/>
                <w:highlight w:val="none"/>
              </w:rPr>
              <w:t>条内容进行评审）；</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3051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rPr>
              <w:t>投标人声明扫描件。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3B3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6C1F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EC96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88C3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投标人未被列入拖欠农民工工资失信联合惩戒对象名单。</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06DB8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投标人无需提供资料，按投标截止时间广州交易集团有限公司（广州公共资源交易中心）交易系统比对的结果进行评审。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726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r w14:paraId="510F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8834" w:type="dxa"/>
            <w:gridSpan w:val="3"/>
            <w:tcBorders>
              <w:top w:val="single" w:color="auto" w:sz="4" w:space="0"/>
              <w:left w:val="single" w:color="auto" w:sz="4" w:space="0"/>
              <w:bottom w:val="single" w:color="auto" w:sz="4" w:space="0"/>
              <w:right w:val="single" w:color="auto" w:sz="4" w:space="0"/>
            </w:tcBorders>
            <w:noWrap w:val="0"/>
            <w:vAlign w:val="center"/>
          </w:tcPr>
          <w:p w14:paraId="3536B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评审结论</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047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bidi="ar-SA"/>
              </w:rPr>
            </w:pPr>
          </w:p>
        </w:tc>
      </w:tr>
    </w:tbl>
    <w:p w14:paraId="5BC00E9A">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14:paraId="517AECF5">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每一项目符合的打“○”，不符合的打“×”； </w:t>
      </w:r>
    </w:p>
    <w:p w14:paraId="5E92CEB8">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若评委意见不一致时，则按少数服从多数的原则，作出评审结论。汇总后，出现一个“×”的结论为“不通过”。</w:t>
      </w:r>
    </w:p>
    <w:p w14:paraId="6CE4A6F7">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328D18A">
      <w:pPr>
        <w:pStyle w:val="22"/>
        <w:rPr>
          <w:rFonts w:hint="eastAsia" w:hAnsi="宋体"/>
          <w:color w:val="auto"/>
          <w:highlight w:val="none"/>
        </w:rPr>
      </w:pPr>
    </w:p>
    <w:p w14:paraId="50F4BE7C">
      <w:pPr>
        <w:rPr>
          <w:rFonts w:hint="eastAsia" w:ascii="宋体" w:hAnsi="宋体" w:cs="宋体"/>
          <w:color w:val="auto"/>
          <w:highlight w:val="none"/>
          <w:lang w:bidi="ar-SA"/>
        </w:rPr>
        <w:sectPr>
          <w:footerReference r:id="rId9" w:type="default"/>
          <w:pgSz w:w="11906" w:h="16838"/>
          <w:pgMar w:top="1020" w:right="1304" w:bottom="1020" w:left="1304" w:header="851" w:footer="567" w:gutter="0"/>
          <w:pgBorders>
            <w:top w:val="none" w:sz="0" w:space="0"/>
            <w:left w:val="none" w:sz="0" w:space="0"/>
            <w:bottom w:val="none" w:sz="0" w:space="0"/>
            <w:right w:val="none" w:sz="0" w:space="0"/>
          </w:pgBorders>
          <w:pgNumType w:start="1"/>
          <w:cols w:space="720" w:num="1"/>
          <w:docGrid w:type="lines" w:linePitch="312" w:charSpace="0"/>
        </w:sectPr>
      </w:pPr>
    </w:p>
    <w:p w14:paraId="7BEAADCC">
      <w:pPr>
        <w:rPr>
          <w:rFonts w:hint="eastAsia" w:ascii="宋体" w:hAnsi="宋体" w:cs="宋体"/>
          <w:color w:val="auto"/>
          <w:sz w:val="24"/>
          <w:szCs w:val="24"/>
          <w:highlight w:val="none"/>
        </w:rPr>
      </w:pPr>
      <w:r>
        <w:rPr>
          <w:rFonts w:hint="eastAsia" w:ascii="宋体" w:hAnsi="宋体" w:cs="宋体"/>
          <w:color w:val="auto"/>
          <w:sz w:val="24"/>
          <w:szCs w:val="24"/>
          <w:highlight w:val="none"/>
        </w:rPr>
        <w:t>附表二</w:t>
      </w:r>
    </w:p>
    <w:p w14:paraId="6CC1AA47">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技术标有效性审查表</w:t>
      </w:r>
    </w:p>
    <w:p w14:paraId="21F0E221">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9"/>
        <w:tblW w:w="14505"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5"/>
        <w:gridCol w:w="9723"/>
        <w:gridCol w:w="1019"/>
        <w:gridCol w:w="1019"/>
        <w:gridCol w:w="1019"/>
        <w:gridCol w:w="1020"/>
      </w:tblGrid>
      <w:tr w14:paraId="4D1F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8BDB8D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723"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9425C4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14:paraId="63E16D4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3C44A2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1D44EE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152870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2091DF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668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9CB310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39BAC3C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《广州建设工程施工招标投标书（技术标）》中填报的投标总工期不符合招标文件要求的；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6356CE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0F6F6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55EC2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3E9D59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30AB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6919B1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46AC49E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《广州建设工程施工招标投标书（技术标）》中填报的工程质量标准不符合招标文件要求的；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13064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6739C6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E1A329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883698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7906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51E03C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088E54E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投标文件中没有有效的法定代表人证明书，或由委托代理人签署的投标文件中没有法定代表人授权书；</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691FA8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F086C8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C3DE8B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4AD914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32E6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D2E19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1B3B765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投标文件未按规定的格式填写</w:t>
            </w:r>
            <w:r>
              <w:rPr>
                <w:rFonts w:hint="eastAsia" w:ascii="宋体" w:hAnsi="宋体" w:eastAsia="宋体" w:cs="宋体"/>
                <w:color w:val="auto"/>
                <w:sz w:val="21"/>
                <w:szCs w:val="21"/>
                <w:highlight w:val="none"/>
                <w:u w:val="single"/>
              </w:rPr>
              <w:t>（指招标文件第四章提供格式的《广州建设工程施工招标投标书（技术标）》、《投标函》、《危险性较大的分部分项工程安全管理措施》</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，或主要内容（指投标文件组成内容）不全，或关键字迹模糊、无法辨认的；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DC3BC2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C80352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A2D20B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628761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5887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4F3531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656374C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投标人之间存在《广东省实施&lt;中华人民共和国招标投标法&gt;办法》第十六条所禁止的情形的；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7EF52E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91BE09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CE7381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0C290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D44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01F85B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4749DBA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无《参与编制技术标投标文件人员名单》的；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7550B0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ED5EA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3B8908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8686A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shd w:val="pct10" w:color="auto" w:fill="FFFFFF"/>
              </w:rPr>
            </w:pPr>
          </w:p>
        </w:tc>
      </w:tr>
      <w:tr w14:paraId="5C2E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D5A674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9723" w:type="dxa"/>
            <w:tcBorders>
              <w:top w:val="single" w:color="auto" w:sz="4" w:space="0"/>
              <w:left w:val="single" w:color="auto" w:sz="4" w:space="0"/>
              <w:bottom w:val="single" w:color="auto" w:sz="4" w:space="0"/>
              <w:right w:val="single" w:color="auto" w:sz="4" w:space="0"/>
            </w:tcBorders>
            <w:noWrap w:val="0"/>
            <w:vAlign w:val="center"/>
          </w:tcPr>
          <w:p w14:paraId="04FDD27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u w:val="single"/>
              </w:rPr>
              <w:t>本项目</w:t>
            </w:r>
            <w:r>
              <w:rPr>
                <w:rFonts w:hint="eastAsia" w:ascii="宋体" w:hAnsi="宋体" w:eastAsia="宋体" w:cs="宋体"/>
                <w:color w:val="auto"/>
                <w:sz w:val="21"/>
                <w:szCs w:val="21"/>
                <w:highlight w:val="none"/>
              </w:rPr>
              <w:t>其他投标人加密打包投标文件电脑机器特征码一致的</w:t>
            </w:r>
            <w:r>
              <w:rPr>
                <w:rFonts w:hint="eastAsia" w:ascii="宋体" w:hAnsi="宋体" w:eastAsia="宋体" w:cs="宋体"/>
                <w:color w:val="auto"/>
                <w:sz w:val="21"/>
                <w:szCs w:val="21"/>
                <w:highlight w:val="none"/>
                <w:u w:val="single"/>
              </w:rPr>
              <w:t>（以广州交易集团有限公司（广州公共资源交易中心）交易平台评标系统的检索信息为准）</w:t>
            </w:r>
            <w:r>
              <w:rPr>
                <w:rFonts w:hint="eastAsia" w:ascii="宋体" w:hAnsi="宋体" w:eastAsia="宋体" w:cs="宋体"/>
                <w:color w:val="auto"/>
                <w:sz w:val="21"/>
                <w:szCs w:val="21"/>
                <w:highlight w:val="none"/>
              </w:rPr>
              <w:t>。</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96C5F3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C29E9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01C20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45C4C1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1FA7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6" w:hRule="atLeast"/>
        </w:trPr>
        <w:tc>
          <w:tcPr>
            <w:tcW w:w="10428" w:type="dxa"/>
            <w:gridSpan w:val="2"/>
            <w:tcBorders>
              <w:top w:val="single" w:color="auto" w:sz="4" w:space="0"/>
              <w:left w:val="single" w:color="auto" w:sz="4" w:space="0"/>
              <w:bottom w:val="single" w:color="auto" w:sz="4" w:space="0"/>
              <w:right w:val="single" w:color="auto" w:sz="4" w:space="0"/>
            </w:tcBorders>
            <w:noWrap w:val="0"/>
            <w:vAlign w:val="center"/>
          </w:tcPr>
          <w:p w14:paraId="3A07AE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    论</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78FD4A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67D65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CDF81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B03F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bl>
    <w:p w14:paraId="38B32135">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35AC994B">
      <w:pPr>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B9EA7C0">
      <w:pPr>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656ECC16">
      <w:pPr>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6C5CB64D">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23913FB1">
      <w:pPr>
        <w:rPr>
          <w:rFonts w:hint="eastAsia" w:ascii="宋体" w:hAnsi="宋体" w:cs="宋体"/>
          <w:color w:val="auto"/>
          <w:szCs w:val="21"/>
          <w:highlight w:val="none"/>
          <w:lang w:bidi="ar-SA"/>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134" w:right="1304" w:bottom="1134" w:left="1304" w:header="851" w:footer="56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lang w:bidi="ar-SA"/>
        </w:rPr>
        <w:br w:type="page"/>
      </w:r>
    </w:p>
    <w:p w14:paraId="3ED4D687">
      <w:pPr>
        <w:rPr>
          <w:rFonts w:hint="eastAsia" w:ascii="宋体" w:hAnsi="宋体" w:cs="宋体"/>
          <w:color w:val="auto"/>
          <w:sz w:val="24"/>
          <w:szCs w:val="24"/>
          <w:highlight w:val="none"/>
        </w:rPr>
      </w:pPr>
      <w:r>
        <w:rPr>
          <w:rFonts w:hint="eastAsia" w:ascii="宋体" w:hAnsi="宋体" w:cs="宋体"/>
          <w:color w:val="auto"/>
          <w:sz w:val="24"/>
          <w:szCs w:val="24"/>
          <w:highlight w:val="none"/>
        </w:rPr>
        <w:t>附表三</w:t>
      </w:r>
    </w:p>
    <w:p w14:paraId="7847ED37">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经济标有效性审查表</w:t>
      </w:r>
    </w:p>
    <w:p w14:paraId="777305F6">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9"/>
        <w:tblW w:w="14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85"/>
        <w:gridCol w:w="9275"/>
        <w:gridCol w:w="1110"/>
        <w:gridCol w:w="1110"/>
        <w:gridCol w:w="1095"/>
        <w:gridCol w:w="1155"/>
      </w:tblGrid>
      <w:tr w14:paraId="6A63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3"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76E893B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275"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503136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14:paraId="6651E7FF">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BD00C7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35AC5F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E52C206">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3B0D795">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3BE2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0C75F916">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70E9D3F1">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对同一招标项目出现两个或以上的投标报价，且没有申明哪个有效；</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6799810">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9B87710">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B84F6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1C8636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7A86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6357C8E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091CDFBA">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投标总报价高于最高投标限价；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919659D">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04A354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1BBCF1">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DA3825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256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44F2ECC">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5CF4241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2" w:leftChars="-1"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投标报价低于成本的</w:t>
            </w:r>
            <w:r>
              <w:rPr>
                <w:rFonts w:hint="eastAsia" w:ascii="宋体" w:hAnsi="宋体" w:eastAsia="宋体" w:cs="宋体"/>
                <w:color w:val="auto"/>
                <w:sz w:val="21"/>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BD24C4D">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DB2B19C">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C93F9A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6AAA02B">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0AD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22694AA">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5D68562B">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按规定的格式填写（指招标文件第四章的《广州建设工程施工招标投标书（经济标）》《对投标文件编制的承诺》《参与编制经济标投标文件人员名单》），或主要内容不全，或关键字迹模糊、无法辨认的；</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0BAE63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E01855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352C10">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F2DA9F3">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7242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700564F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1E2B89A4">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投标人之间存在《广东省实施&lt;中华人民共和国招标投标法&gt;办法》第十六条所禁止的情形的；</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D2F786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65CA022">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374991">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E56F6E0">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5B66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51203FCF">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03C6466C">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无《参与编制经济标投标文件人员名单》的；</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C3E427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5F256B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738BC2">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AFD62B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4A9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298B2B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9275" w:type="dxa"/>
            <w:tcBorders>
              <w:top w:val="single" w:color="auto" w:sz="4" w:space="0"/>
              <w:left w:val="single" w:color="auto" w:sz="4" w:space="0"/>
              <w:bottom w:val="single" w:color="auto" w:sz="4" w:space="0"/>
              <w:right w:val="single" w:color="auto" w:sz="4" w:space="0"/>
            </w:tcBorders>
            <w:noWrap w:val="0"/>
            <w:vAlign w:val="center"/>
          </w:tcPr>
          <w:p w14:paraId="78ADBBE5">
            <w:pPr>
              <w:keepNext w:val="0"/>
              <w:keepLines w:val="0"/>
              <w:pageBreakBefore w:val="0"/>
              <w:widowControl w:val="0"/>
              <w:suppressLineNumbers w:val="0"/>
              <w:kinsoku/>
              <w:wordWrap/>
              <w:overflowPunct/>
              <w:topLinePunct w:val="0"/>
              <w:bidi w:val="0"/>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无《对投标文件编制的承诺》；</w:t>
            </w:r>
            <w:bookmarkStart w:id="211" w:name="_GoBack"/>
            <w:bookmarkEnd w:id="211"/>
          </w:p>
        </w:tc>
        <w:tc>
          <w:tcPr>
            <w:tcW w:w="1110" w:type="dxa"/>
            <w:tcBorders>
              <w:top w:val="single" w:color="auto" w:sz="4" w:space="0"/>
              <w:left w:val="single" w:color="auto" w:sz="4" w:space="0"/>
              <w:bottom w:val="single" w:color="auto" w:sz="4" w:space="0"/>
              <w:right w:val="single" w:color="auto" w:sz="4" w:space="0"/>
            </w:tcBorders>
            <w:noWrap w:val="0"/>
            <w:vAlign w:val="center"/>
          </w:tcPr>
          <w:p w14:paraId="2319D5B5">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EF79D1E">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BD8CE7">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48DA592">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1D1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6" w:hRule="atLeast"/>
          <w:jc w:val="center"/>
        </w:trPr>
        <w:tc>
          <w:tcPr>
            <w:tcW w:w="10160" w:type="dxa"/>
            <w:gridSpan w:val="2"/>
            <w:tcBorders>
              <w:top w:val="single" w:color="auto" w:sz="4" w:space="0"/>
              <w:left w:val="single" w:color="auto" w:sz="4" w:space="0"/>
              <w:bottom w:val="single" w:color="auto" w:sz="4" w:space="0"/>
              <w:right w:val="single" w:color="auto" w:sz="4" w:space="0"/>
            </w:tcBorders>
            <w:noWrap w:val="0"/>
            <w:vAlign w:val="center"/>
          </w:tcPr>
          <w:p w14:paraId="5C441ED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    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AB6A93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92F3874">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EEC1788">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BB3B2FA">
            <w:pPr>
              <w:keepNext w:val="0"/>
              <w:keepLines w:val="0"/>
              <w:pageBreakBefore w:val="0"/>
              <w:widowControl w:val="0"/>
              <w:suppressLineNumbers w:val="0"/>
              <w:kinsoku/>
              <w:wordWrap/>
              <w:overflowPunct/>
              <w:topLinePunct w:val="0"/>
              <w:bidi w:val="0"/>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bl>
    <w:p w14:paraId="336DE1E5">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291569F7">
      <w:pPr>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4EA174A0">
      <w:pPr>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589EA12C">
      <w:pPr>
        <w:rPr>
          <w:rFonts w:hint="eastAsia"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630AA9A">
      <w:pPr>
        <w:rPr>
          <w:rFonts w:hint="eastAsia" w:ascii="宋体" w:hAnsi="宋体"/>
          <w:color w:val="auto"/>
          <w:szCs w:val="21"/>
          <w:highlight w:val="none"/>
        </w:rPr>
      </w:pPr>
      <w:r>
        <w:rPr>
          <w:rFonts w:hint="eastAsia" w:ascii="宋体" w:hAnsi="宋体"/>
          <w:color w:val="auto"/>
          <w:szCs w:val="21"/>
          <w:highlight w:val="none"/>
        </w:rPr>
        <w:t>评委签名：</w:t>
      </w:r>
    </w:p>
    <w:p w14:paraId="35A08C4F">
      <w:pPr>
        <w:rPr>
          <w:rFonts w:hint="eastAsia" w:ascii="宋体" w:hAnsi="宋体" w:cs="宋体"/>
          <w:b/>
          <w:color w:val="auto"/>
          <w:sz w:val="36"/>
          <w:szCs w:val="36"/>
          <w:highlight w:val="none"/>
          <w:lang w:bidi="ar-SA"/>
        </w:rPr>
        <w:sectPr>
          <w:pgSz w:w="16838" w:h="11906" w:orient="landscape"/>
          <w:pgMar w:top="1020" w:right="1304" w:bottom="1020" w:left="1304" w:header="851" w:footer="567" w:gutter="0"/>
          <w:pgBorders>
            <w:top w:val="none" w:sz="0" w:space="0"/>
            <w:left w:val="none" w:sz="0" w:space="0"/>
            <w:bottom w:val="none" w:sz="0" w:space="0"/>
            <w:right w:val="none" w:sz="0" w:space="0"/>
          </w:pgBorders>
          <w:cols w:space="0" w:num="1"/>
          <w:titlePg/>
          <w:rtlGutter w:val="0"/>
          <w:docGrid w:type="lines" w:linePitch="312" w:charSpace="0"/>
        </w:sectPr>
      </w:pPr>
    </w:p>
    <w:p w14:paraId="4891A9D0">
      <w:pPr>
        <w:rPr>
          <w:rFonts w:hint="eastAsia" w:ascii="宋体" w:hAnsi="宋体" w:eastAsia="宋体" w:cs="宋体"/>
          <w:b/>
          <w:color w:val="auto"/>
          <w:szCs w:val="21"/>
          <w:highlight w:val="none"/>
          <w:lang w:eastAsia="zh-CN"/>
        </w:rPr>
      </w:pPr>
      <w:bookmarkStart w:id="114" w:name="_Toc60070621"/>
      <w:bookmarkStart w:id="115" w:name="_Toc2272566"/>
      <w:bookmarkStart w:id="116" w:name="_Toc10239"/>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四</w:t>
      </w:r>
    </w:p>
    <w:p w14:paraId="5117C250">
      <w:pPr>
        <w:jc w:val="center"/>
        <w:rPr>
          <w:rFonts w:hint="eastAsia" w:ascii="宋体" w:hAnsi="宋体" w:cs="宋体"/>
          <w:b/>
          <w:color w:val="auto"/>
          <w:sz w:val="36"/>
          <w:szCs w:val="36"/>
          <w:highlight w:val="none"/>
        </w:rPr>
      </w:pPr>
      <w:r>
        <w:rPr>
          <w:rFonts w:hint="eastAsia" w:ascii="宋体" w:hAnsi="宋体" w:cs="宋体"/>
          <w:b/>
          <w:color w:val="auto"/>
          <w:sz w:val="28"/>
          <w:szCs w:val="28"/>
          <w:highlight w:val="none"/>
        </w:rPr>
        <w:t>算术复核表</w:t>
      </w:r>
    </w:p>
    <w:p w14:paraId="243BD24D">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单位：元</w:t>
      </w:r>
    </w:p>
    <w:tbl>
      <w:tblPr>
        <w:tblStyle w:val="39"/>
        <w:tblW w:w="4998" w:type="pct"/>
        <w:tblInd w:w="0" w:type="dxa"/>
        <w:tblLayout w:type="autofit"/>
        <w:tblCellMar>
          <w:top w:w="0" w:type="dxa"/>
          <w:left w:w="108" w:type="dxa"/>
          <w:bottom w:w="0" w:type="dxa"/>
          <w:right w:w="108" w:type="dxa"/>
        </w:tblCellMar>
      </w:tblPr>
      <w:tblGrid>
        <w:gridCol w:w="602"/>
        <w:gridCol w:w="4350"/>
        <w:gridCol w:w="1535"/>
        <w:gridCol w:w="1509"/>
        <w:gridCol w:w="1686"/>
        <w:gridCol w:w="1405"/>
        <w:gridCol w:w="3353"/>
      </w:tblGrid>
      <w:tr w14:paraId="25ADFFDC">
        <w:tblPrEx>
          <w:tblCellMar>
            <w:top w:w="0" w:type="dxa"/>
            <w:left w:w="108" w:type="dxa"/>
            <w:bottom w:w="0" w:type="dxa"/>
            <w:right w:w="108" w:type="dxa"/>
          </w:tblCellMar>
        </w:tblPrEx>
        <w:trPr>
          <w:trHeight w:val="705" w:hRule="atLeast"/>
        </w:trPr>
        <w:tc>
          <w:tcPr>
            <w:tcW w:w="217" w:type="pct"/>
            <w:tcBorders>
              <w:top w:val="single" w:color="auto" w:sz="4" w:space="0"/>
              <w:left w:val="single" w:color="auto" w:sz="4" w:space="0"/>
              <w:bottom w:val="single" w:color="auto" w:sz="4" w:space="0"/>
              <w:right w:val="single" w:color="auto" w:sz="4" w:space="0"/>
            </w:tcBorders>
            <w:noWrap w:val="0"/>
            <w:vAlign w:val="center"/>
          </w:tcPr>
          <w:p w14:paraId="0DEB373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1514" w:type="pct"/>
            <w:tcBorders>
              <w:top w:val="single" w:color="auto" w:sz="4" w:space="0"/>
              <w:left w:val="nil"/>
              <w:bottom w:val="single" w:color="auto" w:sz="4" w:space="0"/>
              <w:right w:val="single" w:color="auto" w:sz="4" w:space="0"/>
            </w:tcBorders>
            <w:noWrap w:val="0"/>
            <w:vAlign w:val="center"/>
          </w:tcPr>
          <w:p w14:paraId="7D22FA5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540" w:type="pct"/>
            <w:tcBorders>
              <w:top w:val="single" w:color="auto" w:sz="4" w:space="0"/>
              <w:left w:val="nil"/>
              <w:bottom w:val="single" w:color="auto" w:sz="4" w:space="0"/>
              <w:right w:val="single" w:color="auto" w:sz="4" w:space="0"/>
            </w:tcBorders>
            <w:noWrap w:val="0"/>
            <w:vAlign w:val="center"/>
          </w:tcPr>
          <w:p w14:paraId="38E4001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33D97C3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531" w:type="pct"/>
            <w:tcBorders>
              <w:top w:val="single" w:color="auto" w:sz="4" w:space="0"/>
              <w:left w:val="nil"/>
              <w:bottom w:val="single" w:color="auto" w:sz="4" w:space="0"/>
              <w:right w:val="single" w:color="auto" w:sz="4" w:space="0"/>
            </w:tcBorders>
            <w:noWrap w:val="0"/>
            <w:vAlign w:val="center"/>
          </w:tcPr>
          <w:p w14:paraId="7E7425F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299A126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531" w:type="pct"/>
            <w:tcBorders>
              <w:top w:val="single" w:color="auto" w:sz="4" w:space="0"/>
              <w:left w:val="nil"/>
              <w:bottom w:val="single" w:color="auto" w:sz="4" w:space="0"/>
              <w:right w:val="single" w:color="auto" w:sz="4" w:space="0"/>
            </w:tcBorders>
            <w:noWrap w:val="0"/>
            <w:vAlign w:val="center"/>
          </w:tcPr>
          <w:p w14:paraId="56F76DA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p>
          <w:p w14:paraId="4864FD7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495" w:type="pct"/>
            <w:tcBorders>
              <w:top w:val="single" w:color="auto" w:sz="4" w:space="0"/>
              <w:left w:val="nil"/>
              <w:bottom w:val="single" w:color="auto" w:sz="4" w:space="0"/>
              <w:right w:val="single" w:color="auto" w:sz="4" w:space="0"/>
            </w:tcBorders>
            <w:noWrap w:val="0"/>
            <w:vAlign w:val="center"/>
          </w:tcPr>
          <w:p w14:paraId="5F9D070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1169" w:type="pct"/>
            <w:tcBorders>
              <w:top w:val="single" w:color="auto" w:sz="4" w:space="0"/>
              <w:left w:val="nil"/>
              <w:bottom w:val="single" w:color="auto" w:sz="4" w:space="0"/>
              <w:right w:val="single" w:color="auto" w:sz="4" w:space="0"/>
            </w:tcBorders>
            <w:noWrap w:val="0"/>
            <w:vAlign w:val="center"/>
          </w:tcPr>
          <w:p w14:paraId="7C5A193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R=0</w:t>
            </w:r>
          </w:p>
        </w:tc>
      </w:tr>
      <w:tr w14:paraId="028D4EAD">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26D7D78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514" w:type="pct"/>
            <w:tcBorders>
              <w:top w:val="nil"/>
              <w:left w:val="nil"/>
              <w:bottom w:val="single" w:color="auto" w:sz="4" w:space="0"/>
              <w:right w:val="single" w:color="auto" w:sz="4" w:space="0"/>
            </w:tcBorders>
            <w:noWrap w:val="0"/>
            <w:vAlign w:val="center"/>
          </w:tcPr>
          <w:p w14:paraId="3B34D89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540" w:type="pct"/>
            <w:tcBorders>
              <w:top w:val="nil"/>
              <w:left w:val="nil"/>
              <w:bottom w:val="single" w:color="auto" w:sz="4" w:space="0"/>
              <w:right w:val="single" w:color="auto" w:sz="4" w:space="0"/>
            </w:tcBorders>
            <w:noWrap w:val="0"/>
            <w:vAlign w:val="center"/>
          </w:tcPr>
          <w:p w14:paraId="431F7F3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1CCF35E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D85DCA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33C94B3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4D1A785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7974AF8A">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71228F3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14" w:type="pct"/>
            <w:tcBorders>
              <w:top w:val="nil"/>
              <w:left w:val="nil"/>
              <w:bottom w:val="single" w:color="auto" w:sz="4" w:space="0"/>
              <w:right w:val="single" w:color="auto" w:sz="4" w:space="0"/>
            </w:tcBorders>
            <w:noWrap w:val="0"/>
            <w:vAlign w:val="center"/>
          </w:tcPr>
          <w:p w14:paraId="60E307A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540" w:type="pct"/>
            <w:tcBorders>
              <w:top w:val="nil"/>
              <w:left w:val="nil"/>
              <w:bottom w:val="single" w:color="auto" w:sz="4" w:space="0"/>
              <w:right w:val="single" w:color="auto" w:sz="4" w:space="0"/>
            </w:tcBorders>
            <w:noWrap w:val="0"/>
            <w:vAlign w:val="center"/>
          </w:tcPr>
          <w:p w14:paraId="3026ADA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4060225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0D9EDCB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00955B8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1335AEB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5E70535C">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11306CC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2C39C44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noWrap w:val="0"/>
            <w:vAlign w:val="center"/>
          </w:tcPr>
          <w:p w14:paraId="5F897727">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1424645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2C94321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31F2BFD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03B0AC7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79F8808C">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63F5B85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59B85427">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noWrap w:val="0"/>
            <w:vAlign w:val="center"/>
          </w:tcPr>
          <w:p w14:paraId="2E71012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623A8D1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6B9D696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556C414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4EF0D20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33FDA420">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17B6368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729C164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540" w:type="pct"/>
            <w:tcBorders>
              <w:top w:val="nil"/>
              <w:left w:val="nil"/>
              <w:bottom w:val="single" w:color="auto" w:sz="4" w:space="0"/>
              <w:right w:val="single" w:color="auto" w:sz="4" w:space="0"/>
            </w:tcBorders>
            <w:noWrap w:val="0"/>
            <w:vAlign w:val="center"/>
          </w:tcPr>
          <w:p w14:paraId="279DFA7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28D649E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1941D49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108F1BD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274BE28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5F785428">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7A9B988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1514" w:type="pct"/>
            <w:tcBorders>
              <w:top w:val="nil"/>
              <w:left w:val="nil"/>
              <w:bottom w:val="single" w:color="auto" w:sz="4" w:space="0"/>
              <w:right w:val="single" w:color="auto" w:sz="4" w:space="0"/>
            </w:tcBorders>
            <w:noWrap w:val="0"/>
            <w:vAlign w:val="center"/>
          </w:tcPr>
          <w:p w14:paraId="62E1A6F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540" w:type="pct"/>
            <w:tcBorders>
              <w:top w:val="nil"/>
              <w:left w:val="nil"/>
              <w:bottom w:val="single" w:color="auto" w:sz="4" w:space="0"/>
              <w:right w:val="single" w:color="auto" w:sz="4" w:space="0"/>
            </w:tcBorders>
            <w:noWrap w:val="0"/>
            <w:vAlign w:val="center"/>
          </w:tcPr>
          <w:p w14:paraId="51686A27">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61F2E96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37ACBE2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47F8677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5A5662D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7C4B5E07">
        <w:tblPrEx>
          <w:tblCellMar>
            <w:top w:w="0" w:type="dxa"/>
            <w:left w:w="108" w:type="dxa"/>
            <w:bottom w:w="0" w:type="dxa"/>
            <w:right w:w="108" w:type="dxa"/>
          </w:tblCellMar>
        </w:tblPrEx>
        <w:trPr>
          <w:trHeight w:val="600" w:hRule="atLeast"/>
        </w:trPr>
        <w:tc>
          <w:tcPr>
            <w:tcW w:w="217" w:type="pct"/>
            <w:tcBorders>
              <w:top w:val="nil"/>
              <w:left w:val="single" w:color="auto" w:sz="4" w:space="0"/>
              <w:bottom w:val="single" w:color="auto" w:sz="4" w:space="0"/>
              <w:right w:val="single" w:color="auto" w:sz="4" w:space="0"/>
            </w:tcBorders>
            <w:noWrap w:val="0"/>
            <w:vAlign w:val="center"/>
          </w:tcPr>
          <w:p w14:paraId="01A84AE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14" w:type="pct"/>
            <w:tcBorders>
              <w:top w:val="nil"/>
              <w:left w:val="nil"/>
              <w:bottom w:val="single" w:color="auto" w:sz="4" w:space="0"/>
              <w:right w:val="single" w:color="auto" w:sz="4" w:space="0"/>
            </w:tcBorders>
            <w:noWrap w:val="0"/>
            <w:vAlign w:val="center"/>
          </w:tcPr>
          <w:p w14:paraId="796B62C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540" w:type="pct"/>
            <w:tcBorders>
              <w:top w:val="nil"/>
              <w:left w:val="nil"/>
              <w:bottom w:val="single" w:color="auto" w:sz="4" w:space="0"/>
              <w:right w:val="single" w:color="auto" w:sz="4" w:space="0"/>
            </w:tcBorders>
            <w:noWrap w:val="0"/>
            <w:vAlign w:val="center"/>
          </w:tcPr>
          <w:p w14:paraId="4E1B887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6950DA3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31" w:type="pct"/>
            <w:tcBorders>
              <w:top w:val="nil"/>
              <w:left w:val="nil"/>
              <w:bottom w:val="single" w:color="auto" w:sz="4" w:space="0"/>
              <w:right w:val="single" w:color="auto" w:sz="4" w:space="0"/>
            </w:tcBorders>
            <w:noWrap w:val="0"/>
            <w:vAlign w:val="center"/>
          </w:tcPr>
          <w:p w14:paraId="196E031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95" w:type="pct"/>
            <w:tcBorders>
              <w:top w:val="nil"/>
              <w:left w:val="nil"/>
              <w:bottom w:val="single" w:color="auto" w:sz="4" w:space="0"/>
              <w:right w:val="single" w:color="auto" w:sz="4" w:space="0"/>
            </w:tcBorders>
            <w:noWrap w:val="0"/>
            <w:vAlign w:val="center"/>
          </w:tcPr>
          <w:p w14:paraId="6DAB329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69" w:type="pct"/>
            <w:tcBorders>
              <w:top w:val="single" w:color="auto" w:sz="4" w:space="0"/>
              <w:left w:val="nil"/>
              <w:bottom w:val="single" w:color="auto" w:sz="4" w:space="0"/>
              <w:right w:val="single" w:color="auto" w:sz="4" w:space="0"/>
            </w:tcBorders>
            <w:noWrap w:val="0"/>
            <w:vAlign w:val="center"/>
          </w:tcPr>
          <w:p w14:paraId="6BBC6E7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085C1C33">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594D81D5">
      <w:pPr>
        <w:rPr>
          <w:rFonts w:hint="eastAsia" w:ascii="Times New Roman" w:hAnsi="Times New Roman" w:eastAsia="宋体" w:cs="Times New Roman"/>
          <w:color w:val="auto"/>
          <w:kern w:val="2"/>
          <w:sz w:val="21"/>
          <w:szCs w:val="20"/>
          <w:highlight w:val="none"/>
          <w:lang w:val="en-US" w:eastAsia="zh-CN" w:bidi="ar-SA"/>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19FBE3A2">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BA18FD7">
      <w:pPr>
        <w:jc w:val="center"/>
        <w:rPr>
          <w:rFonts w:hint="eastAsia" w:ascii="宋体" w:hAnsi="宋体" w:cs="宋体"/>
          <w:b/>
          <w:color w:val="auto"/>
          <w:sz w:val="36"/>
          <w:szCs w:val="36"/>
          <w:highlight w:val="none"/>
        </w:rPr>
      </w:pPr>
      <w:r>
        <w:rPr>
          <w:rFonts w:hint="eastAsia" w:ascii="宋体" w:hAnsi="宋体" w:cs="宋体"/>
          <w:b/>
          <w:color w:val="auto"/>
          <w:sz w:val="28"/>
          <w:szCs w:val="28"/>
          <w:highlight w:val="none"/>
        </w:rPr>
        <w:t>算术复核表</w:t>
      </w:r>
    </w:p>
    <w:p w14:paraId="31276418">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4379"/>
        <w:gridCol w:w="2373"/>
        <w:gridCol w:w="3159"/>
        <w:gridCol w:w="3489"/>
      </w:tblGrid>
      <w:tr w14:paraId="766E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center"/>
          </w:tcPr>
          <w:p w14:paraId="70333E8F">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1515" w:type="pct"/>
            <w:tcBorders>
              <w:top w:val="single" w:color="auto" w:sz="4" w:space="0"/>
              <w:left w:val="single" w:color="auto" w:sz="4" w:space="0"/>
              <w:bottom w:val="single" w:color="auto" w:sz="4" w:space="0"/>
              <w:right w:val="single" w:color="auto" w:sz="4" w:space="0"/>
            </w:tcBorders>
            <w:noWrap w:val="0"/>
            <w:vAlign w:val="center"/>
          </w:tcPr>
          <w:p w14:paraId="37E60F1D">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59490B9">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17B2F71C">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noWrap w:val="0"/>
            <w:vAlign w:val="center"/>
          </w:tcPr>
          <w:p w14:paraId="3EBEFB0E">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2FFE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385EE55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66B856E9">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26690EB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1B44BED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77E71EF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1D73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2FD4848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7B14C8A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314F426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1B329BB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675B2A8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7AF6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73CFF9B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03023CB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6687AEA9">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567EFA9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4A3CD618">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480B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59C2DDB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6EDC87D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326B121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29AC710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1DC1713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5FB9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35FE488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194B170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6F26933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0C7541A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188320E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3268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4911D11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1C5B880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711B2DE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74CD92F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0EEC7F9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2E7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3DF509C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78A0A159">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246E4FB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40FB993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2E81DFE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6992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op w:val="single" w:color="auto" w:sz="4" w:space="0"/>
              <w:left w:val="single" w:color="auto" w:sz="4" w:space="0"/>
              <w:bottom w:val="single" w:color="auto" w:sz="4" w:space="0"/>
              <w:right w:val="single" w:color="auto" w:sz="4" w:space="0"/>
            </w:tcBorders>
            <w:noWrap w:val="0"/>
            <w:vAlign w:val="top"/>
          </w:tcPr>
          <w:p w14:paraId="27A4A0C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515" w:type="pct"/>
            <w:tcBorders>
              <w:top w:val="single" w:color="auto" w:sz="4" w:space="0"/>
              <w:left w:val="single" w:color="auto" w:sz="4" w:space="0"/>
              <w:bottom w:val="single" w:color="auto" w:sz="4" w:space="0"/>
              <w:right w:val="single" w:color="auto" w:sz="4" w:space="0"/>
            </w:tcBorders>
            <w:noWrap w:val="0"/>
            <w:vAlign w:val="top"/>
          </w:tcPr>
          <w:p w14:paraId="3712DA7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821" w:type="pct"/>
            <w:tcBorders>
              <w:top w:val="single" w:color="auto" w:sz="4" w:space="0"/>
              <w:left w:val="single" w:color="auto" w:sz="4" w:space="0"/>
              <w:bottom w:val="single" w:color="auto" w:sz="4" w:space="0"/>
              <w:right w:val="single" w:color="auto" w:sz="4" w:space="0"/>
            </w:tcBorders>
            <w:noWrap w:val="0"/>
            <w:vAlign w:val="top"/>
          </w:tcPr>
          <w:p w14:paraId="384A801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093" w:type="pct"/>
            <w:tcBorders>
              <w:top w:val="single" w:color="auto" w:sz="4" w:space="0"/>
              <w:left w:val="single" w:color="auto" w:sz="4" w:space="0"/>
              <w:bottom w:val="single" w:color="auto" w:sz="4" w:space="0"/>
              <w:right w:val="single" w:color="auto" w:sz="4" w:space="0"/>
            </w:tcBorders>
            <w:noWrap w:val="0"/>
            <w:vAlign w:val="top"/>
          </w:tcPr>
          <w:p w14:paraId="2C3B343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1207" w:type="pct"/>
            <w:tcBorders>
              <w:top w:val="single" w:color="auto" w:sz="4" w:space="0"/>
              <w:left w:val="single" w:color="auto" w:sz="4" w:space="0"/>
              <w:bottom w:val="single" w:color="auto" w:sz="4" w:space="0"/>
              <w:right w:val="single" w:color="auto" w:sz="4" w:space="0"/>
            </w:tcBorders>
            <w:noWrap w:val="0"/>
            <w:vAlign w:val="top"/>
          </w:tcPr>
          <w:p w14:paraId="22F1C34E">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bl>
    <w:p w14:paraId="49D16F8C">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0B6BA4CB">
      <w:pPr>
        <w:rPr>
          <w:color w:val="auto"/>
          <w:highlight w:val="none"/>
        </w:rPr>
        <w:sectPr>
          <w:pgSz w:w="16838" w:h="11906" w:orient="landscape"/>
          <w:pgMar w:top="1134" w:right="1304" w:bottom="1134" w:left="1304" w:header="851" w:footer="567" w:gutter="0"/>
          <w:pgBorders>
            <w:top w:val="none" w:sz="0" w:space="0"/>
            <w:left w:val="none" w:sz="0" w:space="0"/>
            <w:bottom w:val="none" w:sz="0" w:space="0"/>
            <w:right w:val="none" w:sz="0" w:space="0"/>
          </w:pgBorders>
          <w:cols w:space="720" w:num="1"/>
          <w:titlePg/>
          <w:docGrid w:type="lines" w:linePitch="312" w:charSpace="0"/>
        </w:sectPr>
      </w:pPr>
    </w:p>
    <w:p w14:paraId="28523AB9">
      <w:pPr>
        <w:rPr>
          <w:rFonts w:hint="eastAsia" w:ascii="宋体" w:hAnsi="宋体" w:eastAsia="宋体" w:cs="宋体"/>
          <w:b/>
          <w:color w:val="auto"/>
          <w:szCs w:val="21"/>
          <w:highlight w:val="none"/>
          <w:lang w:eastAsia="zh-CN"/>
        </w:rPr>
      </w:pPr>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五</w:t>
      </w:r>
    </w:p>
    <w:p w14:paraId="1230C49E">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定标因素表（定标阶段用表）</w:t>
      </w:r>
    </w:p>
    <w:p w14:paraId="10132179">
      <w:pPr>
        <w:jc w:val="left"/>
        <w:rPr>
          <w:rFonts w:hint="eastAsia" w:ascii="宋体" w:hAnsi="宋体" w:cs="宋体"/>
          <w:color w:val="auto"/>
          <w:szCs w:val="21"/>
          <w:highlight w:val="none"/>
        </w:rPr>
      </w:pPr>
    </w:p>
    <w:p w14:paraId="5455F857">
      <w:pPr>
        <w:jc w:val="lef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228"/>
        <w:gridCol w:w="8012"/>
      </w:tblGrid>
      <w:tr w14:paraId="01B0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14:paraId="09A6C8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7544D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评价项目</w:t>
            </w:r>
          </w:p>
        </w:tc>
        <w:tc>
          <w:tcPr>
            <w:tcW w:w="4031" w:type="pct"/>
            <w:tcBorders>
              <w:top w:val="single" w:color="auto" w:sz="4" w:space="0"/>
              <w:left w:val="single" w:color="auto" w:sz="4" w:space="0"/>
              <w:bottom w:val="single" w:color="auto" w:sz="4" w:space="0"/>
              <w:right w:val="single" w:color="auto" w:sz="4" w:space="0"/>
            </w:tcBorders>
            <w:noWrap w:val="0"/>
            <w:vAlign w:val="center"/>
          </w:tcPr>
          <w:p w14:paraId="42C478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定标评价的内容</w:t>
            </w:r>
          </w:p>
        </w:tc>
      </w:tr>
      <w:tr w14:paraId="5BCE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restart"/>
            <w:tcBorders>
              <w:top w:val="single" w:color="auto" w:sz="4" w:space="0"/>
              <w:left w:val="single" w:color="auto" w:sz="4" w:space="0"/>
              <w:right w:val="single" w:color="auto" w:sz="4" w:space="0"/>
            </w:tcBorders>
            <w:noWrap w:val="0"/>
            <w:vAlign w:val="center"/>
          </w:tcPr>
          <w:p w14:paraId="17CAFB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8" w:type="pct"/>
            <w:vMerge w:val="restart"/>
            <w:tcBorders>
              <w:top w:val="single" w:color="auto" w:sz="4" w:space="0"/>
              <w:left w:val="single" w:color="auto" w:sz="4" w:space="0"/>
              <w:right w:val="single" w:color="auto" w:sz="4" w:space="0"/>
            </w:tcBorders>
            <w:noWrap w:val="0"/>
            <w:vAlign w:val="center"/>
          </w:tcPr>
          <w:p w14:paraId="6DAF0C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方案因素（</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8012" w:type="dxa"/>
            <w:tcBorders>
              <w:top w:val="single" w:color="auto" w:sz="4" w:space="0"/>
              <w:left w:val="single" w:color="auto" w:sz="4" w:space="0"/>
              <w:bottom w:val="single" w:color="auto" w:sz="4" w:space="0"/>
              <w:right w:val="single" w:color="auto" w:sz="4" w:space="0"/>
            </w:tcBorders>
            <w:noWrap w:val="0"/>
            <w:vAlign w:val="center"/>
          </w:tcPr>
          <w:p w14:paraId="6A0B7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定标委员会对合格的中标候选人的安全控制措施进行评审：</w:t>
            </w:r>
          </w:p>
          <w:p w14:paraId="6C1BCA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针对本项目建立了完善的安全文明施工保证体系、施工安全管理制度，承诺不发生安全事故，有安全应急预案、目标明确、制度健全，施工安全保护措施，措施明确、具体、可行、针对性强，措施完善的，得[10，8）分；</w:t>
            </w:r>
          </w:p>
          <w:p w14:paraId="6FE27A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）分；</w:t>
            </w:r>
          </w:p>
          <w:p w14:paraId="088B5D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针对本项目建立了完善的安全文明施工保证体系、施工安全管理制度，承诺不发生安全事故，有安全应急预案、目标、有制度，有施工安全保护措施，但明确性一般，具体、可行、针对性一般，措施一般的，得[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3D3D9C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不满足前述要求者，得[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r>
      <w:tr w14:paraId="4282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4302D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49F372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39BC7F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定标委员会对合格的中标候选人的质量控制措施进行评审：</w:t>
            </w:r>
          </w:p>
          <w:p w14:paraId="79CC4E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针对本项目施工质量目标编制施工质量管理体系与程序、质量管理措施，根据本工程的质量目标，针对项目的特点，从质量保证体系、材料的检测、质量通病的防治等方面提出详细的质量保证措施，措施为完善的，得[10，8）分；</w:t>
            </w:r>
          </w:p>
          <w:p w14:paraId="16BAD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针对本项目施工质量目标编制施工质量管理体系与程序、质量管理措施，根据本工程的质量目标，针对项目的特点，从质量保证体系、材料的检测、质量通病的防治等方面提出较详细的质量保证措施，措施为较好的，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w:t>
            </w:r>
          </w:p>
          <w:p w14:paraId="0E401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针对本项目施工质量目标编制施工质量管理体系与程序、质量管理措施，根据本工程的质量目标，针对项目的特点，从质量保证体系、材料的检测、质量通病的防治等方面提出质量保证措施，措施一般的，得[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724B75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不满足前述要求者，得[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r>
      <w:tr w14:paraId="519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33A79C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13467C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58A368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定标委员会对合格的中标候选人的进度控制措施进行评审：</w:t>
            </w:r>
          </w:p>
          <w:p w14:paraId="33A361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编制了施工总进度计划及工期保证措施，并针对项目特点编制施工总进度计划及工期保证措施，确保实现工程进度目标，措施完善的，得[</w:t>
            </w:r>
            <w:r>
              <w:rPr>
                <w:rFonts w:hint="eastAsia" w:ascii="宋体" w:hAnsi="宋体" w:eastAsia="宋体" w:cs="宋体"/>
                <w:color w:val="auto"/>
                <w:sz w:val="21"/>
                <w:szCs w:val="21"/>
                <w:highlight w:val="none"/>
                <w:lang w:val="en-US" w:eastAsia="zh-CN"/>
              </w:rPr>
              <w:t>10，8</w:t>
            </w:r>
            <w:r>
              <w:rPr>
                <w:rFonts w:hint="eastAsia" w:ascii="宋体" w:hAnsi="宋体" w:eastAsia="宋体" w:cs="宋体"/>
                <w:color w:val="auto"/>
                <w:sz w:val="21"/>
                <w:szCs w:val="21"/>
                <w:highlight w:val="none"/>
              </w:rPr>
              <w:t>）分；</w:t>
            </w:r>
          </w:p>
          <w:p w14:paraId="19EE34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编制了施工总进度计划及工期保证措施，并针对项目特点编制施工总进度计划及工期保证措施，确保实现工程进度目标，措施为较好的，得[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）分；</w:t>
            </w:r>
          </w:p>
          <w:p w14:paraId="1E044D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针对本项目</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rPr>
              <w:t>编制了施工总进度计划及工期保证措施，或针对项目特点编制施工总进度计划及工期保证措施，确保实现工程进度目标，措施一般的</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662588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不满足前述要求者，得[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r>
      <w:tr w14:paraId="7710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3CCA8F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2D2AE3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69F2DF1B">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定标委员会对</w:t>
            </w:r>
            <w:r>
              <w:rPr>
                <w:rFonts w:hint="eastAsia" w:ascii="宋体" w:hAnsi="宋体" w:eastAsia="宋体" w:cs="宋体"/>
                <w:b/>
                <w:bCs/>
                <w:color w:val="auto"/>
                <w:kern w:val="0"/>
                <w:szCs w:val="21"/>
                <w:highlight w:val="none"/>
                <w:lang w:eastAsia="zh-CN"/>
              </w:rPr>
              <w:t>合格的中标候选人</w:t>
            </w:r>
            <w:r>
              <w:rPr>
                <w:rFonts w:hint="eastAsia" w:ascii="宋体" w:hAnsi="宋体" w:eastAsia="宋体" w:cs="宋体"/>
                <w:b/>
                <w:bCs/>
                <w:color w:val="auto"/>
                <w:kern w:val="0"/>
                <w:szCs w:val="21"/>
                <w:highlight w:val="none"/>
              </w:rPr>
              <w:t>对项目的重视程度进行评审：</w:t>
            </w:r>
          </w:p>
          <w:p w14:paraId="5E12D194">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kern w:val="0"/>
                <w:szCs w:val="21"/>
                <w:highlight w:val="none"/>
              </w:rPr>
              <w:t>根据项目特点，结合</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自身优势，投入充分满足项目需求的管理力量和技术力量，结合</w:t>
            </w:r>
            <w:r>
              <w:rPr>
                <w:rFonts w:hint="eastAsia" w:ascii="宋体" w:hAnsi="宋体" w:eastAsia="宋体" w:cs="宋体"/>
                <w:color w:val="auto"/>
                <w:kern w:val="2"/>
                <w:szCs w:val="21"/>
                <w:highlight w:val="none"/>
              </w:rPr>
              <w:t>项目</w:t>
            </w:r>
            <w:r>
              <w:rPr>
                <w:rFonts w:hint="eastAsia" w:ascii="宋体" w:hAnsi="宋体" w:eastAsia="宋体" w:cs="宋体"/>
                <w:color w:val="auto"/>
                <w:kern w:val="0"/>
                <w:szCs w:val="21"/>
                <w:highlight w:val="none"/>
              </w:rPr>
              <w:t>的资源配备计划（</w:t>
            </w:r>
            <w:r>
              <w:rPr>
                <w:rFonts w:hint="eastAsia" w:ascii="宋体" w:hAnsi="宋体" w:eastAsia="宋体" w:cs="宋体"/>
                <w:color w:val="auto"/>
                <w:highlight w:val="none"/>
              </w:rPr>
              <w:t>人、机、材等</w:t>
            </w:r>
            <w:r>
              <w:rPr>
                <w:rFonts w:hint="eastAsia" w:ascii="宋体" w:hAnsi="宋体" w:eastAsia="宋体" w:cs="宋体"/>
                <w:color w:val="auto"/>
                <w:kern w:val="0"/>
                <w:szCs w:val="21"/>
                <w:highlight w:val="none"/>
              </w:rPr>
              <w:t>），能有效保障项目顺利实施，得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color w:val="auto"/>
                <w:kern w:val="0"/>
                <w:szCs w:val="21"/>
                <w:highlight w:val="none"/>
              </w:rPr>
              <w:t>分；</w:t>
            </w:r>
          </w:p>
          <w:p w14:paraId="05D4D254">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kern w:val="0"/>
                <w:szCs w:val="21"/>
                <w:highlight w:val="none"/>
              </w:rPr>
              <w:t>根据项目特点，结合</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自身优势，投入满足项目需求的管理力量和技术力量，结合项目的资源配备计划（</w:t>
            </w:r>
            <w:r>
              <w:rPr>
                <w:rFonts w:hint="eastAsia" w:ascii="宋体" w:hAnsi="宋体" w:eastAsia="宋体" w:cs="宋体"/>
                <w:color w:val="auto"/>
                <w:highlight w:val="none"/>
              </w:rPr>
              <w:t>人、机、材等</w:t>
            </w:r>
            <w:r>
              <w:rPr>
                <w:rFonts w:hint="eastAsia" w:ascii="宋体" w:hAnsi="宋体" w:eastAsia="宋体" w:cs="宋体"/>
                <w:color w:val="auto"/>
                <w:kern w:val="0"/>
                <w:szCs w:val="21"/>
                <w:highlight w:val="none"/>
              </w:rPr>
              <w:t>），能保障项目顺利实施得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分；</w:t>
            </w:r>
          </w:p>
          <w:p w14:paraId="68F1A39F">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kern w:val="0"/>
                <w:szCs w:val="21"/>
                <w:highlight w:val="none"/>
              </w:rPr>
              <w:t>投入项目的管理力量和技术力量一般，基本能保障项目实施的，得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分；</w:t>
            </w:r>
          </w:p>
          <w:p w14:paraId="4B34CD3C">
            <w:pPr>
              <w:keepNext w:val="0"/>
              <w:keepLines w:val="0"/>
              <w:widowControl/>
              <w:suppressLineNumbers w:val="0"/>
              <w:spacing w:before="0" w:beforeAutospacing="0" w:after="0" w:afterAutospacing="0" w:line="320" w:lineRule="exact"/>
              <w:ind w:left="0" w:right="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kern w:val="0"/>
                <w:szCs w:val="21"/>
                <w:highlight w:val="none"/>
              </w:rPr>
              <w:t>不满足前述要求者，得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color w:val="auto"/>
                <w:kern w:val="0"/>
                <w:szCs w:val="21"/>
                <w:highlight w:val="none"/>
              </w:rPr>
              <w:t>分。</w:t>
            </w:r>
          </w:p>
        </w:tc>
      </w:tr>
      <w:tr w14:paraId="6327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 w:type="pct"/>
            <w:vMerge w:val="continue"/>
            <w:tcBorders>
              <w:left w:val="single" w:color="auto" w:sz="4" w:space="0"/>
              <w:right w:val="single" w:color="auto" w:sz="4" w:space="0"/>
            </w:tcBorders>
            <w:noWrap w:val="0"/>
            <w:vAlign w:val="center"/>
          </w:tcPr>
          <w:p w14:paraId="38D31D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right w:val="single" w:color="auto" w:sz="4" w:space="0"/>
            </w:tcBorders>
            <w:noWrap w:val="0"/>
            <w:vAlign w:val="center"/>
          </w:tcPr>
          <w:p w14:paraId="0663D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4160BA54">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定标委员会对</w:t>
            </w:r>
            <w:r>
              <w:rPr>
                <w:rFonts w:hint="eastAsia" w:ascii="宋体" w:hAnsi="宋体" w:eastAsia="宋体" w:cs="宋体"/>
                <w:b/>
                <w:bCs/>
                <w:color w:val="auto"/>
                <w:kern w:val="0"/>
                <w:szCs w:val="21"/>
                <w:highlight w:val="none"/>
                <w:lang w:eastAsia="zh-CN"/>
              </w:rPr>
              <w:t>合格的中标候选人</w:t>
            </w:r>
            <w:r>
              <w:rPr>
                <w:rFonts w:hint="eastAsia" w:ascii="宋体" w:hAnsi="宋体" w:eastAsia="宋体" w:cs="宋体"/>
                <w:b/>
                <w:bCs/>
                <w:color w:val="auto"/>
                <w:kern w:val="0"/>
                <w:szCs w:val="21"/>
                <w:highlight w:val="none"/>
              </w:rPr>
              <w:t>的履约服务评价进行评审：</w:t>
            </w:r>
          </w:p>
          <w:p w14:paraId="462450B2">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kern w:val="0"/>
                <w:szCs w:val="21"/>
                <w:highlight w:val="none"/>
              </w:rPr>
              <w:t>社会信用信誉评价好，农民工工资保障好，对本工程服务保障能力强，服务保障措施切实到位，得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color w:val="auto"/>
                <w:kern w:val="0"/>
                <w:szCs w:val="21"/>
                <w:highlight w:val="none"/>
              </w:rPr>
              <w:t>分；</w:t>
            </w:r>
          </w:p>
          <w:p w14:paraId="1BD55E7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kern w:val="0"/>
                <w:szCs w:val="21"/>
                <w:highlight w:val="none"/>
              </w:rPr>
              <w:t>社会信用信誉评价较好，农民工工资保障较好，对本工程服务保障能力较强，服务保障措施确定性较强，得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分</w:t>
            </w:r>
            <w:r>
              <w:rPr>
                <w:rFonts w:hint="eastAsia" w:ascii="宋体" w:hAnsi="宋体" w:eastAsia="宋体" w:cs="宋体"/>
                <w:color w:val="auto"/>
                <w:kern w:val="0"/>
                <w:szCs w:val="21"/>
                <w:highlight w:val="none"/>
              </w:rPr>
              <w:t>；</w:t>
            </w:r>
          </w:p>
          <w:p w14:paraId="298D38C8">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kern w:val="0"/>
                <w:szCs w:val="21"/>
                <w:highlight w:val="none"/>
              </w:rPr>
              <w:t>社会信用信誉评价一般，农民工工资保障一般，</w:t>
            </w:r>
            <w:r>
              <w:rPr>
                <w:rFonts w:hint="eastAsia" w:ascii="宋体" w:hAnsi="宋体" w:eastAsia="宋体" w:cs="宋体"/>
                <w:color w:val="auto"/>
                <w:sz w:val="22"/>
                <w:highlight w:val="none"/>
              </w:rPr>
              <w:t>对本工程服务保障能力一般，服务保障措施确定性一般</w:t>
            </w:r>
            <w:r>
              <w:rPr>
                <w:rFonts w:hint="eastAsia" w:ascii="宋体" w:hAnsi="宋体" w:eastAsia="宋体" w:cs="宋体"/>
                <w:color w:val="auto"/>
                <w:kern w:val="0"/>
                <w:szCs w:val="21"/>
                <w:highlight w:val="none"/>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分；</w:t>
            </w:r>
          </w:p>
          <w:p w14:paraId="052630C5">
            <w:pPr>
              <w:keepNext w:val="0"/>
              <w:keepLines w:val="0"/>
              <w:widowControl/>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kern w:val="0"/>
                <w:szCs w:val="21"/>
                <w:highlight w:val="none"/>
              </w:rPr>
              <w:t>不满足前述要求者，得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color w:val="auto"/>
                <w:kern w:val="0"/>
                <w:szCs w:val="21"/>
                <w:highlight w:val="none"/>
              </w:rPr>
              <w:t>分。</w:t>
            </w:r>
          </w:p>
        </w:tc>
      </w:tr>
      <w:tr w14:paraId="531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49" w:type="pct"/>
            <w:vMerge w:val="continue"/>
            <w:tcBorders>
              <w:left w:val="single" w:color="auto" w:sz="4" w:space="0"/>
              <w:bottom w:val="single" w:color="auto" w:sz="4" w:space="0"/>
              <w:right w:val="single" w:color="auto" w:sz="4" w:space="0"/>
            </w:tcBorders>
            <w:noWrap w:val="0"/>
            <w:vAlign w:val="center"/>
          </w:tcPr>
          <w:p w14:paraId="37AD17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618" w:type="pct"/>
            <w:vMerge w:val="continue"/>
            <w:tcBorders>
              <w:left w:val="single" w:color="auto" w:sz="4" w:space="0"/>
              <w:bottom w:val="single" w:color="auto" w:sz="4" w:space="0"/>
              <w:right w:val="single" w:color="auto" w:sz="4" w:space="0"/>
            </w:tcBorders>
            <w:noWrap w:val="0"/>
            <w:vAlign w:val="center"/>
          </w:tcPr>
          <w:p w14:paraId="2CA5CC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p>
        </w:tc>
        <w:tc>
          <w:tcPr>
            <w:tcW w:w="8012" w:type="dxa"/>
            <w:tcBorders>
              <w:top w:val="single" w:color="auto" w:sz="4" w:space="0"/>
              <w:left w:val="single" w:color="auto" w:sz="4" w:space="0"/>
              <w:bottom w:val="single" w:color="auto" w:sz="4" w:space="0"/>
              <w:right w:val="single" w:color="auto" w:sz="4" w:space="0"/>
            </w:tcBorders>
            <w:noWrap w:val="0"/>
            <w:vAlign w:val="center"/>
          </w:tcPr>
          <w:p w14:paraId="6C401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定标委员会对合格的中标候选人的施工组织设计其他内容进行评审：</w:t>
            </w:r>
          </w:p>
          <w:p w14:paraId="41D85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优：</w:t>
            </w:r>
            <w:r>
              <w:rPr>
                <w:rFonts w:hint="eastAsia" w:ascii="宋体" w:hAnsi="宋体" w:eastAsia="宋体" w:cs="宋体"/>
                <w:b w:val="0"/>
                <w:bCs w:val="0"/>
                <w:color w:val="auto"/>
                <w:kern w:val="0"/>
                <w:sz w:val="21"/>
                <w:szCs w:val="21"/>
                <w:highlight w:val="none"/>
                <w:lang w:val="en-US" w:eastAsia="zh-CN" w:bidi="ar-SA"/>
              </w:rPr>
              <w:t>施工组织设计其他内容，包括前期工作实施方案、验收移交工作方案、工程结算工作方案、工程质保方案、施工作业所需的外部关系协调方案以及针对项目实施的重点、难点提出切实可行的保证措施，制定具体、详细的方案</w:t>
            </w:r>
            <w:r>
              <w:rPr>
                <w:rFonts w:hint="eastAsia" w:ascii="宋体" w:hAnsi="宋体" w:eastAsia="宋体" w:cs="宋体"/>
                <w:color w:val="auto"/>
                <w:kern w:val="0"/>
                <w:sz w:val="21"/>
                <w:szCs w:val="21"/>
                <w:highlight w:val="none"/>
                <w:lang w:val="en-US" w:eastAsia="zh-CN" w:bidi="ar-SA"/>
              </w:rPr>
              <w:t>，方案及保证措施合理、可行，得[10，8）分；</w:t>
            </w:r>
          </w:p>
          <w:p w14:paraId="568B1BF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rPr>
              <w:t>施工组织设计其他内容，包括前期工作实施方案、验收移交工作方案、工程结算工作方案、工程质保方案、施工作业所需的外部关系协调方案</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针对项目实施的重点、难点提出切实可行的保证措施，制定具体、详细的方案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w:t>
            </w:r>
            <w:r>
              <w:rPr>
                <w:rFonts w:hint="eastAsia" w:ascii="Times New Roman" w:hAnsi="宋体" w:eastAsia="宋体" w:cs="宋体"/>
                <w:color w:val="auto"/>
                <w:sz w:val="21"/>
                <w:szCs w:val="21"/>
                <w:highlight w:val="none"/>
                <w:lang w:val="en-US" w:eastAsia="zh-CN"/>
              </w:rPr>
              <w:t>及保证措施</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合理、较可行，得[</w:t>
            </w: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）分；</w:t>
            </w:r>
          </w:p>
          <w:p w14:paraId="16DFC88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val="0"/>
                <w:bCs w:val="0"/>
                <w:color w:val="auto"/>
                <w:sz w:val="21"/>
                <w:szCs w:val="21"/>
                <w:highlight w:val="none"/>
              </w:rPr>
              <w:t>施工组织设计其他内容，包括前期工作实施方案、验收移交工作方案、工程结算工作方案、工程质保方案、施工作业所需的外部关系协调方案</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针对项目实施的重点、难点提出切实可行的保证措施，制定具体、详细的方案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w:t>
            </w:r>
            <w:r>
              <w:rPr>
                <w:rFonts w:hint="eastAsia" w:ascii="Times New Roman" w:hAnsi="宋体" w:eastAsia="宋体" w:cs="宋体"/>
                <w:color w:val="auto"/>
                <w:sz w:val="21"/>
                <w:szCs w:val="21"/>
                <w:highlight w:val="none"/>
                <w:lang w:val="en-US" w:eastAsia="zh-CN"/>
              </w:rPr>
              <w:t>及保证措施的</w:t>
            </w:r>
            <w:r>
              <w:rPr>
                <w:rFonts w:hint="eastAsia" w:ascii="宋体" w:hAnsi="宋体" w:eastAsia="宋体" w:cs="宋体"/>
                <w:color w:val="auto"/>
                <w:sz w:val="21"/>
                <w:szCs w:val="21"/>
                <w:highlight w:val="none"/>
              </w:rPr>
              <w:t>合理性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可行性一般，得[</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）分；</w:t>
            </w:r>
          </w:p>
          <w:p w14:paraId="3CFCB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差：</w:t>
            </w:r>
            <w:r>
              <w:rPr>
                <w:rFonts w:hint="eastAsia" w:ascii="宋体" w:hAnsi="宋体" w:eastAsia="宋体" w:cs="宋体"/>
                <w:color w:val="auto"/>
                <w:kern w:val="0"/>
                <w:sz w:val="21"/>
                <w:szCs w:val="21"/>
                <w:highlight w:val="none"/>
                <w:lang w:val="en-US" w:eastAsia="zh-CN" w:bidi="ar-SA"/>
              </w:rPr>
              <w:t>不满足前述要求者，得[6，0]分。</w:t>
            </w:r>
          </w:p>
          <w:p w14:paraId="6D2F6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注：“项目实施的重点、难点”详见招标文件第五章技术要求的“6、项目管理重点、难点”。</w:t>
            </w:r>
          </w:p>
        </w:tc>
      </w:tr>
      <w:tr w14:paraId="074C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49" w:type="pct"/>
            <w:tcBorders>
              <w:left w:val="single" w:color="auto" w:sz="4" w:space="0"/>
              <w:right w:val="single" w:color="auto" w:sz="4" w:space="0"/>
            </w:tcBorders>
            <w:noWrap w:val="0"/>
            <w:vAlign w:val="center"/>
          </w:tcPr>
          <w:p w14:paraId="2B976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18" w:type="pct"/>
            <w:tcBorders>
              <w:left w:val="single" w:color="auto" w:sz="4" w:space="0"/>
              <w:right w:val="single" w:color="auto" w:sz="4" w:space="0"/>
            </w:tcBorders>
            <w:noWrap w:val="0"/>
            <w:vAlign w:val="center"/>
          </w:tcPr>
          <w:p w14:paraId="55EA01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答辩因素（20分）</w:t>
            </w:r>
          </w:p>
        </w:tc>
        <w:tc>
          <w:tcPr>
            <w:tcW w:w="8012" w:type="dxa"/>
            <w:tcBorders>
              <w:top w:val="single" w:color="auto" w:sz="4" w:space="0"/>
              <w:left w:val="single" w:color="auto" w:sz="4" w:space="0"/>
              <w:bottom w:val="single" w:color="auto" w:sz="4" w:space="0"/>
              <w:right w:val="single" w:color="auto" w:sz="4" w:space="0"/>
            </w:tcBorders>
            <w:noWrap w:val="0"/>
            <w:vAlign w:val="center"/>
          </w:tcPr>
          <w:p w14:paraId="4FF09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投标人委派本项目拟投入项目负责人和拟投入技术负责人组成答辩小组进行现场答辩，定标委员会结合答辩小组介绍情况进行提问：</w:t>
            </w:r>
          </w:p>
          <w:p w14:paraId="795E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（1）答辩小组对本项目履约能力与履约水平的介绍，介绍内容包括但不限于：企业情况，项目管理人员配备，实施本项目的资源优势，介绍时间不超过10分钟。</w:t>
            </w:r>
            <w:r>
              <w:rPr>
                <w:rFonts w:hint="eastAsia" w:ascii="宋体" w:hAnsi="宋体" w:eastAsia="宋体" w:cs="宋体"/>
                <w:color w:val="auto"/>
                <w:kern w:val="0"/>
                <w:sz w:val="21"/>
                <w:szCs w:val="21"/>
                <w:highlight w:val="none"/>
              </w:rPr>
              <w:t>定标委员会针对答辩人员</w:t>
            </w:r>
            <w:r>
              <w:rPr>
                <w:rFonts w:hint="eastAsia" w:ascii="宋体" w:hAnsi="宋体" w:eastAsia="宋体" w:cs="宋体"/>
                <w:color w:val="auto"/>
                <w:kern w:val="0"/>
                <w:sz w:val="21"/>
                <w:szCs w:val="21"/>
                <w:highlight w:val="none"/>
                <w:lang w:eastAsia="zh-CN"/>
              </w:rPr>
              <w:t>的介绍</w:t>
            </w:r>
            <w:r>
              <w:rPr>
                <w:rFonts w:hint="eastAsia" w:ascii="宋体" w:hAnsi="宋体" w:eastAsia="宋体" w:cs="宋体"/>
                <w:color w:val="auto"/>
                <w:kern w:val="0"/>
                <w:sz w:val="21"/>
                <w:szCs w:val="21"/>
                <w:highlight w:val="none"/>
              </w:rPr>
              <w:t>内容及投标文件提问，答辩人员针对所提问题进行解答。</w:t>
            </w:r>
            <w:r>
              <w:rPr>
                <w:rFonts w:hint="eastAsia" w:ascii="宋体" w:hAnsi="宋体" w:eastAsia="宋体" w:cs="宋体"/>
                <w:b w:val="0"/>
                <w:bCs w:val="0"/>
                <w:color w:val="auto"/>
                <w:kern w:val="0"/>
                <w:sz w:val="21"/>
                <w:szCs w:val="21"/>
                <w:highlight w:val="none"/>
                <w:lang w:val="en-US" w:eastAsia="zh-CN" w:bidi="ar-SA"/>
              </w:rPr>
              <w:t>定标委员会根据答辩内容综合评判：</w:t>
            </w:r>
          </w:p>
          <w:p w14:paraId="19E62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优得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b w:val="0"/>
                <w:bCs w:val="0"/>
                <w:color w:val="auto"/>
                <w:kern w:val="0"/>
                <w:sz w:val="21"/>
                <w:szCs w:val="21"/>
                <w:highlight w:val="none"/>
                <w:lang w:val="en-US" w:eastAsia="zh-CN" w:bidi="ar-SA"/>
              </w:rPr>
              <w:t>分，良得</w:t>
            </w:r>
            <w:r>
              <w:rPr>
                <w:rFonts w:hint="eastAsia" w:ascii="宋体" w:hAnsi="宋体" w:eastAsia="宋体" w:cs="宋体"/>
                <w:color w:val="auto"/>
                <w:kern w:val="0"/>
                <w:sz w:val="21"/>
                <w:szCs w:val="21"/>
                <w:highlight w:val="none"/>
                <w:lang w:val="en-US" w:eastAsia="zh-CN" w:bidi="ar-SA"/>
              </w:rPr>
              <w:t>[8，7）</w:t>
            </w:r>
            <w:r>
              <w:rPr>
                <w:rFonts w:hint="eastAsia" w:ascii="宋体" w:hAnsi="宋体" w:eastAsia="宋体" w:cs="宋体"/>
                <w:b w:val="0"/>
                <w:bCs w:val="0"/>
                <w:color w:val="auto"/>
                <w:kern w:val="0"/>
                <w:sz w:val="21"/>
                <w:szCs w:val="21"/>
                <w:highlight w:val="none"/>
                <w:lang w:val="en-US" w:eastAsia="zh-CN" w:bidi="ar-SA"/>
              </w:rPr>
              <w:t>分，中得</w:t>
            </w:r>
            <w:r>
              <w:rPr>
                <w:rFonts w:hint="eastAsia" w:ascii="宋体" w:hAnsi="宋体" w:eastAsia="宋体" w:cs="宋体"/>
                <w:color w:val="auto"/>
                <w:kern w:val="0"/>
                <w:sz w:val="21"/>
                <w:szCs w:val="21"/>
                <w:highlight w:val="none"/>
                <w:lang w:val="en-US" w:eastAsia="zh-CN" w:bidi="ar-SA"/>
              </w:rPr>
              <w:t>[7，6）</w:t>
            </w:r>
            <w:r>
              <w:rPr>
                <w:rFonts w:hint="eastAsia" w:ascii="宋体" w:hAnsi="宋体" w:eastAsia="宋体" w:cs="宋体"/>
                <w:b w:val="0"/>
                <w:bCs w:val="0"/>
                <w:color w:val="auto"/>
                <w:kern w:val="0"/>
                <w:sz w:val="21"/>
                <w:szCs w:val="21"/>
                <w:highlight w:val="none"/>
                <w:lang w:val="en-US" w:eastAsia="zh-CN" w:bidi="ar-SA"/>
              </w:rPr>
              <w:t>分，差得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b w:val="0"/>
                <w:bCs w:val="0"/>
                <w:color w:val="auto"/>
                <w:kern w:val="0"/>
                <w:sz w:val="21"/>
                <w:szCs w:val="21"/>
                <w:highlight w:val="none"/>
                <w:lang w:val="en-US" w:eastAsia="zh-CN" w:bidi="ar-SA"/>
              </w:rPr>
              <w:t>分。本小项最高得10分。</w:t>
            </w:r>
          </w:p>
          <w:p w14:paraId="3940A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（2）答辩小组就本项目的整体部署和重难点分析及应对措施等内容进行介绍，介绍时间不得超过5分钟。</w:t>
            </w:r>
            <w:r>
              <w:rPr>
                <w:rFonts w:hint="eastAsia" w:ascii="宋体" w:hAnsi="宋体" w:eastAsia="宋体" w:cs="宋体"/>
                <w:color w:val="auto"/>
                <w:kern w:val="0"/>
                <w:sz w:val="21"/>
                <w:szCs w:val="21"/>
                <w:highlight w:val="none"/>
              </w:rPr>
              <w:t>定标委员会针对答辩人员</w:t>
            </w:r>
            <w:r>
              <w:rPr>
                <w:rFonts w:hint="eastAsia" w:ascii="宋体" w:hAnsi="宋体" w:eastAsia="宋体" w:cs="宋体"/>
                <w:color w:val="auto"/>
                <w:kern w:val="0"/>
                <w:sz w:val="21"/>
                <w:szCs w:val="21"/>
                <w:highlight w:val="none"/>
                <w:lang w:eastAsia="zh-CN"/>
              </w:rPr>
              <w:t>的介绍</w:t>
            </w:r>
            <w:r>
              <w:rPr>
                <w:rFonts w:hint="eastAsia" w:ascii="宋体" w:hAnsi="宋体" w:eastAsia="宋体" w:cs="宋体"/>
                <w:color w:val="auto"/>
                <w:kern w:val="0"/>
                <w:sz w:val="21"/>
                <w:szCs w:val="21"/>
                <w:highlight w:val="none"/>
              </w:rPr>
              <w:t>内容及投标文件提问，答辩人员针对所提问题进行解答。</w:t>
            </w:r>
            <w:r>
              <w:rPr>
                <w:rFonts w:hint="eastAsia" w:ascii="宋体" w:hAnsi="宋体" w:eastAsia="宋体" w:cs="宋体"/>
                <w:b w:val="0"/>
                <w:bCs w:val="0"/>
                <w:color w:val="auto"/>
                <w:kern w:val="0"/>
                <w:sz w:val="21"/>
                <w:szCs w:val="21"/>
                <w:highlight w:val="none"/>
                <w:lang w:val="en-US" w:eastAsia="zh-CN" w:bidi="ar-SA"/>
              </w:rPr>
              <w:t>定标委员会根据答辩内容综合评判：</w:t>
            </w:r>
          </w:p>
          <w:p w14:paraId="6E79E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优得</w:t>
            </w:r>
            <w:r>
              <w:rPr>
                <w:rFonts w:hint="eastAsia" w:ascii="宋体" w:hAnsi="宋体" w:eastAsia="宋体" w:cs="宋体"/>
                <w:color w:val="auto"/>
                <w:kern w:val="0"/>
                <w:sz w:val="21"/>
                <w:szCs w:val="21"/>
                <w:highlight w:val="none"/>
                <w:lang w:val="en-US" w:eastAsia="zh-CN" w:bidi="ar-SA"/>
              </w:rPr>
              <w:t>[10，8）</w:t>
            </w:r>
            <w:r>
              <w:rPr>
                <w:rFonts w:hint="eastAsia" w:ascii="宋体" w:hAnsi="宋体" w:eastAsia="宋体" w:cs="宋体"/>
                <w:b w:val="0"/>
                <w:bCs w:val="0"/>
                <w:color w:val="auto"/>
                <w:kern w:val="0"/>
                <w:sz w:val="21"/>
                <w:szCs w:val="21"/>
                <w:highlight w:val="none"/>
                <w:lang w:val="en-US" w:eastAsia="zh-CN" w:bidi="ar-SA"/>
              </w:rPr>
              <w:t>分，良得</w:t>
            </w:r>
            <w:r>
              <w:rPr>
                <w:rFonts w:hint="eastAsia" w:ascii="宋体" w:hAnsi="宋体" w:eastAsia="宋体" w:cs="宋体"/>
                <w:color w:val="auto"/>
                <w:kern w:val="0"/>
                <w:sz w:val="21"/>
                <w:szCs w:val="21"/>
                <w:highlight w:val="none"/>
                <w:lang w:val="en-US" w:eastAsia="zh-CN" w:bidi="ar-SA"/>
              </w:rPr>
              <w:t>[8，7）</w:t>
            </w:r>
            <w:r>
              <w:rPr>
                <w:rFonts w:hint="eastAsia" w:ascii="宋体" w:hAnsi="宋体" w:eastAsia="宋体" w:cs="宋体"/>
                <w:b w:val="0"/>
                <w:bCs w:val="0"/>
                <w:color w:val="auto"/>
                <w:kern w:val="0"/>
                <w:sz w:val="21"/>
                <w:szCs w:val="21"/>
                <w:highlight w:val="none"/>
                <w:lang w:val="en-US" w:eastAsia="zh-CN" w:bidi="ar-SA"/>
              </w:rPr>
              <w:t>分，中得</w:t>
            </w:r>
            <w:r>
              <w:rPr>
                <w:rFonts w:hint="eastAsia" w:ascii="宋体" w:hAnsi="宋体" w:eastAsia="宋体" w:cs="宋体"/>
                <w:color w:val="auto"/>
                <w:kern w:val="0"/>
                <w:sz w:val="21"/>
                <w:szCs w:val="21"/>
                <w:highlight w:val="none"/>
                <w:lang w:val="en-US" w:eastAsia="zh-CN" w:bidi="ar-SA"/>
              </w:rPr>
              <w:t>[7，6）</w:t>
            </w:r>
            <w:r>
              <w:rPr>
                <w:rFonts w:hint="eastAsia" w:ascii="宋体" w:hAnsi="宋体" w:eastAsia="宋体" w:cs="宋体"/>
                <w:b w:val="0"/>
                <w:bCs w:val="0"/>
                <w:color w:val="auto"/>
                <w:kern w:val="0"/>
                <w:sz w:val="21"/>
                <w:szCs w:val="21"/>
                <w:highlight w:val="none"/>
                <w:lang w:val="en-US" w:eastAsia="zh-CN" w:bidi="ar-SA"/>
              </w:rPr>
              <w:t>分，差得</w:t>
            </w:r>
            <w:r>
              <w:rPr>
                <w:rFonts w:hint="eastAsia" w:ascii="宋体" w:hAnsi="宋体" w:eastAsia="宋体" w:cs="宋体"/>
                <w:color w:val="auto"/>
                <w:kern w:val="0"/>
                <w:sz w:val="21"/>
                <w:szCs w:val="21"/>
                <w:highlight w:val="none"/>
                <w:lang w:val="en-US" w:eastAsia="zh-CN" w:bidi="ar-SA"/>
              </w:rPr>
              <w:t>[6，0]</w:t>
            </w:r>
            <w:r>
              <w:rPr>
                <w:rFonts w:hint="eastAsia" w:ascii="宋体" w:hAnsi="宋体" w:eastAsia="宋体" w:cs="宋体"/>
                <w:b w:val="0"/>
                <w:bCs w:val="0"/>
                <w:color w:val="auto"/>
                <w:kern w:val="0"/>
                <w:sz w:val="21"/>
                <w:szCs w:val="21"/>
                <w:highlight w:val="none"/>
                <w:lang w:val="en-US" w:eastAsia="zh-CN" w:bidi="ar-SA"/>
              </w:rPr>
              <w:t>分。本小项最高得10分。</w:t>
            </w:r>
          </w:p>
          <w:p w14:paraId="3F0A4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注：“重难点”均详见招标文件第五章技术要求的“6、项目管理重点、难点”。</w:t>
            </w:r>
            <w:r>
              <w:rPr>
                <w:rFonts w:hint="eastAsia" w:ascii="宋体" w:hAnsi="宋体" w:eastAsia="宋体" w:cs="宋体"/>
                <w:b/>
                <w:bCs/>
                <w:color w:val="auto"/>
                <w:kern w:val="0"/>
                <w:sz w:val="21"/>
                <w:szCs w:val="21"/>
                <w:highlight w:val="none"/>
                <w:u w:val="single"/>
                <w:lang w:val="en-US" w:eastAsia="zh-CN" w:bidi="ar-SA"/>
              </w:rPr>
              <w:t>答辩人员可结合辅助材料（PPT演示文稿形式、word文件形式、excel文件形式、pdf文件形式）进行介绍（仅可选取其中一种形式）。辅助材料请使用U盘存储，答辩时由答辩人员自行携带进行答辩，答辩结束时现场交招标代理进行存档。答辩辅助材料的内容与定标文件中的内容不一致，以定标文件内容为准。</w:t>
            </w:r>
          </w:p>
        </w:tc>
      </w:tr>
      <w:tr w14:paraId="7F87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14:paraId="37322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609C6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价格因素（20分）</w:t>
            </w:r>
          </w:p>
        </w:tc>
        <w:tc>
          <w:tcPr>
            <w:tcW w:w="8012" w:type="dxa"/>
            <w:tcBorders>
              <w:top w:val="single" w:color="auto" w:sz="4" w:space="0"/>
              <w:left w:val="single" w:color="auto" w:sz="4" w:space="0"/>
              <w:bottom w:val="single" w:color="auto" w:sz="4" w:space="0"/>
              <w:right w:val="single" w:color="auto" w:sz="4" w:space="0"/>
            </w:tcBorders>
            <w:noWrap w:val="0"/>
            <w:vAlign w:val="center"/>
          </w:tcPr>
          <w:p w14:paraId="45145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定标委员会对合格中标候选人投标报价进行评审：</w:t>
            </w:r>
          </w:p>
          <w:p w14:paraId="27A1B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投标报价得分＝（评标基准价/投标报价）×20。本项最高得分为20分。</w:t>
            </w:r>
          </w:p>
          <w:p w14:paraId="2BCCE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注：合格的中标候选人的最低投标报价为评标基准价。</w:t>
            </w:r>
          </w:p>
        </w:tc>
      </w:tr>
    </w:tbl>
    <w:p w14:paraId="576EC8B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14:paraId="28F2119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lang w:val="en-US" w:eastAsia="zh-CN"/>
        </w:rPr>
        <w:t>投标人拟派项目负责人和技术负责人必须携带本单位法定代表人证明书原件、法定代表人授权委托证明书原件，本人身份证原件参与介绍及答辩；否则，不允许参与本项目介绍及答辩；</w:t>
      </w:r>
    </w:p>
    <w:p w14:paraId="2FFC81B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定标答辩顺序：中标候选人答辩顺序按《开标记录表》PDF版中顺序进行。</w:t>
      </w:r>
    </w:p>
    <w:p w14:paraId="3073B2F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3、“方案因素”、“答辩因素”</w:t>
      </w:r>
      <w:r>
        <w:rPr>
          <w:rFonts w:hint="eastAsia" w:ascii="宋体" w:hAnsi="宋体" w:eastAsia="宋体" w:cs="宋体"/>
          <w:color w:val="auto"/>
          <w:kern w:val="2"/>
          <w:sz w:val="21"/>
          <w:szCs w:val="21"/>
          <w:highlight w:val="none"/>
          <w:lang w:val="en-US" w:eastAsia="zh-CN" w:bidi="ar-SA"/>
        </w:rPr>
        <w:t>评分采用“先定档、后评分”的方式，具体是：</w:t>
      </w:r>
    </w:p>
    <w:p w14:paraId="39A621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（1）各评审人员严格按照优、良、中、差等级标准对投标人提交的施工组织方案进行定档评议。</w:t>
      </w:r>
    </w:p>
    <w:p w14:paraId="49F5A0A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各评审人员先递交各自的定档评议，定档分优、良、中、差四档，优为4分，良为3分、中为2分、差为1分；经汇总并去掉一个评审人员最高分和一个评审人员最低分后计算其算术平均分，保留两位小数，第三位小数四舍五入，最终按下表得出各投标人的最终档次。</w:t>
      </w:r>
    </w:p>
    <w:tbl>
      <w:tblPr>
        <w:tblStyle w:val="39"/>
        <w:tblW w:w="0" w:type="auto"/>
        <w:jc w:val="center"/>
        <w:tblLayout w:type="fixed"/>
        <w:tblCellMar>
          <w:top w:w="0" w:type="dxa"/>
          <w:left w:w="0" w:type="dxa"/>
          <w:bottom w:w="0" w:type="dxa"/>
          <w:right w:w="0" w:type="dxa"/>
        </w:tblCellMar>
      </w:tblPr>
      <w:tblGrid>
        <w:gridCol w:w="1953"/>
        <w:gridCol w:w="1847"/>
        <w:gridCol w:w="2410"/>
        <w:gridCol w:w="1984"/>
      </w:tblGrid>
      <w:tr w14:paraId="24F08E65">
        <w:tblPrEx>
          <w:tblCellMar>
            <w:top w:w="0" w:type="dxa"/>
            <w:left w:w="0" w:type="dxa"/>
            <w:bottom w:w="0" w:type="dxa"/>
            <w:right w:w="0" w:type="dxa"/>
          </w:tblCellMar>
        </w:tblPrEx>
        <w:trPr>
          <w:trHeight w:val="344" w:hRule="atLeast"/>
          <w:tblHeader/>
          <w:jc w:val="center"/>
        </w:trPr>
        <w:tc>
          <w:tcPr>
            <w:tcW w:w="1953"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7919D8A">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优</w:t>
            </w:r>
          </w:p>
        </w:tc>
        <w:tc>
          <w:tcPr>
            <w:tcW w:w="1847" w:type="dxa"/>
            <w:tcBorders>
              <w:top w:val="single" w:color="auto" w:sz="8" w:space="0"/>
              <w:left w:val="nil"/>
              <w:bottom w:val="single" w:color="auto" w:sz="8" w:space="0"/>
              <w:right w:val="single" w:color="auto" w:sz="8" w:space="0"/>
            </w:tcBorders>
            <w:noWrap w:val="0"/>
            <w:vAlign w:val="center"/>
          </w:tcPr>
          <w:p w14:paraId="0C7E0806">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良</w:t>
            </w:r>
          </w:p>
        </w:tc>
        <w:tc>
          <w:tcPr>
            <w:tcW w:w="241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05504115">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中</w:t>
            </w:r>
          </w:p>
        </w:tc>
        <w:tc>
          <w:tcPr>
            <w:tcW w:w="1984" w:type="dxa"/>
            <w:tcBorders>
              <w:top w:val="single" w:color="auto" w:sz="8" w:space="0"/>
              <w:left w:val="nil"/>
              <w:bottom w:val="single" w:color="auto" w:sz="8" w:space="0"/>
              <w:right w:val="single" w:color="auto" w:sz="8" w:space="0"/>
            </w:tcBorders>
            <w:noWrap w:val="0"/>
            <w:vAlign w:val="center"/>
          </w:tcPr>
          <w:p w14:paraId="31203984">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差</w:t>
            </w:r>
          </w:p>
        </w:tc>
      </w:tr>
      <w:tr w14:paraId="7276CBEE">
        <w:tblPrEx>
          <w:tblCellMar>
            <w:top w:w="0" w:type="dxa"/>
            <w:left w:w="0" w:type="dxa"/>
            <w:bottom w:w="0" w:type="dxa"/>
            <w:right w:w="0" w:type="dxa"/>
          </w:tblCellMar>
        </w:tblPrEx>
        <w:trPr>
          <w:trHeight w:val="445" w:hRule="atLeast"/>
          <w:tblHeader/>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08F1CD7">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[3.5，4]</w:t>
            </w:r>
          </w:p>
        </w:tc>
        <w:tc>
          <w:tcPr>
            <w:tcW w:w="1847" w:type="dxa"/>
            <w:tcBorders>
              <w:top w:val="nil"/>
              <w:left w:val="nil"/>
              <w:bottom w:val="single" w:color="auto" w:sz="8" w:space="0"/>
              <w:right w:val="single" w:color="auto" w:sz="8" w:space="0"/>
            </w:tcBorders>
            <w:noWrap w:val="0"/>
            <w:vAlign w:val="center"/>
          </w:tcPr>
          <w:p w14:paraId="1BAB6616">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[2.5，3.5）</w:t>
            </w:r>
          </w:p>
        </w:tc>
        <w:tc>
          <w:tcPr>
            <w:tcW w:w="241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765EEC9">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[1.5，2.5）</w:t>
            </w:r>
          </w:p>
        </w:tc>
        <w:tc>
          <w:tcPr>
            <w:tcW w:w="1984" w:type="dxa"/>
            <w:tcBorders>
              <w:top w:val="nil"/>
              <w:left w:val="nil"/>
              <w:bottom w:val="single" w:color="auto" w:sz="8" w:space="0"/>
              <w:right w:val="single" w:color="auto" w:sz="8" w:space="0"/>
            </w:tcBorders>
            <w:noWrap w:val="0"/>
            <w:vAlign w:val="center"/>
          </w:tcPr>
          <w:p w14:paraId="3F4AA6D6">
            <w:pPr>
              <w:keepNext w:val="0"/>
              <w:keepLines w:val="0"/>
              <w:suppressLineNumbers w:val="0"/>
              <w:spacing w:before="0" w:beforeAutospacing="0" w:after="0" w:afterAutospacing="0"/>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[1，1.5）</w:t>
            </w:r>
          </w:p>
        </w:tc>
      </w:tr>
    </w:tbl>
    <w:p w14:paraId="12B395D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（3）各评审人员根据评定的最终档次和择优评分标准表进行各自打分，评分必须符合最终档次，否则评分无效，不列入算术平均分的计算范围。</w:t>
      </w:r>
    </w:p>
    <w:p w14:paraId="7342790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各合格中标候选人总得分为各评委评分的算术平均值，得分四舍五入保留两位小数。</w:t>
      </w:r>
    </w:p>
    <w:p w14:paraId="773C2037">
      <w:pPr>
        <w:spacing w:line="360" w:lineRule="auto"/>
        <w:rPr>
          <w:rFonts w:hint="eastAsia" w:ascii="宋体" w:hAnsi="宋体" w:eastAsia="宋体" w:cs="宋体"/>
          <w:bCs/>
          <w:color w:val="auto"/>
          <w:sz w:val="24"/>
          <w:szCs w:val="24"/>
          <w:highlight w:val="none"/>
          <w:lang w:val="en-US" w:eastAsia="zh-CN"/>
        </w:rPr>
      </w:pPr>
      <w:r>
        <w:rPr>
          <w:rFonts w:hint="eastAsia" w:ascii="Calibri" w:hAnsi="Calibri" w:cs="Times New Roman"/>
          <w:b/>
          <w:color w:val="auto"/>
          <w:sz w:val="21"/>
          <w:szCs w:val="21"/>
          <w:highlight w:val="none"/>
        </w:rPr>
        <w:br w:type="page"/>
      </w:r>
      <w:r>
        <w:rPr>
          <w:rFonts w:hint="eastAsia" w:ascii="宋体" w:hAnsi="宋体" w:cs="宋体"/>
          <w:bCs/>
          <w:color w:val="auto"/>
          <w:sz w:val="24"/>
          <w:szCs w:val="24"/>
          <w:highlight w:val="none"/>
        </w:rPr>
        <w:t>附表</w:t>
      </w:r>
      <w:r>
        <w:rPr>
          <w:rFonts w:hint="eastAsia" w:ascii="宋体" w:hAnsi="宋体" w:cs="宋体"/>
          <w:bCs/>
          <w:color w:val="auto"/>
          <w:sz w:val="24"/>
          <w:szCs w:val="24"/>
          <w:highlight w:val="none"/>
          <w:lang w:val="en-US" w:eastAsia="zh-CN"/>
        </w:rPr>
        <w:t>六</w:t>
      </w:r>
    </w:p>
    <w:p w14:paraId="0DB1512A">
      <w:pPr>
        <w:jc w:val="center"/>
        <w:rPr>
          <w:rFonts w:ascii="宋体" w:hAnsi="宋体" w:cs="Times New Roman"/>
          <w:color w:val="auto"/>
          <w:sz w:val="24"/>
          <w:szCs w:val="24"/>
          <w:highlight w:val="none"/>
        </w:rPr>
      </w:pPr>
      <w:r>
        <w:rPr>
          <w:rFonts w:hint="eastAsia" w:ascii="宋体" w:hAnsi="宋体" w:cs="Times New Roman"/>
          <w:b/>
          <w:bCs/>
          <w:color w:val="auto"/>
          <w:sz w:val="32"/>
          <w:szCs w:val="24"/>
          <w:highlight w:val="none"/>
        </w:rPr>
        <w:t>评标委员会成员声明</w:t>
      </w:r>
    </w:p>
    <w:p w14:paraId="0CCD8C0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本项目招标人  ：</w:t>
      </w:r>
    </w:p>
    <w:p w14:paraId="10A3FA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02544F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B2792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9716B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0AAFD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77B1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D3C14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066ABAE1">
      <w:pPr>
        <w:spacing w:line="360" w:lineRule="auto"/>
        <w:ind w:firstLine="480" w:firstLineChars="200"/>
        <w:rPr>
          <w:rFonts w:hint="eastAsia" w:ascii="宋体" w:hAnsi="宋体" w:eastAsia="宋体" w:cs="宋体"/>
          <w:color w:val="auto"/>
          <w:sz w:val="24"/>
          <w:szCs w:val="24"/>
          <w:highlight w:val="none"/>
        </w:rPr>
      </w:pPr>
    </w:p>
    <w:p w14:paraId="6B973AE4">
      <w:pPr>
        <w:widowControl w:val="0"/>
        <w:spacing w:line="360" w:lineRule="auto"/>
        <w:jc w:val="left"/>
        <w:rPr>
          <w:rFonts w:hint="eastAsia" w:ascii="宋体" w:hAnsi="宋体" w:eastAsia="宋体" w:cs="宋体"/>
          <w:b/>
          <w:color w:val="auto"/>
          <w:kern w:val="0"/>
          <w:sz w:val="24"/>
          <w:szCs w:val="24"/>
          <w:highlight w:val="none"/>
          <w:u w:val="single"/>
          <w:lang w:val="en-US" w:eastAsia="zh-CN" w:bidi="ar-SA"/>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5E4BFABD">
      <w:pPr>
        <w:spacing w:line="360" w:lineRule="auto"/>
        <w:ind w:right="0" w:firstLine="5200" w:firstLineChars="2167"/>
        <w:rPr>
          <w:rFonts w:hint="eastAsia" w:ascii="宋体" w:hAnsi="宋体" w:eastAsia="宋体" w:cs="宋体"/>
          <w:color w:val="auto"/>
          <w:sz w:val="24"/>
          <w:szCs w:val="24"/>
          <w:highlight w:val="none"/>
        </w:rPr>
      </w:pPr>
    </w:p>
    <w:p w14:paraId="12855D4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5769534">
      <w:pPr>
        <w:jc w:val="center"/>
        <w:rPr>
          <w:rFonts w:hint="eastAsia" w:ascii="宋体" w:hAnsi="宋体" w:cs="宋体"/>
          <w:b/>
          <w:bCs/>
          <w:color w:val="000000"/>
          <w:sz w:val="30"/>
          <w:szCs w:val="30"/>
          <w:highlight w:val="none"/>
          <w:lang w:eastAsia="zh-CN"/>
        </w:rPr>
      </w:pPr>
      <w:r>
        <w:rPr>
          <w:rFonts w:hint="eastAsia" w:ascii="宋体" w:hAnsi="宋体" w:cs="宋体"/>
          <w:b/>
          <w:bCs/>
          <w:color w:val="000000"/>
          <w:sz w:val="30"/>
          <w:szCs w:val="30"/>
          <w:highlight w:val="none"/>
          <w:lang w:eastAsia="zh-CN"/>
        </w:rPr>
        <w:t>定标评语</w:t>
      </w:r>
    </w:p>
    <w:p w14:paraId="1B30DE3F">
      <w:pPr>
        <w:ind w:left="643" w:leftChars="306" w:firstLine="0" w:firstLineChars="0"/>
        <w:jc w:val="left"/>
        <w:rPr>
          <w:rFonts w:ascii="宋体" w:hAnsi="宋体"/>
          <w:color w:val="000000"/>
          <w:sz w:val="24"/>
          <w:szCs w:val="24"/>
          <w:highlight w:val="none"/>
          <w:u w:val="none"/>
        </w:rPr>
      </w:pPr>
      <w:r>
        <w:rPr>
          <w:rFonts w:hint="eastAsia" w:ascii="宋体" w:hAnsi="宋体" w:cs="宋体"/>
          <w:color w:val="000000"/>
          <w:sz w:val="24"/>
          <w:szCs w:val="24"/>
          <w:highlight w:val="none"/>
          <w:lang w:eastAsia="zh-CN"/>
        </w:rPr>
        <w:t>工程名称：</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442"/>
        <w:gridCol w:w="5933"/>
      </w:tblGrid>
      <w:tr w14:paraId="090B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center"/>
          </w:tcPr>
          <w:p w14:paraId="1FDD496C">
            <w:pPr>
              <w:keepNext w:val="0"/>
              <w:keepLines w:val="0"/>
              <w:suppressLineNumbers w:val="0"/>
              <w:spacing w:before="0" w:beforeAutospacing="0" w:after="0" w:afterAutospacing="0"/>
              <w:ind w:left="0" w:right="0"/>
              <w:jc w:val="center"/>
              <w:rPr>
                <w:rFonts w:hint="eastAsia" w:ascii="宋体" w:hAnsi="宋体" w:eastAsia="宋体"/>
                <w:color w:val="000000"/>
                <w:sz w:val="24"/>
                <w:szCs w:val="24"/>
                <w:highlight w:val="none"/>
                <w:lang w:eastAsia="zh-CN"/>
              </w:rPr>
            </w:pPr>
            <w:r>
              <w:rPr>
                <w:rFonts w:hint="eastAsia" w:ascii="宋体" w:hAnsi="宋体" w:cs="宋体"/>
                <w:color w:val="000000"/>
                <w:sz w:val="24"/>
                <w:szCs w:val="24"/>
                <w:highlight w:val="none"/>
                <w:lang w:eastAsia="zh-CN"/>
              </w:rPr>
              <w:t>序号</w:t>
            </w:r>
          </w:p>
        </w:tc>
        <w:tc>
          <w:tcPr>
            <w:tcW w:w="2442" w:type="dxa"/>
            <w:tcBorders>
              <w:top w:val="single" w:color="auto" w:sz="4" w:space="0"/>
              <w:left w:val="nil"/>
              <w:bottom w:val="single" w:color="auto" w:sz="4" w:space="0"/>
              <w:right w:val="single" w:color="auto" w:sz="4" w:space="0"/>
            </w:tcBorders>
            <w:noWrap w:val="0"/>
            <w:vAlign w:val="center"/>
          </w:tcPr>
          <w:p w14:paraId="7392C710">
            <w:pPr>
              <w:keepNext w:val="0"/>
              <w:keepLines w:val="0"/>
              <w:suppressLineNumbers w:val="0"/>
              <w:spacing w:before="0" w:beforeAutospacing="0" w:after="0" w:afterAutospacing="0"/>
              <w:ind w:left="0" w:right="0"/>
              <w:jc w:val="center"/>
              <w:rPr>
                <w:rFonts w:hint="default" w:ascii="宋体" w:hAnsi="宋体"/>
                <w:color w:val="000000"/>
                <w:sz w:val="24"/>
                <w:szCs w:val="24"/>
                <w:highlight w:val="none"/>
              </w:rPr>
            </w:pP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名称</w:t>
            </w:r>
          </w:p>
        </w:tc>
        <w:tc>
          <w:tcPr>
            <w:tcW w:w="5933" w:type="dxa"/>
            <w:tcBorders>
              <w:top w:val="single" w:color="auto" w:sz="4" w:space="0"/>
              <w:left w:val="nil"/>
              <w:bottom w:val="single" w:color="auto" w:sz="4" w:space="0"/>
              <w:right w:val="single" w:color="auto" w:sz="4" w:space="0"/>
            </w:tcBorders>
            <w:noWrap w:val="0"/>
            <w:vAlign w:val="center"/>
          </w:tcPr>
          <w:p w14:paraId="755AA14E">
            <w:pPr>
              <w:keepNext w:val="0"/>
              <w:keepLines w:val="0"/>
              <w:suppressLineNumbers w:val="0"/>
              <w:spacing w:before="0" w:beforeAutospacing="0" w:after="0" w:afterAutospacing="0"/>
              <w:ind w:left="0" w:right="0"/>
              <w:rPr>
                <w:rFonts w:hint="default" w:ascii="宋体" w:hAnsi="宋体"/>
                <w:color w:val="000000"/>
                <w:sz w:val="24"/>
                <w:szCs w:val="24"/>
                <w:highlight w:val="none"/>
              </w:rPr>
            </w:pPr>
            <w:r>
              <w:rPr>
                <w:rFonts w:hint="eastAsia" w:ascii="宋体" w:hAnsi="宋体" w:cs="宋体"/>
                <w:color w:val="000000"/>
                <w:sz w:val="24"/>
                <w:szCs w:val="24"/>
                <w:highlight w:val="none"/>
              </w:rPr>
              <w:t>评语（</w:t>
            </w:r>
            <w:r>
              <w:rPr>
                <w:rFonts w:hint="eastAsia" w:ascii="宋体" w:hAnsi="宋体" w:cs="宋体"/>
                <w:color w:val="000000"/>
                <w:sz w:val="24"/>
                <w:szCs w:val="24"/>
                <w:highlight w:val="none"/>
                <w:lang w:eastAsia="zh-CN"/>
              </w:rPr>
              <w:t>指出各投标文件的优点和存在的缺陷、签订合同前应注意和澄清的事项</w:t>
            </w:r>
            <w:r>
              <w:rPr>
                <w:rFonts w:hint="eastAsia" w:ascii="宋体" w:hAnsi="宋体" w:cs="宋体"/>
                <w:color w:val="000000"/>
                <w:sz w:val="24"/>
                <w:szCs w:val="24"/>
                <w:highlight w:val="none"/>
              </w:rPr>
              <w:t>）</w:t>
            </w:r>
          </w:p>
        </w:tc>
      </w:tr>
      <w:tr w14:paraId="72AA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11" w:type="dxa"/>
            <w:tcBorders>
              <w:top w:val="nil"/>
              <w:left w:val="single" w:color="auto" w:sz="4" w:space="0"/>
              <w:bottom w:val="single" w:color="auto" w:sz="4" w:space="0"/>
              <w:right w:val="single" w:color="auto" w:sz="4" w:space="0"/>
            </w:tcBorders>
            <w:noWrap w:val="0"/>
            <w:vAlign w:val="center"/>
          </w:tcPr>
          <w:p w14:paraId="490AF5B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2442" w:type="dxa"/>
            <w:tcBorders>
              <w:top w:val="nil"/>
              <w:left w:val="nil"/>
              <w:bottom w:val="single" w:color="auto" w:sz="4" w:space="0"/>
              <w:right w:val="single" w:color="auto" w:sz="4" w:space="0"/>
            </w:tcBorders>
            <w:noWrap w:val="0"/>
            <w:vAlign w:val="center"/>
          </w:tcPr>
          <w:p w14:paraId="3BA3DF5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5933" w:type="dxa"/>
            <w:tcBorders>
              <w:top w:val="single" w:color="auto" w:sz="4" w:space="0"/>
              <w:left w:val="nil"/>
              <w:bottom w:val="single" w:color="auto" w:sz="4" w:space="0"/>
              <w:right w:val="single" w:color="auto" w:sz="4" w:space="0"/>
            </w:tcBorders>
            <w:noWrap w:val="0"/>
            <w:vAlign w:val="center"/>
          </w:tcPr>
          <w:p w14:paraId="1F3CDC4D">
            <w:pPr>
              <w:keepNext w:val="0"/>
              <w:keepLines w:val="0"/>
              <w:suppressLineNumbers w:val="0"/>
              <w:spacing w:before="0" w:beforeAutospacing="0" w:after="0" w:afterAutospacing="0"/>
              <w:ind w:left="0" w:right="0"/>
              <w:rPr>
                <w:rFonts w:hint="default" w:eastAsia="宋体"/>
                <w:color w:val="000000"/>
                <w:szCs w:val="21"/>
                <w:highlight w:val="none"/>
                <w:lang w:val="en-US" w:eastAsia="zh-CN"/>
              </w:rPr>
            </w:pPr>
          </w:p>
        </w:tc>
      </w:tr>
      <w:tr w14:paraId="572E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11" w:type="dxa"/>
            <w:tcBorders>
              <w:top w:val="nil"/>
              <w:left w:val="single" w:color="auto" w:sz="4" w:space="0"/>
              <w:bottom w:val="single" w:color="auto" w:sz="4" w:space="0"/>
              <w:right w:val="single" w:color="auto" w:sz="4" w:space="0"/>
            </w:tcBorders>
            <w:noWrap w:val="0"/>
            <w:vAlign w:val="center"/>
          </w:tcPr>
          <w:p w14:paraId="42F33CE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2442" w:type="dxa"/>
            <w:tcBorders>
              <w:top w:val="nil"/>
              <w:left w:val="nil"/>
              <w:bottom w:val="single" w:color="auto" w:sz="4" w:space="0"/>
              <w:right w:val="single" w:color="auto" w:sz="4" w:space="0"/>
            </w:tcBorders>
            <w:noWrap w:val="0"/>
            <w:vAlign w:val="center"/>
          </w:tcPr>
          <w:p w14:paraId="0140909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5933" w:type="dxa"/>
            <w:tcBorders>
              <w:top w:val="single" w:color="auto" w:sz="4" w:space="0"/>
              <w:left w:val="nil"/>
              <w:bottom w:val="single" w:color="auto" w:sz="4" w:space="0"/>
              <w:right w:val="single" w:color="auto" w:sz="4" w:space="0"/>
            </w:tcBorders>
            <w:noWrap w:val="0"/>
            <w:vAlign w:val="center"/>
          </w:tcPr>
          <w:p w14:paraId="79D465E8">
            <w:pPr>
              <w:keepNext w:val="0"/>
              <w:keepLines w:val="0"/>
              <w:suppressLineNumbers w:val="0"/>
              <w:spacing w:before="0" w:beforeAutospacing="0" w:after="0" w:afterAutospacing="0"/>
              <w:ind w:left="0" w:right="0"/>
              <w:rPr>
                <w:rFonts w:hint="default" w:eastAsia="宋体"/>
                <w:color w:val="000000"/>
                <w:szCs w:val="21"/>
                <w:highlight w:val="none"/>
                <w:lang w:val="en-US" w:eastAsia="zh-CN"/>
              </w:rPr>
            </w:pPr>
          </w:p>
        </w:tc>
      </w:tr>
      <w:tr w14:paraId="6C37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11" w:type="dxa"/>
            <w:tcBorders>
              <w:top w:val="nil"/>
              <w:left w:val="single" w:color="auto" w:sz="4" w:space="0"/>
              <w:bottom w:val="single" w:color="auto" w:sz="4" w:space="0"/>
              <w:right w:val="single" w:color="auto" w:sz="4" w:space="0"/>
            </w:tcBorders>
            <w:noWrap w:val="0"/>
            <w:vAlign w:val="center"/>
          </w:tcPr>
          <w:p w14:paraId="6446767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2442" w:type="dxa"/>
            <w:tcBorders>
              <w:top w:val="nil"/>
              <w:left w:val="nil"/>
              <w:bottom w:val="single" w:color="auto" w:sz="4" w:space="0"/>
              <w:right w:val="single" w:color="auto" w:sz="4" w:space="0"/>
            </w:tcBorders>
            <w:noWrap w:val="0"/>
            <w:vAlign w:val="center"/>
          </w:tcPr>
          <w:p w14:paraId="50D8780A">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5933" w:type="dxa"/>
            <w:tcBorders>
              <w:top w:val="single" w:color="auto" w:sz="4" w:space="0"/>
              <w:left w:val="nil"/>
              <w:bottom w:val="single" w:color="auto" w:sz="4" w:space="0"/>
              <w:right w:val="single" w:color="auto" w:sz="4" w:space="0"/>
            </w:tcBorders>
            <w:noWrap w:val="0"/>
            <w:vAlign w:val="center"/>
          </w:tcPr>
          <w:p w14:paraId="269645EE">
            <w:pPr>
              <w:keepNext w:val="0"/>
              <w:keepLines w:val="0"/>
              <w:suppressLineNumbers w:val="0"/>
              <w:spacing w:before="0" w:beforeAutospacing="0" w:after="0" w:afterAutospacing="0"/>
              <w:ind w:left="0" w:right="0"/>
              <w:rPr>
                <w:rFonts w:hint="default" w:eastAsia="宋体"/>
                <w:color w:val="000000"/>
                <w:szCs w:val="21"/>
                <w:highlight w:val="none"/>
                <w:lang w:val="en-US" w:eastAsia="zh-CN"/>
              </w:rPr>
            </w:pPr>
          </w:p>
        </w:tc>
      </w:tr>
      <w:tr w14:paraId="0C0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11" w:type="dxa"/>
            <w:tcBorders>
              <w:top w:val="nil"/>
              <w:left w:val="single" w:color="auto" w:sz="4" w:space="0"/>
              <w:bottom w:val="single" w:color="auto" w:sz="4" w:space="0"/>
              <w:right w:val="single" w:color="auto" w:sz="4" w:space="0"/>
            </w:tcBorders>
            <w:noWrap w:val="0"/>
            <w:vAlign w:val="center"/>
          </w:tcPr>
          <w:p w14:paraId="67B770CC">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2442" w:type="dxa"/>
            <w:tcBorders>
              <w:top w:val="nil"/>
              <w:left w:val="nil"/>
              <w:bottom w:val="single" w:color="auto" w:sz="4" w:space="0"/>
              <w:right w:val="single" w:color="auto" w:sz="4" w:space="0"/>
            </w:tcBorders>
            <w:noWrap w:val="0"/>
            <w:vAlign w:val="center"/>
          </w:tcPr>
          <w:p w14:paraId="51F31F96">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5933" w:type="dxa"/>
            <w:tcBorders>
              <w:top w:val="single" w:color="auto" w:sz="4" w:space="0"/>
              <w:left w:val="nil"/>
              <w:bottom w:val="single" w:color="auto" w:sz="4" w:space="0"/>
              <w:right w:val="single" w:color="auto" w:sz="4" w:space="0"/>
            </w:tcBorders>
            <w:noWrap w:val="0"/>
            <w:vAlign w:val="center"/>
          </w:tcPr>
          <w:p w14:paraId="0F4FA0C6">
            <w:pPr>
              <w:keepNext w:val="0"/>
              <w:keepLines w:val="0"/>
              <w:suppressLineNumbers w:val="0"/>
              <w:spacing w:before="0" w:beforeAutospacing="0" w:after="0" w:afterAutospacing="0"/>
              <w:ind w:left="0" w:right="0"/>
              <w:rPr>
                <w:rFonts w:hint="default" w:eastAsia="宋体"/>
                <w:color w:val="000000"/>
                <w:szCs w:val="21"/>
                <w:highlight w:val="none"/>
                <w:lang w:val="en-US" w:eastAsia="zh-CN"/>
              </w:rPr>
            </w:pPr>
          </w:p>
        </w:tc>
      </w:tr>
      <w:tr w14:paraId="1841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center"/>
          </w:tcPr>
          <w:p w14:paraId="788B9E8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14:paraId="0B1DC999">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5933" w:type="dxa"/>
            <w:tcBorders>
              <w:top w:val="single" w:color="auto" w:sz="4" w:space="0"/>
              <w:left w:val="nil"/>
              <w:bottom w:val="single" w:color="auto" w:sz="4" w:space="0"/>
              <w:right w:val="single" w:color="auto" w:sz="4" w:space="0"/>
            </w:tcBorders>
            <w:noWrap w:val="0"/>
            <w:vAlign w:val="center"/>
          </w:tcPr>
          <w:p w14:paraId="35F699AC">
            <w:pPr>
              <w:keepNext w:val="0"/>
              <w:keepLines w:val="0"/>
              <w:suppressLineNumbers w:val="0"/>
              <w:spacing w:before="0" w:beforeAutospacing="0" w:after="0" w:afterAutospacing="0"/>
              <w:ind w:left="0" w:right="0"/>
              <w:rPr>
                <w:rFonts w:hint="default"/>
                <w:color w:val="000000"/>
                <w:szCs w:val="21"/>
                <w:highlight w:val="none"/>
                <w:lang w:val="en-US"/>
              </w:rPr>
            </w:pPr>
          </w:p>
        </w:tc>
      </w:tr>
      <w:tr w14:paraId="767D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center"/>
          </w:tcPr>
          <w:p w14:paraId="45C45BD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14:paraId="0A598F0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5933" w:type="dxa"/>
            <w:tcBorders>
              <w:top w:val="single" w:color="auto" w:sz="4" w:space="0"/>
              <w:left w:val="nil"/>
              <w:bottom w:val="single" w:color="auto" w:sz="4" w:space="0"/>
              <w:right w:val="single" w:color="auto" w:sz="4" w:space="0"/>
            </w:tcBorders>
            <w:noWrap w:val="0"/>
            <w:vAlign w:val="center"/>
          </w:tcPr>
          <w:p w14:paraId="7418E02D">
            <w:pPr>
              <w:keepNext w:val="0"/>
              <w:keepLines w:val="0"/>
              <w:suppressLineNumbers w:val="0"/>
              <w:spacing w:before="0" w:beforeAutospacing="0" w:after="0" w:afterAutospacing="0"/>
              <w:ind w:left="0" w:right="0"/>
              <w:rPr>
                <w:rFonts w:hint="default"/>
                <w:color w:val="000000"/>
                <w:szCs w:val="21"/>
                <w:highlight w:val="none"/>
                <w:lang w:val="en-US"/>
              </w:rPr>
            </w:pPr>
          </w:p>
        </w:tc>
      </w:tr>
    </w:tbl>
    <w:p w14:paraId="62033039">
      <w:pPr>
        <w:spacing w:line="360" w:lineRule="auto"/>
        <w:rPr>
          <w:rFonts w:ascii="宋体" w:hAnsi="宋体"/>
          <w:color w:val="000000"/>
          <w:szCs w:val="21"/>
          <w:highlight w:val="none"/>
        </w:rPr>
      </w:pPr>
    </w:p>
    <w:p w14:paraId="4B696D71">
      <w:pPr>
        <w:ind w:firstLine="480" w:firstLineChars="200"/>
        <w:rPr>
          <w:sz w:val="24"/>
          <w:szCs w:val="24"/>
        </w:rPr>
      </w:pPr>
      <w:r>
        <w:rPr>
          <w:rFonts w:hint="eastAsia" w:cs="宋体"/>
          <w:color w:val="000000"/>
          <w:sz w:val="24"/>
          <w:szCs w:val="24"/>
          <w:highlight w:val="none"/>
          <w:lang w:eastAsia="zh-CN"/>
        </w:rPr>
        <w:t>定标委员会成员</w:t>
      </w:r>
      <w:r>
        <w:rPr>
          <w:rFonts w:cs="宋体"/>
          <w:color w:val="000000"/>
          <w:sz w:val="24"/>
          <w:szCs w:val="24"/>
          <w:highlight w:val="none"/>
        </w:rPr>
        <w:t>签名：                           日期：</w:t>
      </w:r>
      <w:r>
        <w:rPr>
          <w:rFonts w:hint="eastAsia" w:cs="宋体"/>
          <w:color w:val="000000"/>
          <w:sz w:val="24"/>
          <w:szCs w:val="24"/>
          <w:highlight w:val="none"/>
          <w:lang w:val="en-US" w:eastAsia="zh-CN"/>
        </w:rPr>
        <w:t xml:space="preserve">  </w:t>
      </w:r>
      <w:r>
        <w:rPr>
          <w:rFonts w:cs="宋体"/>
          <w:color w:val="000000"/>
          <w:sz w:val="24"/>
          <w:szCs w:val="24"/>
          <w:highlight w:val="none"/>
        </w:rPr>
        <w:t>年</w:t>
      </w:r>
      <w:r>
        <w:rPr>
          <w:rFonts w:hint="eastAsia" w:cs="宋体"/>
          <w:color w:val="000000"/>
          <w:sz w:val="24"/>
          <w:szCs w:val="24"/>
          <w:highlight w:val="none"/>
          <w:lang w:val="en-US" w:eastAsia="zh-CN"/>
        </w:rPr>
        <w:t xml:space="preserve">  </w:t>
      </w:r>
      <w:r>
        <w:rPr>
          <w:rFonts w:cs="宋体"/>
          <w:color w:val="000000"/>
          <w:sz w:val="24"/>
          <w:szCs w:val="24"/>
          <w:highlight w:val="none"/>
        </w:rPr>
        <w:t>月</w:t>
      </w:r>
      <w:r>
        <w:rPr>
          <w:rFonts w:hint="eastAsia" w:cs="宋体"/>
          <w:color w:val="000000"/>
          <w:sz w:val="24"/>
          <w:szCs w:val="24"/>
          <w:highlight w:val="none"/>
          <w:lang w:val="en-US" w:eastAsia="zh-CN"/>
        </w:rPr>
        <w:t xml:space="preserve"> </w:t>
      </w:r>
      <w:r>
        <w:rPr>
          <w:rFonts w:cs="宋体"/>
          <w:color w:val="000000"/>
          <w:sz w:val="24"/>
          <w:szCs w:val="24"/>
          <w:highlight w:val="none"/>
        </w:rPr>
        <w:t>日</w:t>
      </w:r>
    </w:p>
    <w:p w14:paraId="341F775B">
      <w:pPr>
        <w:pStyle w:val="2"/>
        <w:rPr>
          <w:rFonts w:hint="eastAsia" w:ascii="宋体" w:hAnsi="宋体" w:eastAsia="宋体" w:cs="宋体"/>
          <w:color w:val="auto"/>
          <w:sz w:val="24"/>
          <w:szCs w:val="24"/>
          <w:highlight w:val="none"/>
        </w:rPr>
      </w:pPr>
    </w:p>
    <w:p w14:paraId="3D1A67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1324BE">
      <w:pPr>
        <w:pStyle w:val="2"/>
        <w:rPr>
          <w:rFonts w:hint="eastAsia" w:ascii="宋体" w:hAnsi="宋体" w:eastAsia="宋体" w:cs="宋体"/>
          <w:color w:val="auto"/>
          <w:sz w:val="24"/>
          <w:szCs w:val="24"/>
          <w:highlight w:val="none"/>
        </w:rPr>
        <w:sectPr>
          <w:pgSz w:w="11906" w:h="16838"/>
          <w:pgMar w:top="1440" w:right="1080" w:bottom="1440" w:left="1080" w:header="850" w:footer="992" w:gutter="0"/>
          <w:pgBorders>
            <w:top w:val="none" w:sz="0" w:space="0"/>
            <w:left w:val="none" w:sz="0" w:space="0"/>
            <w:bottom w:val="none" w:sz="0" w:space="0"/>
            <w:right w:val="none" w:sz="0" w:space="0"/>
          </w:pgBorders>
          <w:cols w:space="720" w:num="1"/>
          <w:docGrid w:type="lines" w:linePitch="408" w:charSpace="0"/>
        </w:sectPr>
      </w:pPr>
    </w:p>
    <w:p w14:paraId="1B63CA4D">
      <w:pPr>
        <w:spacing w:line="360" w:lineRule="auto"/>
        <w:jc w:val="center"/>
        <w:rPr>
          <w:rFonts w:hint="eastAsia" w:ascii="Arial" w:hAnsi="Arial" w:cs="Times New Roman"/>
          <w:b/>
          <w:color w:val="auto"/>
          <w:kern w:val="44"/>
          <w:sz w:val="32"/>
          <w:szCs w:val="32"/>
          <w:highlight w:val="none"/>
        </w:rPr>
      </w:pPr>
      <w:r>
        <w:rPr>
          <w:rFonts w:hint="eastAsia" w:ascii="Arial" w:hAnsi="Arial" w:cs="Times New Roman"/>
          <w:b/>
          <w:color w:val="auto"/>
          <w:kern w:val="44"/>
          <w:sz w:val="32"/>
          <w:szCs w:val="32"/>
          <w:highlight w:val="none"/>
        </w:rPr>
        <w:t>第三章  合同条款</w:t>
      </w:r>
    </w:p>
    <w:p w14:paraId="455024B1">
      <w:pPr>
        <w:widowControl w:val="0"/>
        <w:spacing w:after="120" w:line="360" w:lineRule="auto"/>
        <w:ind w:firstLine="420"/>
        <w:jc w:val="center"/>
        <w:rPr>
          <w:rFonts w:hint="eastAsia" w:ascii="宋体" w:hAnsi="宋体" w:eastAsia="宋体" w:cs="宋体"/>
          <w:color w:val="auto"/>
          <w:kern w:val="0"/>
          <w:sz w:val="24"/>
          <w:szCs w:val="24"/>
          <w:highlight w:val="none"/>
          <w:lang w:val="en-US" w:eastAsia="zh-CN" w:bidi="ar-SA"/>
        </w:rPr>
      </w:pPr>
    </w:p>
    <w:p w14:paraId="649FEC91">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r>
        <w:rPr>
          <w:rFonts w:hint="eastAsia" w:ascii="宋体" w:hAnsi="宋体" w:cs="宋体"/>
          <w:bCs/>
          <w:color w:val="auto"/>
          <w:sz w:val="24"/>
          <w:highlight w:val="none"/>
        </w:rPr>
        <w:t>。</w:t>
      </w:r>
    </w:p>
    <w:p w14:paraId="0B83F059">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2D0DC3CF">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702DE97E">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1E281780">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3D78D4CB">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0362F37F">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08230C58">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1F861873">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5D819C5E">
      <w:pPr>
        <w:widowControl w:val="0"/>
        <w:spacing w:after="120" w:line="360" w:lineRule="auto"/>
        <w:ind w:firstLine="420"/>
        <w:jc w:val="both"/>
        <w:rPr>
          <w:rFonts w:hint="eastAsia" w:ascii="宋体" w:hAnsi="宋体" w:eastAsia="宋体" w:cs="宋体"/>
          <w:color w:val="auto"/>
          <w:kern w:val="0"/>
          <w:sz w:val="24"/>
          <w:szCs w:val="24"/>
          <w:highlight w:val="none"/>
          <w:lang w:val="en-US" w:eastAsia="zh-CN" w:bidi="ar-SA"/>
        </w:rPr>
      </w:pPr>
    </w:p>
    <w:p w14:paraId="5A246289">
      <w:pPr>
        <w:widowControl w:val="0"/>
        <w:spacing w:line="360" w:lineRule="auto"/>
        <w:jc w:val="both"/>
        <w:rPr>
          <w:rFonts w:hint="eastAsia" w:ascii="宋体" w:hAnsi="宋体" w:eastAsia="宋体" w:cs="宋体"/>
          <w:color w:val="auto"/>
          <w:kern w:val="0"/>
          <w:sz w:val="24"/>
          <w:szCs w:val="24"/>
          <w:highlight w:val="none"/>
          <w:lang w:val="en-US" w:eastAsia="zh-CN" w:bidi="ar-SA"/>
        </w:rPr>
      </w:pPr>
    </w:p>
    <w:p w14:paraId="1CCB21F4">
      <w:pPr>
        <w:keepNext/>
        <w:keepLines/>
        <w:widowControl w:val="0"/>
        <w:spacing w:before="120" w:after="120" w:line="360" w:lineRule="auto"/>
        <w:jc w:val="center"/>
        <w:outlineLvl w:val="0"/>
        <w:rPr>
          <w:rFonts w:hint="eastAsia" w:ascii="Times New Roman" w:hAnsi="Times New Roman" w:eastAsia="宋体" w:cs="Times New Roman"/>
          <w:b w:val="0"/>
          <w:color w:val="auto"/>
          <w:kern w:val="44"/>
          <w:sz w:val="32"/>
          <w:szCs w:val="32"/>
          <w:highlight w:val="none"/>
          <w:lang w:val="en-US" w:eastAsia="zh-CN" w:bidi="ar-SA"/>
        </w:rPr>
      </w:pPr>
      <w:r>
        <w:rPr>
          <w:rFonts w:hint="eastAsia" w:ascii="宋体" w:hAnsi="宋体" w:eastAsia="宋体" w:cs="宋体"/>
          <w:b w:val="0"/>
          <w:color w:val="auto"/>
          <w:kern w:val="44"/>
          <w:sz w:val="24"/>
          <w:szCs w:val="24"/>
          <w:highlight w:val="none"/>
          <w:lang w:val="en-US" w:eastAsia="zh-CN" w:bidi="ar-SA"/>
        </w:rPr>
        <w:br w:type="page"/>
      </w:r>
      <w:bookmarkStart w:id="117" w:name="_Toc9591"/>
      <w:bookmarkStart w:id="118" w:name="_Toc88246547"/>
      <w:r>
        <w:rPr>
          <w:rFonts w:hint="eastAsia" w:ascii="Times New Roman" w:hAnsi="Times New Roman" w:eastAsia="宋体" w:cs="Times New Roman"/>
          <w:b w:val="0"/>
          <w:color w:val="auto"/>
          <w:kern w:val="44"/>
          <w:sz w:val="32"/>
          <w:szCs w:val="32"/>
          <w:highlight w:val="none"/>
          <w:lang w:val="en-US" w:eastAsia="zh-CN" w:bidi="ar-SA"/>
        </w:rPr>
        <w:t>第四章  投标文件格式</w:t>
      </w:r>
      <w:bookmarkEnd w:id="117"/>
      <w:bookmarkEnd w:id="118"/>
    </w:p>
    <w:p w14:paraId="1C9D539E">
      <w:pPr>
        <w:widowControl w:val="0"/>
        <w:topLinePunct/>
        <w:adjustRightInd w:val="0"/>
        <w:snapToGrid w:val="0"/>
        <w:spacing w:before="50" w:beforeLines="0" w:after="50" w:afterLines="0" w:line="360" w:lineRule="auto"/>
        <w:jc w:val="center"/>
        <w:outlineLvl w:val="0"/>
        <w:rPr>
          <w:rFonts w:hint="eastAsia" w:ascii="宋体" w:hAnsi="宋体" w:eastAsia="宋体" w:cs="宋体"/>
          <w:b/>
          <w:snapToGrid/>
          <w:color w:val="auto"/>
          <w:spacing w:val="0"/>
          <w:kern w:val="2"/>
          <w:sz w:val="28"/>
          <w:szCs w:val="28"/>
          <w:highlight w:val="none"/>
          <w:lang w:val="en-US" w:eastAsia="zh-CN" w:bidi="ar-SA"/>
        </w:rPr>
      </w:pPr>
      <w:bookmarkStart w:id="119" w:name="_Toc23424910"/>
      <w:r>
        <w:rPr>
          <w:rFonts w:hint="eastAsia" w:ascii="宋体" w:hAnsi="宋体" w:eastAsia="宋体" w:cs="宋体"/>
          <w:b/>
          <w:snapToGrid/>
          <w:color w:val="auto"/>
          <w:spacing w:val="0"/>
          <w:kern w:val="2"/>
          <w:sz w:val="28"/>
          <w:szCs w:val="28"/>
          <w:highlight w:val="none"/>
          <w:lang w:val="en-US" w:eastAsia="zh-CN" w:bidi="ar-SA"/>
        </w:rPr>
        <w:t>一、技术标投标文件格式</w:t>
      </w:r>
      <w:bookmarkEnd w:id="119"/>
    </w:p>
    <w:p w14:paraId="698A2A2C">
      <w:pPr>
        <w:widowControl w:val="0"/>
        <w:topLinePunct/>
        <w:adjustRightInd w:val="0"/>
        <w:snapToGrid w:val="0"/>
        <w:spacing w:before="50" w:beforeLines="0" w:after="50" w:afterLines="0" w:line="360" w:lineRule="auto"/>
        <w:jc w:val="left"/>
        <w:outlineLvl w:val="2"/>
        <w:rPr>
          <w:rFonts w:hint="eastAsia" w:ascii="宋体" w:hAnsi="宋体" w:eastAsia="宋体" w:cs="宋体"/>
          <w:b/>
          <w:snapToGrid w:val="0"/>
          <w:color w:val="auto"/>
          <w:spacing w:val="4"/>
          <w:kern w:val="0"/>
          <w:sz w:val="24"/>
          <w:szCs w:val="24"/>
          <w:highlight w:val="none"/>
          <w:lang w:val="en-US" w:eastAsia="zh-CN" w:bidi="ar-SA"/>
        </w:rPr>
      </w:pPr>
      <w:bookmarkStart w:id="120" w:name="_Toc23424911"/>
      <w:bookmarkStart w:id="121" w:name="_Toc532475786"/>
      <w:bookmarkStart w:id="122" w:name="_Toc510963883"/>
      <w:bookmarkStart w:id="123" w:name="_Toc532475353"/>
      <w:r>
        <w:rPr>
          <w:rFonts w:hint="eastAsia" w:ascii="宋体" w:hAnsi="宋体" w:eastAsia="宋体" w:cs="宋体"/>
          <w:b/>
          <w:snapToGrid w:val="0"/>
          <w:color w:val="auto"/>
          <w:spacing w:val="4"/>
          <w:kern w:val="0"/>
          <w:sz w:val="24"/>
          <w:szCs w:val="24"/>
          <w:highlight w:val="none"/>
          <w:lang w:val="en-US" w:eastAsia="zh-CN" w:bidi="ar-SA"/>
        </w:rPr>
        <w:t>格式一：技术标封面</w:t>
      </w:r>
      <w:bookmarkEnd w:id="120"/>
      <w:bookmarkEnd w:id="121"/>
      <w:bookmarkEnd w:id="122"/>
      <w:bookmarkEnd w:id="123"/>
    </w:p>
    <w:p w14:paraId="597C601A">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4CF48A9D">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75A7AC83">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38C1C307">
      <w:pPr>
        <w:widowControl w:val="0"/>
        <w:topLinePunct/>
        <w:adjustRightInd w:val="0"/>
        <w:snapToGrid w:val="0"/>
        <w:spacing w:line="360" w:lineRule="auto"/>
        <w:ind w:firstLine="0" w:firstLineChars="0"/>
        <w:jc w:val="center"/>
        <w:textAlignment w:val="auto"/>
        <w:rPr>
          <w:rFonts w:hint="eastAsia" w:ascii="宋体" w:hAnsi="宋体" w:eastAsia="宋体" w:cs="宋体"/>
          <w:b w:val="0"/>
          <w:color w:val="auto"/>
          <w:spacing w:val="4"/>
          <w:kern w:val="0"/>
          <w:sz w:val="36"/>
          <w:szCs w:val="36"/>
          <w:highlight w:val="none"/>
          <w:u w:val="single"/>
          <w:lang w:val="en-US" w:eastAsia="zh-CN" w:bidi="ar-SA"/>
        </w:rPr>
      </w:pPr>
      <w:r>
        <w:rPr>
          <w:rFonts w:hint="eastAsia" w:ascii="宋体" w:hAnsi="宋体" w:eastAsia="宋体" w:cs="宋体"/>
          <w:b w:val="0"/>
          <w:color w:val="auto"/>
          <w:spacing w:val="4"/>
          <w:kern w:val="0"/>
          <w:sz w:val="36"/>
          <w:szCs w:val="36"/>
          <w:highlight w:val="none"/>
          <w:u w:val="single"/>
          <w:lang w:val="en-US" w:eastAsia="zh-CN" w:bidi="ar-SA"/>
        </w:rPr>
        <w:t xml:space="preserve">[项目名称] </w:t>
      </w:r>
    </w:p>
    <w:p w14:paraId="61BEE214">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0734F0CA">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04C49CF2">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2439AFAA">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1B408302">
      <w:pPr>
        <w:widowControl w:val="0"/>
        <w:topLinePunct/>
        <w:adjustRightInd w:val="0"/>
        <w:snapToGrid w:val="0"/>
        <w:spacing w:line="360" w:lineRule="auto"/>
        <w:ind w:firstLine="0" w:firstLineChars="0"/>
        <w:jc w:val="center"/>
        <w:textAlignment w:val="auto"/>
        <w:rPr>
          <w:rFonts w:hint="eastAsia" w:ascii="宋体" w:hAnsi="宋体" w:eastAsia="宋体" w:cs="宋体"/>
          <w:b w:val="0"/>
          <w:color w:val="auto"/>
          <w:spacing w:val="4"/>
          <w:kern w:val="0"/>
          <w:sz w:val="84"/>
          <w:szCs w:val="84"/>
          <w:highlight w:val="none"/>
          <w:lang w:val="en-US" w:eastAsia="zh-CN" w:bidi="ar-SA"/>
        </w:rPr>
      </w:pPr>
      <w:r>
        <w:rPr>
          <w:rFonts w:hint="eastAsia" w:ascii="宋体" w:hAnsi="宋体" w:eastAsia="宋体" w:cs="宋体"/>
          <w:b w:val="0"/>
          <w:color w:val="auto"/>
          <w:spacing w:val="4"/>
          <w:kern w:val="0"/>
          <w:sz w:val="84"/>
          <w:szCs w:val="84"/>
          <w:highlight w:val="none"/>
          <w:lang w:val="en-US" w:eastAsia="zh-CN" w:bidi="ar-SA"/>
        </w:rPr>
        <w:t>投标文件</w:t>
      </w:r>
    </w:p>
    <w:p w14:paraId="625F9EA4">
      <w:pPr>
        <w:widowControl w:val="0"/>
        <w:topLinePunct/>
        <w:adjustRightInd w:val="0"/>
        <w:snapToGrid w:val="0"/>
        <w:spacing w:line="360" w:lineRule="auto"/>
        <w:ind w:firstLine="0" w:firstLineChars="0"/>
        <w:jc w:val="center"/>
        <w:textAlignment w:val="auto"/>
        <w:rPr>
          <w:rFonts w:hint="eastAsia" w:ascii="宋体" w:hAnsi="宋体" w:eastAsia="宋体" w:cs="宋体"/>
          <w:b w:val="0"/>
          <w:color w:val="auto"/>
          <w:spacing w:val="4"/>
          <w:kern w:val="0"/>
          <w:sz w:val="36"/>
          <w:szCs w:val="36"/>
          <w:highlight w:val="none"/>
          <w:lang w:val="en-US" w:eastAsia="zh-CN" w:bidi="ar-SA"/>
        </w:rPr>
      </w:pPr>
      <w:r>
        <w:rPr>
          <w:rFonts w:hint="eastAsia" w:ascii="宋体" w:hAnsi="宋体" w:eastAsia="宋体" w:cs="宋体"/>
          <w:b w:val="0"/>
          <w:color w:val="auto"/>
          <w:spacing w:val="4"/>
          <w:kern w:val="0"/>
          <w:sz w:val="36"/>
          <w:szCs w:val="36"/>
          <w:highlight w:val="none"/>
          <w:lang w:val="en-US" w:eastAsia="zh-CN" w:bidi="ar-SA"/>
        </w:rPr>
        <w:t>技术标（含资格审查文件）</w:t>
      </w:r>
    </w:p>
    <w:p w14:paraId="511FF14A">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00E0BC45">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23AFA295">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540254A8">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1A1CB989">
      <w:pPr>
        <w:widowControl w:val="0"/>
        <w:topLinePunct/>
        <w:adjustRightInd w:val="0"/>
        <w:snapToGrid w:val="0"/>
        <w:spacing w:line="360" w:lineRule="auto"/>
        <w:ind w:firstLine="616" w:firstLineChars="200"/>
        <w:jc w:val="left"/>
        <w:textAlignment w:val="auto"/>
        <w:rPr>
          <w:rFonts w:hint="eastAsia" w:ascii="宋体" w:hAnsi="宋体" w:eastAsia="宋体" w:cs="宋体"/>
          <w:color w:val="auto"/>
          <w:spacing w:val="4"/>
          <w:kern w:val="0"/>
          <w:sz w:val="30"/>
          <w:szCs w:val="30"/>
          <w:highlight w:val="none"/>
          <w:lang w:val="en-US" w:eastAsia="zh-CN" w:bidi="ar-SA"/>
        </w:rPr>
      </w:pPr>
      <w:r>
        <w:rPr>
          <w:rFonts w:hint="eastAsia" w:ascii="宋体" w:hAnsi="宋体" w:eastAsia="宋体" w:cs="宋体"/>
          <w:color w:val="auto"/>
          <w:spacing w:val="4"/>
          <w:kern w:val="0"/>
          <w:sz w:val="30"/>
          <w:szCs w:val="30"/>
          <w:highlight w:val="none"/>
          <w:lang w:val="en-US" w:eastAsia="zh-CN" w:bidi="ar-SA"/>
        </w:rPr>
        <w:t>投标人：</w:t>
      </w:r>
      <w:r>
        <w:rPr>
          <w:rFonts w:hint="eastAsia" w:ascii="宋体" w:hAnsi="宋体" w:eastAsia="宋体" w:cs="宋体"/>
          <w:color w:val="auto"/>
          <w:spacing w:val="4"/>
          <w:kern w:val="0"/>
          <w:sz w:val="30"/>
          <w:szCs w:val="30"/>
          <w:highlight w:val="none"/>
          <w:u w:val="single"/>
          <w:lang w:val="en-US" w:eastAsia="zh-CN" w:bidi="ar-SA"/>
        </w:rPr>
        <w:t xml:space="preserve">    （填写投标人单位名称）    </w:t>
      </w:r>
    </w:p>
    <w:p w14:paraId="0E54878C">
      <w:pPr>
        <w:widowControl w:val="0"/>
        <w:topLinePunct/>
        <w:adjustRightInd w:val="0"/>
        <w:snapToGrid w:val="0"/>
        <w:spacing w:line="360" w:lineRule="auto"/>
        <w:ind w:firstLine="616" w:firstLineChars="200"/>
        <w:jc w:val="left"/>
        <w:textAlignment w:val="auto"/>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30"/>
          <w:szCs w:val="30"/>
          <w:highlight w:val="none"/>
          <w:lang w:val="en-US" w:eastAsia="zh-CN" w:bidi="ar-SA"/>
        </w:rPr>
        <w:t>日  期：</w:t>
      </w:r>
      <w:r>
        <w:rPr>
          <w:rFonts w:hint="eastAsia" w:ascii="宋体" w:hAnsi="宋体" w:eastAsia="宋体" w:cs="宋体"/>
          <w:color w:val="auto"/>
          <w:spacing w:val="4"/>
          <w:kern w:val="0"/>
          <w:sz w:val="30"/>
          <w:szCs w:val="30"/>
          <w:highlight w:val="none"/>
          <w:u w:val="single"/>
          <w:lang w:val="en-US" w:eastAsia="zh-CN" w:bidi="ar-SA"/>
        </w:rPr>
        <w:t xml:space="preserve">                                       </w:t>
      </w:r>
    </w:p>
    <w:p w14:paraId="00048A56">
      <w:pPr>
        <w:widowControl w:val="0"/>
        <w:topLinePunct/>
        <w:adjustRightInd w:val="0"/>
        <w:snapToGrid w:val="0"/>
        <w:spacing w:line="360" w:lineRule="auto"/>
        <w:ind w:firstLine="496" w:firstLineChars="200"/>
        <w:jc w:val="both"/>
        <w:textAlignment w:val="auto"/>
        <w:rPr>
          <w:rFonts w:hint="eastAsia" w:ascii="宋体" w:hAnsi="宋体" w:eastAsia="等线" w:cs="宋体"/>
          <w:color w:val="auto"/>
          <w:spacing w:val="4"/>
          <w:kern w:val="0"/>
          <w:sz w:val="24"/>
          <w:szCs w:val="24"/>
          <w:highlight w:val="none"/>
          <w:lang w:val="en-US" w:eastAsia="zh-CN" w:bidi="ar-SA"/>
        </w:rPr>
      </w:pPr>
    </w:p>
    <w:p w14:paraId="2AD23261">
      <w:pPr>
        <w:pStyle w:val="108"/>
        <w:spacing w:before="156" w:after="156"/>
        <w:rPr>
          <w:rFonts w:hint="eastAsia" w:ascii="宋体" w:eastAsia="宋体" w:cs="宋体"/>
          <w:bCs/>
          <w:color w:val="auto"/>
          <w:szCs w:val="21"/>
          <w:highlight w:val="none"/>
        </w:rPr>
      </w:pPr>
      <w:r>
        <w:rPr>
          <w:rFonts w:hint="eastAsia" w:ascii="宋体" w:hAnsi="宋体" w:eastAsia="宋体" w:cs="宋体"/>
          <w:b w:val="0"/>
          <w:snapToGrid w:val="0"/>
          <w:color w:val="auto"/>
          <w:spacing w:val="4"/>
          <w:kern w:val="0"/>
          <w:sz w:val="24"/>
          <w:szCs w:val="24"/>
          <w:highlight w:val="none"/>
          <w:lang w:val="en-US" w:eastAsia="zh-CN" w:bidi="ar-SA"/>
        </w:rPr>
        <w:br w:type="page"/>
      </w:r>
      <w:bookmarkEnd w:id="114"/>
      <w:bookmarkStart w:id="124" w:name="_Toc23424912"/>
      <w:bookmarkStart w:id="125" w:name="_Toc60070622"/>
      <w:r>
        <w:rPr>
          <w:rFonts w:hint="eastAsia" w:ascii="宋体" w:eastAsia="宋体" w:cs="宋体"/>
          <w:color w:val="auto"/>
          <w:highlight w:val="none"/>
        </w:rPr>
        <w:t>格式二：广州建设工程施工招标投标书</w:t>
      </w:r>
      <w:bookmarkEnd w:id="124"/>
    </w:p>
    <w:p w14:paraId="73FB126C">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14:paraId="72CD6A59">
      <w:pPr>
        <w:jc w:val="center"/>
        <w:rPr>
          <w:rFonts w:ascii="宋体" w:hAnsi="宋体" w:cs="宋体"/>
          <w:b/>
          <w:color w:val="auto"/>
          <w:sz w:val="36"/>
          <w:szCs w:val="36"/>
          <w:highlight w:val="none"/>
        </w:rPr>
      </w:pPr>
      <w:bookmarkStart w:id="126" w:name="_Toc58838587"/>
      <w:r>
        <w:rPr>
          <w:rFonts w:hint="eastAsia" w:ascii="宋体" w:hAnsi="宋体" w:cs="宋体"/>
          <w:b/>
          <w:color w:val="auto"/>
          <w:sz w:val="36"/>
          <w:szCs w:val="36"/>
          <w:highlight w:val="none"/>
        </w:rPr>
        <w:t>广州建设工程施工招标投标书（技术标）</w:t>
      </w:r>
      <w:bookmarkEnd w:id="126"/>
    </w:p>
    <w:tbl>
      <w:tblPr>
        <w:tblStyle w:val="3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2D5B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3542F53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lang w:val="zh-CN"/>
              </w:rPr>
              <w:t>项目名称</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14:paraId="04196E96">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r w14:paraId="3EFD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2253AEE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5F99001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10D3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198372DF">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05225AC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062E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3723051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安全文明标准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6CDF985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33E1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07CAC4D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val="0"/>
            <w:vAlign w:val="center"/>
          </w:tcPr>
          <w:p w14:paraId="48201C6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满足</w:t>
            </w:r>
            <w:r>
              <w:rPr>
                <w:rFonts w:hint="eastAsia" w:ascii="宋体" w:hAnsi="宋体" w:cs="宋体"/>
                <w:bCs/>
                <w:color w:val="auto"/>
                <w:sz w:val="24"/>
                <w:szCs w:val="24"/>
                <w:highlight w:val="none"/>
                <w:lang w:val="zh-CN"/>
              </w:rPr>
              <w:t>招标文件要求</w:t>
            </w:r>
          </w:p>
        </w:tc>
      </w:tr>
      <w:tr w14:paraId="4B4F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14:paraId="08792D0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30A6DC93">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14:paraId="6B7A8C62">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r w14:paraId="1C8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7B4194A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zh-CN"/>
              </w:rPr>
              <w:t>委派的</w:t>
            </w:r>
            <w:r>
              <w:rPr>
                <w:rFonts w:hint="eastAsia" w:ascii="宋体" w:hAnsi="宋体" w:cs="宋体"/>
                <w:bCs/>
                <w:color w:val="auto"/>
                <w:sz w:val="24"/>
                <w:szCs w:val="24"/>
                <w:highlight w:val="none"/>
                <w:lang w:val="en-US" w:eastAsia="zh-CN"/>
              </w:rPr>
              <w:t>技术负责人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19C1067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14:paraId="44C5F47F">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r w14:paraId="023D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14:paraId="43D4B6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zh-CN"/>
              </w:rPr>
              <w:t>委派的</w:t>
            </w:r>
            <w:r>
              <w:rPr>
                <w:rFonts w:hint="eastAsia" w:ascii="宋体" w:hAnsi="宋体" w:cs="宋体"/>
                <w:bCs/>
                <w:color w:val="auto"/>
                <w:sz w:val="24"/>
                <w:szCs w:val="24"/>
                <w:highlight w:val="none"/>
                <w:lang w:val="en-US" w:eastAsia="zh-CN"/>
              </w:rPr>
              <w:t>专职安全员</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25BCF9C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14:paraId="7D81727B">
            <w:pPr>
              <w:keepNext w:val="0"/>
              <w:keepLines w:val="0"/>
              <w:suppressLineNumbers w:val="0"/>
              <w:autoSpaceDE w:val="0"/>
              <w:autoSpaceDN w:val="0"/>
              <w:adjustRightInd w:val="0"/>
              <w:spacing w:before="0" w:beforeAutospacing="0" w:after="0" w:afterAutospacing="0"/>
              <w:ind w:left="0" w:right="0"/>
              <w:rPr>
                <w:rFonts w:hint="default" w:ascii="宋体" w:hAnsi="宋体" w:cs="宋体"/>
                <w:bCs/>
                <w:color w:val="auto"/>
                <w:sz w:val="24"/>
                <w:szCs w:val="24"/>
                <w:highlight w:val="none"/>
                <w:lang w:val="zh-CN"/>
              </w:rPr>
            </w:pPr>
          </w:p>
        </w:tc>
      </w:tr>
    </w:tbl>
    <w:p w14:paraId="053C800B">
      <w:pPr>
        <w:autoSpaceDE w:val="0"/>
        <w:autoSpaceDN w:val="0"/>
        <w:adjustRightInd w:val="0"/>
        <w:spacing w:line="360" w:lineRule="auto"/>
        <w:rPr>
          <w:rFonts w:hint="eastAsia" w:ascii="宋体" w:hAnsi="宋体" w:cs="宋体"/>
          <w:b/>
          <w:snapToGrid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cs="宋体"/>
          <w:b/>
          <w:snapToGrid w:val="0"/>
          <w:color w:val="auto"/>
          <w:spacing w:val="4"/>
          <w:kern w:val="0"/>
          <w:sz w:val="24"/>
          <w:szCs w:val="24"/>
          <w:highlight w:val="none"/>
        </w:rPr>
        <w:t>格式三：</w:t>
      </w:r>
      <w:bookmarkEnd w:id="125"/>
    </w:p>
    <w:p w14:paraId="7C835B95">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投标函</w:t>
      </w:r>
    </w:p>
    <w:p w14:paraId="5B786006">
      <w:pPr>
        <w:spacing w:line="360" w:lineRule="auto"/>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single"/>
        </w:rPr>
        <w:t xml:space="preserve">致：                               </w:t>
      </w:r>
      <w:r>
        <w:rPr>
          <w:rFonts w:hint="eastAsia" w:ascii="宋体" w:hAnsi="宋体" w:cs="宋体"/>
          <w:color w:val="auto"/>
          <w:kern w:val="0"/>
          <w:sz w:val="24"/>
          <w:szCs w:val="24"/>
          <w:highlight w:val="none"/>
          <w:u w:val="none"/>
        </w:rPr>
        <w:t>（招标人名称）</w:t>
      </w:r>
    </w:p>
    <w:p w14:paraId="007C3E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我方确认收到贵方提供的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招标文件的全部内容，我方已完全明白和接受招标文件的所有条款要求，并重申以下几点：</w:t>
      </w:r>
    </w:p>
    <w:p w14:paraId="339154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5E4B87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2．我方已充分阅读了本项目招标文件并充分了解有关报价方式及变更、结算方式，我方完全响应招标文件的规定。</w:t>
      </w:r>
    </w:p>
    <w:p w14:paraId="7A4BF4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3．本投标文件的有效期为投标截止日后120天内有效。</w:t>
      </w:r>
    </w:p>
    <w:p w14:paraId="6045E0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4．我方承诺投标文件中的一切资料、数据是真实的，并承担由此引起的一切责任。</w:t>
      </w:r>
    </w:p>
    <w:p w14:paraId="572F3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5．我方明白并愿意若在规定的投标截止时间之后至投标有效期之内撤回投标，则</w:t>
      </w:r>
      <w:r>
        <w:rPr>
          <w:rFonts w:hint="eastAsia" w:ascii="宋体" w:hAnsi="宋体" w:cs="宋体"/>
          <w:color w:val="auto"/>
          <w:sz w:val="24"/>
          <w:szCs w:val="24"/>
          <w:highlight w:val="none"/>
          <w:lang w:val="en-US" w:eastAsia="zh-CN"/>
        </w:rPr>
        <w:t>愿意</w:t>
      </w:r>
      <w:r>
        <w:rPr>
          <w:rFonts w:hint="eastAsia" w:ascii="宋体" w:hAnsi="宋体" w:eastAsia="宋体" w:cs="宋体"/>
          <w:color w:val="auto"/>
          <w:sz w:val="24"/>
          <w:szCs w:val="24"/>
          <w:highlight w:val="none"/>
        </w:rPr>
        <w:t>将被贵司拒绝一年内参与招标人后续工程投标。</w:t>
      </w:r>
    </w:p>
    <w:p w14:paraId="04067D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6．我方同意按照贵司可能提出的要求而提供与投标有关的任何其它数据或信息。</w:t>
      </w:r>
    </w:p>
    <w:p w14:paraId="3AE2D3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7．我方如果中标，我方保证：</w:t>
      </w:r>
    </w:p>
    <w:p w14:paraId="0D3CBB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7.1保证履行招标文件以及招标文件修改书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中的全部责任和义务，在中标通知书规定的时间内签订合同，并严格按国家有关法规履行我方的全部责任，按质、按量、按期完成合同约定的全部任务。</w:t>
      </w:r>
    </w:p>
    <w:p w14:paraId="17D901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7.2保证将我方的资质承包范围不能涵盖或不具备相应能力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该能力须保证进度和质量且须获得发包人认可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的部分专业工程（如果有），委托获得发包人批准的具备相应专业资质和能力的单位实施，确保项目质量及进度。</w:t>
      </w:r>
    </w:p>
    <w:p w14:paraId="56D7BA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7.3保证尽一切力量确保投标承诺的竣工日期，若我方未能按投标承诺的工期完成本项目，除承担合同约定的违约责任外，发包人有权解除合同，我方承担由于违约解除合同退场造成的对发包人的一切损失。</w:t>
      </w:r>
    </w:p>
    <w:p w14:paraId="65F47A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7.4保证投标所报的项目负责人在本项目合同签订后7日内到职，全过程服务于本项目，在过程中非不可抗力或发包人要求不得更换。我方违反以上承诺的，同意按合同条款的规定承担违约责任。</w:t>
      </w:r>
    </w:p>
    <w:p w14:paraId="039636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7.5保证按照招标文件的要求确保安全生产及文明施工，如有违反，我方愿意按合同约定承担违约责任，并为此负相关的法律责任。</w:t>
      </w:r>
    </w:p>
    <w:p w14:paraId="599B69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7.6保证按国家的有关规定制订保证民工工资支付的方案及保证措施，否则，我方愿按合同条款规定承担违约责任并赔偿发包人的全部损失。</w:t>
      </w:r>
    </w:p>
    <w:p w14:paraId="449F62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如我司有幸中标，承诺所投入本项目的施工人员、主要材料、设备质量符合或优于招标人要求，所投入本项目的辅助设备、材料与主要材料、设备质量一致并有良好的配套性，若我方投入本项目的施工人员、主要材料、设备未能达到发包人要求的，我方将无条件根据要求进行调整，直至得到发包人的认可为止。</w:t>
      </w:r>
    </w:p>
    <w:p w14:paraId="5276D1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7.8如我司有幸中标，承诺将根据本项目内容编制详细的施工组织方案，并报经发包人审批后实施。</w:t>
      </w:r>
    </w:p>
    <w:p w14:paraId="65B9A4ED">
      <w:pPr>
        <w:spacing w:line="360" w:lineRule="auto"/>
        <w:ind w:firstLine="480" w:firstLineChars="200"/>
        <w:rPr>
          <w:rFonts w:hint="eastAsia" w:ascii="宋体" w:hAnsi="宋体" w:eastAsia="宋体" w:cs="宋体"/>
          <w:color w:val="auto"/>
          <w:sz w:val="24"/>
          <w:szCs w:val="24"/>
          <w:highlight w:val="none"/>
        </w:rPr>
      </w:pPr>
    </w:p>
    <w:p w14:paraId="115768D8">
      <w:pPr>
        <w:spacing w:line="360" w:lineRule="auto"/>
        <w:ind w:firstLine="480" w:firstLineChars="200"/>
        <w:rPr>
          <w:rFonts w:hint="eastAsia" w:ascii="宋体" w:hAnsi="宋体" w:eastAsia="宋体" w:cs="宋体"/>
          <w:color w:val="auto"/>
          <w:sz w:val="24"/>
          <w:szCs w:val="24"/>
          <w:highlight w:val="none"/>
        </w:rPr>
      </w:pPr>
    </w:p>
    <w:p w14:paraId="03E888B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w:t>
      </w:r>
    </w:p>
    <w:p w14:paraId="3B238A70">
      <w:pPr>
        <w:spacing w:line="360" w:lineRule="auto"/>
        <w:ind w:firstLine="3480" w:firstLineChars="1450"/>
        <w:rPr>
          <w:rFonts w:ascii="宋体" w:hAnsi="宋体" w:cs="宋体"/>
          <w:color w:val="auto"/>
          <w:sz w:val="24"/>
          <w:szCs w:val="24"/>
          <w:highlight w:val="none"/>
        </w:rPr>
      </w:pPr>
      <w:r>
        <w:rPr>
          <w:rFonts w:hint="eastAsia" w:ascii="宋体" w:hAnsi="宋体" w:eastAsia="宋体" w:cs="宋体"/>
          <w:color w:val="auto"/>
          <w:sz w:val="24"/>
          <w:szCs w:val="24"/>
          <w:highlight w:val="none"/>
        </w:rPr>
        <w:t>日   期：    年    月    日</w:t>
      </w:r>
    </w:p>
    <w:p w14:paraId="393A6D15">
      <w:pPr>
        <w:autoSpaceDE w:val="0"/>
        <w:autoSpaceDN w:val="0"/>
        <w:adjustRightInd w:val="0"/>
        <w:spacing w:line="360" w:lineRule="auto"/>
        <w:rPr>
          <w:rFonts w:hint="eastAsia" w:ascii="宋体" w:hAnsi="宋体" w:eastAsia="宋体" w:cs="宋体"/>
          <w:b/>
          <w:snapToGrid w:val="0"/>
          <w:color w:val="auto"/>
          <w:spacing w:val="4"/>
          <w:kern w:val="0"/>
          <w:sz w:val="24"/>
          <w:szCs w:val="24"/>
          <w:highlight w:val="none"/>
        </w:rPr>
      </w:pPr>
      <w:r>
        <w:rPr>
          <w:rFonts w:hint="eastAsia" w:ascii="宋体" w:hAnsi="宋体" w:cs="宋体"/>
          <w:color w:val="auto"/>
          <w:szCs w:val="20"/>
          <w:highlight w:val="none"/>
        </w:rPr>
        <w:br w:type="page"/>
      </w:r>
      <w:bookmarkStart w:id="127" w:name="_Toc60070624"/>
      <w:r>
        <w:rPr>
          <w:rFonts w:hint="eastAsia" w:ascii="宋体" w:hAnsi="宋体" w:eastAsia="宋体" w:cs="宋体"/>
          <w:b/>
          <w:snapToGrid w:val="0"/>
          <w:color w:val="auto"/>
          <w:spacing w:val="4"/>
          <w:kern w:val="0"/>
          <w:sz w:val="24"/>
          <w:szCs w:val="24"/>
          <w:highlight w:val="none"/>
        </w:rPr>
        <w:t>格式四：</w:t>
      </w:r>
      <w:bookmarkEnd w:id="127"/>
    </w:p>
    <w:p w14:paraId="383F5B2F">
      <w:pPr>
        <w:spacing w:line="360" w:lineRule="auto"/>
        <w:jc w:val="center"/>
        <w:rPr>
          <w:rFonts w:ascii="宋体" w:hAnsi="宋体" w:eastAsia="宋体" w:cs="宋体"/>
          <w:b/>
          <w:color w:val="auto"/>
          <w:sz w:val="28"/>
          <w:szCs w:val="22"/>
          <w:highlight w:val="none"/>
        </w:rPr>
      </w:pPr>
      <w:r>
        <w:rPr>
          <w:rFonts w:hint="eastAsia" w:ascii="宋体" w:hAnsi="宋体" w:eastAsia="宋体" w:cs="宋体"/>
          <w:b/>
          <w:color w:val="auto"/>
          <w:sz w:val="28"/>
          <w:szCs w:val="22"/>
          <w:highlight w:val="none"/>
        </w:rPr>
        <w:t>法定代表人（负责人）证明书</w:t>
      </w:r>
    </w:p>
    <w:p w14:paraId="711C4F8A">
      <w:pPr>
        <w:spacing w:line="360" w:lineRule="auto"/>
        <w:jc w:val="right"/>
        <w:rPr>
          <w:rFonts w:ascii="宋体" w:hAnsi="宋体" w:eastAsia="宋体" w:cs="宋体"/>
          <w:color w:val="auto"/>
          <w:sz w:val="24"/>
          <w:szCs w:val="22"/>
          <w:highlight w:val="none"/>
        </w:rPr>
      </w:pPr>
      <w:r>
        <w:rPr>
          <w:rFonts w:hint="eastAsia" w:ascii="宋体" w:hAnsi="宋体" w:eastAsia="宋体" w:cs="宋体"/>
          <w:color w:val="auto"/>
          <w:szCs w:val="22"/>
          <w:highlight w:val="none"/>
        </w:rPr>
        <w:t>（　 ）第　号</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6"/>
      </w:tblGrid>
      <w:tr w14:paraId="6E0A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noWrap w:val="0"/>
            <w:vAlign w:val="top"/>
          </w:tcPr>
          <w:p w14:paraId="4EE6CC13">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现任我单位</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职务，为法定代表人（负责人），特此证明。</w:t>
            </w:r>
          </w:p>
          <w:p w14:paraId="00AFEB55">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有效期限：</w:t>
            </w:r>
            <w:r>
              <w:rPr>
                <w:rFonts w:hint="eastAsia" w:ascii="宋体" w:hAnsi="宋体" w:eastAsia="宋体" w:cs="宋体"/>
                <w:color w:val="auto"/>
                <w:sz w:val="24"/>
                <w:szCs w:val="22"/>
                <w:highlight w:val="none"/>
                <w:u w:val="single"/>
              </w:rPr>
              <w:t xml:space="preserve">                                </w:t>
            </w:r>
          </w:p>
          <w:p w14:paraId="419189D1">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附：法定代表人（负责人）性别：</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年龄：</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身份证号码：</w:t>
            </w:r>
            <w:r>
              <w:rPr>
                <w:rFonts w:hint="eastAsia" w:ascii="宋体" w:hAnsi="宋体" w:eastAsia="宋体" w:cs="宋体"/>
                <w:color w:val="auto"/>
                <w:sz w:val="24"/>
                <w:szCs w:val="22"/>
                <w:highlight w:val="none"/>
                <w:u w:val="single"/>
              </w:rPr>
              <w:t xml:space="preserve">         </w:t>
            </w:r>
          </w:p>
          <w:p w14:paraId="28C7D260">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注册号码：</w:t>
            </w: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企业类型：</w:t>
            </w:r>
            <w:r>
              <w:rPr>
                <w:rFonts w:hint="eastAsia" w:ascii="宋体" w:hAnsi="宋体" w:eastAsia="宋体" w:cs="宋体"/>
                <w:color w:val="auto"/>
                <w:sz w:val="24"/>
                <w:szCs w:val="22"/>
                <w:highlight w:val="none"/>
                <w:u w:val="single"/>
              </w:rPr>
              <w:t xml:space="preserve">                   </w:t>
            </w:r>
          </w:p>
          <w:p w14:paraId="6C5B5602">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经营范围：</w:t>
            </w:r>
            <w:r>
              <w:rPr>
                <w:rFonts w:hint="eastAsia" w:ascii="宋体" w:hAnsi="宋体" w:eastAsia="宋体" w:cs="宋体"/>
                <w:color w:val="auto"/>
                <w:sz w:val="24"/>
                <w:szCs w:val="22"/>
                <w:highlight w:val="none"/>
                <w:u w:val="single"/>
              </w:rPr>
              <w:t xml:space="preserve">                          </w:t>
            </w:r>
          </w:p>
          <w:p w14:paraId="7CC9E776">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单位：　　　　　　（盖章）</w:t>
            </w:r>
          </w:p>
          <w:p w14:paraId="7C14C91C">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　　　　　　　　　　　　　　　　</w:t>
            </w:r>
            <w:r>
              <w:rPr>
                <w:rFonts w:hint="eastAsia" w:ascii="宋体" w:hAnsi="宋体" w:eastAsia="宋体" w:cs="宋体"/>
                <w:color w:val="auto"/>
                <w:sz w:val="24"/>
                <w:szCs w:val="22"/>
                <w:highlight w:val="none"/>
              </w:rPr>
              <w:t>　　　　　    年　月　　日</w:t>
            </w:r>
          </w:p>
        </w:tc>
      </w:tr>
    </w:tbl>
    <w:p w14:paraId="6CBA8FA0">
      <w:pPr>
        <w:spacing w:line="360" w:lineRule="auto"/>
        <w:jc w:val="center"/>
        <w:rPr>
          <w:rFonts w:ascii="宋体" w:hAnsi="宋体" w:eastAsia="宋体" w:cs="宋体"/>
          <w:b/>
          <w:color w:val="auto"/>
          <w:sz w:val="24"/>
          <w:szCs w:val="22"/>
          <w:highlight w:val="none"/>
        </w:rPr>
      </w:pPr>
    </w:p>
    <w:p w14:paraId="7D4EEFDE">
      <w:pPr>
        <w:spacing w:line="360" w:lineRule="auto"/>
        <w:jc w:val="center"/>
        <w:rPr>
          <w:rFonts w:ascii="宋体" w:hAnsi="宋体" w:eastAsia="宋体" w:cs="宋体"/>
          <w:b/>
          <w:color w:val="auto"/>
          <w:sz w:val="24"/>
          <w:szCs w:val="22"/>
          <w:highlight w:val="none"/>
        </w:rPr>
      </w:pPr>
    </w:p>
    <w:p w14:paraId="15B63BA0">
      <w:pPr>
        <w:spacing w:line="360" w:lineRule="auto"/>
        <w:jc w:val="center"/>
        <w:rPr>
          <w:rFonts w:ascii="宋体" w:hAnsi="宋体" w:eastAsia="宋体" w:cs="宋体"/>
          <w:b/>
          <w:color w:val="auto"/>
          <w:sz w:val="24"/>
          <w:szCs w:val="22"/>
          <w:highlight w:val="none"/>
        </w:rPr>
      </w:pPr>
      <w:r>
        <w:rPr>
          <w:rFonts w:hint="eastAsia" w:ascii="宋体" w:hAnsi="宋体" w:eastAsia="宋体" w:cs="宋体"/>
          <w:b/>
          <w:color w:val="auto"/>
          <w:sz w:val="24"/>
          <w:szCs w:val="22"/>
          <w:highlight w:val="none"/>
        </w:rPr>
        <w:t>法定代表人授权委托书</w:t>
      </w:r>
    </w:p>
    <w:p w14:paraId="1B930372">
      <w:pPr>
        <w:spacing w:line="360" w:lineRule="auto"/>
        <w:jc w:val="right"/>
        <w:rPr>
          <w:rFonts w:ascii="宋体" w:hAnsi="宋体" w:eastAsia="宋体" w:cs="宋体"/>
          <w:color w:val="auto"/>
          <w:sz w:val="24"/>
          <w:szCs w:val="22"/>
          <w:highlight w:val="none"/>
        </w:rPr>
      </w:pPr>
      <w:r>
        <w:rPr>
          <w:rFonts w:hint="eastAsia" w:ascii="宋体" w:hAnsi="宋体" w:eastAsia="宋体" w:cs="宋体"/>
          <w:color w:val="auto"/>
          <w:szCs w:val="22"/>
          <w:highlight w:val="none"/>
        </w:rPr>
        <w:t>（　 ）第　号</w:t>
      </w:r>
    </w:p>
    <w:tbl>
      <w:tblPr>
        <w:tblStyle w:val="39"/>
        <w:tblW w:w="5000" w:type="pct"/>
        <w:jc w:val="center"/>
        <w:tblLayout w:type="autofit"/>
        <w:tblCellMar>
          <w:top w:w="0" w:type="dxa"/>
          <w:left w:w="108" w:type="dxa"/>
          <w:bottom w:w="0" w:type="dxa"/>
          <w:right w:w="108" w:type="dxa"/>
        </w:tblCellMar>
      </w:tblPr>
      <w:tblGrid>
        <w:gridCol w:w="9656"/>
      </w:tblGrid>
      <w:tr w14:paraId="459029F3">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4026071">
            <w:pPr>
              <w:keepNext w:val="0"/>
              <w:keepLines w:val="0"/>
              <w:suppressLineNumbers w:val="0"/>
              <w:spacing w:before="0" w:beforeAutospacing="0" w:after="0" w:afterAutospacing="0" w:line="360" w:lineRule="auto"/>
              <w:ind w:left="0" w:right="0" w:firstLine="480" w:firstLineChars="20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兹授权</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为我方委托代理人，其权限是：</w:t>
            </w:r>
            <w:r>
              <w:rPr>
                <w:rFonts w:hint="eastAsia" w:ascii="宋体" w:hAnsi="宋体" w:eastAsia="宋体" w:cs="宋体"/>
                <w:color w:val="auto"/>
                <w:sz w:val="24"/>
                <w:szCs w:val="22"/>
                <w:highlight w:val="none"/>
                <w:u w:val="single"/>
              </w:rPr>
              <w:t xml:space="preserve">               </w:t>
            </w:r>
          </w:p>
          <w:p w14:paraId="6F2211E6">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u w:val="single"/>
              </w:rPr>
              <w:t xml:space="preserve">                                                                  </w:t>
            </w:r>
          </w:p>
          <w:p w14:paraId="054A81C1">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有效期限：</w:t>
            </w:r>
            <w:r>
              <w:rPr>
                <w:rFonts w:hint="eastAsia" w:ascii="宋体" w:hAnsi="宋体" w:eastAsia="宋体" w:cs="宋体"/>
                <w:color w:val="auto"/>
                <w:sz w:val="24"/>
                <w:szCs w:val="22"/>
                <w:highlight w:val="none"/>
                <w:u w:val="single"/>
              </w:rPr>
              <w:t xml:space="preserve">                                                       </w:t>
            </w:r>
          </w:p>
          <w:p w14:paraId="52E1D9B7">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附：代理人性别：</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年龄：</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身份证号码：</w:t>
            </w:r>
            <w:r>
              <w:rPr>
                <w:rFonts w:hint="eastAsia" w:ascii="宋体" w:hAnsi="宋体" w:eastAsia="宋体" w:cs="宋体"/>
                <w:color w:val="auto"/>
                <w:sz w:val="24"/>
                <w:szCs w:val="22"/>
                <w:highlight w:val="none"/>
                <w:u w:val="single"/>
              </w:rPr>
              <w:t xml:space="preserve">                    </w:t>
            </w:r>
          </w:p>
          <w:p w14:paraId="0BCC6475">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注册号码：</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企业类型：</w:t>
            </w:r>
            <w:r>
              <w:rPr>
                <w:rFonts w:hint="eastAsia" w:ascii="宋体" w:hAnsi="宋体" w:eastAsia="宋体" w:cs="宋体"/>
                <w:color w:val="auto"/>
                <w:sz w:val="24"/>
                <w:szCs w:val="22"/>
                <w:highlight w:val="none"/>
                <w:u w:val="single"/>
              </w:rPr>
              <w:t xml:space="preserve">                      </w:t>
            </w:r>
          </w:p>
          <w:p w14:paraId="6F9AC4B7">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经营范围：</w:t>
            </w:r>
            <w:r>
              <w:rPr>
                <w:rFonts w:hint="eastAsia" w:ascii="宋体" w:hAnsi="宋体" w:eastAsia="宋体" w:cs="宋体"/>
                <w:color w:val="auto"/>
                <w:sz w:val="24"/>
                <w:szCs w:val="22"/>
                <w:highlight w:val="none"/>
                <w:u w:val="single"/>
              </w:rPr>
              <w:t xml:space="preserve">                                                  </w:t>
            </w:r>
          </w:p>
          <w:p w14:paraId="7757A965">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法定代表人（负责人）：</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（签</w:t>
            </w:r>
            <w:r>
              <w:rPr>
                <w:rFonts w:hint="eastAsia" w:ascii="宋体" w:hAnsi="宋体" w:eastAsia="宋体" w:cs="宋体"/>
                <w:color w:val="auto"/>
                <w:sz w:val="24"/>
                <w:szCs w:val="22"/>
                <w:highlight w:val="none"/>
                <w:lang w:val="en-US" w:eastAsia="zh-CN"/>
              </w:rPr>
              <w:t>字</w:t>
            </w:r>
            <w:r>
              <w:rPr>
                <w:rFonts w:hint="eastAsia" w:ascii="宋体" w:hAnsi="宋体" w:eastAsia="宋体" w:cs="宋体"/>
                <w:color w:val="auto"/>
                <w:sz w:val="24"/>
                <w:szCs w:val="22"/>
                <w:highlight w:val="none"/>
              </w:rPr>
              <w:t>或盖章）</w:t>
            </w:r>
          </w:p>
          <w:p w14:paraId="49B7417A">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授权单位：（盖章）</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 xml:space="preserve"> </w:t>
            </w:r>
          </w:p>
          <w:p w14:paraId="61D3BBBC">
            <w:pPr>
              <w:keepNext w:val="0"/>
              <w:keepLines w:val="0"/>
              <w:suppressLineNumbers w:val="0"/>
              <w:spacing w:before="0" w:beforeAutospacing="0" w:after="0" w:afterAutospacing="0" w:line="360" w:lineRule="auto"/>
              <w:ind w:left="0" w:right="0" w:firstLine="5880" w:firstLineChars="2450"/>
              <w:rPr>
                <w:rFonts w:hint="default" w:ascii="宋体" w:hAnsi="宋体" w:eastAsia="宋体" w:cs="宋体"/>
                <w:color w:val="auto"/>
                <w:sz w:val="24"/>
                <w:szCs w:val="22"/>
                <w:highlight w:val="none"/>
              </w:rPr>
            </w:pPr>
            <w:r>
              <w:rPr>
                <w:rFonts w:hint="eastAsia" w:ascii="宋体" w:hAnsi="宋体" w:eastAsia="宋体" w:cs="宋体"/>
                <w:color w:val="auto"/>
                <w:sz w:val="24"/>
                <w:szCs w:val="22"/>
                <w:highlight w:val="none"/>
              </w:rPr>
              <w:t>年  月   日</w:t>
            </w:r>
          </w:p>
        </w:tc>
      </w:tr>
    </w:tbl>
    <w:p w14:paraId="126ACA07">
      <w:pPr>
        <w:spacing w:line="360" w:lineRule="auto"/>
        <w:rPr>
          <w:rFonts w:ascii="宋体" w:hAnsi="宋体" w:eastAsia="宋体" w:cs="宋体"/>
          <w:color w:val="auto"/>
          <w:sz w:val="24"/>
          <w:szCs w:val="22"/>
          <w:highlight w:val="none"/>
        </w:rPr>
      </w:pPr>
    </w:p>
    <w:p w14:paraId="375C9EC6">
      <w:pPr>
        <w:spacing w:line="360" w:lineRule="auto"/>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注：本格式供参考。</w:t>
      </w:r>
    </w:p>
    <w:p w14:paraId="513DECDD">
      <w:pPr>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b/>
          <w:snapToGrid w:val="0"/>
          <w:color w:val="auto"/>
          <w:spacing w:val="4"/>
          <w:kern w:val="0"/>
          <w:sz w:val="24"/>
          <w:szCs w:val="24"/>
          <w:highlight w:val="none"/>
        </w:rPr>
        <w:br w:type="page"/>
      </w:r>
    </w:p>
    <w:p w14:paraId="582E1653">
      <w:pPr>
        <w:autoSpaceDE w:val="0"/>
        <w:autoSpaceDN w:val="0"/>
        <w:adjustRightInd w:val="0"/>
        <w:spacing w:line="360" w:lineRule="auto"/>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b/>
          <w:snapToGrid w:val="0"/>
          <w:color w:val="auto"/>
          <w:spacing w:val="4"/>
          <w:kern w:val="0"/>
          <w:sz w:val="24"/>
          <w:szCs w:val="24"/>
          <w:highlight w:val="none"/>
        </w:rPr>
        <w:t>格式</w:t>
      </w:r>
      <w:r>
        <w:rPr>
          <w:rFonts w:hint="eastAsia" w:ascii="宋体" w:hAnsi="宋体" w:eastAsia="宋体" w:cs="宋体"/>
          <w:b/>
          <w:snapToGrid w:val="0"/>
          <w:color w:val="auto"/>
          <w:spacing w:val="4"/>
          <w:kern w:val="0"/>
          <w:sz w:val="24"/>
          <w:szCs w:val="24"/>
          <w:highlight w:val="none"/>
          <w:lang w:val="en-US" w:eastAsia="zh-CN"/>
        </w:rPr>
        <w:t>五</w:t>
      </w:r>
      <w:r>
        <w:rPr>
          <w:rFonts w:hint="eastAsia" w:ascii="宋体" w:hAnsi="宋体" w:eastAsia="宋体" w:cs="宋体"/>
          <w:b/>
          <w:snapToGrid w:val="0"/>
          <w:color w:val="auto"/>
          <w:spacing w:val="4"/>
          <w:kern w:val="0"/>
          <w:sz w:val="24"/>
          <w:szCs w:val="24"/>
          <w:highlight w:val="none"/>
        </w:rPr>
        <w:t>：</w:t>
      </w:r>
    </w:p>
    <w:p w14:paraId="2A1F1D0C">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施工项目管理团队人员信息表</w:t>
      </w:r>
    </w:p>
    <w:tbl>
      <w:tblPr>
        <w:tblStyle w:val="39"/>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14:paraId="629F67CD">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D9BF3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494B2F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4F73C31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29AFA6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14:paraId="0F23A3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职称证书或资格证书编号</w:t>
            </w:r>
          </w:p>
        </w:tc>
      </w:tr>
      <w:tr w14:paraId="3C70FBF8">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7550DE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44" w:type="dxa"/>
            <w:tcBorders>
              <w:top w:val="nil"/>
              <w:left w:val="nil"/>
              <w:bottom w:val="single" w:color="auto" w:sz="4" w:space="0"/>
              <w:right w:val="single" w:color="auto" w:sz="4" w:space="0"/>
            </w:tcBorders>
            <w:noWrap/>
            <w:vAlign w:val="center"/>
          </w:tcPr>
          <w:p w14:paraId="53F418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1AAA3A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9888F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063F55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868DBAA">
        <w:tblPrEx>
          <w:tblCellMar>
            <w:top w:w="0" w:type="dxa"/>
            <w:left w:w="108" w:type="dxa"/>
            <w:bottom w:w="0" w:type="dxa"/>
            <w:right w:w="108" w:type="dxa"/>
          </w:tblCellMar>
        </w:tblPrEx>
        <w:trPr>
          <w:trHeight w:val="542" w:hRule="atLeast"/>
        </w:trPr>
        <w:tc>
          <w:tcPr>
            <w:tcW w:w="1242" w:type="dxa"/>
            <w:tcBorders>
              <w:top w:val="nil"/>
              <w:left w:val="single" w:color="auto" w:sz="4" w:space="0"/>
              <w:bottom w:val="single" w:color="auto" w:sz="4" w:space="0"/>
              <w:right w:val="single" w:color="auto" w:sz="4" w:space="0"/>
            </w:tcBorders>
            <w:noWrap/>
            <w:vAlign w:val="center"/>
          </w:tcPr>
          <w:p w14:paraId="7775B6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44" w:type="dxa"/>
            <w:tcBorders>
              <w:top w:val="nil"/>
              <w:left w:val="nil"/>
              <w:bottom w:val="single" w:color="auto" w:sz="4" w:space="0"/>
              <w:right w:val="single" w:color="auto" w:sz="4" w:space="0"/>
            </w:tcBorders>
            <w:noWrap/>
            <w:vAlign w:val="center"/>
          </w:tcPr>
          <w:p w14:paraId="5392804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7673303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8B0C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2DD53D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DA81E5C">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769124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44" w:type="dxa"/>
            <w:tcBorders>
              <w:top w:val="nil"/>
              <w:left w:val="nil"/>
              <w:bottom w:val="single" w:color="auto" w:sz="4" w:space="0"/>
              <w:right w:val="single" w:color="auto" w:sz="4" w:space="0"/>
            </w:tcBorders>
            <w:noWrap/>
            <w:vAlign w:val="center"/>
          </w:tcPr>
          <w:p w14:paraId="63D101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459E35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1943A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309D6C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B823FA1">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3A3ECB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744" w:type="dxa"/>
            <w:tcBorders>
              <w:top w:val="nil"/>
              <w:left w:val="nil"/>
              <w:bottom w:val="single" w:color="auto" w:sz="4" w:space="0"/>
              <w:right w:val="single" w:color="auto" w:sz="4" w:space="0"/>
            </w:tcBorders>
            <w:noWrap/>
            <w:vAlign w:val="center"/>
          </w:tcPr>
          <w:p w14:paraId="702ABE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14C477E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84A2B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3EC62E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30149A3">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1F4060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744" w:type="dxa"/>
            <w:tcBorders>
              <w:top w:val="nil"/>
              <w:left w:val="nil"/>
              <w:bottom w:val="single" w:color="auto" w:sz="4" w:space="0"/>
              <w:right w:val="single" w:color="auto" w:sz="4" w:space="0"/>
            </w:tcBorders>
            <w:noWrap/>
            <w:vAlign w:val="center"/>
          </w:tcPr>
          <w:p w14:paraId="7D3B70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4C7CF6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45E46E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46A95A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B3F1998">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609CC9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744" w:type="dxa"/>
            <w:tcBorders>
              <w:top w:val="nil"/>
              <w:left w:val="nil"/>
              <w:bottom w:val="single" w:color="auto" w:sz="4" w:space="0"/>
              <w:right w:val="single" w:color="auto" w:sz="4" w:space="0"/>
            </w:tcBorders>
            <w:noWrap/>
            <w:vAlign w:val="center"/>
          </w:tcPr>
          <w:p w14:paraId="126528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5025C8A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A4987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4B7B324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C862A1">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0E854A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744" w:type="dxa"/>
            <w:tcBorders>
              <w:top w:val="nil"/>
              <w:left w:val="nil"/>
              <w:bottom w:val="single" w:color="auto" w:sz="4" w:space="0"/>
              <w:right w:val="single" w:color="auto" w:sz="4" w:space="0"/>
            </w:tcBorders>
            <w:noWrap/>
            <w:vAlign w:val="center"/>
          </w:tcPr>
          <w:p w14:paraId="02D159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348EFF0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1E327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272DEF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488C9A6">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noWrap/>
            <w:vAlign w:val="center"/>
          </w:tcPr>
          <w:p w14:paraId="45D02E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44" w:type="dxa"/>
            <w:tcBorders>
              <w:top w:val="nil"/>
              <w:left w:val="nil"/>
              <w:bottom w:val="single" w:color="auto" w:sz="4" w:space="0"/>
              <w:right w:val="single" w:color="auto" w:sz="4" w:space="0"/>
            </w:tcBorders>
            <w:noWrap/>
            <w:vAlign w:val="center"/>
          </w:tcPr>
          <w:p w14:paraId="6336B82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49" w:type="dxa"/>
            <w:tcBorders>
              <w:top w:val="nil"/>
              <w:left w:val="nil"/>
              <w:bottom w:val="single" w:color="auto" w:sz="4" w:space="0"/>
              <w:right w:val="single" w:color="auto" w:sz="4" w:space="0"/>
            </w:tcBorders>
            <w:noWrap/>
            <w:vAlign w:val="center"/>
          </w:tcPr>
          <w:p w14:paraId="36BA6BC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B0420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28" w:type="dxa"/>
            <w:tcBorders>
              <w:top w:val="nil"/>
              <w:left w:val="nil"/>
              <w:bottom w:val="single" w:color="auto" w:sz="4" w:space="0"/>
              <w:right w:val="single" w:color="auto" w:sz="4" w:space="0"/>
            </w:tcBorders>
            <w:noWrap/>
            <w:vAlign w:val="center"/>
          </w:tcPr>
          <w:p w14:paraId="521C60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8C0D494">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0F7CFBB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310A5A4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1、投标人应根据《投标人投入主要人员表》的要求，填报相关岗位人员信息</w:t>
            </w:r>
            <w:r>
              <w:rPr>
                <w:rFonts w:hint="default" w:ascii="Times New Roman" w:hAnsi="Times New Roman" w:eastAsia="宋体" w:cs="Times New Roman"/>
                <w:b/>
                <w:bCs/>
                <w:color w:val="auto"/>
                <w:sz w:val="24"/>
                <w:szCs w:val="24"/>
                <w:highlight w:val="none"/>
                <w:u w:val="single"/>
              </w:rPr>
              <w:t>（除项目负责人和专职安全员外）</w:t>
            </w:r>
            <w:r>
              <w:rPr>
                <w:rFonts w:hint="eastAsia" w:ascii="宋体" w:hAnsi="宋体" w:eastAsia="宋体" w:cs="宋体"/>
                <w:color w:val="auto"/>
                <w:kern w:val="0"/>
                <w:sz w:val="24"/>
                <w:szCs w:val="24"/>
                <w:highlight w:val="none"/>
              </w:rPr>
              <w:t>，以上项目管理团队人员信息将由交易系统提取后供各相关单位在履约时比对、查核。</w:t>
            </w:r>
          </w:p>
          <w:p w14:paraId="312A5B9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投标截止时间前可以补充、修改、替代</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84FE15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02709CB1">
      <w:pPr>
        <w:rPr>
          <w:rFonts w:ascii="Times New Roman" w:hAnsi="Times New Roman" w:eastAsia="宋体" w:cs="Times New Roman"/>
          <w:color w:val="auto"/>
          <w:highlight w:val="none"/>
        </w:rPr>
      </w:pPr>
      <w:r>
        <w:rPr>
          <w:rFonts w:hint="eastAsia" w:ascii="宋体" w:hAnsi="宋体"/>
          <w:color w:val="auto"/>
          <w:spacing w:val="4"/>
          <w:kern w:val="0"/>
          <w:sz w:val="24"/>
          <w:szCs w:val="24"/>
          <w:highlight w:val="none"/>
        </w:rPr>
        <w:t>注：投标人按本表格式可自行扩展填写。</w:t>
      </w:r>
    </w:p>
    <w:p w14:paraId="70CC9797">
      <w:pPr>
        <w:jc w:val="left"/>
        <w:rPr>
          <w:rFonts w:hint="eastAsia" w:ascii="宋体" w:hAnsi="宋体" w:cs="宋体"/>
          <w:b/>
          <w:snapToGrid w:val="0"/>
          <w:color w:val="auto"/>
          <w:spacing w:val="4"/>
          <w:kern w:val="0"/>
          <w:sz w:val="24"/>
          <w:szCs w:val="24"/>
          <w:highlight w:val="none"/>
        </w:rPr>
      </w:pPr>
      <w:r>
        <w:rPr>
          <w:rFonts w:hint="eastAsia" w:ascii="宋体" w:hAnsi="宋体"/>
          <w:color w:val="auto"/>
          <w:spacing w:val="4"/>
          <w:highlight w:val="none"/>
        </w:rPr>
        <w:br w:type="page"/>
      </w:r>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六</w:t>
      </w:r>
      <w:r>
        <w:rPr>
          <w:rFonts w:hint="eastAsia" w:ascii="宋体" w:hAnsi="宋体" w:cs="宋体"/>
          <w:b/>
          <w:snapToGrid w:val="0"/>
          <w:color w:val="auto"/>
          <w:spacing w:val="4"/>
          <w:kern w:val="0"/>
          <w:sz w:val="24"/>
          <w:szCs w:val="24"/>
          <w:highlight w:val="none"/>
        </w:rPr>
        <w:t>：</w:t>
      </w:r>
    </w:p>
    <w:p w14:paraId="70BDB541">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主要人员简历表</w:t>
      </w:r>
    </w:p>
    <w:p w14:paraId="26700422">
      <w:pPr>
        <w:ind w:firstLine="420"/>
        <w:rPr>
          <w:rFonts w:ascii="宋体" w:hAnsi="宋体" w:cs="宋体"/>
          <w:b/>
          <w:color w:val="auto"/>
          <w:kern w:val="0"/>
          <w:sz w:val="36"/>
          <w:szCs w:val="36"/>
          <w:highlight w:val="none"/>
        </w:rPr>
      </w:pPr>
    </w:p>
    <w:tbl>
      <w:tblPr>
        <w:tblStyle w:val="39"/>
        <w:tblW w:w="4998" w:type="pct"/>
        <w:tblInd w:w="0" w:type="dxa"/>
        <w:tblLayout w:type="autofit"/>
        <w:tblCellMar>
          <w:top w:w="0" w:type="dxa"/>
          <w:left w:w="108" w:type="dxa"/>
          <w:bottom w:w="0" w:type="dxa"/>
          <w:right w:w="108" w:type="dxa"/>
        </w:tblCellMar>
      </w:tblPr>
      <w:tblGrid>
        <w:gridCol w:w="1608"/>
        <w:gridCol w:w="1608"/>
        <w:gridCol w:w="1608"/>
        <w:gridCol w:w="1608"/>
        <w:gridCol w:w="1608"/>
        <w:gridCol w:w="1612"/>
      </w:tblGrid>
      <w:tr w14:paraId="5A40597D">
        <w:tblPrEx>
          <w:tblCellMar>
            <w:top w:w="0" w:type="dxa"/>
            <w:left w:w="108" w:type="dxa"/>
            <w:bottom w:w="0" w:type="dxa"/>
            <w:right w:w="108" w:type="dxa"/>
          </w:tblCellMar>
        </w:tblPrEx>
        <w:trPr>
          <w:trHeight w:val="636"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14:paraId="49516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姓名</w:t>
            </w:r>
          </w:p>
        </w:tc>
        <w:tc>
          <w:tcPr>
            <w:tcW w:w="833" w:type="pct"/>
            <w:tcBorders>
              <w:top w:val="single" w:color="auto" w:sz="4" w:space="0"/>
              <w:left w:val="nil"/>
              <w:bottom w:val="single" w:color="auto" w:sz="4" w:space="0"/>
              <w:right w:val="single" w:color="auto" w:sz="4" w:space="0"/>
            </w:tcBorders>
            <w:noWrap w:val="0"/>
            <w:vAlign w:val="center"/>
          </w:tcPr>
          <w:p w14:paraId="6EF96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single" w:color="auto" w:sz="4" w:space="0"/>
              <w:left w:val="nil"/>
              <w:bottom w:val="single" w:color="auto" w:sz="4" w:space="0"/>
              <w:right w:val="single" w:color="auto" w:sz="4" w:space="0"/>
            </w:tcBorders>
            <w:noWrap w:val="0"/>
            <w:vAlign w:val="center"/>
          </w:tcPr>
          <w:p w14:paraId="7DB01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性别</w:t>
            </w:r>
          </w:p>
        </w:tc>
        <w:tc>
          <w:tcPr>
            <w:tcW w:w="833" w:type="pct"/>
            <w:tcBorders>
              <w:top w:val="single" w:color="auto" w:sz="4" w:space="0"/>
              <w:left w:val="nil"/>
              <w:bottom w:val="single" w:color="auto" w:sz="4" w:space="0"/>
              <w:right w:val="single" w:color="auto" w:sz="4" w:space="0"/>
            </w:tcBorders>
            <w:noWrap w:val="0"/>
            <w:vAlign w:val="center"/>
          </w:tcPr>
          <w:p w14:paraId="72334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single" w:color="auto" w:sz="4" w:space="0"/>
              <w:left w:val="nil"/>
              <w:bottom w:val="single" w:color="auto" w:sz="4" w:space="0"/>
              <w:right w:val="single" w:color="auto" w:sz="4" w:space="0"/>
            </w:tcBorders>
            <w:noWrap w:val="0"/>
            <w:vAlign w:val="center"/>
          </w:tcPr>
          <w:p w14:paraId="17E5D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年龄</w:t>
            </w:r>
          </w:p>
        </w:tc>
        <w:tc>
          <w:tcPr>
            <w:tcW w:w="833" w:type="pct"/>
            <w:tcBorders>
              <w:top w:val="single" w:color="auto" w:sz="4" w:space="0"/>
              <w:left w:val="nil"/>
              <w:bottom w:val="single" w:color="auto" w:sz="4" w:space="0"/>
              <w:right w:val="single" w:color="auto" w:sz="4" w:space="0"/>
            </w:tcBorders>
            <w:noWrap w:val="0"/>
            <w:vAlign w:val="center"/>
          </w:tcPr>
          <w:p w14:paraId="6A761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3BE11F63">
        <w:tblPrEx>
          <w:tblCellMar>
            <w:top w:w="0" w:type="dxa"/>
            <w:left w:w="108" w:type="dxa"/>
            <w:bottom w:w="0" w:type="dxa"/>
            <w:right w:w="108" w:type="dxa"/>
          </w:tblCellMar>
        </w:tblPrEx>
        <w:trPr>
          <w:trHeight w:val="726" w:hRule="atLeast"/>
        </w:trPr>
        <w:tc>
          <w:tcPr>
            <w:tcW w:w="833" w:type="pct"/>
            <w:tcBorders>
              <w:top w:val="nil"/>
              <w:left w:val="single" w:color="auto" w:sz="4" w:space="0"/>
              <w:bottom w:val="single" w:color="auto" w:sz="4" w:space="0"/>
              <w:right w:val="single" w:color="auto" w:sz="4" w:space="0"/>
            </w:tcBorders>
            <w:noWrap w:val="0"/>
            <w:vAlign w:val="center"/>
          </w:tcPr>
          <w:p w14:paraId="6627F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职务</w:t>
            </w:r>
          </w:p>
        </w:tc>
        <w:tc>
          <w:tcPr>
            <w:tcW w:w="833" w:type="pct"/>
            <w:tcBorders>
              <w:top w:val="nil"/>
              <w:left w:val="nil"/>
              <w:bottom w:val="single" w:color="auto" w:sz="4" w:space="0"/>
              <w:right w:val="single" w:color="auto" w:sz="4" w:space="0"/>
            </w:tcBorders>
            <w:noWrap w:val="0"/>
            <w:vAlign w:val="center"/>
          </w:tcPr>
          <w:p w14:paraId="6CFCC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nil"/>
              <w:left w:val="nil"/>
              <w:bottom w:val="single" w:color="auto" w:sz="4" w:space="0"/>
              <w:right w:val="single" w:color="auto" w:sz="4" w:space="0"/>
            </w:tcBorders>
            <w:noWrap w:val="0"/>
            <w:vAlign w:val="center"/>
          </w:tcPr>
          <w:p w14:paraId="1FE31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职称</w:t>
            </w:r>
          </w:p>
        </w:tc>
        <w:tc>
          <w:tcPr>
            <w:tcW w:w="833" w:type="pct"/>
            <w:tcBorders>
              <w:top w:val="nil"/>
              <w:left w:val="nil"/>
              <w:bottom w:val="single" w:color="auto" w:sz="4" w:space="0"/>
              <w:right w:val="single" w:color="auto" w:sz="4" w:space="0"/>
            </w:tcBorders>
            <w:noWrap w:val="0"/>
            <w:vAlign w:val="center"/>
          </w:tcPr>
          <w:p w14:paraId="2B1F4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nil"/>
              <w:left w:val="nil"/>
              <w:bottom w:val="single" w:color="auto" w:sz="4" w:space="0"/>
              <w:right w:val="single" w:color="auto" w:sz="4" w:space="0"/>
            </w:tcBorders>
            <w:noWrap w:val="0"/>
            <w:vAlign w:val="center"/>
          </w:tcPr>
          <w:p w14:paraId="76BB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学历</w:t>
            </w:r>
          </w:p>
        </w:tc>
        <w:tc>
          <w:tcPr>
            <w:tcW w:w="833" w:type="pct"/>
            <w:tcBorders>
              <w:top w:val="nil"/>
              <w:left w:val="nil"/>
              <w:bottom w:val="single" w:color="auto" w:sz="4" w:space="0"/>
              <w:right w:val="single" w:color="auto" w:sz="4" w:space="0"/>
            </w:tcBorders>
            <w:noWrap w:val="0"/>
            <w:vAlign w:val="center"/>
          </w:tcPr>
          <w:p w14:paraId="021E1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31C25F81">
        <w:tblPrEx>
          <w:tblCellMar>
            <w:top w:w="0" w:type="dxa"/>
            <w:left w:w="108" w:type="dxa"/>
            <w:bottom w:w="0" w:type="dxa"/>
            <w:right w:w="108" w:type="dxa"/>
          </w:tblCellMar>
        </w:tblPrEx>
        <w:trPr>
          <w:trHeight w:val="851" w:hRule="atLeast"/>
        </w:trPr>
        <w:tc>
          <w:tcPr>
            <w:tcW w:w="1666" w:type="pct"/>
            <w:gridSpan w:val="2"/>
            <w:tcBorders>
              <w:top w:val="single" w:color="auto" w:sz="4" w:space="0"/>
              <w:left w:val="single" w:color="auto" w:sz="4" w:space="0"/>
              <w:bottom w:val="single" w:color="auto" w:sz="4" w:space="0"/>
              <w:right w:val="single" w:color="auto" w:sz="4" w:space="0"/>
            </w:tcBorders>
            <w:noWrap w:val="0"/>
            <w:vAlign w:val="center"/>
          </w:tcPr>
          <w:p w14:paraId="2C35D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参加工作时间</w:t>
            </w:r>
          </w:p>
        </w:tc>
        <w:tc>
          <w:tcPr>
            <w:tcW w:w="833" w:type="pct"/>
            <w:tcBorders>
              <w:top w:val="nil"/>
              <w:left w:val="nil"/>
              <w:bottom w:val="single" w:color="auto" w:sz="4" w:space="0"/>
              <w:right w:val="single" w:color="auto" w:sz="4" w:space="0"/>
            </w:tcBorders>
            <w:noWrap w:val="0"/>
            <w:vAlign w:val="center"/>
          </w:tcPr>
          <w:p w14:paraId="25D88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c>
          <w:tcPr>
            <w:tcW w:w="833" w:type="pct"/>
            <w:tcBorders>
              <w:top w:val="nil"/>
              <w:left w:val="nil"/>
              <w:bottom w:val="single" w:color="auto" w:sz="4" w:space="0"/>
              <w:right w:val="single" w:color="auto" w:sz="4" w:space="0"/>
            </w:tcBorders>
            <w:noWrap w:val="0"/>
            <w:vAlign w:val="center"/>
          </w:tcPr>
          <w:p w14:paraId="508AA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担任相应职务年限</w:t>
            </w:r>
          </w:p>
        </w:tc>
        <w:tc>
          <w:tcPr>
            <w:tcW w:w="1666" w:type="pct"/>
            <w:gridSpan w:val="2"/>
            <w:tcBorders>
              <w:top w:val="single" w:color="auto" w:sz="4" w:space="0"/>
              <w:left w:val="nil"/>
              <w:bottom w:val="single" w:color="auto" w:sz="4" w:space="0"/>
              <w:right w:val="single" w:color="auto" w:sz="4" w:space="0"/>
            </w:tcBorders>
            <w:noWrap w:val="0"/>
            <w:vAlign w:val="center"/>
          </w:tcPr>
          <w:p w14:paraId="0BEE4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30F41A8A">
        <w:tblPrEx>
          <w:tblCellMar>
            <w:top w:w="0" w:type="dxa"/>
            <w:left w:w="108" w:type="dxa"/>
            <w:bottom w:w="0" w:type="dxa"/>
            <w:right w:w="108" w:type="dxa"/>
          </w:tblCellMar>
        </w:tblPrEx>
        <w:trPr>
          <w:trHeight w:val="835" w:hRule="atLeast"/>
        </w:trPr>
        <w:tc>
          <w:tcPr>
            <w:tcW w:w="1666" w:type="pct"/>
            <w:gridSpan w:val="2"/>
            <w:tcBorders>
              <w:top w:val="single" w:color="auto" w:sz="4" w:space="0"/>
              <w:left w:val="single" w:color="auto" w:sz="4" w:space="0"/>
              <w:bottom w:val="single" w:color="auto" w:sz="4" w:space="0"/>
              <w:right w:val="single" w:color="auto" w:sz="4" w:space="0"/>
            </w:tcBorders>
            <w:noWrap w:val="0"/>
            <w:vAlign w:val="center"/>
          </w:tcPr>
          <w:p w14:paraId="345B1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资格证书号</w:t>
            </w:r>
          </w:p>
        </w:tc>
        <w:tc>
          <w:tcPr>
            <w:tcW w:w="3333" w:type="pct"/>
            <w:gridSpan w:val="4"/>
            <w:tcBorders>
              <w:top w:val="single" w:color="auto" w:sz="4" w:space="0"/>
              <w:left w:val="nil"/>
              <w:bottom w:val="single" w:color="auto" w:sz="4" w:space="0"/>
              <w:right w:val="single" w:color="auto" w:sz="4" w:space="0"/>
            </w:tcBorders>
            <w:noWrap w:val="0"/>
            <w:vAlign w:val="center"/>
          </w:tcPr>
          <w:p w14:paraId="2DCEA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w:t>
            </w:r>
          </w:p>
        </w:tc>
      </w:tr>
      <w:tr w14:paraId="06AD2B13">
        <w:tblPrEx>
          <w:tblCellMar>
            <w:top w:w="0" w:type="dxa"/>
            <w:left w:w="108" w:type="dxa"/>
            <w:bottom w:w="0" w:type="dxa"/>
            <w:right w:w="108" w:type="dxa"/>
          </w:tblCellMar>
        </w:tblPrEx>
        <w:trPr>
          <w:trHeight w:val="782"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E328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业绩简介</w:t>
            </w:r>
          </w:p>
        </w:tc>
      </w:tr>
      <w:tr w14:paraId="2A080ACA">
        <w:tblPrEx>
          <w:tblCellMar>
            <w:top w:w="0" w:type="dxa"/>
            <w:left w:w="108" w:type="dxa"/>
            <w:bottom w:w="0" w:type="dxa"/>
            <w:right w:w="108" w:type="dxa"/>
          </w:tblCellMar>
        </w:tblPrEx>
        <w:trPr>
          <w:trHeight w:val="864" w:hRule="atLeast"/>
        </w:trPr>
        <w:tc>
          <w:tcPr>
            <w:tcW w:w="833" w:type="pct"/>
            <w:tcBorders>
              <w:top w:val="nil"/>
              <w:left w:val="single" w:color="auto" w:sz="4" w:space="0"/>
              <w:bottom w:val="single" w:color="auto" w:sz="4" w:space="0"/>
              <w:right w:val="single" w:color="auto" w:sz="4" w:space="0"/>
            </w:tcBorders>
            <w:noWrap w:val="0"/>
            <w:vAlign w:val="center"/>
          </w:tcPr>
          <w:p w14:paraId="23E49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建设单位</w:t>
            </w:r>
          </w:p>
        </w:tc>
        <w:tc>
          <w:tcPr>
            <w:tcW w:w="833" w:type="pct"/>
            <w:tcBorders>
              <w:top w:val="nil"/>
              <w:left w:val="nil"/>
              <w:bottom w:val="single" w:color="auto" w:sz="4" w:space="0"/>
              <w:right w:val="single" w:color="auto" w:sz="4" w:space="0"/>
            </w:tcBorders>
            <w:noWrap w:val="0"/>
            <w:vAlign w:val="center"/>
          </w:tcPr>
          <w:p w14:paraId="20265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项目名称</w:t>
            </w:r>
          </w:p>
        </w:tc>
        <w:tc>
          <w:tcPr>
            <w:tcW w:w="833" w:type="pct"/>
            <w:tcBorders>
              <w:top w:val="nil"/>
              <w:left w:val="nil"/>
              <w:bottom w:val="single" w:color="auto" w:sz="4" w:space="0"/>
              <w:right w:val="single" w:color="auto" w:sz="4" w:space="0"/>
            </w:tcBorders>
            <w:noWrap w:val="0"/>
            <w:vAlign w:val="center"/>
          </w:tcPr>
          <w:p w14:paraId="24BF5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建设规模</w:t>
            </w:r>
          </w:p>
        </w:tc>
        <w:tc>
          <w:tcPr>
            <w:tcW w:w="833" w:type="pct"/>
            <w:tcBorders>
              <w:top w:val="nil"/>
              <w:left w:val="nil"/>
              <w:bottom w:val="single" w:color="auto" w:sz="4" w:space="0"/>
              <w:right w:val="single" w:color="auto" w:sz="4" w:space="0"/>
            </w:tcBorders>
            <w:noWrap w:val="0"/>
            <w:vAlign w:val="center"/>
          </w:tcPr>
          <w:p w14:paraId="3A03F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开、竣工日期</w:t>
            </w:r>
          </w:p>
        </w:tc>
        <w:tc>
          <w:tcPr>
            <w:tcW w:w="833" w:type="pct"/>
            <w:tcBorders>
              <w:top w:val="nil"/>
              <w:left w:val="nil"/>
              <w:bottom w:val="single" w:color="auto" w:sz="4" w:space="0"/>
              <w:right w:val="single" w:color="auto" w:sz="4" w:space="0"/>
            </w:tcBorders>
            <w:noWrap w:val="0"/>
            <w:vAlign w:val="center"/>
          </w:tcPr>
          <w:p w14:paraId="53E8E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在建或已完工程质量</w:t>
            </w:r>
          </w:p>
        </w:tc>
        <w:tc>
          <w:tcPr>
            <w:tcW w:w="833" w:type="pct"/>
            <w:tcBorders>
              <w:top w:val="nil"/>
              <w:left w:val="nil"/>
              <w:bottom w:val="single" w:color="auto" w:sz="4" w:space="0"/>
              <w:right w:val="single" w:color="auto" w:sz="4" w:space="0"/>
            </w:tcBorders>
            <w:noWrap w:val="0"/>
            <w:vAlign w:val="center"/>
          </w:tcPr>
          <w:p w14:paraId="490F7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担任职务</w:t>
            </w:r>
          </w:p>
        </w:tc>
      </w:tr>
      <w:tr w14:paraId="6D5C431C">
        <w:tblPrEx>
          <w:tblCellMar>
            <w:top w:w="0" w:type="dxa"/>
            <w:left w:w="108" w:type="dxa"/>
            <w:bottom w:w="0" w:type="dxa"/>
            <w:right w:w="108" w:type="dxa"/>
          </w:tblCellMar>
        </w:tblPrEx>
        <w:trPr>
          <w:trHeight w:val="312" w:hRule="atLeast"/>
        </w:trPr>
        <w:tc>
          <w:tcPr>
            <w:tcW w:w="833" w:type="pct"/>
            <w:tcBorders>
              <w:top w:val="nil"/>
              <w:left w:val="single" w:color="auto" w:sz="4" w:space="0"/>
              <w:bottom w:val="single" w:color="auto" w:sz="4" w:space="0"/>
              <w:right w:val="single" w:color="auto" w:sz="4" w:space="0"/>
            </w:tcBorders>
            <w:noWrap w:val="0"/>
            <w:vAlign w:val="center"/>
          </w:tcPr>
          <w:p w14:paraId="53A33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60692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44AFE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4A5E1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6DF7C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1D279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1EDFBF66">
        <w:tblPrEx>
          <w:tblCellMar>
            <w:top w:w="0" w:type="dxa"/>
            <w:left w:w="108" w:type="dxa"/>
            <w:bottom w:w="0" w:type="dxa"/>
            <w:right w:w="108" w:type="dxa"/>
          </w:tblCellMar>
        </w:tblPrEx>
        <w:trPr>
          <w:trHeight w:val="312" w:hRule="atLeast"/>
        </w:trPr>
        <w:tc>
          <w:tcPr>
            <w:tcW w:w="833" w:type="pct"/>
            <w:tcBorders>
              <w:top w:val="nil"/>
              <w:left w:val="single" w:color="auto" w:sz="4" w:space="0"/>
              <w:bottom w:val="single" w:color="auto" w:sz="4" w:space="0"/>
              <w:right w:val="single" w:color="auto" w:sz="4" w:space="0"/>
            </w:tcBorders>
            <w:noWrap w:val="0"/>
            <w:vAlign w:val="center"/>
          </w:tcPr>
          <w:p w14:paraId="74868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5F070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147E8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65D31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5E9AB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11692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r w14:paraId="6B82E366">
        <w:tblPrEx>
          <w:tblCellMar>
            <w:top w:w="0" w:type="dxa"/>
            <w:left w:w="108" w:type="dxa"/>
            <w:bottom w:w="0" w:type="dxa"/>
            <w:right w:w="108" w:type="dxa"/>
          </w:tblCellMar>
        </w:tblPrEx>
        <w:trPr>
          <w:trHeight w:val="312" w:hRule="atLeast"/>
        </w:trPr>
        <w:tc>
          <w:tcPr>
            <w:tcW w:w="833" w:type="pct"/>
            <w:tcBorders>
              <w:top w:val="nil"/>
              <w:left w:val="single" w:color="auto" w:sz="4" w:space="0"/>
              <w:bottom w:val="single" w:color="auto" w:sz="4" w:space="0"/>
              <w:right w:val="single" w:color="auto" w:sz="4" w:space="0"/>
            </w:tcBorders>
            <w:noWrap w:val="0"/>
            <w:vAlign w:val="center"/>
          </w:tcPr>
          <w:p w14:paraId="6E2B4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01DBA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32B72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67FDB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22348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c>
          <w:tcPr>
            <w:tcW w:w="833" w:type="pct"/>
            <w:tcBorders>
              <w:top w:val="nil"/>
              <w:left w:val="nil"/>
              <w:bottom w:val="single" w:color="auto" w:sz="4" w:space="0"/>
              <w:right w:val="single" w:color="auto" w:sz="4" w:space="0"/>
            </w:tcBorders>
            <w:noWrap w:val="0"/>
            <w:vAlign w:val="center"/>
          </w:tcPr>
          <w:p w14:paraId="3A8C9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4"/>
                <w:szCs w:val="24"/>
                <w:highlight w:val="none"/>
              </w:rPr>
            </w:pPr>
          </w:p>
        </w:tc>
      </w:tr>
    </w:tbl>
    <w:p w14:paraId="08343B5F">
      <w:pPr>
        <w:autoSpaceDE w:val="0"/>
        <w:autoSpaceDN w:val="0"/>
        <w:adjustRightInd w:val="0"/>
        <w:jc w:val="right"/>
        <w:rPr>
          <w:rFonts w:ascii="宋体" w:hAnsi="宋体" w:cs="宋体"/>
          <w:color w:val="auto"/>
          <w:sz w:val="24"/>
          <w:szCs w:val="24"/>
          <w:highlight w:val="none"/>
        </w:rPr>
      </w:pPr>
    </w:p>
    <w:p w14:paraId="3E0EF617">
      <w:pPr>
        <w:rPr>
          <w:color w:val="auto"/>
          <w:highlight w:val="none"/>
        </w:rPr>
      </w:pPr>
      <w:r>
        <w:rPr>
          <w:rFonts w:hint="eastAsia"/>
          <w:color w:val="auto"/>
          <w:highlight w:val="none"/>
        </w:rPr>
        <w:br w:type="page"/>
      </w:r>
    </w:p>
    <w:p w14:paraId="6951527A">
      <w:pPr>
        <w:rPr>
          <w:rFonts w:hint="eastAsia" w:ascii="宋体" w:hAnsi="宋体" w:cs="宋体"/>
          <w:b/>
          <w:snapToGrid w:val="0"/>
          <w:color w:val="auto"/>
          <w:spacing w:val="4"/>
          <w:kern w:val="0"/>
          <w:sz w:val="24"/>
          <w:szCs w:val="24"/>
          <w:highlight w:val="none"/>
          <w:lang w:val="zh-CN"/>
        </w:rPr>
      </w:pPr>
      <w:bookmarkStart w:id="128" w:name="_Toc60070629"/>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七</w:t>
      </w:r>
      <w:r>
        <w:rPr>
          <w:rFonts w:hint="eastAsia" w:ascii="宋体" w:hAnsi="宋体" w:cs="宋体"/>
          <w:b/>
          <w:snapToGrid w:val="0"/>
          <w:color w:val="auto"/>
          <w:spacing w:val="4"/>
          <w:kern w:val="0"/>
          <w:sz w:val="24"/>
          <w:szCs w:val="24"/>
          <w:highlight w:val="none"/>
        </w:rPr>
        <w:t>：</w:t>
      </w:r>
      <w:bookmarkEnd w:id="128"/>
    </w:p>
    <w:p w14:paraId="74B0E875">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拟投入本工程施工的主要机械设备配备表</w:t>
      </w:r>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9"/>
        <w:gridCol w:w="3142"/>
        <w:gridCol w:w="2227"/>
        <w:gridCol w:w="1715"/>
        <w:gridCol w:w="1699"/>
      </w:tblGrid>
      <w:tr w14:paraId="756C0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1BC0D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w:t>
            </w:r>
          </w:p>
          <w:p w14:paraId="2C41A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号</w:t>
            </w:r>
          </w:p>
        </w:tc>
        <w:tc>
          <w:tcPr>
            <w:tcW w:w="1627" w:type="pct"/>
            <w:tcBorders>
              <w:top w:val="single" w:color="auto" w:sz="4" w:space="0"/>
              <w:left w:val="single" w:color="auto" w:sz="4" w:space="0"/>
              <w:bottom w:val="single" w:color="auto" w:sz="4" w:space="0"/>
              <w:right w:val="single" w:color="auto" w:sz="4" w:space="0"/>
            </w:tcBorders>
            <w:noWrap w:val="0"/>
            <w:vAlign w:val="center"/>
          </w:tcPr>
          <w:p w14:paraId="4E405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设备名称</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0E47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投入总数量</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62854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来源</w:t>
            </w:r>
          </w:p>
          <w:p w14:paraId="5D67D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自有/租赁</w:t>
            </w:r>
            <w:r>
              <w:rPr>
                <w:rFonts w:hint="eastAsia" w:ascii="宋体" w:hAnsi="宋体" w:cs="宋体"/>
                <w:b/>
                <w:bCs/>
                <w:color w:val="auto"/>
                <w:sz w:val="21"/>
                <w:szCs w:val="21"/>
                <w:highlight w:val="none"/>
                <w:lang w:eastAsia="zh-CN"/>
              </w:rPr>
              <w:t>）</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7A537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4990B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287B8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48483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265AD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41EA2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123AC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7358C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5123E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3DF5A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A606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505D7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703FD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10D06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01473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6CD33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0A712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1C22F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1CE61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735D6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21948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4BC37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55FA7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5D1F7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bottom w:val="single" w:color="auto" w:sz="4" w:space="0"/>
              <w:right w:val="single" w:color="auto" w:sz="4" w:space="0"/>
            </w:tcBorders>
            <w:noWrap w:val="0"/>
            <w:vAlign w:val="center"/>
          </w:tcPr>
          <w:p w14:paraId="70E5D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r w14:paraId="4DE57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1B6E1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627" w:type="pct"/>
            <w:tcBorders>
              <w:top w:val="single" w:color="auto" w:sz="4" w:space="0"/>
              <w:left w:val="single" w:color="auto" w:sz="4" w:space="0"/>
              <w:bottom w:val="single" w:color="auto" w:sz="4" w:space="0"/>
              <w:right w:val="single" w:color="auto" w:sz="4" w:space="0"/>
            </w:tcBorders>
            <w:noWrap w:val="0"/>
            <w:vAlign w:val="center"/>
          </w:tcPr>
          <w:p w14:paraId="0F59F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4675A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5E617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c>
          <w:tcPr>
            <w:tcW w:w="880" w:type="pct"/>
            <w:tcBorders>
              <w:top w:val="single" w:color="auto" w:sz="4" w:space="0"/>
              <w:left w:val="single" w:color="auto" w:sz="4" w:space="0"/>
              <w:right w:val="single" w:color="auto" w:sz="4" w:space="0"/>
            </w:tcBorders>
            <w:noWrap w:val="0"/>
            <w:vAlign w:val="center"/>
          </w:tcPr>
          <w:p w14:paraId="63245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color w:val="auto"/>
                <w:sz w:val="21"/>
                <w:szCs w:val="21"/>
                <w:highlight w:val="none"/>
              </w:rPr>
            </w:pPr>
          </w:p>
        </w:tc>
      </w:tr>
    </w:tbl>
    <w:p w14:paraId="4B207671">
      <w:pPr>
        <w:tabs>
          <w:tab w:val="left" w:pos="720"/>
        </w:tabs>
        <w:snapToGrid w:val="0"/>
        <w:spacing w:line="360" w:lineRule="auto"/>
        <w:rPr>
          <w:rFonts w:ascii="宋体" w:hAnsi="宋体"/>
          <w:color w:val="auto"/>
          <w:highlight w:val="none"/>
        </w:rPr>
      </w:pPr>
    </w:p>
    <w:p w14:paraId="249C982F">
      <w:pPr>
        <w:topLinePunct/>
        <w:adjustRightInd w:val="0"/>
        <w:snapToGrid w:val="0"/>
        <w:spacing w:line="360" w:lineRule="auto"/>
        <w:ind w:firstLine="691" w:firstLineChars="279"/>
        <w:jc w:val="lef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注：设备名称及要求数量由投标人视本工程具体情况结合招标人对本工程的具体要求自行配备。</w:t>
      </w:r>
    </w:p>
    <w:p w14:paraId="496E14E8">
      <w:pPr>
        <w:rPr>
          <w:rFonts w:hint="eastAsia" w:ascii="宋体" w:hAnsi="宋体" w:cs="宋体"/>
          <w:b/>
          <w:snapToGrid w:val="0"/>
          <w:color w:val="auto"/>
          <w:spacing w:val="4"/>
          <w:kern w:val="0"/>
          <w:sz w:val="24"/>
          <w:szCs w:val="24"/>
          <w:highlight w:val="none"/>
          <w:lang w:val="zh-CN"/>
        </w:rPr>
      </w:pPr>
      <w:r>
        <w:rPr>
          <w:rFonts w:ascii="宋体" w:hAnsi="宋体"/>
          <w:color w:val="auto"/>
          <w:highlight w:val="none"/>
        </w:rPr>
        <w:br w:type="page"/>
      </w:r>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八</w:t>
      </w:r>
      <w:r>
        <w:rPr>
          <w:rFonts w:hint="eastAsia" w:ascii="宋体" w:hAnsi="宋体" w:cs="宋体"/>
          <w:b/>
          <w:snapToGrid w:val="0"/>
          <w:color w:val="auto"/>
          <w:spacing w:val="4"/>
          <w:kern w:val="0"/>
          <w:sz w:val="24"/>
          <w:szCs w:val="24"/>
          <w:highlight w:val="none"/>
        </w:rPr>
        <w:t>：</w:t>
      </w:r>
    </w:p>
    <w:p w14:paraId="3DA9EFCA">
      <w:pPr>
        <w:autoSpaceDE w:val="0"/>
        <w:autoSpaceDN w:val="0"/>
        <w:adjustRightInd w:val="0"/>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其他证明材料</w:t>
      </w:r>
    </w:p>
    <w:p w14:paraId="5363031B">
      <w:pPr>
        <w:rPr>
          <w:rFonts w:hint="eastAsia" w:ascii="宋体" w:hAnsi="宋体" w:cs="宋体"/>
          <w:b/>
          <w:bCs/>
          <w:snapToGrid w:val="0"/>
          <w:color w:val="auto"/>
          <w:spacing w:val="4"/>
          <w:kern w:val="0"/>
          <w:szCs w:val="21"/>
          <w:highlight w:val="none"/>
        </w:rPr>
      </w:pPr>
      <w:r>
        <w:rPr>
          <w:rFonts w:hint="eastAsia" w:ascii="宋体" w:hAnsi="宋体" w:cs="宋体"/>
          <w:b/>
          <w:bCs/>
          <w:snapToGrid w:val="0"/>
          <w:color w:val="auto"/>
          <w:spacing w:val="4"/>
          <w:kern w:val="0"/>
          <w:szCs w:val="21"/>
          <w:highlight w:val="none"/>
        </w:rPr>
        <w:t>注：格式如无要求可自拟。</w:t>
      </w:r>
    </w:p>
    <w:p w14:paraId="42D6A407">
      <w:pPr>
        <w:rPr>
          <w:rFonts w:hint="eastAsia" w:ascii="宋体" w:hAnsi="宋体" w:cs="宋体"/>
          <w:b/>
          <w:snapToGrid w:val="0"/>
          <w:color w:val="auto"/>
          <w:spacing w:val="4"/>
          <w:kern w:val="0"/>
          <w:sz w:val="24"/>
          <w:szCs w:val="24"/>
          <w:highlight w:val="none"/>
        </w:rPr>
      </w:pPr>
      <w:r>
        <w:rPr>
          <w:rFonts w:ascii="宋体" w:hAnsi="宋体"/>
          <w:color w:val="auto"/>
          <w:highlight w:val="none"/>
        </w:rPr>
        <w:br w:type="page"/>
      </w:r>
      <w:bookmarkStart w:id="129" w:name="_Toc60070630"/>
      <w:bookmarkStart w:id="130" w:name="_Toc58838602"/>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九</w:t>
      </w:r>
      <w:r>
        <w:rPr>
          <w:rFonts w:hint="eastAsia" w:ascii="宋体" w:hAnsi="宋体" w:cs="宋体"/>
          <w:b/>
          <w:snapToGrid w:val="0"/>
          <w:color w:val="auto"/>
          <w:spacing w:val="4"/>
          <w:kern w:val="0"/>
          <w:sz w:val="24"/>
          <w:szCs w:val="24"/>
          <w:highlight w:val="none"/>
        </w:rPr>
        <w:t>：</w:t>
      </w:r>
      <w:bookmarkEnd w:id="129"/>
    </w:p>
    <w:p w14:paraId="4FF33009">
      <w:pPr>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危险性较大的分部分项工程安全管理措施</w:t>
      </w:r>
      <w:bookmarkEnd w:id="130"/>
    </w:p>
    <w:p w14:paraId="3B2654DE">
      <w:pPr>
        <w:numPr>
          <w:ilvl w:val="0"/>
          <w:numId w:val="3"/>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233E1738">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14:paraId="04EF7700">
      <w:pPr>
        <w:numPr>
          <w:ilvl w:val="0"/>
          <w:numId w:val="4"/>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投标单位同意招标人在清单中标识的该项请在对应项打“</w:t>
      </w:r>
      <w:r>
        <w:rPr>
          <w:rFonts w:hint="eastAsia" w:ascii="宋体" w:hAnsi="宋体"/>
          <w:color w:val="auto"/>
          <w:sz w:val="24"/>
          <w:szCs w:val="36"/>
          <w:highlight w:val="none"/>
        </w:rPr>
        <w:t>√”标识，并在投标文件中提供相应的安全管理措施。</w:t>
      </w:r>
    </w:p>
    <w:p w14:paraId="587E015E">
      <w:pPr>
        <w:numPr>
          <w:ilvl w:val="0"/>
          <w:numId w:val="4"/>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√”标识，并在投标文件中提供相应的安全管理措施。</w:t>
      </w:r>
    </w:p>
    <w:p w14:paraId="0DF968F6">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投标单位不同意招标人</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14:paraId="77BF0D90">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中标单位应当根据招标人提供的下述第5点清单，在施工前编制专项施工方案。</w:t>
      </w:r>
    </w:p>
    <w:p w14:paraId="1BDF0AE1">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对于超过一定规模的危大工程，中标单位应当组织召开专家论证会对专项施工方案进行论证。专家论证前专项施工方案应当通过总监理工程师审查。</w:t>
      </w:r>
    </w:p>
    <w:p w14:paraId="4B82C9FA">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8"/>
        <w:gridCol w:w="1483"/>
        <w:gridCol w:w="1483"/>
        <w:gridCol w:w="1158"/>
      </w:tblGrid>
      <w:tr w14:paraId="60D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center"/>
          </w:tcPr>
          <w:p w14:paraId="47A85835">
            <w:pPr>
              <w:keepNext w:val="0"/>
              <w:keepLines w:val="0"/>
              <w:suppressLineNumbers w:val="0"/>
              <w:spacing w:before="0" w:beforeAutospacing="0" w:after="0" w:afterAutospacing="0"/>
              <w:ind w:left="0" w:right="0"/>
              <w:jc w:val="center"/>
              <w:rPr>
                <w:rFonts w:hint="default" w:ascii="宋体" w:hAnsi="宋体" w:eastAsia="宋体" w:cs="Times New Roman"/>
                <w:b/>
                <w:sz w:val="24"/>
                <w:highlight w:val="none"/>
              </w:rPr>
            </w:pPr>
            <w:r>
              <w:rPr>
                <w:rFonts w:hint="eastAsia" w:ascii="宋体" w:hAnsi="宋体" w:eastAsia="宋体" w:cs="Times New Roman"/>
                <w:b/>
                <w:sz w:val="24"/>
                <w:highlight w:val="none"/>
              </w:rPr>
              <w:t>一、危险性较大的分部分项工程清单</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3D33826">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r>
              <w:rPr>
                <w:rFonts w:hint="eastAsia" w:ascii="宋体" w:hAnsi="宋体" w:eastAsia="宋体" w:cs="Times New Roman"/>
                <w:sz w:val="24"/>
                <w:szCs w:val="36"/>
                <w:highlight w:val="none"/>
              </w:rPr>
              <w:t>建设单位</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13A49A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r>
              <w:rPr>
                <w:rFonts w:hint="eastAsia" w:ascii="宋体" w:hAnsi="宋体" w:eastAsia="宋体" w:cs="Times New Roman"/>
                <w:sz w:val="24"/>
                <w:szCs w:val="36"/>
                <w:highlight w:val="none"/>
              </w:rPr>
              <w:t>投标单位</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798478C">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r>
              <w:rPr>
                <w:rFonts w:hint="eastAsia" w:ascii="宋体" w:hAnsi="宋体" w:eastAsia="宋体" w:cs="Times New Roman"/>
                <w:sz w:val="24"/>
                <w:szCs w:val="36"/>
                <w:highlight w:val="none"/>
              </w:rPr>
              <w:t>备注</w:t>
            </w:r>
          </w:p>
        </w:tc>
      </w:tr>
      <w:tr w14:paraId="5672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89FD08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一、基坑支护</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FBC5088">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0827A9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3E455A9">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533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584BE33">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（一）开挖深度超过3m（含3m）的基坑（槽）的土方开挖、支护、降水工程。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BCBBB1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04EEA2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1A4C52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314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5AA95C5F">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（二）开挖深度虽未超过3m，但地质条件、周围环境和地下管线复杂，或影响毗邻建、构筑物安全的基坑（槽）的土方开挖、支护、降水工程。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5A718F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8D54D3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C75F455">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6E51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05AD36E">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二、模板工程及支撑体系</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E2B1C2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70BF09F">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593DD8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611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50253F7">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（一）各类工具式模板工程：包括滑模、爬模、飞模、隧道模等工程。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5B2062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7308A1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3923930">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59F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4563E2A">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7A24B0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19C555A">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8B4FB5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F6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729B7DF">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 w:val="24"/>
                <w:highlight w:val="none"/>
              </w:rPr>
            </w:pPr>
            <w:r>
              <w:rPr>
                <w:rFonts w:hint="eastAsia" w:ascii="宋体" w:hAnsi="宋体" w:eastAsia="宋体" w:cs="宋体"/>
                <w:sz w:val="24"/>
                <w:highlight w:val="none"/>
              </w:rPr>
              <w:t>（三）承重支撑体系：用于钢结构安装等满堂支撑体系。</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452481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53C6233">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61700FD">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0AC1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6AA02B2F">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 w:val="24"/>
                <w:highlight w:val="none"/>
              </w:rPr>
            </w:pPr>
            <w:r>
              <w:rPr>
                <w:rFonts w:hint="eastAsia" w:ascii="宋体" w:hAnsi="宋体" w:eastAsia="宋体" w:cs="宋体"/>
                <w:sz w:val="24"/>
                <w:highlight w:val="none"/>
              </w:rPr>
              <w:t>　三、起重吊装及起重机械安装拆卸工程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9D25D2A">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eastAsia" w:ascii="宋体" w:hAnsi="宋体" w:eastAsia="宋体" w:cs="Times New Roman"/>
                <w:sz w:val="24"/>
                <w:szCs w:val="36"/>
                <w:highlight w:val="none"/>
                <w:lang w:val="en-US" w:eastAsia="zh-CN"/>
              </w:rPr>
              <w:t xml:space="preserve"> </w:t>
            </w:r>
            <w:r>
              <w:rPr>
                <w:rFonts w:hint="eastAsia" w:ascii="宋体" w:hAnsi="宋体" w:eastAsia="宋体" w:cs="Times New Roman"/>
                <w:sz w:val="24"/>
                <w:szCs w:val="36"/>
                <w:highlight w:val="none"/>
              </w:rPr>
              <w:t xml:space="preserve">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0FB59C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5DD050D">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3212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B407BDB">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 w:val="24"/>
                <w:highlight w:val="none"/>
              </w:rPr>
            </w:pPr>
            <w:r>
              <w:rPr>
                <w:rFonts w:hint="eastAsia" w:ascii="宋体" w:hAnsi="宋体" w:eastAsia="宋体" w:cs="宋体"/>
                <w:sz w:val="24"/>
                <w:highlight w:val="none"/>
              </w:rPr>
              <w:t>（一）采用非常规起重设备、方法，且单件起吊重量在10kN及以上的起重吊装工程。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42B585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eastAsia" w:ascii="宋体" w:hAnsi="宋体"/>
                <w:color w:val="auto"/>
                <w:sz w:val="24"/>
                <w:szCs w:val="36"/>
                <w:highlight w:val="none"/>
              </w:rPr>
              <w:t>√</w:t>
            </w:r>
            <w:r>
              <w:rPr>
                <w:rFonts w:hint="eastAsia" w:ascii="宋体" w:hAnsi="宋体" w:eastAsia="宋体" w:cs="Times New Roman"/>
                <w:sz w:val="24"/>
                <w:szCs w:val="36"/>
                <w:highlight w:val="none"/>
              </w:rPr>
              <w:t>)</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4521BB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C589044">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690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D09F1A8">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宋体"/>
                <w:sz w:val="24"/>
                <w:highlight w:val="none"/>
              </w:rPr>
              <w:t>（二）采用起重机械进行安装的工程。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AEE7EEF">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eastAsia" w:ascii="宋体" w:hAnsi="宋体"/>
                <w:color w:val="auto"/>
                <w:sz w:val="24"/>
                <w:szCs w:val="36"/>
                <w:highlight w:val="none"/>
              </w:rPr>
              <w:t>√</w:t>
            </w:r>
            <w:r>
              <w:rPr>
                <w:rFonts w:hint="eastAsia" w:ascii="宋体" w:hAnsi="宋体" w:eastAsia="宋体" w:cs="Times New Roman"/>
                <w:sz w:val="24"/>
                <w:szCs w:val="36"/>
                <w:highlight w:val="none"/>
              </w:rPr>
              <w:t>)</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56BCE0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58DEA1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401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325AC3C">
            <w:pPr>
              <w:keepNext w:val="0"/>
              <w:keepLines w:val="0"/>
              <w:suppressLineNumbers w:val="0"/>
              <w:spacing w:before="0" w:beforeAutospacing="0" w:after="0" w:afterAutospacing="0"/>
              <w:ind w:left="0" w:right="0"/>
              <w:jc w:val="left"/>
              <w:rPr>
                <w:rFonts w:hint="default" w:ascii="宋体" w:hAnsi="宋体" w:eastAsia="宋体" w:cs="宋体"/>
                <w:sz w:val="24"/>
                <w:highlight w:val="none"/>
              </w:rPr>
            </w:pPr>
            <w:r>
              <w:rPr>
                <w:rFonts w:hint="eastAsia" w:ascii="宋体" w:hAnsi="宋体" w:eastAsia="宋体" w:cs="宋体"/>
                <w:sz w:val="24"/>
                <w:highlight w:val="none"/>
              </w:rPr>
              <w:t>（三）起重机械安装和拆卸工程。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2C35530">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4C6260A">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233C89F">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0E8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4650033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四、脚手架工程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0ACD19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eastAsia" w:ascii="宋体" w:hAnsi="宋体" w:eastAsia="宋体" w:cs="Times New Roman"/>
                <w:sz w:val="24"/>
                <w:szCs w:val="36"/>
                <w:highlight w:val="none"/>
                <w:lang w:val="en-US" w:eastAsia="zh-CN"/>
              </w:rPr>
              <w:t xml:space="preserve"> </w:t>
            </w:r>
            <w:r>
              <w:rPr>
                <w:rFonts w:hint="eastAsia" w:ascii="宋体" w:hAnsi="宋体" w:eastAsia="宋体" w:cs="Times New Roman"/>
                <w:sz w:val="24"/>
                <w:szCs w:val="36"/>
                <w:highlight w:val="none"/>
              </w:rPr>
              <w:t xml:space="preserve">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25D85B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01B17B73">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14C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3EBD28B4">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（一）搭设高度24m及以上的落地式钢管脚手架工程（包括采光井、电梯井脚手架）。</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7C7250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eastAsia" w:ascii="宋体" w:hAnsi="宋体" w:eastAsia="宋体" w:cs="Times New Roman"/>
                <w:sz w:val="24"/>
                <w:szCs w:val="36"/>
                <w:highlight w:val="none"/>
                <w:lang w:val="en-US" w:eastAsia="zh-CN"/>
              </w:rPr>
              <w:t xml:space="preserve">  </w:t>
            </w:r>
            <w:r>
              <w:rPr>
                <w:rFonts w:hint="eastAsia" w:ascii="宋体" w:hAnsi="宋体" w:eastAsia="宋体" w:cs="Times New Roman"/>
                <w:sz w:val="24"/>
                <w:szCs w:val="36"/>
                <w:highlight w:val="none"/>
              </w:rPr>
              <w:t>)</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20A0BA4">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EB2699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4007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4AE8181E">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（二）附着式升降脚手架工程。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75A6AEA">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3BC239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E23536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B03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6992BC0F">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（三）悬挑式脚手架工程。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8F798E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D42FAC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6ED4E65">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626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3C15D58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（四）高处作业吊篮。</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F66F995">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default" w:ascii="宋体" w:hAnsi="宋体" w:eastAsia="宋体" w:cs="Times New Roman"/>
                <w:sz w:val="24"/>
                <w:szCs w:val="36"/>
                <w:highlight w:val="none"/>
              </w:rPr>
              <w:t xml:space="preserve"> </w:t>
            </w:r>
            <w:r>
              <w:rPr>
                <w:rFonts w:hint="eastAsia" w:ascii="宋体" w:hAnsi="宋体" w:eastAsia="宋体" w:cs="Times New Roman"/>
                <w:sz w:val="24"/>
                <w:szCs w:val="36"/>
                <w:highlight w:val="none"/>
              </w:rPr>
              <w:t xml:space="preserve">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65E608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2848C914">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911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48185C5">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（五）卸料平台、操作平台工程。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B6C2A6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F36F36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1CD4B64">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D2C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5AA3DFB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（六）异型脚手架工程。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3176394">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B77A6E4">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91D7A36">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64C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6968CC1">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五、拆除工程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41D4BC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5503FF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2F75F33">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436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96A7378">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可能影响行人、交通、电力设施、通讯设施或其它建、构筑物安全的拆除工程。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AE4B20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0959D63">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0B6B5F5B">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3242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613B8F3A">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　六、暗挖工程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E1EEB0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EF2A30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08FE82EC">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C4F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4D3D7D7A">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采用矿山法、盾构法、顶管法施工的隧道、洞室工程。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8A7A8A3">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EA51B0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4E1A843">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690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57A6CD69">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七、其它</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FA48EE5">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D5599B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2DA3AE77">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A6F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0CDE78A">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（一）建筑幕墙安装工程。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14F204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xml:space="preserve">( </w:t>
            </w:r>
            <w:r>
              <w:rPr>
                <w:rFonts w:hint="default" w:ascii="宋体" w:hAnsi="宋体" w:eastAsia="宋体" w:cs="Times New Roman"/>
                <w:sz w:val="24"/>
                <w:szCs w:val="36"/>
                <w:highlight w:val="none"/>
              </w:rPr>
              <w:t xml:space="preserve"> </w:t>
            </w:r>
            <w:r>
              <w:rPr>
                <w:rFonts w:hint="eastAsia" w:ascii="宋体" w:hAnsi="宋体" w:eastAsia="宋体" w:cs="Times New Roman"/>
                <w:sz w:val="24"/>
                <w:szCs w:val="36"/>
                <w:highlight w:val="none"/>
              </w:rPr>
              <w:t>)</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11FBADF">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86B153D">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0A8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373FD827">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（二）钢结构、网架和索膜结构安装工程。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36EBCED">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xml:space="preserve">( </w:t>
            </w:r>
            <w:r>
              <w:rPr>
                <w:rFonts w:hint="default" w:ascii="宋体" w:hAnsi="宋体" w:eastAsia="宋体" w:cs="Times New Roman"/>
                <w:sz w:val="24"/>
                <w:szCs w:val="36"/>
                <w:highlight w:val="none"/>
              </w:rPr>
              <w:t xml:space="preserve"> </w:t>
            </w:r>
            <w:r>
              <w:rPr>
                <w:rFonts w:hint="eastAsia" w:ascii="宋体" w:hAnsi="宋体" w:eastAsia="宋体" w:cs="Times New Roman"/>
                <w:sz w:val="24"/>
                <w:szCs w:val="36"/>
                <w:highlight w:val="none"/>
              </w:rPr>
              <w:t>)</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3C758B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83DDC8D">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159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E6ADCC8">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（三）人工挖孔桩工程。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05DFE33">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4CCD7D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2E6254B">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8E0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66CD394">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（四）水下作业工程。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7CF722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2529EB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C3E702E">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92B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D198587">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（五）装配式建筑混凝土预制构件安装工程。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CE610D4">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9746F81">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8415594">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5E1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61981406">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（六）采用新技术、新工艺、新材料、新设备可能影响工程施工安全，尚无国家、行业及地方技术标准的分部分项工程。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20ECB4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5A7A46D">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3384F3E">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63E9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center"/>
          </w:tcPr>
          <w:p w14:paraId="70661E78">
            <w:pPr>
              <w:keepNext w:val="0"/>
              <w:keepLines w:val="0"/>
              <w:widowControl/>
              <w:suppressLineNumbers w:val="0"/>
              <w:spacing w:before="0" w:beforeAutospacing="0" w:after="0" w:afterAutospacing="0" w:line="360" w:lineRule="atLeast"/>
              <w:ind w:left="0" w:right="0"/>
              <w:rPr>
                <w:rFonts w:hint="default" w:ascii="宋体" w:hAnsi="宋体" w:eastAsia="宋体" w:cs="宋体"/>
                <w:b/>
                <w:sz w:val="24"/>
                <w:highlight w:val="none"/>
              </w:rPr>
            </w:pPr>
            <w:r>
              <w:rPr>
                <w:rFonts w:hint="eastAsia" w:ascii="宋体" w:hAnsi="宋体" w:eastAsia="宋体" w:cs="宋体"/>
                <w:b/>
                <w:bCs/>
                <w:sz w:val="24"/>
                <w:highlight w:val="none"/>
              </w:rPr>
              <w:t>二、超过一定规模的危险性较大的分部分项工程清单</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FEF65B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B3542A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22A961D9">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2B5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758B08A">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一、深基坑工程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9A914B1">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1E12F7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0A184CC">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4533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80EFB8A">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开挖深度超过5m（含5m）的基坑（槽）的土方开挖、支护、降水工程。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53DF88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DB2B1F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92B443B">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762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1416B66">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二、模板工程及支撑体系</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7D9F48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BC7FD25">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1AF9B3C">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40C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185B814">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（一）各类工具式模板工程：包括滑模、爬模、飞模、隧道模等工程。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77EDB7D">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21C5995">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F91F889">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3856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92CE04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（二）混凝土模板支撑工程：搭设高度8m及以上，或搭设跨度18m及以上，或施工总荷载（设计值）15kN/m2及以上，或集中线荷载（设计值）20kN/m及以上。</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090B534">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A5D5761">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21D82B6">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0785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C909866">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（三）承重支撑体系：用于钢结构安装等满堂支撑体系，承受单点集中荷载7kN及以上。</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192C23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94590F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570087F">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B87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84D49CD">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　三、起重吊装及起重机械安装拆卸工程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77006B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default" w:ascii="宋体" w:hAnsi="宋体" w:eastAsia="宋体" w:cs="Times New Roman"/>
                <w:sz w:val="24"/>
                <w:szCs w:val="36"/>
                <w:highlight w:val="none"/>
              </w:rPr>
              <w:t xml:space="preserve"> </w:t>
            </w:r>
            <w:r>
              <w:rPr>
                <w:rFonts w:hint="eastAsia" w:ascii="宋体" w:hAnsi="宋体" w:eastAsia="宋体" w:cs="Times New Roman"/>
                <w:sz w:val="24"/>
                <w:szCs w:val="36"/>
                <w:highlight w:val="none"/>
              </w:rPr>
              <w:t xml:space="preserve">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89DBED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84DD0FD">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0F25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5DE56839">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（一）采用非常规起重设备、方法，且单件起吊重量在100kN及以上的起重吊装工程。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CDB7E61">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w:t>
            </w:r>
            <w:r>
              <w:rPr>
                <w:rFonts w:hint="default" w:ascii="宋体" w:hAnsi="宋体" w:eastAsia="宋体" w:cs="Times New Roman"/>
                <w:sz w:val="24"/>
                <w:szCs w:val="36"/>
                <w:highlight w:val="none"/>
              </w:rPr>
              <w:t xml:space="preserve"> </w:t>
            </w:r>
            <w:r>
              <w:rPr>
                <w:rFonts w:hint="eastAsia" w:ascii="宋体" w:hAnsi="宋体" w:eastAsia="宋体" w:cs="Times New Roman"/>
                <w:sz w:val="24"/>
                <w:szCs w:val="36"/>
                <w:highlight w:val="none"/>
              </w:rPr>
              <w:t xml:space="preserve">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1F78DAB">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12B0D16">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21A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71B2B256">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（二）起重量300kN及以上，或搭设总高度200m及以上，或搭设基础标高在200m及以上的起重机械安装和拆卸工程。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BA5B5A4">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0EA874A">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CDAB07C">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30D2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37FEBDC4">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四、脚手架工程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12DEA8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F93FF6A">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C65D329">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9F5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910C0F0">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（一）搭设高度50m及以上的落地式钢管脚手架工程。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6C57EF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31C2EF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799D66F">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40C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0D178E3">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（二）提升高度在150m及以上的附着式升降脚手架工程或附着式升降操作平台工程。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6A5375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1DB705C">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6115912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6DA6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585BDEB">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（三）分段架体搭设高度20m及以上的悬挑式脚手架工程。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A2B67B1">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23B5D7D">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36B86A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3155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0A61D1F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五、拆除工程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B19C2D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D03111F">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0ED5517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0C4E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168A4F19">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（一）码头、桥梁、高架、烟囱、水塔或拆除中容易引起有毒有害气（液）体或粉尘扩散、易燃易爆事故发生的特殊建、构筑物的拆除工程。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6C03AFB">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B6E4E56">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0EB997D0">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C5D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CB83455">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（二）文物保护建筑、优秀历史建筑或历史文化风貌区影响范围内的拆除工程。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C689F9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BF83ED3">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B1F0E8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10C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48F1447F">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六、暗挖工程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93605F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D55769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34C2C2B">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1BDA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4C0F7A10">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采用矿山法、盾构法、顶管法施工的隧道、洞室工程。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DDD69DB">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2A6FDA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2929686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357B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4B42D84">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七、其它</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B932301">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7576D8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3DF2E762">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CE4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36DFBF8">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（一）施工高度50m及以上的建筑幕墙安装工程。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2007074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6408355">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8827227">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210A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3B90EF64">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（二）跨度36m及以上的钢结构安装工程，或跨度60m及以上的网架和索膜结构安装工程。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1B1FA732">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5CABB1E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529117F">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7329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55FA2A37">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（三）开挖深度16m及以上的人工挖孔桩工程。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7B21580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97093A0">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2C4C819">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719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2EC3EF10">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（四）水下作业工程。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4C9FDB48">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04C4B6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581FC29A">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657B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62A53233">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（五）重量1000kN及以上的大型结构整体顶升、平移、转体等施工工艺。</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04DA72E">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090A9A67">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F372EC8">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r w14:paraId="564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tcBorders>
              <w:top w:val="single" w:color="auto" w:sz="4" w:space="0"/>
              <w:left w:val="single" w:color="auto" w:sz="4" w:space="0"/>
              <w:bottom w:val="single" w:color="auto" w:sz="4" w:space="0"/>
              <w:right w:val="single" w:color="auto" w:sz="4" w:space="0"/>
            </w:tcBorders>
            <w:noWrap w:val="0"/>
            <w:vAlign w:val="top"/>
          </w:tcPr>
          <w:p w14:paraId="4807D822">
            <w:pPr>
              <w:keepNext w:val="0"/>
              <w:keepLines w:val="0"/>
              <w:suppressLineNumbers w:val="0"/>
              <w:spacing w:before="0" w:beforeAutospacing="0" w:after="0" w:afterAutospacing="0"/>
              <w:ind w:left="0" w:right="0"/>
              <w:jc w:val="left"/>
              <w:rPr>
                <w:rFonts w:hint="default" w:ascii="宋体" w:hAnsi="宋体" w:eastAsia="宋体" w:cs="Times New Roman"/>
                <w:sz w:val="24"/>
                <w:highlight w:val="none"/>
              </w:rPr>
            </w:pPr>
            <w:r>
              <w:rPr>
                <w:rFonts w:hint="eastAsia" w:ascii="宋体" w:hAnsi="宋体" w:eastAsia="宋体" w:cs="Times New Roman"/>
                <w:sz w:val="24"/>
                <w:highlight w:val="none"/>
              </w:rPr>
              <w:t>（六）采用新技术、新工艺、新材料、新设备可能影响工程施工安全，尚无国家、行业及地方技术标准的分部分项工程。</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6D10D899">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74CA0BD">
            <w:pPr>
              <w:keepNext w:val="0"/>
              <w:keepLines w:val="0"/>
              <w:suppressLineNumbers w:val="0"/>
              <w:spacing w:before="0" w:beforeAutospacing="0" w:after="0" w:afterAutospacing="0"/>
              <w:ind w:left="0" w:right="0"/>
              <w:jc w:val="center"/>
              <w:rPr>
                <w:rFonts w:hint="default" w:ascii="宋体" w:hAnsi="宋体" w:eastAsia="宋体" w:cs="Times New Roman"/>
                <w:highlight w:val="none"/>
              </w:rPr>
            </w:pPr>
            <w:r>
              <w:rPr>
                <w:rFonts w:hint="eastAsia" w:ascii="宋体" w:hAnsi="宋体" w:eastAsia="宋体" w:cs="Times New Roman"/>
                <w:sz w:val="24"/>
                <w:szCs w:val="36"/>
                <w:highlight w:val="none"/>
              </w:rPr>
              <w:t>(    )</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1C8C6E16">
            <w:pPr>
              <w:keepNext w:val="0"/>
              <w:keepLines w:val="0"/>
              <w:suppressLineNumbers w:val="0"/>
              <w:spacing w:before="0" w:beforeAutospacing="0" w:after="0" w:afterAutospacing="0"/>
              <w:ind w:left="0" w:right="0"/>
              <w:jc w:val="center"/>
              <w:rPr>
                <w:rFonts w:hint="default" w:ascii="宋体" w:hAnsi="宋体" w:eastAsia="宋体" w:cs="Times New Roman"/>
                <w:sz w:val="24"/>
                <w:szCs w:val="36"/>
                <w:highlight w:val="none"/>
              </w:rPr>
            </w:pPr>
          </w:p>
        </w:tc>
      </w:tr>
    </w:tbl>
    <w:p w14:paraId="4A753762">
      <w:pPr>
        <w:rPr>
          <w:rFonts w:ascii="宋体" w:hAnsi="宋体"/>
          <w:color w:val="auto"/>
          <w:highlight w:val="none"/>
        </w:rPr>
      </w:pPr>
      <w:r>
        <w:rPr>
          <w:rFonts w:ascii="宋体" w:hAnsi="宋体"/>
          <w:color w:val="auto"/>
          <w:highlight w:val="none"/>
        </w:rPr>
        <w:br w:type="page"/>
      </w:r>
    </w:p>
    <w:p w14:paraId="7E5FB353">
      <w:pP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十</w:t>
      </w:r>
      <w:r>
        <w:rPr>
          <w:rFonts w:hint="eastAsia" w:ascii="宋体" w:hAnsi="宋体" w:cs="宋体"/>
          <w:b/>
          <w:snapToGrid w:val="0"/>
          <w:color w:val="auto"/>
          <w:spacing w:val="4"/>
          <w:kern w:val="0"/>
          <w:sz w:val="24"/>
          <w:szCs w:val="24"/>
          <w:highlight w:val="none"/>
        </w:rPr>
        <w:t>：</w:t>
      </w:r>
    </w:p>
    <w:p w14:paraId="24D93F0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宋体" w:hAnsi="宋体" w:eastAsia="宋体" w:cs="宋体"/>
          <w:color w:val="auto"/>
          <w:sz w:val="24"/>
          <w:szCs w:val="24"/>
          <w:highlight w:val="none"/>
          <w:lang w:val="en-US" w:eastAsia="zh-CN"/>
        </w:rPr>
      </w:pPr>
    </w:p>
    <w:p w14:paraId="146E0A0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宋体" w:hAnsi="宋体" w:eastAsia="宋体" w:cs="宋体"/>
          <w:b/>
          <w:color w:val="auto"/>
          <w:spacing w:val="4"/>
          <w:kern w:val="0"/>
          <w:sz w:val="36"/>
          <w:szCs w:val="36"/>
          <w:highlight w:val="none"/>
          <w:lang w:val="en-US" w:eastAsia="zh-CN" w:bidi="ar"/>
        </w:rPr>
      </w:pPr>
      <w:r>
        <w:rPr>
          <w:rFonts w:hint="eastAsia" w:ascii="宋体" w:hAnsi="宋体" w:eastAsia="宋体" w:cs="宋体"/>
          <w:b/>
          <w:color w:val="auto"/>
          <w:spacing w:val="4"/>
          <w:kern w:val="0"/>
          <w:sz w:val="36"/>
          <w:szCs w:val="36"/>
          <w:highlight w:val="none"/>
          <w:lang w:val="en-US" w:eastAsia="zh-CN" w:bidi="ar"/>
        </w:rPr>
        <w:t>投标人材料、设备响应函</w:t>
      </w:r>
    </w:p>
    <w:p w14:paraId="2FBAE929">
      <w:pPr>
        <w:topLinePunct/>
        <w:adjustRightInd w:val="0"/>
        <w:snapToGrid w:val="0"/>
        <w:spacing w:line="360" w:lineRule="auto"/>
        <w:rPr>
          <w:rFonts w:ascii="宋体" w:hAnsi="宋体" w:eastAsia="宋体" w:cs="宋体"/>
          <w:color w:val="auto"/>
          <w:spacing w:val="4"/>
          <w:kern w:val="0"/>
          <w:sz w:val="24"/>
          <w:szCs w:val="24"/>
          <w:highlight w:val="none"/>
        </w:rPr>
      </w:pPr>
    </w:p>
    <w:p w14:paraId="56A48EE5">
      <w:pPr>
        <w:topLinePunct/>
        <w:adjustRightInd w:val="0"/>
        <w:snapToGrid w:val="0"/>
        <w:spacing w:line="360" w:lineRule="auto"/>
        <w:rPr>
          <w:rFonts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致：</w:t>
      </w:r>
      <w:r>
        <w:rPr>
          <w:rFonts w:hint="eastAsia" w:ascii="宋体" w:hAnsi="宋体" w:eastAsia="宋体" w:cs="宋体"/>
          <w:color w:val="auto"/>
          <w:spacing w:val="4"/>
          <w:kern w:val="0"/>
          <w:sz w:val="24"/>
          <w:szCs w:val="24"/>
          <w:highlight w:val="none"/>
          <w:u w:val="single"/>
        </w:rPr>
        <w:t>广州新中轴建设有限公司</w:t>
      </w:r>
    </w:p>
    <w:p w14:paraId="7AD2816F">
      <w:pPr>
        <w:widowControl w:val="0"/>
        <w:topLinePunct/>
        <w:adjustRightInd w:val="0"/>
        <w:snapToGrid w:val="0"/>
        <w:spacing w:line="360" w:lineRule="auto"/>
        <w:ind w:firstLine="496" w:firstLineChars="200"/>
        <w:jc w:val="both"/>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bidi="ar-SA"/>
        </w:rPr>
        <w:t>经详细阅读本工程招标文件、招标答疑纪要和踏勘现场，我司已理解招标人对本招标项目工程管理的高标准及严格要求，在此，我司郑重作出以下响应：</w:t>
      </w:r>
    </w:p>
    <w:p w14:paraId="787D8899">
      <w:pPr>
        <w:widowControl w:val="0"/>
        <w:topLinePunct/>
        <w:adjustRightInd w:val="0"/>
        <w:snapToGrid w:val="0"/>
        <w:spacing w:line="360" w:lineRule="auto"/>
        <w:ind w:firstLine="496" w:firstLineChars="200"/>
        <w:jc w:val="both"/>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bidi="ar-SA"/>
        </w:rPr>
        <w:t>如我司中标，我司承诺本项目的主要材料设备的选用严格按照发包人看样定板的规定执行，选用的材料设备的品牌、档次、技术参数满足或优于招标文件第五章技术要求中“8、材料参考品牌”的《广州塔广场数智生活科技体验馆项目施工总承包材料参考品牌表》要求。</w:t>
      </w:r>
    </w:p>
    <w:p w14:paraId="4A037943">
      <w:pPr>
        <w:spacing w:line="360" w:lineRule="auto"/>
        <w:rPr>
          <w:rFonts w:ascii="宋体" w:hAnsi="宋体" w:eastAsia="宋体" w:cs="宋体"/>
          <w:color w:val="auto"/>
          <w:sz w:val="24"/>
          <w:szCs w:val="22"/>
          <w:highlight w:val="none"/>
        </w:rPr>
      </w:pPr>
    </w:p>
    <w:p w14:paraId="445E07F5">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w:t>
      </w:r>
    </w:p>
    <w:p w14:paraId="70BA48D2">
      <w:pPr>
        <w:spacing w:line="360" w:lineRule="auto"/>
        <w:ind w:firstLine="3480" w:firstLineChars="1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072D1F57">
      <w:pPr>
        <w:rPr>
          <w:color w:val="auto"/>
          <w:highlight w:val="none"/>
        </w:rPr>
      </w:pPr>
      <w:r>
        <w:rPr>
          <w:color w:val="auto"/>
          <w:highlight w:val="none"/>
        </w:rPr>
        <w:br w:type="page"/>
      </w:r>
    </w:p>
    <w:p w14:paraId="609B84FA">
      <w:pPr>
        <w:rPr>
          <w:rFonts w:hint="eastAsia" w:ascii="宋体" w:hAnsi="宋体" w:cs="宋体"/>
          <w:b/>
          <w:snapToGrid w:val="0"/>
          <w:color w:val="auto"/>
          <w:spacing w:val="4"/>
          <w:kern w:val="0"/>
          <w:sz w:val="24"/>
          <w:szCs w:val="24"/>
          <w:highlight w:val="none"/>
        </w:rPr>
      </w:pPr>
      <w:bookmarkStart w:id="131" w:name="_Toc60070631"/>
      <w:bookmarkStart w:id="132" w:name="_Toc58838603"/>
      <w:r>
        <w:rPr>
          <w:rFonts w:hint="eastAsia" w:ascii="宋体" w:hAnsi="宋体" w:cs="宋体"/>
          <w:b/>
          <w:snapToGrid w:val="0"/>
          <w:color w:val="auto"/>
          <w:spacing w:val="4"/>
          <w:kern w:val="0"/>
          <w:sz w:val="24"/>
          <w:szCs w:val="24"/>
          <w:highlight w:val="none"/>
        </w:rPr>
        <w:t>格式</w:t>
      </w:r>
      <w:r>
        <w:rPr>
          <w:rFonts w:hint="eastAsia" w:ascii="宋体" w:hAnsi="宋体" w:cs="宋体"/>
          <w:b/>
          <w:snapToGrid w:val="0"/>
          <w:color w:val="auto"/>
          <w:spacing w:val="4"/>
          <w:kern w:val="0"/>
          <w:sz w:val="24"/>
          <w:szCs w:val="24"/>
          <w:highlight w:val="none"/>
          <w:lang w:val="en-US" w:eastAsia="zh-CN"/>
        </w:rPr>
        <w:t>十一</w:t>
      </w:r>
      <w:r>
        <w:rPr>
          <w:rFonts w:hint="eastAsia" w:ascii="宋体" w:hAnsi="宋体" w:cs="宋体"/>
          <w:b/>
          <w:snapToGrid w:val="0"/>
          <w:color w:val="auto"/>
          <w:spacing w:val="4"/>
          <w:kern w:val="0"/>
          <w:sz w:val="24"/>
          <w:szCs w:val="24"/>
          <w:highlight w:val="none"/>
        </w:rPr>
        <w:t>：</w:t>
      </w:r>
      <w:bookmarkEnd w:id="131"/>
      <w:bookmarkEnd w:id="132"/>
    </w:p>
    <w:p w14:paraId="730FFCE7">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参与编制技术标投标文件人员名单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557"/>
        <w:gridCol w:w="2669"/>
        <w:gridCol w:w="2557"/>
        <w:gridCol w:w="1537"/>
      </w:tblGrid>
      <w:tr w14:paraId="386E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F45DC6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投标单位名称</w:t>
            </w:r>
          </w:p>
        </w:tc>
      </w:tr>
      <w:tr w14:paraId="52F6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60177BD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06" w:type="pct"/>
            <w:tcBorders>
              <w:top w:val="single" w:color="auto" w:sz="4" w:space="0"/>
              <w:left w:val="single" w:color="auto" w:sz="4" w:space="0"/>
              <w:bottom w:val="single" w:color="auto" w:sz="4" w:space="0"/>
              <w:right w:val="single" w:color="auto" w:sz="4" w:space="0"/>
            </w:tcBorders>
            <w:noWrap w:val="0"/>
            <w:vAlign w:val="center"/>
          </w:tcPr>
          <w:p w14:paraId="36922B3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382" w:type="pct"/>
            <w:tcBorders>
              <w:top w:val="single" w:color="auto" w:sz="4" w:space="0"/>
              <w:left w:val="single" w:color="auto" w:sz="4" w:space="0"/>
              <w:bottom w:val="single" w:color="auto" w:sz="4" w:space="0"/>
              <w:right w:val="single" w:color="auto" w:sz="4" w:space="0"/>
            </w:tcBorders>
            <w:noWrap w:val="0"/>
            <w:vAlign w:val="center"/>
          </w:tcPr>
          <w:p w14:paraId="6CE7F7C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noWrap w:val="0"/>
            <w:vAlign w:val="center"/>
          </w:tcPr>
          <w:p w14:paraId="1B5CDB8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3CE7B0F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本人签名栏</w:t>
            </w:r>
          </w:p>
        </w:tc>
      </w:tr>
      <w:tr w14:paraId="3362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1078A7A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55C8C4C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2438F4B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6EE688C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748C0C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612F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0FA9805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2930341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33792B7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51D28C0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1B7C8AE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571F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2ADCEC2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0A7123D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1ED26CF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2F96519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0F1F4F3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443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7302BD1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0E1B51A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0D390D5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0C1F0D2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165AC41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08ED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1C5AF59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2741F77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157C394E">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7A6E35D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04CF5C8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28EC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0DE94E6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0B7FE65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4EF1664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51A3265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1FCCE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1373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5C1A97F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7900227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02B6544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2E532C3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7B55AC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r w14:paraId="1B3B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noWrap w:val="0"/>
            <w:vAlign w:val="center"/>
          </w:tcPr>
          <w:p w14:paraId="3E72E63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806" w:type="pct"/>
            <w:tcBorders>
              <w:top w:val="single" w:color="auto" w:sz="4" w:space="0"/>
              <w:left w:val="single" w:color="auto" w:sz="4" w:space="0"/>
              <w:bottom w:val="single" w:color="auto" w:sz="4" w:space="0"/>
              <w:right w:val="single" w:color="auto" w:sz="4" w:space="0"/>
            </w:tcBorders>
            <w:noWrap w:val="0"/>
            <w:vAlign w:val="center"/>
          </w:tcPr>
          <w:p w14:paraId="729FC34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82" w:type="pct"/>
            <w:tcBorders>
              <w:top w:val="single" w:color="auto" w:sz="4" w:space="0"/>
              <w:left w:val="single" w:color="auto" w:sz="4" w:space="0"/>
              <w:bottom w:val="single" w:color="auto" w:sz="4" w:space="0"/>
              <w:right w:val="single" w:color="auto" w:sz="4" w:space="0"/>
            </w:tcBorders>
            <w:noWrap w:val="0"/>
            <w:vAlign w:val="center"/>
          </w:tcPr>
          <w:p w14:paraId="510B090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1324" w:type="pct"/>
            <w:tcBorders>
              <w:top w:val="single" w:color="auto" w:sz="4" w:space="0"/>
              <w:left w:val="single" w:color="auto" w:sz="4" w:space="0"/>
              <w:bottom w:val="single" w:color="auto" w:sz="4" w:space="0"/>
              <w:right w:val="single" w:color="auto" w:sz="4" w:space="0"/>
            </w:tcBorders>
            <w:noWrap w:val="0"/>
            <w:vAlign w:val="center"/>
          </w:tcPr>
          <w:p w14:paraId="5071128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970575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1"/>
                <w:szCs w:val="21"/>
                <w:highlight w:val="none"/>
              </w:rPr>
            </w:pPr>
          </w:p>
        </w:tc>
      </w:tr>
    </w:tbl>
    <w:p w14:paraId="7FC3BBCF">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14:paraId="3A0BC7E4">
      <w:pPr>
        <w:rPr>
          <w:rFonts w:hint="eastAsia"/>
          <w:color w:val="auto"/>
          <w:highlight w:val="none"/>
        </w:rPr>
      </w:pPr>
    </w:p>
    <w:p w14:paraId="65F9B0BF">
      <w:pPr>
        <w:rPr>
          <w:rFonts w:hint="eastAsia"/>
          <w:color w:val="auto"/>
          <w:highlight w:val="none"/>
        </w:rPr>
      </w:pPr>
    </w:p>
    <w:p w14:paraId="3A1FD801">
      <w:pPr>
        <w:pStyle w:val="22"/>
        <w:rPr>
          <w:rFonts w:hint="eastAsia"/>
          <w:color w:val="auto"/>
          <w:highlight w:val="none"/>
        </w:rPr>
        <w:sectPr>
          <w:headerReference r:id="rId16" w:type="default"/>
          <w:footerReference r:id="rId17" w:type="default"/>
          <w:pgSz w:w="11906" w:h="16838"/>
          <w:pgMar w:top="1440" w:right="866" w:bottom="1440" w:left="1600" w:header="851" w:footer="992" w:gutter="0"/>
          <w:pgBorders>
            <w:top w:val="none" w:sz="0" w:space="0"/>
            <w:left w:val="none" w:sz="0" w:space="0"/>
            <w:bottom w:val="none" w:sz="0" w:space="0"/>
            <w:right w:val="none" w:sz="0" w:space="0"/>
          </w:pgBorders>
          <w:cols w:space="720" w:num="1"/>
          <w:docGrid w:type="lines" w:linePitch="312" w:charSpace="0"/>
        </w:sectPr>
      </w:pPr>
    </w:p>
    <w:p w14:paraId="3BA3454F">
      <w:pPr>
        <w:autoSpaceDN w:val="0"/>
        <w:rPr>
          <w:rFonts w:ascii="宋体" w:hAnsi="宋体"/>
          <w:color w:val="auto"/>
          <w:szCs w:val="20"/>
          <w:highlight w:val="none"/>
        </w:rPr>
      </w:pPr>
      <w:bookmarkStart w:id="133" w:name="_Toc6493862"/>
      <w:bookmarkStart w:id="134" w:name="_Toc58838605"/>
      <w:bookmarkStart w:id="135" w:name="_Toc60070633"/>
    </w:p>
    <w:p w14:paraId="11D8A8EF">
      <w:pPr>
        <w:keepNext/>
        <w:keepLines/>
        <w:spacing w:before="120" w:after="120" w:line="415" w:lineRule="auto"/>
        <w:jc w:val="center"/>
        <w:outlineLvl w:val="1"/>
        <w:rPr>
          <w:rFonts w:hint="eastAsia" w:ascii="宋体" w:hAnsi="宋体" w:cs="宋体"/>
          <w:b/>
          <w:color w:val="auto"/>
          <w:sz w:val="28"/>
          <w:szCs w:val="28"/>
          <w:highlight w:val="none"/>
        </w:rPr>
      </w:pPr>
      <w:bookmarkStart w:id="136" w:name="_Toc58838604"/>
      <w:bookmarkStart w:id="137" w:name="_Toc12275"/>
      <w:bookmarkStart w:id="138" w:name="_Toc19883"/>
      <w:bookmarkStart w:id="139" w:name="_Toc26124"/>
      <w:bookmarkStart w:id="140" w:name="_Toc29521"/>
      <w:bookmarkStart w:id="141" w:name="_Toc4365"/>
      <w:bookmarkStart w:id="142" w:name="_Toc3150"/>
      <w:bookmarkStart w:id="143" w:name="_Toc7624"/>
      <w:bookmarkStart w:id="144" w:name="_Toc11517"/>
      <w:bookmarkStart w:id="145" w:name="_Toc3791"/>
      <w:bookmarkStart w:id="146" w:name="_Toc29236"/>
      <w:bookmarkStart w:id="147" w:name="_Toc31178"/>
      <w:r>
        <w:rPr>
          <w:rFonts w:hint="eastAsia" w:ascii="宋体" w:hAnsi="宋体" w:cs="宋体"/>
          <w:b/>
          <w:color w:val="auto"/>
          <w:sz w:val="28"/>
          <w:szCs w:val="28"/>
          <w:highlight w:val="none"/>
        </w:rPr>
        <w:t>二、经济标投标文件格式</w:t>
      </w:r>
      <w:bookmarkEnd w:id="136"/>
      <w:bookmarkEnd w:id="137"/>
      <w:bookmarkEnd w:id="138"/>
      <w:bookmarkEnd w:id="139"/>
      <w:bookmarkEnd w:id="140"/>
      <w:bookmarkEnd w:id="141"/>
      <w:bookmarkEnd w:id="142"/>
      <w:bookmarkEnd w:id="143"/>
      <w:bookmarkEnd w:id="144"/>
      <w:bookmarkEnd w:id="145"/>
      <w:bookmarkEnd w:id="146"/>
      <w:bookmarkEnd w:id="147"/>
    </w:p>
    <w:p w14:paraId="6E257E46">
      <w:pPr>
        <w:topLinePunct/>
        <w:adjustRightInd w:val="0"/>
        <w:snapToGrid w:val="0"/>
        <w:spacing w:before="50" w:after="50" w:line="360" w:lineRule="auto"/>
        <w:jc w:val="left"/>
        <w:outlineLvl w:val="2"/>
        <w:rPr>
          <w:rFonts w:hint="eastAsia" w:ascii="宋体" w:hAnsi="宋体" w:cs="宋体"/>
          <w:b/>
          <w:snapToGrid w:val="0"/>
          <w:color w:val="auto"/>
          <w:spacing w:val="4"/>
          <w:kern w:val="0"/>
          <w:sz w:val="24"/>
          <w:szCs w:val="24"/>
          <w:highlight w:val="none"/>
        </w:rPr>
      </w:pPr>
      <w:bookmarkStart w:id="148" w:name="_Toc532475802"/>
      <w:bookmarkStart w:id="149" w:name="_Toc532475369"/>
      <w:bookmarkStart w:id="150" w:name="_Toc23424915"/>
      <w:bookmarkStart w:id="151" w:name="_Toc510963901"/>
      <w:r>
        <w:rPr>
          <w:rFonts w:hint="eastAsia" w:ascii="宋体" w:hAnsi="宋体" w:cs="宋体"/>
          <w:b/>
          <w:snapToGrid w:val="0"/>
          <w:color w:val="auto"/>
          <w:spacing w:val="4"/>
          <w:kern w:val="0"/>
          <w:sz w:val="24"/>
          <w:szCs w:val="24"/>
          <w:highlight w:val="none"/>
        </w:rPr>
        <w:t>格式十</w:t>
      </w:r>
      <w:r>
        <w:rPr>
          <w:rFonts w:hint="eastAsia" w:ascii="宋体" w:hAnsi="宋体" w:cs="宋体"/>
          <w:b/>
          <w:snapToGrid w:val="0"/>
          <w:color w:val="auto"/>
          <w:spacing w:val="4"/>
          <w:kern w:val="0"/>
          <w:sz w:val="24"/>
          <w:szCs w:val="24"/>
          <w:highlight w:val="none"/>
          <w:lang w:val="en-US" w:eastAsia="zh-CN"/>
        </w:rPr>
        <w:t>二</w:t>
      </w:r>
      <w:r>
        <w:rPr>
          <w:rFonts w:hint="eastAsia" w:ascii="宋体" w:hAnsi="宋体" w:cs="宋体"/>
          <w:b/>
          <w:snapToGrid w:val="0"/>
          <w:color w:val="auto"/>
          <w:spacing w:val="4"/>
          <w:kern w:val="0"/>
          <w:sz w:val="24"/>
          <w:szCs w:val="24"/>
          <w:highlight w:val="none"/>
        </w:rPr>
        <w:t>：经济标封面</w:t>
      </w:r>
      <w:bookmarkEnd w:id="148"/>
      <w:bookmarkEnd w:id="149"/>
      <w:bookmarkEnd w:id="150"/>
      <w:bookmarkEnd w:id="151"/>
    </w:p>
    <w:p w14:paraId="317DEFAC">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01B08367">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13F734D">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[项目名称] </w:t>
      </w:r>
    </w:p>
    <w:p w14:paraId="70B2E2B0">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1D570466">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0F669316">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46EF6E5B">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08BF10C1">
      <w:pPr>
        <w:topLinePunct/>
        <w:adjustRightInd w:val="0"/>
        <w:snapToGrid w:val="0"/>
        <w:spacing w:line="360" w:lineRule="auto"/>
        <w:jc w:val="center"/>
        <w:rPr>
          <w:rFonts w:hint="eastAsia" w:ascii="宋体" w:hAnsi="宋体" w:cs="宋体"/>
          <w:color w:val="auto"/>
          <w:spacing w:val="4"/>
          <w:kern w:val="0"/>
          <w:sz w:val="84"/>
          <w:szCs w:val="84"/>
          <w:highlight w:val="none"/>
        </w:rPr>
      </w:pPr>
      <w:r>
        <w:rPr>
          <w:rFonts w:hint="eastAsia" w:ascii="宋体" w:hAnsi="宋体" w:cs="宋体"/>
          <w:color w:val="auto"/>
          <w:spacing w:val="4"/>
          <w:kern w:val="0"/>
          <w:sz w:val="84"/>
          <w:szCs w:val="84"/>
          <w:highlight w:val="none"/>
        </w:rPr>
        <w:t>投标文件</w:t>
      </w:r>
    </w:p>
    <w:p w14:paraId="254DEDCE">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color w:val="auto"/>
          <w:spacing w:val="4"/>
          <w:kern w:val="0"/>
          <w:sz w:val="36"/>
          <w:szCs w:val="36"/>
          <w:highlight w:val="none"/>
        </w:rPr>
        <w:t>经济标</w:t>
      </w:r>
    </w:p>
    <w:p w14:paraId="6BF1E5B5">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r>
        <w:rPr>
          <w:rFonts w:hint="eastAsia" w:ascii="宋体" w:hAnsi="宋体" w:eastAsia="等线" w:cs="宋体"/>
          <w:color w:val="auto"/>
          <w:spacing w:val="4"/>
          <w:kern w:val="0"/>
          <w:sz w:val="24"/>
          <w:szCs w:val="24"/>
          <w:highlight w:val="none"/>
        </w:rPr>
        <w:t xml:space="preserve">   </w:t>
      </w:r>
    </w:p>
    <w:p w14:paraId="2B3C7571">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C033FDA">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11A4689">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51C2E000">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7CA3AD8B">
      <w:pPr>
        <w:topLinePunct/>
        <w:adjustRightInd w:val="0"/>
        <w:snapToGrid w:val="0"/>
        <w:spacing w:line="360" w:lineRule="auto"/>
        <w:ind w:firstLine="496" w:firstLineChars="200"/>
        <w:rPr>
          <w:rFonts w:hint="eastAsia" w:ascii="宋体" w:hAnsi="宋体" w:eastAsia="等线" w:cs="宋体"/>
          <w:color w:val="auto"/>
          <w:spacing w:val="4"/>
          <w:kern w:val="0"/>
          <w:sz w:val="24"/>
          <w:szCs w:val="24"/>
          <w:highlight w:val="none"/>
        </w:rPr>
      </w:pPr>
    </w:p>
    <w:p w14:paraId="303F3DC8">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w:t>
      </w:r>
    </w:p>
    <w:p w14:paraId="508E737F">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日  期：</w:t>
      </w:r>
      <w:r>
        <w:rPr>
          <w:rFonts w:hint="eastAsia" w:ascii="宋体" w:hAnsi="宋体" w:cs="宋体"/>
          <w:color w:val="auto"/>
          <w:spacing w:val="4"/>
          <w:kern w:val="0"/>
          <w:sz w:val="30"/>
          <w:szCs w:val="30"/>
          <w:highlight w:val="none"/>
          <w:u w:val="single"/>
        </w:rPr>
        <w:t xml:space="preserve">                                        </w:t>
      </w:r>
      <w:r>
        <w:rPr>
          <w:rFonts w:hint="eastAsia" w:ascii="宋体" w:hAnsi="宋体" w:cs="宋体"/>
          <w:color w:val="auto"/>
          <w:spacing w:val="4"/>
          <w:kern w:val="0"/>
          <w:sz w:val="30"/>
          <w:szCs w:val="30"/>
          <w:highlight w:val="none"/>
        </w:rPr>
        <w:t xml:space="preserve"> </w:t>
      </w:r>
    </w:p>
    <w:p w14:paraId="771EE883">
      <w:pPr>
        <w:rPr>
          <w:rFonts w:ascii="Calibri" w:hAnsi="Calibri" w:cs="宋体"/>
          <w:b/>
          <w:bCs/>
          <w:color w:val="auto"/>
          <w:sz w:val="27"/>
          <w:szCs w:val="27"/>
          <w:highlight w:val="none"/>
          <w:lang w:val="zh-CN"/>
        </w:rPr>
      </w:pPr>
      <w:r>
        <w:rPr>
          <w:rFonts w:hint="eastAsia"/>
          <w:snapToGrid w:val="0"/>
          <w:color w:val="auto"/>
          <w:sz w:val="27"/>
          <w:szCs w:val="27"/>
          <w:highlight w:val="none"/>
        </w:rPr>
        <w:br w:type="page"/>
      </w:r>
      <w:bookmarkEnd w:id="133"/>
      <w:bookmarkEnd w:id="134"/>
      <w:bookmarkEnd w:id="135"/>
      <w:r>
        <w:rPr>
          <w:rFonts w:hint="eastAsia" w:ascii="Calibri" w:hAnsi="Calibri"/>
          <w:b/>
          <w:bCs/>
          <w:snapToGrid w:val="0"/>
          <w:color w:val="auto"/>
          <w:sz w:val="24"/>
          <w:szCs w:val="24"/>
          <w:highlight w:val="none"/>
        </w:rPr>
        <w:t>格式十</w:t>
      </w:r>
      <w:r>
        <w:rPr>
          <w:rFonts w:hint="eastAsia" w:ascii="Calibri" w:hAnsi="Calibri"/>
          <w:b/>
          <w:bCs/>
          <w:snapToGrid w:val="0"/>
          <w:color w:val="auto"/>
          <w:sz w:val="24"/>
          <w:szCs w:val="24"/>
          <w:highlight w:val="none"/>
          <w:lang w:val="en-US" w:eastAsia="zh-CN"/>
        </w:rPr>
        <w:t>三</w:t>
      </w:r>
      <w:r>
        <w:rPr>
          <w:rFonts w:hint="eastAsia" w:ascii="Calibri" w:hAnsi="Calibri"/>
          <w:b/>
          <w:bCs/>
          <w:snapToGrid w:val="0"/>
          <w:color w:val="auto"/>
          <w:sz w:val="24"/>
          <w:szCs w:val="24"/>
          <w:highlight w:val="none"/>
        </w:rPr>
        <w:t>：</w:t>
      </w:r>
    </w:p>
    <w:p w14:paraId="75B1AC0D">
      <w:pPr>
        <w:autoSpaceDE w:val="0"/>
        <w:autoSpaceDN w:val="0"/>
        <w:adjustRightInd w:val="0"/>
        <w:ind w:left="-539" w:leftChars="-257" w:firstLine="1130"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广州建设工程施工经济标招标投标书</w:t>
      </w:r>
    </w:p>
    <w:tbl>
      <w:tblPr>
        <w:tblStyle w:val="39"/>
        <w:tblpPr w:leftFromText="180" w:rightFromText="180" w:vertAnchor="text" w:horzAnchor="margin" w:tblpXSpec="center" w:tblpY="27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4372"/>
      </w:tblGrid>
      <w:tr w14:paraId="007C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2B82FB79">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4372" w:type="dxa"/>
            <w:tcBorders>
              <w:top w:val="single" w:color="auto" w:sz="4" w:space="0"/>
              <w:left w:val="single" w:color="auto" w:sz="4" w:space="0"/>
              <w:bottom w:val="single" w:color="auto" w:sz="4" w:space="0"/>
              <w:right w:val="single" w:color="auto" w:sz="4" w:space="0"/>
            </w:tcBorders>
          </w:tcPr>
          <w:p w14:paraId="1E610693">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r w14:paraId="25E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0AAE838B">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372" w:type="dxa"/>
            <w:tcBorders>
              <w:top w:val="single" w:color="auto" w:sz="4" w:space="0"/>
              <w:left w:val="single" w:color="auto" w:sz="4" w:space="0"/>
              <w:bottom w:val="single" w:color="auto" w:sz="4" w:space="0"/>
              <w:right w:val="single" w:color="auto" w:sz="4" w:space="0"/>
            </w:tcBorders>
            <w:vAlign w:val="center"/>
          </w:tcPr>
          <w:p w14:paraId="7A58D25C">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r w14:paraId="3B2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54C2047E">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372" w:type="dxa"/>
            <w:tcBorders>
              <w:top w:val="single" w:color="auto" w:sz="4" w:space="0"/>
              <w:left w:val="single" w:color="auto" w:sz="4" w:space="0"/>
              <w:bottom w:val="single" w:color="auto" w:sz="4" w:space="0"/>
              <w:right w:val="single" w:color="auto" w:sz="4" w:space="0"/>
            </w:tcBorders>
            <w:vAlign w:val="center"/>
          </w:tcPr>
          <w:p w14:paraId="6ECB9F02">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r w14:paraId="63BE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14:paraId="49C716DB">
            <w:pPr>
              <w:keepNext w:val="0"/>
              <w:keepLines w:val="0"/>
              <w:widowControl/>
              <w:suppressLineNumbers w:val="0"/>
              <w:spacing w:before="0" w:beforeAutospacing="0" w:after="0" w:afterAutospacing="0"/>
              <w:ind w:left="0" w:right="0"/>
              <w:jc w:val="left"/>
              <w:rPr>
                <w:rFonts w:hint="default"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安全生产措施费（元）</w:t>
            </w:r>
          </w:p>
        </w:tc>
        <w:tc>
          <w:tcPr>
            <w:tcW w:w="4372" w:type="dxa"/>
            <w:tcBorders>
              <w:top w:val="single" w:color="auto" w:sz="4" w:space="0"/>
              <w:left w:val="single" w:color="auto" w:sz="4" w:space="0"/>
              <w:bottom w:val="single" w:color="auto" w:sz="4" w:space="0"/>
              <w:right w:val="single" w:color="auto" w:sz="4" w:space="0"/>
            </w:tcBorders>
            <w:vAlign w:val="center"/>
          </w:tcPr>
          <w:p w14:paraId="40E5A6C6">
            <w:pPr>
              <w:keepNext w:val="0"/>
              <w:keepLines w:val="0"/>
              <w:suppressLineNumbers w:val="0"/>
              <w:autoSpaceDE w:val="0"/>
              <w:autoSpaceDN w:val="0"/>
              <w:adjustRightInd w:val="0"/>
              <w:spacing w:before="0" w:beforeAutospacing="0" w:after="0" w:afterAutospacing="0"/>
              <w:ind w:left="0" w:right="0"/>
              <w:rPr>
                <w:rFonts w:hint="default" w:ascii="宋体" w:cs="宋体"/>
                <w:b/>
                <w:bCs/>
                <w:color w:val="auto"/>
                <w:sz w:val="24"/>
                <w:szCs w:val="24"/>
                <w:highlight w:val="none"/>
                <w:lang w:val="zh-CN"/>
              </w:rPr>
            </w:pPr>
          </w:p>
        </w:tc>
      </w:tr>
    </w:tbl>
    <w:p w14:paraId="0646404D">
      <w:pPr>
        <w:topLinePunct/>
        <w:adjustRightInd w:val="0"/>
        <w:snapToGrid w:val="0"/>
        <w:spacing w:line="360" w:lineRule="auto"/>
        <w:jc w:val="center"/>
        <w:rPr>
          <w:rFonts w:hint="eastAsia" w:ascii="Calibri" w:hAnsi="Calibri" w:cs="Times New Roman"/>
          <w:color w:val="auto"/>
          <w:sz w:val="24"/>
          <w:szCs w:val="24"/>
          <w:highlight w:val="none"/>
        </w:rPr>
      </w:pPr>
      <w:r>
        <w:rPr>
          <w:rFonts w:hint="eastAsia" w:ascii="宋体" w:hAnsi="宋体" w:cs="宋体"/>
          <w:bCs/>
          <w:color w:val="auto"/>
          <w:sz w:val="24"/>
          <w:szCs w:val="24"/>
          <w:highlight w:val="none"/>
          <w:lang w:val="zh-CN"/>
        </w:rPr>
        <w:br w:type="page"/>
      </w:r>
      <w:bookmarkStart w:id="152" w:name="_Toc58838608"/>
    </w:p>
    <w:p w14:paraId="447AEF38">
      <w:pPr>
        <w:pStyle w:val="9"/>
        <w:ind w:firstLine="0" w:firstLineChars="0"/>
        <w:jc w:val="left"/>
        <w:rPr>
          <w:rFonts w:hint="default" w:ascii="Calibri" w:hAnsi="Calibri" w:eastAsia="宋体" w:cs="Times New Roman"/>
          <w:b/>
          <w:bCs/>
          <w:snapToGrid w:val="0"/>
          <w:color w:val="auto"/>
          <w:kern w:val="2"/>
          <w:sz w:val="24"/>
          <w:szCs w:val="24"/>
          <w:highlight w:val="none"/>
          <w:lang w:val="en-US" w:eastAsia="zh-CN" w:bidi="ar-SA"/>
        </w:rPr>
      </w:pPr>
      <w:r>
        <w:rPr>
          <w:rFonts w:hint="eastAsia" w:ascii="Calibri" w:hAnsi="Calibri" w:eastAsia="宋体" w:cs="Times New Roman"/>
          <w:b/>
          <w:bCs/>
          <w:snapToGrid w:val="0"/>
          <w:color w:val="auto"/>
          <w:kern w:val="2"/>
          <w:sz w:val="24"/>
          <w:szCs w:val="24"/>
          <w:highlight w:val="none"/>
          <w:lang w:val="en-US" w:eastAsia="zh-CN" w:bidi="ar-SA"/>
        </w:rPr>
        <w:t>格式十</w:t>
      </w:r>
      <w:r>
        <w:rPr>
          <w:rFonts w:hint="eastAsia" w:ascii="Calibri" w:hAnsi="Calibri" w:cs="Times New Roman"/>
          <w:b/>
          <w:bCs/>
          <w:snapToGrid w:val="0"/>
          <w:color w:val="auto"/>
          <w:kern w:val="2"/>
          <w:sz w:val="24"/>
          <w:szCs w:val="24"/>
          <w:highlight w:val="none"/>
          <w:lang w:val="en-US" w:eastAsia="zh-CN" w:bidi="ar-SA"/>
        </w:rPr>
        <w:t>四</w:t>
      </w:r>
      <w:r>
        <w:rPr>
          <w:rFonts w:hint="eastAsia" w:ascii="Calibri" w:hAnsi="Calibri" w:eastAsia="宋体" w:cs="Times New Roman"/>
          <w:b/>
          <w:bCs/>
          <w:snapToGrid w:val="0"/>
          <w:color w:val="auto"/>
          <w:kern w:val="2"/>
          <w:sz w:val="24"/>
          <w:szCs w:val="24"/>
          <w:highlight w:val="none"/>
          <w:lang w:val="en-US" w:eastAsia="zh-CN" w:bidi="ar-SA"/>
        </w:rPr>
        <w:t>：</w:t>
      </w:r>
    </w:p>
    <w:p w14:paraId="29EC80E8">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参与编制经济标投标文件人员名单</w:t>
      </w:r>
      <w:bookmarkEnd w:id="152"/>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625"/>
        <w:gridCol w:w="1893"/>
      </w:tblGrid>
      <w:tr w14:paraId="5690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59" w:type="dxa"/>
            <w:gridSpan w:val="5"/>
            <w:noWrap w:val="0"/>
            <w:vAlign w:val="center"/>
          </w:tcPr>
          <w:p w14:paraId="0729F10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tc>
      </w:tr>
      <w:tr w14:paraId="7608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noWrap w:val="0"/>
            <w:vAlign w:val="center"/>
          </w:tcPr>
          <w:p w14:paraId="26FA777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41" w:type="dxa"/>
            <w:noWrap w:val="0"/>
            <w:vAlign w:val="center"/>
          </w:tcPr>
          <w:p w14:paraId="4BFA339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461" w:type="dxa"/>
            <w:noWrap w:val="0"/>
            <w:vAlign w:val="center"/>
          </w:tcPr>
          <w:p w14:paraId="5C23370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所承担工作</w:t>
            </w:r>
          </w:p>
        </w:tc>
        <w:tc>
          <w:tcPr>
            <w:tcW w:w="2625" w:type="dxa"/>
            <w:noWrap w:val="0"/>
            <w:vAlign w:val="center"/>
          </w:tcPr>
          <w:p w14:paraId="5550EA2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893" w:type="dxa"/>
            <w:noWrap w:val="0"/>
            <w:vAlign w:val="center"/>
          </w:tcPr>
          <w:p w14:paraId="725335D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本人签名栏</w:t>
            </w:r>
          </w:p>
        </w:tc>
      </w:tr>
      <w:tr w14:paraId="2AB5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noWrap w:val="0"/>
            <w:vAlign w:val="center"/>
          </w:tcPr>
          <w:p w14:paraId="06DD33C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47CB119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2657BB5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7637149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22C21C2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17BE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13E1563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024B9F9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30C93B1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60B49FB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0F0AB51C">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6C6B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24645FE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526928F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7110242A">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4394FD4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63F31312">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4D56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395EE55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1B2F2D21">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4FE1102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2545A680">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7756767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0167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39BC78C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68B7082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0007255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1E6BC97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26C1374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6D62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14:paraId="6FC9C81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6751CF6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5746B31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4F953C09">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5ED2239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7576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noWrap w:val="0"/>
            <w:vAlign w:val="center"/>
          </w:tcPr>
          <w:p w14:paraId="2385B558">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1EC14D76">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7B3441A3">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4BDBE8A5">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4CB1FE4B">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347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noWrap w:val="0"/>
            <w:vAlign w:val="center"/>
          </w:tcPr>
          <w:p w14:paraId="42459C54">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1" w:type="dxa"/>
            <w:noWrap w:val="0"/>
            <w:vAlign w:val="center"/>
          </w:tcPr>
          <w:p w14:paraId="458F0287">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61" w:type="dxa"/>
            <w:noWrap w:val="0"/>
            <w:vAlign w:val="center"/>
          </w:tcPr>
          <w:p w14:paraId="7E0960DD">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625" w:type="dxa"/>
            <w:noWrap w:val="0"/>
            <w:vAlign w:val="center"/>
          </w:tcPr>
          <w:p w14:paraId="1181C79F">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893" w:type="dxa"/>
            <w:noWrap w:val="0"/>
            <w:vAlign w:val="center"/>
          </w:tcPr>
          <w:p w14:paraId="0FF84F22">
            <w:pPr>
              <w:keepNext w:val="0"/>
              <w:keepLines w:val="0"/>
              <w:pageBreakBefore w:val="0"/>
              <w:widowControl w:val="0"/>
              <w:suppressLineNumbers w:val="0"/>
              <w:tabs>
                <w:tab w:val="left" w:pos="720"/>
              </w:tabs>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bl>
    <w:p w14:paraId="6D424457">
      <w:pPr>
        <w:tabs>
          <w:tab w:val="left" w:pos="720"/>
        </w:tabs>
        <w:snapToGrid w:val="0"/>
        <w:spacing w:line="360" w:lineRule="auto"/>
        <w:rPr>
          <w:rFonts w:ascii="宋体" w:hAnsi="宋体" w:cs="Times New Roman"/>
          <w:color w:val="auto"/>
          <w:sz w:val="24"/>
          <w:szCs w:val="24"/>
          <w:highlight w:val="none"/>
        </w:rPr>
      </w:pPr>
    </w:p>
    <w:p w14:paraId="7203F99F">
      <w:pPr>
        <w:tabs>
          <w:tab w:val="left" w:pos="720"/>
        </w:tabs>
        <w:snapToGrid w:val="0"/>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注：参与编制经济标书所有人员名单应包括如编制各种专业工程量清单投标报价、负责清样校对、负责打印及复印等所有人员在内的人员名单。</w:t>
      </w:r>
    </w:p>
    <w:p w14:paraId="6A0E2B98">
      <w:pPr>
        <w:widowControl/>
        <w:jc w:val="left"/>
        <w:rPr>
          <w:rFonts w:ascii="宋体" w:hAnsi="宋体" w:cs="宋体"/>
          <w:b/>
          <w:color w:val="auto"/>
          <w:kern w:val="0"/>
          <w:sz w:val="24"/>
          <w:szCs w:val="24"/>
          <w:highlight w:val="none"/>
        </w:rPr>
      </w:pPr>
      <w:r>
        <w:rPr>
          <w:rFonts w:ascii="宋体" w:hAnsi="宋体"/>
          <w:color w:val="auto"/>
          <w:highlight w:val="none"/>
        </w:rPr>
        <w:br w:type="page"/>
      </w:r>
    </w:p>
    <w:p w14:paraId="14E15883">
      <w:pPr>
        <w:rPr>
          <w:rFonts w:hint="eastAsia" w:ascii="Calibri" w:hAnsi="Calibri" w:cs="Times New Roman"/>
          <w:b/>
          <w:bCs/>
          <w:snapToGrid w:val="0"/>
          <w:color w:val="auto"/>
          <w:sz w:val="24"/>
          <w:szCs w:val="24"/>
          <w:highlight w:val="none"/>
        </w:rPr>
      </w:pPr>
      <w:bookmarkStart w:id="153" w:name="_Toc60070635"/>
      <w:r>
        <w:rPr>
          <w:rFonts w:hint="eastAsia" w:ascii="Calibri" w:hAnsi="Calibri" w:cs="Times New Roman"/>
          <w:b/>
          <w:bCs/>
          <w:snapToGrid w:val="0"/>
          <w:color w:val="auto"/>
          <w:sz w:val="24"/>
          <w:szCs w:val="24"/>
          <w:highlight w:val="none"/>
        </w:rPr>
        <w:t>格式</w:t>
      </w:r>
      <w:bookmarkEnd w:id="153"/>
      <w:r>
        <w:rPr>
          <w:rFonts w:hint="eastAsia" w:ascii="Calibri" w:hAnsi="Calibri" w:cs="Times New Roman"/>
          <w:b/>
          <w:bCs/>
          <w:snapToGrid w:val="0"/>
          <w:color w:val="auto"/>
          <w:sz w:val="24"/>
          <w:szCs w:val="24"/>
          <w:highlight w:val="none"/>
        </w:rPr>
        <w:t>十</w:t>
      </w:r>
      <w:r>
        <w:rPr>
          <w:rFonts w:hint="eastAsia" w:ascii="Calibri" w:hAnsi="Calibri" w:cs="Times New Roman"/>
          <w:b/>
          <w:bCs/>
          <w:snapToGrid w:val="0"/>
          <w:color w:val="auto"/>
          <w:sz w:val="24"/>
          <w:szCs w:val="24"/>
          <w:highlight w:val="none"/>
          <w:lang w:val="en-US" w:eastAsia="zh-CN"/>
        </w:rPr>
        <w:t>五</w:t>
      </w:r>
      <w:r>
        <w:rPr>
          <w:rFonts w:hint="eastAsia" w:ascii="Calibri" w:hAnsi="Calibri" w:cs="Times New Roman"/>
          <w:b/>
          <w:bCs/>
          <w:snapToGrid w:val="0"/>
          <w:color w:val="auto"/>
          <w:sz w:val="24"/>
          <w:szCs w:val="24"/>
          <w:highlight w:val="none"/>
        </w:rPr>
        <w:t>：</w:t>
      </w:r>
    </w:p>
    <w:p w14:paraId="16D4D202">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对投标文件编制的承诺</w:t>
      </w:r>
    </w:p>
    <w:p w14:paraId="044EEC27">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073AB446">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w:t>
      </w:r>
      <w:r>
        <w:rPr>
          <w:rFonts w:hint="eastAsia" w:ascii="宋体" w:hAnsi="宋体"/>
          <w:color w:val="auto"/>
          <w:sz w:val="24"/>
          <w:szCs w:val="24"/>
          <w:highlight w:val="none"/>
        </w:rPr>
        <w:t>技术方案文件、</w:t>
      </w:r>
      <w:r>
        <w:rPr>
          <w:rFonts w:hint="eastAsia" w:ascii="宋体" w:hAnsi="宋体" w:cs="宋体"/>
          <w:color w:val="auto"/>
          <w:sz w:val="24"/>
          <w:szCs w:val="24"/>
          <w:highlight w:val="none"/>
        </w:rPr>
        <w:t>工程量清单、以及投标文件的加密打包的理解；</w:t>
      </w:r>
    </w:p>
    <w:p w14:paraId="5884EC38">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55C4EC22">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678209B5">
      <w:pPr>
        <w:pStyle w:val="37"/>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08828F2C">
      <w:pPr>
        <w:pStyle w:val="37"/>
        <w:spacing w:after="0" w:line="360" w:lineRule="auto"/>
        <w:ind w:firstLine="360" w:firstLineChars="150"/>
        <w:rPr>
          <w:rFonts w:ascii="宋体" w:hAnsi="宋体" w:cs="宋体"/>
          <w:color w:val="auto"/>
          <w:sz w:val="24"/>
          <w:szCs w:val="24"/>
          <w:highlight w:val="none"/>
        </w:rPr>
      </w:pPr>
    </w:p>
    <w:p w14:paraId="3F6C1C05">
      <w:pPr>
        <w:pStyle w:val="37"/>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1FCBB3C4">
      <w:pPr>
        <w:spacing w:line="360" w:lineRule="auto"/>
        <w:ind w:right="90"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p>
    <w:p w14:paraId="5684EA99">
      <w:pPr>
        <w:spacing w:line="360" w:lineRule="auto"/>
        <w:ind w:right="90" w:firstLine="3240" w:firstLineChars="1350"/>
        <w:rPr>
          <w:rFonts w:ascii="宋体" w:hAnsi="宋体" w:cs="宋体"/>
          <w:color w:val="auto"/>
          <w:sz w:val="24"/>
          <w:szCs w:val="24"/>
          <w:highlight w:val="none"/>
        </w:rPr>
      </w:pPr>
      <w:r>
        <w:rPr>
          <w:rFonts w:hint="eastAsia" w:ascii="宋体" w:hAnsi="宋体" w:eastAsia="宋体" w:cs="宋体"/>
          <w:color w:val="auto"/>
          <w:sz w:val="24"/>
          <w:szCs w:val="24"/>
          <w:highlight w:val="none"/>
        </w:rPr>
        <w:t>日期：      年   月   日</w:t>
      </w:r>
    </w:p>
    <w:p w14:paraId="75BDF79C">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投标文件编制情况</w:t>
      </w:r>
    </w:p>
    <w:p w14:paraId="59A6A42B">
      <w:pPr>
        <w:pStyle w:val="37"/>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200FBBAA">
      <w:pPr>
        <w:pStyle w:val="37"/>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39"/>
        <w:tblW w:w="5000" w:type="pct"/>
        <w:tblInd w:w="0" w:type="dxa"/>
        <w:tblLayout w:type="autofit"/>
        <w:tblCellMar>
          <w:top w:w="0" w:type="dxa"/>
          <w:left w:w="108" w:type="dxa"/>
          <w:bottom w:w="0" w:type="dxa"/>
          <w:right w:w="108" w:type="dxa"/>
        </w:tblCellMar>
      </w:tblPr>
      <w:tblGrid>
        <w:gridCol w:w="9854"/>
      </w:tblGrid>
      <w:tr w14:paraId="188B2812">
        <w:tblPrEx>
          <w:tblCellMar>
            <w:top w:w="0" w:type="dxa"/>
            <w:left w:w="108" w:type="dxa"/>
            <w:bottom w:w="0" w:type="dxa"/>
            <w:right w:w="108" w:type="dxa"/>
          </w:tblCellMar>
        </w:tblPrEx>
        <w:trPr>
          <w:trHeight w:val="2819" w:hRule="atLeast"/>
        </w:trPr>
        <w:tc>
          <w:tcPr>
            <w:tcW w:w="5000" w:type="pct"/>
            <w:noWrap w:val="0"/>
            <w:vAlign w:val="top"/>
          </w:tcPr>
          <w:p w14:paraId="1E426CE3">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投标文件加密打包的电脑  自有    □      外包    □   其他    □</w:t>
            </w:r>
          </w:p>
          <w:p w14:paraId="5F96AFD1">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电脑类型</w:t>
            </w:r>
          </w:p>
          <w:p w14:paraId="59F15E64">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电脑所属单位</w:t>
            </w:r>
          </w:p>
          <w:p w14:paraId="7BDEE2CD">
            <w:pPr>
              <w:pStyle w:val="37"/>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电脑所在地址        （如××市××区（县） ××街（路）××号××大厦××房）</w:t>
            </w:r>
          </w:p>
        </w:tc>
      </w:tr>
    </w:tbl>
    <w:p w14:paraId="5E3C6E2A">
      <w:pPr>
        <w:spacing w:line="360" w:lineRule="auto"/>
        <w:rPr>
          <w:rFonts w:ascii="宋体" w:hAnsi="宋体" w:cs="宋体"/>
          <w:color w:val="auto"/>
          <w:sz w:val="24"/>
          <w:szCs w:val="24"/>
          <w:highlight w:val="none"/>
        </w:rPr>
      </w:pPr>
    </w:p>
    <w:p w14:paraId="6D0CFBC0">
      <w:pPr>
        <w:topLinePunct/>
        <w:adjustRightInd w:val="0"/>
        <w:snapToGrid w:val="0"/>
        <w:spacing w:after="156" w:afterLines="50" w:line="360" w:lineRule="auto"/>
        <w:jc w:val="center"/>
        <w:rPr>
          <w:rFonts w:hint="eastAsia" w:ascii="宋体" w:hAnsi="宋体" w:cs="宋体"/>
          <w:b/>
          <w:color w:val="auto"/>
          <w:sz w:val="28"/>
          <w:szCs w:val="28"/>
          <w:highlight w:val="none"/>
        </w:rPr>
      </w:pPr>
      <w:bookmarkStart w:id="154" w:name="_Toc3671"/>
      <w:bookmarkStart w:id="155" w:name="_Toc7870"/>
      <w:bookmarkStart w:id="156" w:name="_Toc94"/>
      <w:bookmarkStart w:id="157" w:name="_Toc4304"/>
      <w:bookmarkStart w:id="158" w:name="_Toc26234"/>
      <w:bookmarkStart w:id="159" w:name="_Toc3891"/>
      <w:bookmarkStart w:id="160" w:name="_Toc6715"/>
      <w:bookmarkStart w:id="161" w:name="_Toc29417"/>
      <w:bookmarkStart w:id="162" w:name="_Toc2272568"/>
      <w:bookmarkStart w:id="163" w:name="_Toc29755"/>
      <w:bookmarkStart w:id="164" w:name="_Toc3499"/>
      <w:bookmarkStart w:id="165" w:name="_Toc12427"/>
      <w:r>
        <w:rPr>
          <w:rFonts w:hint="eastAsia"/>
          <w:color w:val="auto"/>
          <w:highlight w:val="none"/>
        </w:rPr>
        <w:br w:type="page"/>
      </w:r>
      <w:bookmarkStart w:id="166" w:name="_Toc7892"/>
      <w:bookmarkStart w:id="167" w:name="_Toc98339761"/>
      <w:r>
        <w:rPr>
          <w:rFonts w:hint="eastAsia" w:ascii="宋体" w:hAnsi="宋体" w:cs="宋体"/>
          <w:b/>
          <w:color w:val="auto"/>
          <w:sz w:val="28"/>
          <w:szCs w:val="28"/>
          <w:highlight w:val="none"/>
        </w:rPr>
        <w:t>三、定标文件格式</w:t>
      </w:r>
      <w:bookmarkEnd w:id="166"/>
      <w:bookmarkEnd w:id="167"/>
    </w:p>
    <w:p w14:paraId="35161A7E">
      <w:pPr>
        <w:topLinePunct/>
        <w:adjustRightInd w:val="0"/>
        <w:snapToGrid w:val="0"/>
        <w:spacing w:before="50" w:after="50" w:line="360" w:lineRule="auto"/>
        <w:jc w:val="center"/>
        <w:outlineLvl w:val="2"/>
        <w:rPr>
          <w:rFonts w:hint="eastAsia" w:ascii="Calibri" w:hAnsi="Calibri"/>
          <w:b/>
          <w:bCs/>
          <w:snapToGrid w:val="0"/>
          <w:color w:val="auto"/>
          <w:sz w:val="24"/>
          <w:szCs w:val="24"/>
          <w:highlight w:val="none"/>
        </w:rPr>
      </w:pPr>
      <w:bookmarkStart w:id="168" w:name="_Toc18003"/>
      <w:bookmarkStart w:id="169" w:name="_Toc98339762"/>
      <w:r>
        <w:rPr>
          <w:rFonts w:hint="eastAsia" w:ascii="Calibri" w:hAnsi="Calibri"/>
          <w:b/>
          <w:bCs/>
          <w:snapToGrid w:val="0"/>
          <w:color w:val="auto"/>
          <w:sz w:val="24"/>
          <w:szCs w:val="24"/>
          <w:highlight w:val="none"/>
        </w:rPr>
        <w:t>格式十</w:t>
      </w:r>
      <w:r>
        <w:rPr>
          <w:rFonts w:hint="eastAsia" w:ascii="Calibri" w:hAnsi="Calibri"/>
          <w:b/>
          <w:bCs/>
          <w:snapToGrid w:val="0"/>
          <w:color w:val="auto"/>
          <w:sz w:val="24"/>
          <w:szCs w:val="24"/>
          <w:highlight w:val="none"/>
          <w:lang w:val="en-US" w:eastAsia="zh-CN"/>
        </w:rPr>
        <w:t>六</w:t>
      </w:r>
      <w:r>
        <w:rPr>
          <w:rFonts w:hint="eastAsia" w:ascii="Calibri" w:hAnsi="Calibri"/>
          <w:b/>
          <w:bCs/>
          <w:snapToGrid w:val="0"/>
          <w:color w:val="auto"/>
          <w:sz w:val="24"/>
          <w:szCs w:val="24"/>
          <w:highlight w:val="none"/>
        </w:rPr>
        <w:t>：定标文件封面</w:t>
      </w:r>
      <w:bookmarkEnd w:id="168"/>
      <w:bookmarkEnd w:id="169"/>
    </w:p>
    <w:p w14:paraId="6BC08100">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3146BDFE">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3EF8F2E6">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[项目名称] </w:t>
      </w:r>
    </w:p>
    <w:p w14:paraId="2787DC68">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795A3B35">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3598EC23">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65A15C40">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490AE88A">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b/>
          <w:bCs/>
          <w:color w:val="auto"/>
          <w:spacing w:val="4"/>
          <w:kern w:val="0"/>
          <w:sz w:val="72"/>
          <w:szCs w:val="72"/>
          <w:highlight w:val="none"/>
        </w:rPr>
        <w:t>定标文件</w:t>
      </w:r>
    </w:p>
    <w:p w14:paraId="778542F1">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r>
        <w:rPr>
          <w:rFonts w:hint="eastAsia" w:ascii="宋体" w:hAnsi="宋体" w:eastAsia="等线" w:cs="宋体"/>
          <w:color w:val="auto"/>
          <w:spacing w:val="4"/>
          <w:kern w:val="0"/>
          <w:sz w:val="24"/>
          <w:szCs w:val="24"/>
          <w:highlight w:val="none"/>
        </w:rPr>
        <w:t xml:space="preserve">   </w:t>
      </w:r>
    </w:p>
    <w:p w14:paraId="361E44BE">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57A1987A">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46AE8D88">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41966E24">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4CE34B69">
      <w:pPr>
        <w:pStyle w:val="22"/>
        <w:rPr>
          <w:rFonts w:ascii="宋体" w:hAnsi="宋体" w:eastAsia="等线" w:cs="宋体"/>
          <w:color w:val="auto"/>
          <w:spacing w:val="4"/>
          <w:kern w:val="0"/>
          <w:sz w:val="24"/>
          <w:szCs w:val="24"/>
          <w:highlight w:val="none"/>
        </w:rPr>
      </w:pPr>
    </w:p>
    <w:p w14:paraId="3FF300A1">
      <w:pPr>
        <w:rPr>
          <w:rFonts w:ascii="宋体" w:hAnsi="宋体" w:eastAsia="等线" w:cs="宋体"/>
          <w:color w:val="auto"/>
          <w:spacing w:val="4"/>
          <w:kern w:val="0"/>
          <w:sz w:val="24"/>
          <w:szCs w:val="24"/>
          <w:highlight w:val="none"/>
        </w:rPr>
      </w:pPr>
    </w:p>
    <w:p w14:paraId="28E16C3C">
      <w:pPr>
        <w:pStyle w:val="22"/>
        <w:rPr>
          <w:rFonts w:ascii="宋体" w:hAnsi="宋体" w:eastAsia="等线" w:cs="宋体"/>
          <w:color w:val="auto"/>
          <w:spacing w:val="4"/>
          <w:kern w:val="0"/>
          <w:sz w:val="24"/>
          <w:szCs w:val="24"/>
          <w:highlight w:val="none"/>
        </w:rPr>
      </w:pPr>
    </w:p>
    <w:p w14:paraId="1D887615">
      <w:pPr>
        <w:rPr>
          <w:rFonts w:ascii="宋体" w:hAnsi="宋体" w:eastAsia="等线" w:cs="宋体"/>
          <w:color w:val="auto"/>
          <w:spacing w:val="4"/>
          <w:kern w:val="0"/>
          <w:sz w:val="24"/>
          <w:szCs w:val="24"/>
          <w:highlight w:val="none"/>
        </w:rPr>
      </w:pPr>
    </w:p>
    <w:p w14:paraId="42AADDD1">
      <w:pPr>
        <w:pStyle w:val="22"/>
        <w:rPr>
          <w:rFonts w:ascii="宋体" w:hAnsi="宋体" w:eastAsia="等线" w:cs="宋体"/>
          <w:color w:val="auto"/>
          <w:spacing w:val="4"/>
          <w:kern w:val="0"/>
          <w:sz w:val="24"/>
          <w:szCs w:val="24"/>
          <w:highlight w:val="none"/>
        </w:rPr>
      </w:pPr>
    </w:p>
    <w:p w14:paraId="0F39E6AE">
      <w:pPr>
        <w:rPr>
          <w:rFonts w:ascii="宋体" w:hAnsi="宋体" w:eastAsia="等线" w:cs="宋体"/>
          <w:color w:val="auto"/>
          <w:spacing w:val="4"/>
          <w:kern w:val="0"/>
          <w:sz w:val="24"/>
          <w:szCs w:val="24"/>
          <w:highlight w:val="none"/>
        </w:rPr>
      </w:pPr>
    </w:p>
    <w:p w14:paraId="71E501E4">
      <w:pPr>
        <w:pStyle w:val="22"/>
        <w:rPr>
          <w:rFonts w:ascii="宋体" w:hAnsi="宋体" w:eastAsia="等线" w:cs="宋体"/>
          <w:color w:val="auto"/>
          <w:spacing w:val="4"/>
          <w:kern w:val="0"/>
          <w:sz w:val="24"/>
          <w:szCs w:val="24"/>
          <w:highlight w:val="none"/>
        </w:rPr>
      </w:pPr>
    </w:p>
    <w:p w14:paraId="761D2AE3">
      <w:pPr>
        <w:rPr>
          <w:color w:val="auto"/>
          <w:highlight w:val="none"/>
        </w:rPr>
      </w:pPr>
    </w:p>
    <w:p w14:paraId="65DA8F70">
      <w:pPr>
        <w:topLinePunct/>
        <w:adjustRightInd w:val="0"/>
        <w:snapToGrid w:val="0"/>
        <w:spacing w:line="360" w:lineRule="auto"/>
        <w:ind w:firstLine="496" w:firstLineChars="200"/>
        <w:rPr>
          <w:rFonts w:ascii="宋体" w:hAnsi="宋体" w:eastAsia="等线" w:cs="宋体"/>
          <w:color w:val="auto"/>
          <w:spacing w:val="4"/>
          <w:kern w:val="0"/>
          <w:sz w:val="24"/>
          <w:szCs w:val="24"/>
          <w:highlight w:val="none"/>
        </w:rPr>
      </w:pPr>
    </w:p>
    <w:p w14:paraId="25A397F8">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w:t>
      </w:r>
    </w:p>
    <w:p w14:paraId="748DD899">
      <w:pPr>
        <w:ind w:firstLine="616" w:firstLineChars="200"/>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 xml:space="preserve">日  期：             </w:t>
      </w:r>
    </w:p>
    <w:p w14:paraId="2A2AC913">
      <w:pPr>
        <w:topLinePunct/>
        <w:adjustRightInd w:val="0"/>
        <w:snapToGrid w:val="0"/>
        <w:spacing w:before="50" w:after="50" w:line="360" w:lineRule="auto"/>
        <w:jc w:val="center"/>
        <w:outlineLvl w:val="2"/>
        <w:rPr>
          <w:rFonts w:hint="eastAsia" w:ascii="Calibri" w:hAnsi="Calibri"/>
          <w:b/>
          <w:bCs/>
          <w:snapToGrid w:val="0"/>
          <w:color w:val="auto"/>
          <w:sz w:val="24"/>
          <w:szCs w:val="24"/>
          <w:highlight w:val="none"/>
        </w:rPr>
      </w:pPr>
      <w:r>
        <w:rPr>
          <w:rFonts w:hint="eastAsia" w:hAnsi="Times New Roman"/>
          <w:color w:val="auto"/>
          <w:sz w:val="30"/>
          <w:szCs w:val="30"/>
          <w:highlight w:val="none"/>
        </w:rPr>
        <w:br w:type="page"/>
      </w:r>
      <w:bookmarkStart w:id="170" w:name="_Toc22109"/>
      <w:r>
        <w:rPr>
          <w:rFonts w:hint="eastAsia" w:ascii="Calibri" w:hAnsi="Calibri"/>
          <w:b/>
          <w:bCs/>
          <w:snapToGrid w:val="0"/>
          <w:color w:val="auto"/>
          <w:sz w:val="24"/>
          <w:szCs w:val="24"/>
          <w:highlight w:val="none"/>
        </w:rPr>
        <w:t>格式十</w:t>
      </w:r>
      <w:r>
        <w:rPr>
          <w:rFonts w:hint="eastAsia" w:ascii="Calibri" w:hAnsi="Calibri"/>
          <w:b/>
          <w:bCs/>
          <w:snapToGrid w:val="0"/>
          <w:color w:val="auto"/>
          <w:sz w:val="24"/>
          <w:szCs w:val="24"/>
          <w:highlight w:val="none"/>
          <w:lang w:val="en-US" w:eastAsia="zh-CN"/>
        </w:rPr>
        <w:t>七</w:t>
      </w:r>
      <w:r>
        <w:rPr>
          <w:rFonts w:hint="eastAsia" w:ascii="Calibri" w:hAnsi="Calibri"/>
          <w:b/>
          <w:bCs/>
          <w:snapToGrid w:val="0"/>
          <w:color w:val="auto"/>
          <w:sz w:val="24"/>
          <w:szCs w:val="24"/>
          <w:highlight w:val="none"/>
        </w:rPr>
        <w:t>：定标文件内容（格式自拟）</w:t>
      </w:r>
    </w:p>
    <w:p w14:paraId="3C4F17D4">
      <w:pPr>
        <w:pStyle w:val="3"/>
        <w:rPr>
          <w:rFonts w:hint="eastAsia" w:ascii="Times New Roman" w:hAnsi="Times New Roman" w:cs="Times New Roman"/>
          <w:b w:val="0"/>
          <w:color w:val="auto"/>
          <w:sz w:val="32"/>
          <w:szCs w:val="32"/>
          <w:highlight w:val="none"/>
          <w:lang w:eastAsia="zh-CN"/>
        </w:rPr>
      </w:pPr>
      <w:r>
        <w:rPr>
          <w:rFonts w:hint="eastAsia" w:ascii="Calibri" w:hAnsi="Calibri" w:cs="Times New Roman"/>
          <w:b/>
          <w:bCs/>
          <w:snapToGrid w:val="0"/>
          <w:color w:val="auto"/>
          <w:kern w:val="2"/>
          <w:sz w:val="24"/>
          <w:szCs w:val="24"/>
          <w:highlight w:val="none"/>
        </w:rPr>
        <w:br w:type="page"/>
      </w:r>
      <w:r>
        <w:rPr>
          <w:rFonts w:hint="eastAsia" w:ascii="Times New Roman" w:hAnsi="Times New Roman" w:cs="Times New Roman"/>
          <w:b w:val="0"/>
          <w:color w:val="auto"/>
          <w:sz w:val="32"/>
          <w:szCs w:val="32"/>
          <w:highlight w:val="none"/>
        </w:rPr>
        <w:t xml:space="preserve">第五章 </w:t>
      </w:r>
      <w:bookmarkEnd w:id="154"/>
      <w:bookmarkEnd w:id="155"/>
      <w:bookmarkEnd w:id="156"/>
      <w:bookmarkEnd w:id="157"/>
      <w:bookmarkEnd w:id="158"/>
      <w:bookmarkEnd w:id="159"/>
      <w:bookmarkEnd w:id="160"/>
      <w:bookmarkEnd w:id="161"/>
      <w:bookmarkEnd w:id="162"/>
      <w:bookmarkEnd w:id="163"/>
      <w:bookmarkEnd w:id="164"/>
      <w:bookmarkEnd w:id="165"/>
      <w:r>
        <w:rPr>
          <w:rFonts w:hint="eastAsia" w:ascii="Times New Roman" w:hAnsi="Times New Roman" w:cs="Times New Roman"/>
          <w:b w:val="0"/>
          <w:color w:val="auto"/>
          <w:sz w:val="32"/>
          <w:szCs w:val="32"/>
          <w:highlight w:val="none"/>
          <w:lang w:eastAsia="zh-CN"/>
        </w:rPr>
        <w:t>技术</w:t>
      </w:r>
      <w:bookmarkEnd w:id="170"/>
      <w:r>
        <w:rPr>
          <w:rFonts w:hint="eastAsia" w:ascii="Times New Roman" w:hAnsi="Times New Roman" w:cs="Times New Roman"/>
          <w:b w:val="0"/>
          <w:color w:val="auto"/>
          <w:sz w:val="32"/>
          <w:szCs w:val="32"/>
          <w:highlight w:val="none"/>
          <w:lang w:eastAsia="zh-CN"/>
        </w:rPr>
        <w:t>条件（工程建设标准）</w:t>
      </w:r>
    </w:p>
    <w:p w14:paraId="26198F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14:paraId="00F298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14:paraId="1FC49E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b w:val="0"/>
          <w:color w:val="auto"/>
          <w:sz w:val="24"/>
          <w:szCs w:val="24"/>
          <w:highlight w:val="none"/>
          <w:lang w:bidi="ar"/>
        </w:rPr>
        <w:t>施工现场建筑垃圾源头减量的具体要求和建筑垃圾综合利用产品的使用要求</w:t>
      </w:r>
    </w:p>
    <w:p w14:paraId="0D0E23F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45BDB19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72C4F6D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7A9764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4F47A6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7437AA6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1673507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14:paraId="761E1AA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备注：以上相关条款等均需符合《广东省建筑垃圾管理条例》的相关要求。</w:t>
      </w:r>
    </w:p>
    <w:p w14:paraId="04E6075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4、占道施工相关告知、围蔽、修复等要求。</w:t>
      </w:r>
    </w:p>
    <w:p w14:paraId="1483CF1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施工过程中，如涉及到占道施工、围蔽、修复等应符合国家、省、市及有关部门的相关规定。由此产生的相关费用已包含在投标报价中。</w:t>
      </w:r>
    </w:p>
    <w:p w14:paraId="3FC34AF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、施工管理主要人员配置基本要求</w:t>
      </w:r>
    </w:p>
    <w:p w14:paraId="7D722922">
      <w:pPr>
        <w:tabs>
          <w:tab w:val="left" w:pos="3829"/>
        </w:tabs>
        <w:spacing w:line="360" w:lineRule="auto"/>
        <w:ind w:firstLine="424" w:firstLineChars="177"/>
        <w:jc w:val="center"/>
        <w:rPr>
          <w:rFonts w:hint="eastAsia" w:ascii="宋体" w:hAnsi="宋体" w:eastAsia="宋体" w:cs="仿宋_GB2312"/>
          <w:color w:val="auto"/>
          <w:sz w:val="24"/>
          <w:szCs w:val="24"/>
          <w:highlight w:val="none"/>
          <w:lang w:eastAsia="zh-CN"/>
        </w:rPr>
      </w:pPr>
      <w:bookmarkStart w:id="171" w:name="OLE_LINK7"/>
      <w:r>
        <w:rPr>
          <w:rFonts w:hint="eastAsia" w:ascii="宋体" w:hAnsi="宋体" w:eastAsia="宋体" w:cs="仿宋_GB2312"/>
          <w:color w:val="auto"/>
          <w:sz w:val="24"/>
          <w:szCs w:val="24"/>
          <w:highlight w:val="none"/>
        </w:rPr>
        <w:t>施工管理主要人员配置基本要求</w:t>
      </w:r>
    </w:p>
    <w:tbl>
      <w:tblPr>
        <w:tblStyle w:val="39"/>
        <w:tblW w:w="44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1786"/>
        <w:gridCol w:w="1278"/>
        <w:gridCol w:w="4795"/>
      </w:tblGrid>
      <w:tr w14:paraId="18A9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noWrap/>
            <w:vAlign w:val="center"/>
          </w:tcPr>
          <w:p w14:paraId="2CAAB667">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序号</w:t>
            </w:r>
          </w:p>
        </w:tc>
        <w:tc>
          <w:tcPr>
            <w:tcW w:w="1025" w:type="pct"/>
            <w:tcBorders>
              <w:top w:val="single" w:color="000000" w:sz="4" w:space="0"/>
              <w:left w:val="single" w:color="000000" w:sz="4" w:space="0"/>
              <w:bottom w:val="single" w:color="000000" w:sz="4" w:space="0"/>
              <w:right w:val="single" w:color="000000" w:sz="4" w:space="0"/>
            </w:tcBorders>
            <w:noWrap/>
            <w:vAlign w:val="center"/>
          </w:tcPr>
          <w:p w14:paraId="15E4A360">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职务</w:t>
            </w:r>
          </w:p>
        </w:tc>
        <w:tc>
          <w:tcPr>
            <w:tcW w:w="733" w:type="pct"/>
            <w:tcBorders>
              <w:top w:val="single" w:color="000000" w:sz="4" w:space="0"/>
              <w:left w:val="single" w:color="000000" w:sz="4" w:space="0"/>
              <w:bottom w:val="single" w:color="000000" w:sz="4" w:space="0"/>
              <w:right w:val="single" w:color="000000" w:sz="4" w:space="0"/>
            </w:tcBorders>
            <w:noWrap/>
            <w:vAlign w:val="center"/>
          </w:tcPr>
          <w:p w14:paraId="559207C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人员数量</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6A3294D3">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基本任职条件</w:t>
            </w:r>
          </w:p>
        </w:tc>
      </w:tr>
      <w:tr w14:paraId="329F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BE06">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9072">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项目负责人</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E330">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10CD81AC">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（按招标公告要求）</w:t>
            </w:r>
          </w:p>
        </w:tc>
      </w:tr>
      <w:tr w14:paraId="564D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6709">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73D">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技术负责人</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9131B">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22366B51">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（按招标公告要求）</w:t>
            </w:r>
          </w:p>
        </w:tc>
      </w:tr>
      <w:tr w14:paraId="4CDE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9882">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3</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AB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专职安全员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0B19">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753FEDFB">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（按招标公告要求）</w:t>
            </w:r>
          </w:p>
        </w:tc>
      </w:tr>
      <w:tr w14:paraId="0D24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7FED">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4</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1505">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质量负责人</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344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418D0048">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具备工程类相关专业工程师或以上职称</w:t>
            </w:r>
          </w:p>
        </w:tc>
      </w:tr>
      <w:tr w14:paraId="0E49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BB58">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D06C">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安全负责人</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FCC09">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57FAFD2A">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具备工程类相关专业工程师或以上职称</w:t>
            </w:r>
          </w:p>
        </w:tc>
      </w:tr>
      <w:tr w14:paraId="4D8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6600">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D54E">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造价负责人</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FA743">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4A1A3939">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具有二级或以上注册造价工程师证，或具有造价相关专业工程师或以上职称</w:t>
            </w:r>
          </w:p>
        </w:tc>
      </w:tr>
      <w:tr w14:paraId="15E4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B2D6">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8BC8">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电气工程师</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967D0">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4255AEAD">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具有机电类相关专业工程师或以上职称</w:t>
            </w:r>
          </w:p>
        </w:tc>
      </w:tr>
      <w:tr w14:paraId="5EEA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700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8</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CAE1">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造价员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2F2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21F0BC7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具有二级或以上注册造价工程师证，或具有造价相关专业工程师或以上职称</w:t>
            </w:r>
          </w:p>
        </w:tc>
      </w:tr>
      <w:tr w14:paraId="71EF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2B67">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9</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7E00">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土建工程师</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A3A6">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6EEC0157">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具有土类相关专业工程师或以上职称</w:t>
            </w:r>
          </w:p>
        </w:tc>
      </w:tr>
      <w:tr w14:paraId="5CDC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A37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9</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4803">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智能化工程师</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BB5D6">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4E5DAA2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具有相关专业工程师或以上职称</w:t>
            </w:r>
          </w:p>
        </w:tc>
      </w:tr>
      <w:tr w14:paraId="2568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10A2">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eastAsia="zh-CN"/>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B24E">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施工员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4EFE">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2</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6E2527B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具有施工员岗位证书或培训证</w:t>
            </w:r>
          </w:p>
        </w:tc>
      </w:tr>
      <w:tr w14:paraId="48D1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3CD7">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F97E">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暖通工程师</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0A24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615F3822">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具有机电类相关专业工程师或以上职称</w:t>
            </w:r>
          </w:p>
        </w:tc>
      </w:tr>
      <w:tr w14:paraId="65A0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A08E">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13</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91FD">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测量工程师</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3539">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52C805EE">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具有工程测量类相关专业工程师或以上职称</w:t>
            </w:r>
          </w:p>
        </w:tc>
      </w:tr>
      <w:tr w14:paraId="1DEF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8A58">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eastAsia="zh-CN"/>
              </w:rPr>
              <w:t>14</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1F66">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质量员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F59E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53438448">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具有质量员岗位证书或培训证</w:t>
            </w:r>
          </w:p>
        </w:tc>
      </w:tr>
      <w:tr w14:paraId="0B2A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A29D">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eastAsia="zh-CN"/>
              </w:rPr>
              <w:t>15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58AD">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材料员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7341">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26686E1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具有材料员岗位证书或培训证</w:t>
            </w:r>
          </w:p>
        </w:tc>
      </w:tr>
      <w:tr w14:paraId="113C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CEF4">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eastAsia="zh-CN"/>
              </w:rPr>
              <w:t>16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BBCA">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安全员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7D23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5108A62A">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具有安全员岗位证书或培训证</w:t>
            </w:r>
          </w:p>
        </w:tc>
      </w:tr>
      <w:tr w14:paraId="1109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EE39">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eastAsia="zh-CN"/>
              </w:rPr>
              <w:t>17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4B4A">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资料员</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6D91">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3</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55C7594F">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具有资料员岗位证书或培训证</w:t>
            </w:r>
          </w:p>
        </w:tc>
      </w:tr>
      <w:tr w14:paraId="408D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C952">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合计</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5E6C5">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val="en-US" w:eastAsia="zh-CN"/>
              </w:rPr>
              <w:t>20</w:t>
            </w:r>
          </w:p>
        </w:tc>
        <w:tc>
          <w:tcPr>
            <w:tcW w:w="2753" w:type="pct"/>
            <w:tcBorders>
              <w:top w:val="single" w:color="000000" w:sz="4" w:space="0"/>
              <w:left w:val="single" w:color="000000" w:sz="4" w:space="0"/>
              <w:bottom w:val="single" w:color="000000" w:sz="4" w:space="0"/>
              <w:right w:val="single" w:color="000000" w:sz="4" w:space="0"/>
            </w:tcBorders>
            <w:noWrap/>
            <w:vAlign w:val="center"/>
          </w:tcPr>
          <w:p w14:paraId="5C87FF9C">
            <w:pPr>
              <w:keepNext w:val="0"/>
              <w:keepLines w:val="0"/>
              <w:suppressLineNumbers w:val="0"/>
              <w:tabs>
                <w:tab w:val="left" w:pos="3829"/>
              </w:tabs>
              <w:spacing w:before="0" w:beforeAutospacing="0" w:after="0" w:afterAutospacing="0" w:line="360" w:lineRule="auto"/>
              <w:ind w:left="0" w:right="0" w:firstLine="0" w:firstLineChars="0"/>
              <w:jc w:val="center"/>
              <w:rPr>
                <w:rFonts w:hint="eastAsia" w:ascii="宋体" w:hAnsi="宋体" w:eastAsia="宋体" w:cs="仿宋_GB2312"/>
                <w:color w:val="auto"/>
                <w:sz w:val="24"/>
                <w:szCs w:val="24"/>
                <w:highlight w:val="none"/>
              </w:rPr>
            </w:pPr>
          </w:p>
        </w:tc>
      </w:tr>
    </w:tbl>
    <w:p w14:paraId="00A9B4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一级注册造价工程师是指根据住房城乡建设部、交通运输部、水利部、人力资源社会保障部发布的《造价工程师职业资格制度规定》、《造价工程师职业资格考试实施办法》（建人</w:t>
      </w:r>
      <w:r>
        <w:rPr>
          <w:rFonts w:hint="eastAsia" w:ascii="宋体" w:hAnsi="宋体" w:eastAsia="宋体" w:cs="宋体"/>
          <w:color w:val="auto"/>
          <w:sz w:val="24"/>
          <w:szCs w:val="24"/>
          <w:highlight w:val="none"/>
          <w:lang w:eastAsia="zh-CN"/>
        </w:rPr>
        <w:t>〔2018〕</w:t>
      </w:r>
      <w:r>
        <w:rPr>
          <w:rFonts w:hint="eastAsia" w:ascii="宋体" w:hAnsi="宋体" w:eastAsia="宋体" w:cs="宋体"/>
          <w:color w:val="auto"/>
          <w:sz w:val="24"/>
          <w:szCs w:val="24"/>
          <w:highlight w:val="none"/>
        </w:rPr>
        <w:t>67号）取得的一级造价工程师职业资格，并经注册且在有效期内。按照《造价工程师职业资格制度规定》的规定，根据原人事部、原建设部发布的《造价工程师执业资格制度暂行规定》（人发</w:t>
      </w:r>
      <w:r>
        <w:rPr>
          <w:rFonts w:hint="eastAsia" w:ascii="宋体" w:hAnsi="宋体" w:eastAsia="宋体" w:cs="宋体"/>
          <w:color w:val="auto"/>
          <w:sz w:val="24"/>
          <w:szCs w:val="24"/>
          <w:highlight w:val="none"/>
          <w:lang w:eastAsia="zh-CN"/>
        </w:rPr>
        <w:t>〔1996〕77号）</w:t>
      </w:r>
      <w:r>
        <w:rPr>
          <w:rFonts w:hint="eastAsia" w:ascii="宋体" w:hAnsi="宋体" w:eastAsia="宋体" w:cs="宋体"/>
          <w:color w:val="auto"/>
          <w:sz w:val="24"/>
          <w:szCs w:val="24"/>
          <w:highlight w:val="none"/>
        </w:rPr>
        <w:t>取得的造价工程师执业资格，并经注册且在有效期内的，等同于一级注册造价工程师。</w:t>
      </w:r>
    </w:p>
    <w:p w14:paraId="00912E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以上人员为施工管理主要人员配置基本要求，投标人可按自身情况投入从事相关经验丰富的人员</w:t>
      </w:r>
      <w:r>
        <w:rPr>
          <w:rFonts w:hint="eastAsia" w:ascii="宋体" w:hAnsi="宋体" w:eastAsia="宋体" w:cs="宋体"/>
          <w:color w:val="auto"/>
          <w:sz w:val="24"/>
          <w:szCs w:val="24"/>
          <w:highlight w:val="none"/>
          <w:lang w:eastAsia="zh-CN"/>
        </w:rPr>
        <w:t>，进场时需按合同要求配齐人员，</w:t>
      </w:r>
      <w:r>
        <w:rPr>
          <w:rFonts w:hint="eastAsia" w:ascii="宋体" w:hAnsi="宋体" w:eastAsia="宋体" w:cs="宋体"/>
          <w:color w:val="auto"/>
          <w:sz w:val="24"/>
          <w:szCs w:val="24"/>
          <w:highlight w:val="none"/>
        </w:rPr>
        <w:t>除按要求提供人员证书外，人员相关经验可提供合同或业主证明或其他等能体现人员经验的相关证明文件。上表人员均要求为投标单位正式职工，即指投标单位为其缴纳社保的在职人员，须同时提供202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月的社保证明（如部分地区社保证明显示隔月缴费状态，则提供202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月的社保证明）。除特别约定外，各岗位人员不得相互兼职。</w:t>
      </w:r>
    </w:p>
    <w:p w14:paraId="499F149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人员进场管理</w:t>
      </w:r>
    </w:p>
    <w:p w14:paraId="1EF9E04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安全、质量管理岗位系列人员须接受发包人及监理人面试、考核，符合发包人要求者方能正式上岗。特殊工种作业人员均应持有相应的资格证明，并报监理单位审核。</w:t>
      </w:r>
    </w:p>
    <w:p w14:paraId="22295B3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人员变更管理按合同约定执行。</w:t>
      </w:r>
    </w:p>
    <w:p w14:paraId="61F0CD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《施工管理主要人员配置基本要求》要求人员表不作为废标条款。</w:t>
      </w:r>
    </w:p>
    <w:bookmarkEnd w:id="171"/>
    <w:p w14:paraId="7F8B4A7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项目管理重点、难点</w:t>
      </w:r>
    </w:p>
    <w:p w14:paraId="7833EA5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（1）进度管理的重点、难点</w:t>
      </w:r>
    </w:p>
    <w:p w14:paraId="675B0F7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①本项目工期紧，承包人应</w:t>
      </w:r>
      <w:r>
        <w:rPr>
          <w:rFonts w:hint="eastAsia" w:ascii="宋体" w:hAnsi="宋体" w:eastAsia="宋体" w:cs="宋体"/>
          <w:color w:val="auto"/>
          <w:kern w:val="2"/>
          <w:sz w:val="24"/>
          <w:szCs w:val="24"/>
          <w:highlight w:val="none"/>
          <w:lang w:val="en-US" w:eastAsia="zh-CN" w:bidi="ar-SA"/>
        </w:rPr>
        <w:t>建立具有前瞻性、全过程、动态化的进度控制体系，结合合同要求</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val="en-US" w:eastAsia="zh-CN"/>
        </w:rPr>
        <w:t>可行的</w:t>
      </w:r>
      <w:r>
        <w:rPr>
          <w:rFonts w:hint="eastAsia" w:ascii="宋体" w:hAnsi="宋体" w:eastAsia="宋体" w:cs="宋体"/>
          <w:color w:val="auto"/>
          <w:sz w:val="24"/>
          <w:szCs w:val="24"/>
          <w:highlight w:val="none"/>
        </w:rPr>
        <w:t>进度计划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并采取</w:t>
      </w:r>
      <w:r>
        <w:rPr>
          <w:rFonts w:hint="eastAsia" w:ascii="宋体" w:hAnsi="宋体" w:eastAsia="宋体" w:cs="宋体"/>
          <w:color w:val="auto"/>
          <w:sz w:val="24"/>
          <w:szCs w:val="24"/>
          <w:highlight w:val="none"/>
          <w:lang w:val="en-US" w:eastAsia="zh-CN"/>
        </w:rPr>
        <w:t>有力</w:t>
      </w: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rPr>
        <w:t>进度计划的实现。</w:t>
      </w:r>
    </w:p>
    <w:p w14:paraId="43F5051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w:t>
      </w:r>
      <w:r>
        <w:rPr>
          <w:rFonts w:hint="eastAsia" w:ascii="宋体" w:hAnsi="宋体" w:eastAsia="宋体" w:cs="宋体"/>
          <w:color w:val="auto"/>
          <w:sz w:val="24"/>
          <w:szCs w:val="24"/>
          <w:highlight w:val="none"/>
          <w:lang w:val="en-US" w:eastAsia="zh-CN"/>
        </w:rPr>
        <w:t>作业</w:t>
      </w:r>
      <w:r>
        <w:rPr>
          <w:rFonts w:hint="eastAsia" w:ascii="宋体" w:hAnsi="宋体" w:eastAsia="宋体" w:cs="宋体"/>
          <w:color w:val="auto"/>
          <w:sz w:val="24"/>
          <w:szCs w:val="24"/>
          <w:highlight w:val="none"/>
        </w:rPr>
        <w:t>面</w:t>
      </w:r>
      <w:r>
        <w:rPr>
          <w:rFonts w:hint="eastAsia" w:ascii="宋体" w:hAnsi="宋体" w:eastAsia="宋体" w:cs="宋体"/>
          <w:color w:val="auto"/>
          <w:sz w:val="24"/>
          <w:szCs w:val="24"/>
          <w:highlight w:val="none"/>
          <w:lang w:val="en-US" w:eastAsia="zh-CN"/>
        </w:rPr>
        <w:t>有限、工序较多、专业性强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合理安排</w:t>
      </w:r>
      <w:r>
        <w:rPr>
          <w:rFonts w:hint="eastAsia" w:ascii="宋体" w:hAnsi="宋体" w:eastAsia="宋体" w:cs="宋体"/>
          <w:color w:val="auto"/>
          <w:sz w:val="24"/>
          <w:szCs w:val="24"/>
          <w:highlight w:val="none"/>
          <w:lang w:val="en-US" w:eastAsia="zh-CN"/>
        </w:rPr>
        <w:t>钢结构、幕墙、机电、装饰装修等工程的</w:t>
      </w:r>
      <w:r>
        <w:rPr>
          <w:rFonts w:hint="eastAsia" w:ascii="宋体" w:hAnsi="宋体" w:eastAsia="宋体" w:cs="宋体"/>
          <w:color w:val="auto"/>
          <w:sz w:val="24"/>
          <w:szCs w:val="24"/>
          <w:highlight w:val="none"/>
        </w:rPr>
        <w:t>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配备有经验的管理人员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rPr>
        <w:t>项目进度</w:t>
      </w:r>
      <w:r>
        <w:rPr>
          <w:rFonts w:hint="eastAsia" w:ascii="宋体" w:hAnsi="宋体" w:eastAsia="宋体" w:cs="宋体"/>
          <w:color w:val="auto"/>
          <w:sz w:val="24"/>
          <w:szCs w:val="24"/>
          <w:highlight w:val="none"/>
          <w:lang w:val="en-US" w:eastAsia="zh-CN"/>
        </w:rPr>
        <w:t>按计划时间节点推进</w:t>
      </w:r>
      <w:r>
        <w:rPr>
          <w:rFonts w:hint="eastAsia" w:ascii="宋体" w:hAnsi="宋体" w:eastAsia="宋体" w:cs="宋体"/>
          <w:color w:val="auto"/>
          <w:sz w:val="24"/>
          <w:szCs w:val="24"/>
          <w:highlight w:val="none"/>
        </w:rPr>
        <w:t>。</w:t>
      </w:r>
    </w:p>
    <w:p w14:paraId="7747544D">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③承包人需建立高效的工作机制，确保项目进度信息在参建各方及专业分包单位之间准确、及时传递。</w:t>
      </w:r>
    </w:p>
    <w:p w14:paraId="320F0123">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④结合项目所处景区及广州市核心区域，应对项目所在区域内的实施条件（包括但不限于节假日交通管制、重大活动、夜间施工等）进行充分研究，制定相应的措施以保证项目按期完成。</w:t>
      </w:r>
    </w:p>
    <w:p w14:paraId="71D4A9B8">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⑤项目在已运营的广州塔广场范围内实施，施工场地总平面布置须充分考虑天面广场运营需求，应确保东、西两侧留有足够宽的游客通道，使人流可从天面广场通过南中庭进入商场。</w:t>
      </w:r>
    </w:p>
    <w:p w14:paraId="3D193D09">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⑥项目南侧紧邻地铁工地及河涌改造工程，需考虑部分施工场地或通道的共用共管问题。</w:t>
      </w:r>
    </w:p>
    <w:p w14:paraId="328D1CDE">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⑦本项目实施范围部分位于地铁12号线岭南广场站的保护范围内，需充分考虑对地铁的保护措施。</w:t>
      </w:r>
    </w:p>
    <w:p w14:paraId="4EEF5B2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（2）质量管理的重点、难点</w:t>
      </w:r>
    </w:p>
    <w:p w14:paraId="6C5E44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本项目质量要求高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承包人应根据合同要求的建设标准，建立严格的质量保障体系及措施。</w:t>
      </w:r>
    </w:p>
    <w:p w14:paraId="132893D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②承包人采购的材料设备须</w:t>
      </w:r>
      <w:r>
        <w:rPr>
          <w:rFonts w:hint="eastAsia" w:ascii="宋体" w:hAnsi="宋体" w:eastAsia="宋体" w:cs="宋体"/>
          <w:color w:val="auto"/>
          <w:sz w:val="24"/>
          <w:szCs w:val="24"/>
          <w:highlight w:val="none"/>
          <w:lang w:val="en-US" w:eastAsia="zh-CN"/>
        </w:rPr>
        <w:t>不低</w:t>
      </w:r>
      <w:r>
        <w:rPr>
          <w:rFonts w:hint="eastAsia" w:ascii="宋体" w:hAnsi="宋体" w:eastAsia="宋体" w:cs="宋体"/>
          <w:color w:val="auto"/>
          <w:sz w:val="24"/>
          <w:szCs w:val="24"/>
          <w:highlight w:val="none"/>
        </w:rPr>
        <w:t>于招标文件的要求，严格做好施工过程中的质量把控工作。</w:t>
      </w:r>
    </w:p>
    <w:p w14:paraId="196D631E">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③对本项目涉及的钢构件要求严格控制加工精度，确保后续安装质量达到合同要求。</w:t>
      </w:r>
    </w:p>
    <w:p w14:paraId="59505FDA">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bookmarkStart w:id="172" w:name="OLE_LINK2"/>
      <w:r>
        <w:rPr>
          <w:rFonts w:hint="eastAsia" w:ascii="宋体" w:hAnsi="宋体" w:eastAsia="宋体" w:cs="宋体"/>
          <w:color w:val="auto"/>
          <w:kern w:val="2"/>
          <w:sz w:val="24"/>
          <w:szCs w:val="24"/>
          <w:highlight w:val="none"/>
          <w:lang w:val="en-US" w:eastAsia="zh-CN" w:bidi="ar-SA"/>
        </w:rPr>
        <w:t>④</w:t>
      </w:r>
      <w:r>
        <w:rPr>
          <w:rFonts w:hint="eastAsia" w:ascii="宋体" w:hAnsi="宋体" w:eastAsia="宋体" w:cs="宋体"/>
          <w:color w:val="auto"/>
          <w:sz w:val="24"/>
          <w:szCs w:val="24"/>
          <w:highlight w:val="none"/>
          <w:lang w:val="en-US" w:eastAsia="zh-CN"/>
        </w:rPr>
        <w:t>本项目应做好全过程的</w:t>
      </w:r>
      <w:r>
        <w:rPr>
          <w:rFonts w:hint="eastAsia" w:ascii="宋体" w:hAnsi="宋体" w:eastAsia="宋体" w:cs="宋体"/>
          <w:color w:val="auto"/>
          <w:sz w:val="24"/>
          <w:szCs w:val="24"/>
          <w:highlight w:val="none"/>
          <w:lang w:eastAsia="zh-CN"/>
        </w:rPr>
        <w:t>质量控制，</w:t>
      </w:r>
      <w:r>
        <w:rPr>
          <w:rFonts w:hint="eastAsia" w:ascii="宋体" w:hAnsi="宋体" w:eastAsia="宋体" w:cs="宋体"/>
          <w:color w:val="auto"/>
          <w:sz w:val="24"/>
          <w:szCs w:val="24"/>
          <w:highlight w:val="none"/>
          <w:lang w:val="en-US" w:eastAsia="zh-CN"/>
        </w:rPr>
        <w:t>包括但不限于深化设计质量、节点设计合理性、图纸深度与准确性、BIM协同设计、材料进场、工厂制作、现场安装等质量关键环节。</w:t>
      </w:r>
    </w:p>
    <w:p w14:paraId="09D4A3DA">
      <w:pPr>
        <w:autoSpaceDE/>
        <w:autoSpaceDN/>
        <w:adjustRightIn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⑤承包人应统筹管理并协调各专业分包单位的作业面、工序衔接及收边收口等问题，确保各专业施工顺利推进。</w:t>
      </w:r>
      <w:bookmarkEnd w:id="172"/>
    </w:p>
    <w:p w14:paraId="2CAFD8C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）安全文明施工管理的重点、难点</w:t>
      </w:r>
    </w:p>
    <w:p w14:paraId="1CACFB9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kern w:val="2"/>
          <w:sz w:val="24"/>
          <w:szCs w:val="24"/>
          <w:highlight w:val="none"/>
          <w:lang w:val="en-US" w:eastAsia="zh-CN" w:bidi="ar-SA"/>
        </w:rPr>
        <w:t>项目位于景区及广州市核心区域，且在广州塔广场运营范围内，对安全文明施工要求极高，应充分做好施工围蔽、扬尘处理、噪音控制等各项保障措施。</w:t>
      </w:r>
    </w:p>
    <w:p w14:paraId="30CBB5D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承包人应按照法律法规、工程建设强制性标准及合同约定履行安全生产职责，配备足够的专职安全生产管理人员，对施工现场的安全生产进行全面管理。</w:t>
      </w:r>
    </w:p>
    <w:p w14:paraId="5C2B87E3">
      <w:pPr>
        <w:keepNext w:val="0"/>
        <w:keepLines w:val="0"/>
        <w:numPr>
          <w:ilvl w:val="-1"/>
          <w:numId w:val="0"/>
        </w:num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工程建设标准-结构专业</w:t>
      </w:r>
      <w:r>
        <w:rPr>
          <w:rFonts w:hint="eastAsia" w:ascii="宋体" w:hAnsi="宋体" w:cs="宋体"/>
          <w:color w:val="auto"/>
          <w:sz w:val="24"/>
          <w:szCs w:val="24"/>
          <w:highlight w:val="none"/>
          <w:lang w:val="en-US" w:eastAsia="zh-CN"/>
        </w:rPr>
        <w:t>》及《工程建设标准-建筑专业》（详见本项目招标公告附件）</w:t>
      </w:r>
    </w:p>
    <w:p w14:paraId="2F43FDD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材料参考品牌</w:t>
      </w:r>
    </w:p>
    <w:p w14:paraId="1465CA71">
      <w:pPr>
        <w:keepNext w:val="0"/>
        <w:keepLines w:val="0"/>
        <w:widowControl/>
        <w:numPr>
          <w:ilvl w:val="0"/>
          <w:numId w:val="0"/>
        </w:numPr>
        <w:suppressLineNumbers w:val="0"/>
        <w:tabs>
          <w:tab w:val="left" w:pos="3829"/>
        </w:tabs>
        <w:spacing w:before="0" w:beforeAutospacing="0" w:after="0" w:afterAutospacing="0"/>
        <w:ind w:left="0" w:right="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p>
    <w:p w14:paraId="33ACA251">
      <w:pPr>
        <w:keepNext w:val="0"/>
        <w:keepLines w:val="0"/>
        <w:widowControl/>
        <w:numPr>
          <w:ilvl w:val="0"/>
          <w:numId w:val="0"/>
        </w:numPr>
        <w:suppressLineNumbers w:val="0"/>
        <w:tabs>
          <w:tab w:val="left" w:pos="3829"/>
        </w:tabs>
        <w:spacing w:before="0" w:beforeAutospacing="0" w:after="0" w:afterAutospacing="0"/>
        <w:ind w:left="0" w:right="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广州塔广场数智生活科技体验馆项目施工总承包</w:t>
      </w:r>
    </w:p>
    <w:p w14:paraId="040279A2">
      <w:pPr>
        <w:pStyle w:val="2"/>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材料参考品牌表</w:t>
      </w:r>
    </w:p>
    <w:tbl>
      <w:tblPr>
        <w:tblStyle w:val="39"/>
        <w:tblW w:w="47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558"/>
        <w:gridCol w:w="506"/>
        <w:gridCol w:w="6331"/>
        <w:gridCol w:w="550"/>
      </w:tblGrid>
      <w:tr w14:paraId="6FD6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exac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5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bookmarkStart w:id="173" w:name="_Toc15088"/>
            <w:bookmarkStart w:id="174" w:name="_Toc2272569"/>
            <w:bookmarkStart w:id="175" w:name="_Toc284"/>
            <w:bookmarkStart w:id="176" w:name="_Toc17144"/>
            <w:bookmarkStart w:id="177" w:name="_Toc9286"/>
            <w:bookmarkStart w:id="178" w:name="_Toc5305"/>
            <w:bookmarkStart w:id="179" w:name="_Toc14765"/>
            <w:bookmarkStart w:id="180" w:name="_Toc30321"/>
            <w:bookmarkStart w:id="181" w:name="_Toc3063"/>
            <w:bookmarkStart w:id="182" w:name="_Toc32478"/>
            <w:bookmarkStart w:id="183" w:name="_Toc18521"/>
            <w:bookmarkStart w:id="184" w:name="_Toc6477"/>
            <w:r>
              <w:rPr>
                <w:rFonts w:hint="eastAsia" w:ascii="宋体" w:hAnsi="宋体" w:eastAsia="宋体" w:cs="宋体"/>
                <w:b/>
                <w:bCs/>
                <w:i w:val="0"/>
                <w:iCs w:val="0"/>
                <w:color w:val="000000"/>
                <w:kern w:val="0"/>
                <w:sz w:val="21"/>
                <w:szCs w:val="21"/>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9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E0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品牌（参照或相当于）</w:t>
            </w:r>
          </w:p>
        </w:tc>
        <w:tc>
          <w:tcPr>
            <w:tcW w:w="290" w:type="pct"/>
            <w:tcBorders>
              <w:top w:val="single" w:color="000000" w:sz="4" w:space="0"/>
              <w:left w:val="single" w:color="000000" w:sz="4" w:space="0"/>
              <w:bottom w:val="single" w:color="000000" w:sz="4" w:space="0"/>
              <w:right w:val="single" w:color="auto" w:sz="4" w:space="0"/>
            </w:tcBorders>
            <w:shd w:val="clear" w:color="auto" w:fill="auto"/>
            <w:vAlign w:val="center"/>
          </w:tcPr>
          <w:p w14:paraId="762B0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bidi="ar"/>
              </w:rPr>
            </w:pPr>
            <w:r>
              <w:rPr>
                <w:rFonts w:hint="eastAsia" w:ascii="宋体" w:hAnsi="宋体" w:eastAsia="宋体" w:cs="宋体"/>
                <w:b/>
                <w:bCs/>
                <w:i w:val="0"/>
                <w:iCs w:val="0"/>
                <w:color w:val="000000"/>
                <w:kern w:val="0"/>
                <w:sz w:val="21"/>
                <w:szCs w:val="21"/>
                <w:u w:val="none"/>
                <w:lang w:val="en-US" w:eastAsia="zh-CN" w:bidi="ar"/>
              </w:rPr>
              <w:t>备注</w:t>
            </w:r>
          </w:p>
        </w:tc>
      </w:tr>
      <w:tr w14:paraId="7B9B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1A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40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海螺</w:t>
            </w:r>
            <w:r>
              <w:rPr>
                <w:rFonts w:hint="eastAsia" w:ascii="宋体" w:hAnsi="宋体" w:cs="宋体"/>
                <w:i w:val="0"/>
                <w:iCs w:val="0"/>
                <w:color w:val="000000"/>
                <w:kern w:val="0"/>
                <w:sz w:val="21"/>
                <w:szCs w:val="21"/>
                <w:u w:val="none"/>
                <w:lang w:val="en-US" w:eastAsia="zh-CN" w:bidi="ar"/>
              </w:rPr>
              <w:t>（英德海螺水泥有限责任公司）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3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D8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AA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7E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92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6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南方水泥</w:t>
            </w:r>
            <w:r>
              <w:rPr>
                <w:rFonts w:hint="eastAsia" w:ascii="宋体" w:hAnsi="宋体" w:cs="宋体"/>
                <w:i w:val="0"/>
                <w:iCs w:val="0"/>
                <w:color w:val="000000"/>
                <w:kern w:val="0"/>
                <w:sz w:val="21"/>
                <w:szCs w:val="21"/>
                <w:u w:val="none"/>
                <w:lang w:val="en-US" w:eastAsia="zh-CN" w:bidi="ar"/>
              </w:rPr>
              <w:t>（崇左南方水泥有限公司）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9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5FD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F3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5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CA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4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润丰水泥</w:t>
            </w:r>
            <w:r>
              <w:rPr>
                <w:rFonts w:hint="eastAsia" w:ascii="宋体" w:hAnsi="宋体" w:cs="宋体"/>
                <w:i w:val="0"/>
                <w:iCs w:val="0"/>
                <w:color w:val="000000"/>
                <w:kern w:val="0"/>
                <w:sz w:val="21"/>
                <w:szCs w:val="21"/>
                <w:u w:val="none"/>
                <w:lang w:val="en-US" w:eastAsia="zh-CN" w:bidi="ar"/>
              </w:rPr>
              <w:t>（华润水泥投资有限公司）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C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E25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97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2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F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F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凯城</w:t>
            </w:r>
            <w:r>
              <w:rPr>
                <w:rFonts w:hint="eastAsia" w:ascii="宋体" w:hAnsi="宋体" w:cs="宋体"/>
                <w:i w:val="0"/>
                <w:iCs w:val="0"/>
                <w:color w:val="000000"/>
                <w:kern w:val="0"/>
                <w:sz w:val="21"/>
                <w:szCs w:val="21"/>
                <w:u w:val="none"/>
                <w:lang w:val="en-US" w:eastAsia="zh-CN" w:bidi="ar"/>
              </w:rPr>
              <w:t>（惠州市光大水泥企业有限公司）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3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533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6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19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B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F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台泥</w:t>
            </w:r>
            <w:r>
              <w:rPr>
                <w:rFonts w:hint="eastAsia" w:ascii="宋体" w:hAnsi="宋体" w:cs="宋体"/>
                <w:i w:val="0"/>
                <w:iCs w:val="0"/>
                <w:color w:val="000000"/>
                <w:kern w:val="0"/>
                <w:sz w:val="21"/>
                <w:szCs w:val="21"/>
                <w:u w:val="none"/>
                <w:lang w:val="en-US" w:eastAsia="zh-CN" w:bidi="ar"/>
              </w:rPr>
              <w:t>（台泥企业集团）</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2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8BD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F3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4" w:type="pct"/>
            <w:vMerge w:val="restart"/>
            <w:tcBorders>
              <w:top w:val="single" w:color="000000" w:sz="4" w:space="0"/>
              <w:left w:val="single" w:color="000000" w:sz="4" w:space="0"/>
              <w:right w:val="single" w:color="000000" w:sz="4" w:space="0"/>
            </w:tcBorders>
            <w:shd w:val="clear" w:color="auto" w:fill="auto"/>
            <w:vAlign w:val="center"/>
          </w:tcPr>
          <w:p w14:paraId="359BB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34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2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河钢唐钢</w:t>
            </w:r>
            <w:r>
              <w:rPr>
                <w:rFonts w:hint="eastAsia" w:ascii="宋体" w:hAnsi="宋体" w:cs="宋体"/>
                <w:i w:val="0"/>
                <w:iCs w:val="0"/>
                <w:color w:val="000000"/>
                <w:kern w:val="0"/>
                <w:sz w:val="21"/>
                <w:szCs w:val="21"/>
                <w:u w:val="none"/>
                <w:lang w:val="en-US" w:eastAsia="zh-CN" w:bidi="ar"/>
              </w:rPr>
              <w:t>（河钢股份有限公司唐山分公司）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B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FCE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7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4F4DBD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87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E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河钢承钢</w:t>
            </w:r>
            <w:r>
              <w:rPr>
                <w:rFonts w:hint="eastAsia" w:ascii="宋体" w:hAnsi="宋体" w:cs="宋体"/>
                <w:i w:val="0"/>
                <w:iCs w:val="0"/>
                <w:color w:val="000000"/>
                <w:kern w:val="0"/>
                <w:sz w:val="21"/>
                <w:szCs w:val="21"/>
                <w:u w:val="none"/>
                <w:lang w:val="en-US" w:eastAsia="zh-CN" w:bidi="ar"/>
              </w:rPr>
              <w:t>（河钢股份有限公司承德分公司）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6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006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D5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471137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51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3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鞍钢</w:t>
            </w:r>
            <w:r>
              <w:rPr>
                <w:rFonts w:hint="eastAsia" w:ascii="宋体" w:hAnsi="宋体" w:cs="宋体"/>
                <w:i w:val="0"/>
                <w:iCs w:val="0"/>
                <w:color w:val="000000"/>
                <w:kern w:val="0"/>
                <w:sz w:val="21"/>
                <w:szCs w:val="21"/>
                <w:u w:val="none"/>
                <w:lang w:val="en-US" w:eastAsia="zh-CN" w:bidi="ar"/>
              </w:rPr>
              <w:t>（鞍钢股份有限公司）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7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37D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DD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1DC52E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88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F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包钢</w:t>
            </w:r>
            <w:r>
              <w:rPr>
                <w:rFonts w:hint="eastAsia" w:ascii="宋体" w:hAnsi="宋体" w:cs="宋体"/>
                <w:i w:val="0"/>
                <w:iCs w:val="0"/>
                <w:color w:val="000000"/>
                <w:kern w:val="0"/>
                <w:sz w:val="21"/>
                <w:szCs w:val="21"/>
                <w:u w:val="none"/>
                <w:lang w:val="en-US" w:eastAsia="zh-CN" w:bidi="ar"/>
              </w:rPr>
              <w:t>（包头钢铁（集团）有限责任公司）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7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D64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4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334FA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1A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4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湘钢</w:t>
            </w:r>
            <w:r>
              <w:rPr>
                <w:rFonts w:hint="eastAsia" w:ascii="宋体" w:hAnsi="宋体" w:cs="宋体"/>
                <w:i w:val="0"/>
                <w:iCs w:val="0"/>
                <w:color w:val="000000"/>
                <w:kern w:val="0"/>
                <w:sz w:val="21"/>
                <w:szCs w:val="21"/>
                <w:u w:val="none"/>
                <w:lang w:val="en-US" w:eastAsia="zh-CN" w:bidi="ar"/>
              </w:rPr>
              <w:t>（阳春新钢铁有限责任公司）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C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7BB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DD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63D7B0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F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B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马钢</w:t>
            </w:r>
            <w:r>
              <w:rPr>
                <w:rFonts w:hint="eastAsia" w:ascii="宋体" w:hAnsi="宋体" w:cs="宋体"/>
                <w:i w:val="0"/>
                <w:iCs w:val="0"/>
                <w:color w:val="000000"/>
                <w:kern w:val="0"/>
                <w:sz w:val="21"/>
                <w:szCs w:val="21"/>
                <w:u w:val="none"/>
                <w:lang w:val="en-US" w:eastAsia="zh-CN" w:bidi="ar"/>
              </w:rPr>
              <w:t>（马鞍山钢铁股份有限公司）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5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7F1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BF8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03C51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5E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7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永钢</w:t>
            </w:r>
            <w:r>
              <w:rPr>
                <w:rFonts w:hint="eastAsia" w:ascii="宋体" w:hAnsi="宋体" w:cs="宋体"/>
                <w:i w:val="0"/>
                <w:iCs w:val="0"/>
                <w:color w:val="000000"/>
                <w:kern w:val="0"/>
                <w:sz w:val="21"/>
                <w:szCs w:val="21"/>
                <w:u w:val="none"/>
                <w:lang w:val="en-US" w:eastAsia="zh-CN" w:bidi="ar"/>
              </w:rPr>
              <w:t>（江苏永钢集团有限公司）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E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A13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B6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0E428E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14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F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水钢</w:t>
            </w:r>
            <w:r>
              <w:rPr>
                <w:rFonts w:hint="eastAsia" w:ascii="宋体" w:hAnsi="宋体" w:cs="宋体"/>
                <w:i w:val="0"/>
                <w:iCs w:val="0"/>
                <w:color w:val="000000"/>
                <w:kern w:val="0"/>
                <w:sz w:val="21"/>
                <w:szCs w:val="21"/>
                <w:u w:val="none"/>
                <w:lang w:val="en-US" w:eastAsia="zh-CN" w:bidi="ar"/>
              </w:rPr>
              <w:t>（首钢水城钢铁（集团）有限责任公司）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D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FE2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2C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B4FC9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3C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B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龙门钢铁</w:t>
            </w:r>
            <w:r>
              <w:rPr>
                <w:rFonts w:hint="eastAsia" w:ascii="宋体" w:hAnsi="宋体" w:cs="宋体"/>
                <w:i w:val="0"/>
                <w:iCs w:val="0"/>
                <w:color w:val="000000"/>
                <w:kern w:val="0"/>
                <w:sz w:val="21"/>
                <w:szCs w:val="21"/>
                <w:u w:val="none"/>
                <w:lang w:val="en-US" w:eastAsia="zh-CN" w:bidi="ar"/>
              </w:rPr>
              <w:t>（陕西龙门钢铁（集团）有限责任公司）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F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75B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7E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7C6067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D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F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涟钢</w:t>
            </w:r>
            <w:r>
              <w:rPr>
                <w:rFonts w:hint="eastAsia" w:ascii="宋体" w:hAnsi="宋体" w:cs="宋体"/>
                <w:i w:val="0"/>
                <w:iCs w:val="0"/>
                <w:color w:val="000000"/>
                <w:kern w:val="0"/>
                <w:sz w:val="21"/>
                <w:szCs w:val="21"/>
                <w:u w:val="none"/>
                <w:lang w:val="en-US" w:eastAsia="zh-CN" w:bidi="ar"/>
              </w:rPr>
              <w:t>（湖南华菱涟源钢铁有限公司）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D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058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70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190721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4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8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萍钢</w:t>
            </w:r>
            <w:r>
              <w:rPr>
                <w:rFonts w:hint="eastAsia" w:ascii="宋体" w:hAnsi="宋体" w:cs="宋体"/>
                <w:i w:val="0"/>
                <w:iCs w:val="0"/>
                <w:color w:val="000000"/>
                <w:kern w:val="0"/>
                <w:sz w:val="21"/>
                <w:szCs w:val="21"/>
                <w:u w:val="none"/>
                <w:lang w:val="en-US" w:eastAsia="zh-CN" w:bidi="ar"/>
              </w:rPr>
              <w:t>（江西萍钢实业股份有限公司）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5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685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BF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1D61CF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74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8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河钢邯钢</w:t>
            </w:r>
            <w:r>
              <w:rPr>
                <w:rFonts w:hint="eastAsia" w:ascii="宋体" w:hAnsi="宋体" w:cs="宋体"/>
                <w:i w:val="0"/>
                <w:iCs w:val="0"/>
                <w:color w:val="000000"/>
                <w:kern w:val="0"/>
                <w:sz w:val="21"/>
                <w:szCs w:val="21"/>
                <w:u w:val="none"/>
                <w:lang w:val="en-US" w:eastAsia="zh-CN" w:bidi="ar"/>
              </w:rPr>
              <w:t>（河钢股份有限公司邯郸分公司）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E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2CF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3A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A175A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2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8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河钢宣钢</w:t>
            </w:r>
            <w:r>
              <w:rPr>
                <w:rFonts w:hint="eastAsia" w:ascii="宋体" w:hAnsi="宋体" w:cs="宋体"/>
                <w:i w:val="0"/>
                <w:iCs w:val="0"/>
                <w:color w:val="000000"/>
                <w:kern w:val="0"/>
                <w:sz w:val="21"/>
                <w:szCs w:val="21"/>
                <w:u w:val="none"/>
                <w:lang w:val="en-US" w:eastAsia="zh-CN" w:bidi="ar"/>
              </w:rPr>
              <w:t>（宣化钢铁集团有限责任公司）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2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C24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2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71DBF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2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D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本钢</w:t>
            </w:r>
            <w:r>
              <w:rPr>
                <w:rFonts w:hint="eastAsia" w:ascii="宋体" w:hAnsi="宋体" w:cs="宋体"/>
                <w:i w:val="0"/>
                <w:iCs w:val="0"/>
                <w:color w:val="000000"/>
                <w:kern w:val="0"/>
                <w:sz w:val="21"/>
                <w:szCs w:val="21"/>
                <w:u w:val="none"/>
                <w:lang w:val="en-US" w:eastAsia="zh-CN" w:bidi="ar"/>
              </w:rPr>
              <w:t>（本溪北营钢铁(集团)股份有限公司）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F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A84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9A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FB388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E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C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韶钢</w:t>
            </w:r>
            <w:r>
              <w:rPr>
                <w:rFonts w:hint="eastAsia" w:ascii="宋体" w:hAnsi="宋体" w:cs="宋体"/>
                <w:i w:val="0"/>
                <w:iCs w:val="0"/>
                <w:color w:val="000000"/>
                <w:kern w:val="0"/>
                <w:sz w:val="21"/>
                <w:szCs w:val="21"/>
                <w:u w:val="none"/>
                <w:lang w:val="en-US" w:eastAsia="zh-CN" w:bidi="ar"/>
              </w:rPr>
              <w:t>（广东中南钢铁股份有限公司）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0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F28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67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30849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1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7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珠海粤钢</w:t>
            </w:r>
            <w:r>
              <w:rPr>
                <w:rFonts w:hint="eastAsia" w:ascii="宋体" w:hAnsi="宋体" w:cs="宋体"/>
                <w:i w:val="0"/>
                <w:iCs w:val="0"/>
                <w:color w:val="000000"/>
                <w:kern w:val="0"/>
                <w:sz w:val="21"/>
                <w:szCs w:val="21"/>
                <w:u w:val="none"/>
                <w:lang w:val="en-US" w:eastAsia="zh-CN" w:bidi="ar"/>
              </w:rPr>
              <w:t>（珠海粤裕丰钢铁有限公司）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E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F50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F3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046AFF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C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A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沙钢</w:t>
            </w:r>
            <w:r>
              <w:rPr>
                <w:rFonts w:hint="eastAsia" w:ascii="宋体" w:hAnsi="宋体" w:cs="宋体"/>
                <w:i w:val="0"/>
                <w:iCs w:val="0"/>
                <w:color w:val="000000"/>
                <w:kern w:val="0"/>
                <w:sz w:val="21"/>
                <w:szCs w:val="21"/>
                <w:u w:val="none"/>
                <w:lang w:val="en-US" w:eastAsia="zh-CN" w:bidi="ar"/>
              </w:rPr>
              <w:t>（江苏沙钢集团有限公司）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9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08D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24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25D87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9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26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鄂钢</w:t>
            </w:r>
            <w:r>
              <w:rPr>
                <w:rFonts w:hint="eastAsia" w:ascii="宋体" w:hAnsi="宋体" w:cs="宋体"/>
                <w:i w:val="0"/>
                <w:iCs w:val="0"/>
                <w:color w:val="000000"/>
                <w:kern w:val="0"/>
                <w:sz w:val="21"/>
                <w:szCs w:val="21"/>
                <w:u w:val="none"/>
                <w:lang w:val="en-US" w:eastAsia="zh-CN" w:bidi="ar"/>
              </w:rPr>
              <w:t>（宝武集团鄂城钢铁有限公司）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7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9A4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A9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4828AB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96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B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昆钢</w:t>
            </w:r>
            <w:r>
              <w:rPr>
                <w:rFonts w:hint="eastAsia" w:ascii="宋体" w:hAnsi="宋体" w:cs="宋体"/>
                <w:i w:val="0"/>
                <w:iCs w:val="0"/>
                <w:color w:val="000000"/>
                <w:kern w:val="0"/>
                <w:sz w:val="21"/>
                <w:szCs w:val="21"/>
                <w:u w:val="none"/>
                <w:lang w:val="en-US" w:eastAsia="zh-CN" w:bidi="ar"/>
              </w:rPr>
              <w:t>（武钢集团昆明钢铁股份有限公司）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7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233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A8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B884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66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D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达钢</w:t>
            </w:r>
            <w:r>
              <w:rPr>
                <w:rFonts w:hint="eastAsia" w:ascii="宋体" w:hAnsi="宋体" w:cs="宋体"/>
                <w:i w:val="0"/>
                <w:iCs w:val="0"/>
                <w:color w:val="000000"/>
                <w:kern w:val="0"/>
                <w:sz w:val="21"/>
                <w:szCs w:val="21"/>
                <w:u w:val="none"/>
                <w:lang w:val="en-US" w:eastAsia="zh-CN" w:bidi="ar"/>
              </w:rPr>
              <w:t>（四川省达州钢铁集团有限责任公司）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C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2C9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F2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7F852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B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9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日照</w:t>
            </w:r>
            <w:r>
              <w:rPr>
                <w:rFonts w:hint="eastAsia" w:ascii="宋体" w:hAnsi="宋体" w:cs="宋体"/>
                <w:i w:val="0"/>
                <w:iCs w:val="0"/>
                <w:color w:val="000000"/>
                <w:kern w:val="0"/>
                <w:sz w:val="21"/>
                <w:szCs w:val="21"/>
                <w:u w:val="none"/>
                <w:lang w:val="en-US" w:eastAsia="zh-CN" w:bidi="ar"/>
              </w:rPr>
              <w:t>（日照钢铁控股集团有限公司）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7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69C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AE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7AC9D6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44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7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建邦</w:t>
            </w:r>
            <w:r>
              <w:rPr>
                <w:rFonts w:hint="eastAsia" w:ascii="宋体" w:hAnsi="宋体" w:cs="宋体"/>
                <w:i w:val="0"/>
                <w:iCs w:val="0"/>
                <w:color w:val="000000"/>
                <w:kern w:val="0"/>
                <w:sz w:val="21"/>
                <w:szCs w:val="21"/>
                <w:u w:val="none"/>
                <w:lang w:val="en-US" w:eastAsia="zh-CN" w:bidi="ar"/>
              </w:rPr>
              <w:t>（山西建邦集团有限公司）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6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FB8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0A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4AC4C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4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E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中天</w:t>
            </w:r>
            <w:r>
              <w:rPr>
                <w:rFonts w:hint="eastAsia" w:ascii="宋体" w:hAnsi="宋体" w:cs="宋体"/>
                <w:i w:val="0"/>
                <w:iCs w:val="0"/>
                <w:color w:val="000000"/>
                <w:kern w:val="0"/>
                <w:sz w:val="21"/>
                <w:szCs w:val="21"/>
                <w:u w:val="none"/>
                <w:lang w:val="en-US" w:eastAsia="zh-CN" w:bidi="ar"/>
              </w:rPr>
              <w:t>（中天钢铁集团有限公司）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6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E48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73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2190B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4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7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新兴铸管</w:t>
            </w:r>
            <w:r>
              <w:rPr>
                <w:rFonts w:hint="eastAsia" w:ascii="宋体" w:hAnsi="宋体" w:cs="宋体"/>
                <w:i w:val="0"/>
                <w:iCs w:val="0"/>
                <w:color w:val="000000"/>
                <w:kern w:val="0"/>
                <w:sz w:val="21"/>
                <w:szCs w:val="21"/>
                <w:u w:val="none"/>
                <w:lang w:val="en-US" w:eastAsia="zh-CN" w:bidi="ar"/>
              </w:rPr>
              <w:t>（新兴铸管股份有限公司）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F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CD2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57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600520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E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2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申特</w:t>
            </w:r>
            <w:r>
              <w:rPr>
                <w:rFonts w:hint="eastAsia" w:ascii="宋体" w:hAnsi="宋体" w:cs="宋体"/>
                <w:i w:val="0"/>
                <w:iCs w:val="0"/>
                <w:color w:val="000000"/>
                <w:kern w:val="0"/>
                <w:sz w:val="21"/>
                <w:szCs w:val="21"/>
                <w:u w:val="none"/>
                <w:lang w:val="en-US" w:eastAsia="zh-CN" w:bidi="ar"/>
              </w:rPr>
              <w:t>（江苏申特钢铁有限公司）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5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7FF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0E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055B2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3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8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新三洲</w:t>
            </w:r>
            <w:r>
              <w:rPr>
                <w:rFonts w:hint="eastAsia" w:ascii="宋体" w:hAnsi="宋体" w:cs="宋体"/>
                <w:i w:val="0"/>
                <w:iCs w:val="0"/>
                <w:color w:val="000000"/>
                <w:kern w:val="0"/>
                <w:sz w:val="21"/>
                <w:szCs w:val="21"/>
                <w:u w:val="none"/>
                <w:lang w:val="en-US" w:eastAsia="zh-CN" w:bidi="ar"/>
              </w:rPr>
              <w:t>（无锡新三洲特钢有限公司）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E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248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C0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687F5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3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8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西城</w:t>
            </w:r>
            <w:r>
              <w:rPr>
                <w:rFonts w:hint="eastAsia" w:ascii="宋体" w:hAnsi="宋体" w:cs="宋体"/>
                <w:i w:val="0"/>
                <w:iCs w:val="0"/>
                <w:color w:val="000000"/>
                <w:kern w:val="0"/>
                <w:sz w:val="21"/>
                <w:szCs w:val="21"/>
                <w:u w:val="none"/>
                <w:lang w:val="en-US" w:eastAsia="zh-CN" w:bidi="ar"/>
              </w:rPr>
              <w:t>（江阴市西城钢铁有限公司）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C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D6B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C9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0FC0E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7A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9C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莱钢</w:t>
            </w:r>
            <w:r>
              <w:rPr>
                <w:rFonts w:hint="eastAsia" w:ascii="宋体" w:hAnsi="宋体" w:cs="宋体"/>
                <w:i w:val="0"/>
                <w:iCs w:val="0"/>
                <w:color w:val="000000"/>
                <w:kern w:val="0"/>
                <w:sz w:val="21"/>
                <w:szCs w:val="21"/>
                <w:u w:val="none"/>
                <w:lang w:val="en-US" w:eastAsia="zh-CN" w:bidi="ar"/>
              </w:rPr>
              <w:t>（山东钢铁股份有限公司莱芜分公司）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8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DF5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3C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036F3D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0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0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柳钢</w:t>
            </w:r>
            <w:r>
              <w:rPr>
                <w:rFonts w:hint="eastAsia" w:ascii="宋体" w:hAnsi="宋体" w:cs="宋体"/>
                <w:i w:val="0"/>
                <w:iCs w:val="0"/>
                <w:color w:val="000000"/>
                <w:kern w:val="0"/>
                <w:sz w:val="21"/>
                <w:szCs w:val="21"/>
                <w:u w:val="none"/>
                <w:lang w:val="en-US" w:eastAsia="zh-CN" w:bidi="ar"/>
              </w:rPr>
              <w:t>（广西柳州钢铁集团有限公司）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D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A09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51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60346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2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7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广钢</w:t>
            </w:r>
            <w:r>
              <w:rPr>
                <w:rFonts w:hint="eastAsia" w:ascii="宋体" w:hAnsi="宋体" w:cs="宋体"/>
                <w:i w:val="0"/>
                <w:iCs w:val="0"/>
                <w:color w:val="000000"/>
                <w:kern w:val="0"/>
                <w:sz w:val="21"/>
                <w:szCs w:val="21"/>
                <w:u w:val="none"/>
                <w:lang w:val="en-US" w:eastAsia="zh-CN" w:bidi="ar"/>
              </w:rPr>
              <w:t>（广州工业投资控股集团有限公司）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0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02A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5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3482C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CA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B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莱钢永锋</w:t>
            </w:r>
            <w:r>
              <w:rPr>
                <w:rFonts w:hint="eastAsia" w:ascii="宋体" w:hAnsi="宋体" w:cs="宋体"/>
                <w:i w:val="0"/>
                <w:iCs w:val="0"/>
                <w:color w:val="000000"/>
                <w:kern w:val="0"/>
                <w:sz w:val="21"/>
                <w:szCs w:val="21"/>
                <w:u w:val="none"/>
                <w:lang w:val="en-US" w:eastAsia="zh-CN" w:bidi="ar"/>
              </w:rPr>
              <w:t>（山东莱钢永锋钢铁有限公司）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B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EEF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2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7BAB1F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F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1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石横特钢</w:t>
            </w:r>
            <w:r>
              <w:rPr>
                <w:rFonts w:hint="eastAsia" w:ascii="宋体" w:hAnsi="宋体" w:cs="宋体"/>
                <w:i w:val="0"/>
                <w:iCs w:val="0"/>
                <w:color w:val="000000"/>
                <w:kern w:val="0"/>
                <w:sz w:val="21"/>
                <w:szCs w:val="21"/>
                <w:u w:val="none"/>
                <w:lang w:val="en-US" w:eastAsia="zh-CN" w:bidi="ar"/>
              </w:rPr>
              <w:t>（石横特钢集团有限公司）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6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33B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13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318E70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F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0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建龙</w:t>
            </w:r>
            <w:r>
              <w:rPr>
                <w:rFonts w:hint="eastAsia" w:ascii="宋体" w:hAnsi="宋体" w:cs="宋体"/>
                <w:i w:val="0"/>
                <w:iCs w:val="0"/>
                <w:color w:val="000000"/>
                <w:kern w:val="0"/>
                <w:sz w:val="21"/>
                <w:szCs w:val="21"/>
                <w:u w:val="none"/>
                <w:lang w:val="en-US" w:eastAsia="zh-CN" w:bidi="ar"/>
              </w:rPr>
              <w:t>（建龙钢铁控股有限公司）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5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C91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98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0986D3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B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B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敬业</w:t>
            </w:r>
            <w:r>
              <w:rPr>
                <w:rFonts w:hint="eastAsia" w:ascii="宋体" w:hAnsi="宋体" w:cs="宋体"/>
                <w:i w:val="0"/>
                <w:iCs w:val="0"/>
                <w:color w:val="000000"/>
                <w:kern w:val="0"/>
                <w:sz w:val="21"/>
                <w:szCs w:val="21"/>
                <w:u w:val="none"/>
                <w:lang w:val="en-US" w:eastAsia="zh-CN" w:bidi="ar"/>
              </w:rPr>
              <w:t>（敬业钢铁有限公司）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E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EF9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4C9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FF2B9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D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C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凌钢</w:t>
            </w:r>
            <w:r>
              <w:rPr>
                <w:rFonts w:hint="eastAsia" w:ascii="宋体" w:hAnsi="宋体" w:cs="宋体"/>
                <w:i w:val="0"/>
                <w:iCs w:val="0"/>
                <w:color w:val="000000"/>
                <w:kern w:val="0"/>
                <w:sz w:val="21"/>
                <w:szCs w:val="21"/>
                <w:u w:val="none"/>
                <w:lang w:val="en-US" w:eastAsia="zh-CN" w:bidi="ar"/>
              </w:rPr>
              <w:t>（凌源钢铁股份有限公司）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3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8F7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2F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6FDF76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B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3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首钢长治</w:t>
            </w:r>
            <w:r>
              <w:rPr>
                <w:rFonts w:hint="eastAsia" w:ascii="宋体" w:hAnsi="宋体" w:cs="宋体"/>
                <w:i w:val="0"/>
                <w:iCs w:val="0"/>
                <w:color w:val="000000"/>
                <w:kern w:val="0"/>
                <w:sz w:val="21"/>
                <w:szCs w:val="21"/>
                <w:u w:val="none"/>
                <w:lang w:val="en-US" w:eastAsia="zh-CN" w:bidi="ar"/>
              </w:rPr>
              <w:t>（首钢长治钢铁有限公司）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B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DA2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23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00F267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1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D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通钢</w:t>
            </w:r>
            <w:r>
              <w:rPr>
                <w:rFonts w:hint="eastAsia" w:ascii="宋体" w:hAnsi="宋体" w:cs="宋体"/>
                <w:i w:val="0"/>
                <w:iCs w:val="0"/>
                <w:color w:val="000000"/>
                <w:kern w:val="0"/>
                <w:sz w:val="21"/>
                <w:szCs w:val="21"/>
                <w:u w:val="none"/>
                <w:lang w:val="en-US" w:eastAsia="zh-CN" w:bidi="ar"/>
              </w:rPr>
              <w:t>（通化钢铁集团有限责任公司）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6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A9F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03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49500E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B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4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新抚顺</w:t>
            </w:r>
            <w:r>
              <w:rPr>
                <w:rFonts w:hint="eastAsia" w:ascii="宋体" w:hAnsi="宋体" w:cs="宋体"/>
                <w:i w:val="0"/>
                <w:iCs w:val="0"/>
                <w:color w:val="000000"/>
                <w:kern w:val="0"/>
                <w:sz w:val="21"/>
                <w:szCs w:val="21"/>
                <w:u w:val="none"/>
                <w:lang w:val="en-US" w:eastAsia="zh-CN" w:bidi="ar"/>
              </w:rPr>
              <w:t>（抚顺新钢铁有限责任公司）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6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7E6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8C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2303E8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8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5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桂万</w:t>
            </w:r>
            <w:r>
              <w:rPr>
                <w:rFonts w:hint="eastAsia" w:ascii="宋体" w:hAnsi="宋体" w:cs="宋体"/>
                <w:i w:val="0"/>
                <w:iCs w:val="0"/>
                <w:color w:val="000000"/>
                <w:kern w:val="0"/>
                <w:sz w:val="21"/>
                <w:szCs w:val="21"/>
                <w:u w:val="none"/>
                <w:lang w:val="en-US" w:eastAsia="zh-CN" w:bidi="ar"/>
              </w:rPr>
              <w:t>（广西盛隆冶金有限公司）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5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3F1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5F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30A3AF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4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4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济源</w:t>
            </w:r>
            <w:r>
              <w:rPr>
                <w:rFonts w:hint="eastAsia" w:ascii="宋体" w:hAnsi="宋体" w:cs="宋体"/>
                <w:i w:val="0"/>
                <w:iCs w:val="0"/>
                <w:color w:val="000000"/>
                <w:kern w:val="0"/>
                <w:sz w:val="21"/>
                <w:szCs w:val="21"/>
                <w:u w:val="none"/>
                <w:lang w:val="en-US" w:eastAsia="zh-CN" w:bidi="ar"/>
              </w:rPr>
              <w:t>（河南济源钢铁（集团）有限公司）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6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4A4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33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right w:val="single" w:color="000000" w:sz="4" w:space="0"/>
            </w:tcBorders>
            <w:shd w:val="clear" w:color="auto" w:fill="auto"/>
            <w:vAlign w:val="center"/>
          </w:tcPr>
          <w:p w14:paraId="574774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9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F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安钢周口</w:t>
            </w:r>
            <w:r>
              <w:rPr>
                <w:rFonts w:hint="eastAsia" w:ascii="宋体" w:hAnsi="宋体" w:cs="宋体"/>
                <w:i w:val="0"/>
                <w:iCs w:val="0"/>
                <w:color w:val="000000"/>
                <w:kern w:val="0"/>
                <w:sz w:val="21"/>
                <w:szCs w:val="21"/>
                <w:u w:val="none"/>
                <w:lang w:val="en-US" w:eastAsia="zh-CN" w:bidi="ar"/>
              </w:rPr>
              <w:t>（河南安钢周口钢铁有限责任公司）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4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8BA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EB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left w:val="single" w:color="000000" w:sz="4" w:space="0"/>
              <w:bottom w:val="single" w:color="000000" w:sz="4" w:space="0"/>
              <w:right w:val="single" w:color="000000" w:sz="4" w:space="0"/>
            </w:tcBorders>
            <w:shd w:val="clear" w:color="auto" w:fill="auto"/>
            <w:vAlign w:val="center"/>
          </w:tcPr>
          <w:p w14:paraId="7CB8DC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2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3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安钢信阳</w:t>
            </w:r>
            <w:r>
              <w:rPr>
                <w:rFonts w:hint="eastAsia" w:ascii="宋体" w:hAnsi="宋体" w:cs="宋体"/>
                <w:i w:val="0"/>
                <w:iCs w:val="0"/>
                <w:color w:val="000000"/>
                <w:kern w:val="0"/>
                <w:sz w:val="21"/>
                <w:szCs w:val="21"/>
                <w:u w:val="none"/>
                <w:lang w:val="en-US" w:eastAsia="zh-CN" w:bidi="ar"/>
              </w:rPr>
              <w:t>（安钢集团信阳钢铁有限责任公司）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4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1DD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5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11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钢结构厂</w:t>
            </w:r>
          </w:p>
        </w:tc>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56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FB2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中建钢构</w:t>
            </w:r>
            <w:r>
              <w:rPr>
                <w:rFonts w:hint="eastAsia" w:ascii="宋体" w:hAnsi="宋体" w:cs="宋体"/>
                <w:i w:val="0"/>
                <w:iCs w:val="0"/>
                <w:color w:val="000000"/>
                <w:kern w:val="0"/>
                <w:sz w:val="21"/>
                <w:szCs w:val="21"/>
                <w:u w:val="none"/>
                <w:lang w:val="en-US" w:eastAsia="zh-CN" w:bidi="ar"/>
              </w:rPr>
              <w:t>（中建钢构股份有限公司）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E3C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B9D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left w:val="single" w:color="000000" w:sz="4" w:space="0"/>
              <w:right w:val="single" w:color="000000" w:sz="4" w:space="0"/>
            </w:tcBorders>
            <w:shd w:val="clear" w:color="auto" w:fill="auto"/>
            <w:vAlign w:val="center"/>
          </w:tcPr>
          <w:p w14:paraId="60E96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4" w:type="pct"/>
            <w:vMerge w:val="continue"/>
            <w:tcBorders>
              <w:left w:val="single" w:color="000000" w:sz="4" w:space="0"/>
              <w:right w:val="single" w:color="000000" w:sz="4" w:space="0"/>
            </w:tcBorders>
            <w:shd w:val="clear" w:color="auto" w:fill="auto"/>
            <w:vAlign w:val="center"/>
          </w:tcPr>
          <w:p w14:paraId="6F973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C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5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宝冶</w:t>
            </w:r>
            <w:r>
              <w:rPr>
                <w:rFonts w:hint="eastAsia" w:ascii="宋体" w:hAnsi="宋体" w:cs="宋体"/>
                <w:i w:val="0"/>
                <w:iCs w:val="0"/>
                <w:color w:val="000000"/>
                <w:kern w:val="0"/>
                <w:sz w:val="21"/>
                <w:szCs w:val="21"/>
                <w:u w:val="none"/>
                <w:lang w:val="en-US" w:eastAsia="zh-CN" w:bidi="ar"/>
              </w:rPr>
              <w:t>（上海宝冶集团有限公司）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5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3298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30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26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B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D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沪宁钢机</w:t>
            </w:r>
            <w:r>
              <w:rPr>
                <w:rFonts w:hint="eastAsia" w:ascii="宋体" w:hAnsi="宋体" w:cs="宋体"/>
                <w:i w:val="0"/>
                <w:iCs w:val="0"/>
                <w:color w:val="000000"/>
                <w:kern w:val="0"/>
                <w:sz w:val="21"/>
                <w:szCs w:val="21"/>
                <w:u w:val="none"/>
                <w:lang w:val="en-US" w:eastAsia="zh-CN" w:bidi="ar"/>
              </w:rPr>
              <w:t>（江苏沪宁钢机股份有限公司）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E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CE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D5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04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钢结构防火涂料</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B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3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SKK</w:t>
            </w:r>
            <w:r>
              <w:rPr>
                <w:rFonts w:hint="eastAsia" w:ascii="宋体" w:hAnsi="宋体" w:cs="宋体"/>
                <w:i w:val="0"/>
                <w:iCs w:val="0"/>
                <w:color w:val="000000"/>
                <w:kern w:val="0"/>
                <w:sz w:val="21"/>
                <w:szCs w:val="21"/>
                <w:u w:val="none"/>
                <w:lang w:val="en-US" w:eastAsia="zh-CN" w:bidi="ar"/>
              </w:rPr>
              <w:t>（四国化研(上海)有限公司）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1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C21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B76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AE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8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6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佐敦</w:t>
            </w:r>
            <w:r>
              <w:rPr>
                <w:rFonts w:hint="eastAsia" w:ascii="宋体" w:hAnsi="宋体" w:cs="宋体"/>
                <w:i w:val="0"/>
                <w:iCs w:val="0"/>
                <w:color w:val="000000"/>
                <w:kern w:val="0"/>
                <w:sz w:val="21"/>
                <w:szCs w:val="21"/>
                <w:u w:val="none"/>
                <w:lang w:val="en-US" w:eastAsia="zh-CN" w:bidi="ar"/>
              </w:rPr>
              <w:t>（佐敦涂料（张家港）有限公司）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1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7C3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98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E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D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1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西卡</w:t>
            </w:r>
            <w:r>
              <w:rPr>
                <w:rFonts w:hint="eastAsia" w:ascii="宋体" w:hAnsi="宋体" w:cs="宋体"/>
                <w:i w:val="0"/>
                <w:iCs w:val="0"/>
                <w:color w:val="000000"/>
                <w:kern w:val="0"/>
                <w:sz w:val="21"/>
                <w:szCs w:val="21"/>
                <w:u w:val="none"/>
                <w:lang w:val="en-US" w:eastAsia="zh-CN" w:bidi="ar"/>
              </w:rPr>
              <w:t>（西卡(中国)有限公司）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6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36E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4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B5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6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2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国际(阿克苏诺贝尔)</w:t>
            </w:r>
            <w:r>
              <w:rPr>
                <w:rFonts w:hint="eastAsia" w:ascii="宋体" w:hAnsi="宋体" w:cs="宋体"/>
                <w:i w:val="0"/>
                <w:iCs w:val="0"/>
                <w:color w:val="000000"/>
                <w:kern w:val="0"/>
                <w:sz w:val="21"/>
                <w:szCs w:val="21"/>
                <w:u w:val="none"/>
                <w:lang w:val="en-US" w:eastAsia="zh-CN" w:bidi="ar"/>
              </w:rPr>
              <w:t>（阿克苏诺贝尔防护涂料（苏州）有限公司）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1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AAB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96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BBD28">
            <w:pPr>
              <w:keepNext w:val="0"/>
              <w:keepLines w:val="0"/>
              <w:widowControl/>
              <w:suppressLineNumbers w:val="0"/>
              <w:tabs>
                <w:tab w:val="left" w:pos="1050"/>
              </w:tabs>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钢结构热轧型钢</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1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3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包钢</w:t>
            </w:r>
            <w:r>
              <w:rPr>
                <w:rFonts w:hint="eastAsia" w:ascii="宋体" w:hAnsi="宋体" w:cs="宋体"/>
                <w:i w:val="0"/>
                <w:iCs w:val="0"/>
                <w:color w:val="000000"/>
                <w:kern w:val="0"/>
                <w:sz w:val="21"/>
                <w:szCs w:val="21"/>
                <w:u w:val="none"/>
                <w:lang w:val="en-US" w:eastAsia="zh-CN" w:bidi="ar"/>
              </w:rPr>
              <w:t>（包头钢铁（集团）有限责任公司）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F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233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4A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D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5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5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马钢</w:t>
            </w:r>
            <w:r>
              <w:rPr>
                <w:rFonts w:hint="eastAsia" w:ascii="宋体" w:hAnsi="宋体" w:cs="宋体"/>
                <w:i w:val="0"/>
                <w:iCs w:val="0"/>
                <w:color w:val="000000"/>
                <w:kern w:val="0"/>
                <w:sz w:val="21"/>
                <w:szCs w:val="21"/>
                <w:u w:val="none"/>
                <w:lang w:val="en-US" w:eastAsia="zh-CN" w:bidi="ar"/>
              </w:rPr>
              <w:t>（马鞍山钢铁股份有限公司）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A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B00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46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AC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5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3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津西</w:t>
            </w:r>
            <w:r>
              <w:rPr>
                <w:rFonts w:hint="eastAsia" w:ascii="宋体" w:hAnsi="宋体" w:cs="宋体"/>
                <w:i w:val="0"/>
                <w:iCs w:val="0"/>
                <w:color w:val="000000"/>
                <w:kern w:val="0"/>
                <w:sz w:val="21"/>
                <w:szCs w:val="21"/>
                <w:u w:val="none"/>
                <w:lang w:val="en-US" w:eastAsia="zh-CN" w:bidi="ar"/>
              </w:rPr>
              <w:t>（河北津西钢铁集团股份有限公司）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0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579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63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83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88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0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日照</w:t>
            </w:r>
            <w:r>
              <w:rPr>
                <w:rFonts w:hint="eastAsia" w:ascii="宋体" w:hAnsi="宋体" w:cs="宋体"/>
                <w:i w:val="0"/>
                <w:iCs w:val="0"/>
                <w:color w:val="000000"/>
                <w:kern w:val="0"/>
                <w:sz w:val="21"/>
                <w:szCs w:val="21"/>
                <w:u w:val="none"/>
                <w:lang w:val="en-US" w:eastAsia="zh-CN" w:bidi="ar"/>
              </w:rPr>
              <w:t>（日照钢铁控股集团有限公司）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1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C00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9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8E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5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3C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莱钢</w:t>
            </w:r>
            <w:r>
              <w:rPr>
                <w:rFonts w:hint="eastAsia" w:ascii="宋体" w:hAnsi="宋体" w:cs="宋体"/>
                <w:i w:val="0"/>
                <w:iCs w:val="0"/>
                <w:color w:val="000000"/>
                <w:kern w:val="0"/>
                <w:sz w:val="21"/>
                <w:szCs w:val="21"/>
                <w:u w:val="none"/>
                <w:lang w:val="en-US" w:eastAsia="zh-CN" w:bidi="ar"/>
              </w:rPr>
              <w:t>（山东钢铁股份有限公司莱芜分公司）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9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CDD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B4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541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8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B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山钢</w:t>
            </w:r>
            <w:r>
              <w:rPr>
                <w:rFonts w:hint="eastAsia" w:ascii="宋体" w:hAnsi="宋体" w:cs="宋体"/>
                <w:i w:val="0"/>
                <w:iCs w:val="0"/>
                <w:color w:val="000000"/>
                <w:kern w:val="0"/>
                <w:sz w:val="21"/>
                <w:szCs w:val="21"/>
                <w:u w:val="none"/>
                <w:lang w:val="en-US" w:eastAsia="zh-CN" w:bidi="ar"/>
              </w:rPr>
              <w:t>（山东钢铁集团有限公司）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7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96C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0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0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钢结构用钢板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F14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2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鞍钢</w:t>
            </w:r>
            <w:r>
              <w:rPr>
                <w:rFonts w:hint="eastAsia" w:ascii="宋体" w:hAnsi="宋体" w:cs="宋体"/>
                <w:i w:val="0"/>
                <w:iCs w:val="0"/>
                <w:color w:val="000000"/>
                <w:kern w:val="0"/>
                <w:sz w:val="21"/>
                <w:szCs w:val="21"/>
                <w:u w:val="none"/>
                <w:lang w:val="en-US" w:eastAsia="zh-CN" w:bidi="ar"/>
              </w:rPr>
              <w:t>（鞍钢股份有限公司）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0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505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2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AD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25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F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重钢</w:t>
            </w:r>
            <w:r>
              <w:rPr>
                <w:rFonts w:hint="eastAsia" w:ascii="宋体" w:hAnsi="宋体" w:cs="宋体"/>
                <w:i w:val="0"/>
                <w:iCs w:val="0"/>
                <w:color w:val="000000"/>
                <w:kern w:val="0"/>
                <w:sz w:val="21"/>
                <w:szCs w:val="21"/>
                <w:u w:val="none"/>
                <w:lang w:val="en-US" w:eastAsia="zh-CN" w:bidi="ar"/>
              </w:rPr>
              <w:t>（重庆钢铁股份有限公司）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6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EBC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EE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A2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D3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5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韶钢</w:t>
            </w:r>
            <w:r>
              <w:rPr>
                <w:rFonts w:hint="eastAsia" w:ascii="宋体" w:hAnsi="宋体" w:cs="宋体"/>
                <w:i w:val="0"/>
                <w:iCs w:val="0"/>
                <w:color w:val="000000"/>
                <w:kern w:val="0"/>
                <w:sz w:val="21"/>
                <w:szCs w:val="21"/>
                <w:u w:val="none"/>
                <w:lang w:val="en-US" w:eastAsia="zh-CN" w:bidi="ar"/>
              </w:rPr>
              <w:t>（广东中南钢铁股份有限公司）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E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ECA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73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FC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AC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4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沙钢</w:t>
            </w:r>
            <w:r>
              <w:rPr>
                <w:rFonts w:hint="eastAsia" w:ascii="宋体" w:hAnsi="宋体" w:cs="宋体"/>
                <w:i w:val="0"/>
                <w:iCs w:val="0"/>
                <w:color w:val="000000"/>
                <w:kern w:val="0"/>
                <w:sz w:val="21"/>
                <w:szCs w:val="21"/>
                <w:u w:val="none"/>
                <w:lang w:val="en-US" w:eastAsia="zh-CN" w:bidi="ar"/>
              </w:rPr>
              <w:t>（江苏沙钢集团有限公司）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4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BA4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79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06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B3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2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鄂钢</w:t>
            </w:r>
            <w:r>
              <w:rPr>
                <w:rFonts w:hint="eastAsia" w:ascii="宋体" w:hAnsi="宋体" w:cs="宋体"/>
                <w:i w:val="0"/>
                <w:iCs w:val="0"/>
                <w:color w:val="000000"/>
                <w:kern w:val="0"/>
                <w:sz w:val="21"/>
                <w:szCs w:val="21"/>
                <w:u w:val="none"/>
                <w:lang w:val="en-US" w:eastAsia="zh-CN" w:bidi="ar"/>
              </w:rPr>
              <w:t>（宝武集团鄂城钢铁有限公司）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9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71D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A5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C3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18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A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武钢</w:t>
            </w:r>
            <w:r>
              <w:rPr>
                <w:rFonts w:hint="eastAsia" w:ascii="宋体" w:hAnsi="宋体" w:cs="宋体"/>
                <w:i w:val="0"/>
                <w:iCs w:val="0"/>
                <w:color w:val="000000"/>
                <w:kern w:val="0"/>
                <w:sz w:val="21"/>
                <w:szCs w:val="21"/>
                <w:u w:val="none"/>
                <w:lang w:val="en-US" w:eastAsia="zh-CN" w:bidi="ar"/>
              </w:rPr>
              <w:t>（武汉钢铁有限公司）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B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A2E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0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FE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6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1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宝钢</w:t>
            </w:r>
            <w:r>
              <w:rPr>
                <w:rFonts w:hint="eastAsia" w:ascii="宋体" w:hAnsi="宋体" w:cs="宋体"/>
                <w:i w:val="0"/>
                <w:iCs w:val="0"/>
                <w:color w:val="000000"/>
                <w:kern w:val="0"/>
                <w:sz w:val="21"/>
                <w:szCs w:val="21"/>
                <w:u w:val="none"/>
                <w:lang w:val="en-US" w:eastAsia="zh-CN" w:bidi="ar"/>
              </w:rPr>
              <w:t>（宝山钢铁股份有限公司）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A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60A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51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96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B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2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山钢</w:t>
            </w:r>
            <w:r>
              <w:rPr>
                <w:rFonts w:hint="eastAsia" w:ascii="宋体" w:hAnsi="宋体" w:cs="宋体"/>
                <w:i w:val="0"/>
                <w:iCs w:val="0"/>
                <w:color w:val="000000"/>
                <w:kern w:val="0"/>
                <w:sz w:val="21"/>
                <w:szCs w:val="21"/>
                <w:u w:val="none"/>
                <w:lang w:val="en-US" w:eastAsia="zh-CN" w:bidi="ar"/>
              </w:rPr>
              <w:t>（山东钢铁集团有限公司）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C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338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FA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C0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D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A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新余</w:t>
            </w:r>
            <w:r>
              <w:rPr>
                <w:rFonts w:hint="eastAsia" w:ascii="宋体" w:hAnsi="宋体" w:cs="宋体"/>
                <w:i w:val="0"/>
                <w:iCs w:val="0"/>
                <w:color w:val="000000"/>
                <w:kern w:val="0"/>
                <w:sz w:val="21"/>
                <w:szCs w:val="21"/>
                <w:u w:val="none"/>
                <w:lang w:val="en-US" w:eastAsia="zh-CN" w:bidi="ar"/>
              </w:rPr>
              <w:t>（新余钢铁股份有限公司）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F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4D1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7D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5A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1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9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萍乡萍钢</w:t>
            </w:r>
            <w:r>
              <w:rPr>
                <w:rFonts w:hint="eastAsia" w:ascii="宋体" w:hAnsi="宋体" w:cs="宋体"/>
                <w:i w:val="0"/>
                <w:iCs w:val="0"/>
                <w:color w:val="000000"/>
                <w:kern w:val="0"/>
                <w:sz w:val="21"/>
                <w:szCs w:val="21"/>
                <w:u w:val="none"/>
                <w:lang w:val="en-US" w:eastAsia="zh-CN" w:bidi="ar"/>
              </w:rPr>
              <w:t>（萍乡萍钢安源钢铁有限公司）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1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F7D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98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48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D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4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本钢板材</w:t>
            </w:r>
            <w:r>
              <w:rPr>
                <w:rFonts w:hint="eastAsia" w:ascii="宋体" w:hAnsi="宋体" w:cs="宋体"/>
                <w:i w:val="0"/>
                <w:iCs w:val="0"/>
                <w:color w:val="000000"/>
                <w:kern w:val="0"/>
                <w:sz w:val="21"/>
                <w:szCs w:val="21"/>
                <w:u w:val="none"/>
                <w:lang w:val="en-US" w:eastAsia="zh-CN" w:bidi="ar"/>
              </w:rPr>
              <w:t>（本钢板材股份有限公司）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2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4BD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D5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96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2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F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柳钢</w:t>
            </w:r>
            <w:r>
              <w:rPr>
                <w:rFonts w:hint="eastAsia" w:ascii="宋体" w:hAnsi="宋体" w:cs="宋体"/>
                <w:i w:val="0"/>
                <w:iCs w:val="0"/>
                <w:color w:val="000000"/>
                <w:kern w:val="0"/>
                <w:sz w:val="21"/>
                <w:szCs w:val="21"/>
                <w:u w:val="none"/>
                <w:lang w:val="en-US" w:eastAsia="zh-CN" w:bidi="ar"/>
              </w:rPr>
              <w:t>（广西柳州钢铁集团有限公司）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4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FBF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D9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BF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07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C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唐山钢铁</w:t>
            </w:r>
            <w:r>
              <w:rPr>
                <w:rFonts w:hint="eastAsia" w:ascii="宋体" w:hAnsi="宋体" w:cs="宋体"/>
                <w:i w:val="0"/>
                <w:iCs w:val="0"/>
                <w:color w:val="000000"/>
                <w:kern w:val="0"/>
                <w:sz w:val="21"/>
                <w:szCs w:val="21"/>
                <w:u w:val="none"/>
                <w:lang w:val="en-US" w:eastAsia="zh-CN" w:bidi="ar"/>
              </w:rPr>
              <w:t>（唐山钢铁集团有限责任公司）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3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690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EA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F4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9B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E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南钢</w:t>
            </w:r>
            <w:r>
              <w:rPr>
                <w:rFonts w:hint="eastAsia" w:ascii="宋体" w:hAnsi="宋体" w:cs="宋体"/>
                <w:i w:val="0"/>
                <w:iCs w:val="0"/>
                <w:color w:val="000000"/>
                <w:kern w:val="0"/>
                <w:sz w:val="21"/>
                <w:szCs w:val="21"/>
                <w:u w:val="none"/>
                <w:lang w:val="en-US" w:eastAsia="zh-CN" w:bidi="ar"/>
              </w:rPr>
              <w:t>（南京钢铁集团有限公司）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C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DDC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A8B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3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7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0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攀枝花钢钒</w:t>
            </w:r>
            <w:r>
              <w:rPr>
                <w:rFonts w:hint="eastAsia" w:ascii="宋体" w:hAnsi="宋体" w:cs="宋体"/>
                <w:i w:val="0"/>
                <w:iCs w:val="0"/>
                <w:color w:val="000000"/>
                <w:kern w:val="0"/>
                <w:sz w:val="21"/>
                <w:szCs w:val="21"/>
                <w:u w:val="none"/>
                <w:lang w:val="en-US" w:eastAsia="zh-CN" w:bidi="ar"/>
              </w:rPr>
              <w:t>（攀钢集团攀枝花钢钒有限公司）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9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E6C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1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FF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27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9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营口</w:t>
            </w:r>
            <w:r>
              <w:rPr>
                <w:rFonts w:hint="eastAsia" w:ascii="宋体" w:hAnsi="宋体" w:cs="宋体"/>
                <w:i w:val="0"/>
                <w:iCs w:val="0"/>
                <w:color w:val="000000"/>
                <w:kern w:val="0"/>
                <w:sz w:val="21"/>
                <w:szCs w:val="21"/>
                <w:u w:val="none"/>
                <w:lang w:val="en-US" w:eastAsia="zh-CN" w:bidi="ar"/>
              </w:rPr>
              <w:t>（日钢营口中板有限公司）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A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860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8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B8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1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A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天钢</w:t>
            </w:r>
            <w:r>
              <w:rPr>
                <w:rFonts w:hint="eastAsia" w:ascii="宋体" w:hAnsi="宋体" w:cs="宋体"/>
                <w:i w:val="0"/>
                <w:iCs w:val="0"/>
                <w:color w:val="000000"/>
                <w:kern w:val="0"/>
                <w:sz w:val="21"/>
                <w:szCs w:val="21"/>
                <w:u w:val="none"/>
                <w:lang w:val="en-US" w:eastAsia="zh-CN" w:bidi="ar"/>
              </w:rPr>
              <w:t>（天津市新天钢联合特钢有限公司）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B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F6E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CE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59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A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8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舞阳</w:t>
            </w:r>
            <w:r>
              <w:rPr>
                <w:rFonts w:hint="eastAsia" w:ascii="宋体" w:hAnsi="宋体" w:cs="宋体"/>
                <w:i w:val="0"/>
                <w:iCs w:val="0"/>
                <w:color w:val="000000"/>
                <w:kern w:val="0"/>
                <w:sz w:val="21"/>
                <w:szCs w:val="21"/>
                <w:u w:val="none"/>
                <w:lang w:val="en-US" w:eastAsia="zh-CN" w:bidi="ar"/>
              </w:rPr>
              <w:t>（舞阳钢铁有限责任公司）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C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579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44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70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7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0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兴澄</w:t>
            </w:r>
            <w:r>
              <w:rPr>
                <w:rFonts w:hint="eastAsia" w:ascii="宋体" w:hAnsi="宋体" w:cs="宋体"/>
                <w:i w:val="0"/>
                <w:iCs w:val="0"/>
                <w:color w:val="000000"/>
                <w:kern w:val="0"/>
                <w:sz w:val="21"/>
                <w:szCs w:val="21"/>
                <w:u w:val="none"/>
                <w:lang w:val="en-US" w:eastAsia="zh-CN" w:bidi="ar"/>
              </w:rPr>
              <w:t>（江阴兴澄特种钢铁有限公司）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0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B56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1D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F3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2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4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三钢</w:t>
            </w:r>
            <w:r>
              <w:rPr>
                <w:rFonts w:hint="eastAsia" w:ascii="宋体" w:hAnsi="宋体" w:cs="宋体"/>
                <w:i w:val="0"/>
                <w:iCs w:val="0"/>
                <w:color w:val="000000"/>
                <w:kern w:val="0"/>
                <w:sz w:val="21"/>
                <w:szCs w:val="21"/>
                <w:u w:val="none"/>
                <w:lang w:val="en-US" w:eastAsia="zh-CN" w:bidi="ar"/>
              </w:rPr>
              <w:t>（福建省三钢（集团）有限责任公司）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E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580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04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A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AF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C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梅山</w:t>
            </w:r>
            <w:r>
              <w:rPr>
                <w:rFonts w:hint="eastAsia" w:ascii="宋体" w:hAnsi="宋体" w:cs="宋体"/>
                <w:i w:val="0"/>
                <w:iCs w:val="0"/>
                <w:color w:val="000000"/>
                <w:kern w:val="0"/>
                <w:sz w:val="21"/>
                <w:szCs w:val="21"/>
                <w:u w:val="none"/>
                <w:lang w:val="en-US" w:eastAsia="zh-CN" w:bidi="ar"/>
              </w:rPr>
              <w:t>（上海梅山钢铁股份有限公司）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8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B80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2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A4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2F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4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宁钢</w:t>
            </w:r>
            <w:r>
              <w:rPr>
                <w:rFonts w:hint="eastAsia" w:ascii="宋体" w:hAnsi="宋体" w:cs="宋体"/>
                <w:i w:val="0"/>
                <w:iCs w:val="0"/>
                <w:color w:val="000000"/>
                <w:kern w:val="0"/>
                <w:sz w:val="21"/>
                <w:szCs w:val="21"/>
                <w:u w:val="none"/>
                <w:lang w:val="en-US" w:eastAsia="zh-CN" w:bidi="ar"/>
              </w:rPr>
              <w:t>（宁波钢铁有限公司）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1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794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A0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75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E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6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宝钢湛江</w:t>
            </w:r>
            <w:r>
              <w:rPr>
                <w:rFonts w:hint="eastAsia" w:ascii="宋体" w:hAnsi="宋体" w:cs="宋体"/>
                <w:i w:val="0"/>
                <w:iCs w:val="0"/>
                <w:color w:val="000000"/>
                <w:kern w:val="0"/>
                <w:sz w:val="21"/>
                <w:szCs w:val="21"/>
                <w:u w:val="none"/>
                <w:lang w:val="en-US" w:eastAsia="zh-CN" w:bidi="ar"/>
              </w:rPr>
              <w:t>（宝钢湛江钢铁有限公司）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F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597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11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2C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焊接材料（含防雷接地、止水钢板等）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7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B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金桥</w:t>
            </w:r>
            <w:r>
              <w:rPr>
                <w:rFonts w:hint="eastAsia" w:ascii="宋体" w:hAnsi="宋体" w:cs="宋体"/>
                <w:i w:val="0"/>
                <w:iCs w:val="0"/>
                <w:color w:val="000000"/>
                <w:kern w:val="0"/>
                <w:sz w:val="21"/>
                <w:szCs w:val="21"/>
                <w:u w:val="none"/>
                <w:lang w:val="en-US" w:eastAsia="zh-CN" w:bidi="ar"/>
              </w:rPr>
              <w:t>（天津市金桥焊材集团股份有限公司）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6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3E0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E8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22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86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6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上海林肯</w:t>
            </w:r>
            <w:r>
              <w:rPr>
                <w:rFonts w:hint="eastAsia" w:ascii="宋体" w:hAnsi="宋体" w:cs="宋体"/>
                <w:i w:val="0"/>
                <w:iCs w:val="0"/>
                <w:color w:val="000000"/>
                <w:kern w:val="0"/>
                <w:sz w:val="21"/>
                <w:szCs w:val="21"/>
                <w:u w:val="none"/>
                <w:lang w:val="en-US" w:eastAsia="zh-CN" w:bidi="ar"/>
              </w:rPr>
              <w:t>（上海林肯电气有限公司）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C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BF3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9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25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0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C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大西洋</w:t>
            </w:r>
            <w:r>
              <w:rPr>
                <w:rFonts w:hint="eastAsia" w:ascii="宋体" w:hAnsi="宋体" w:cs="宋体"/>
                <w:i w:val="0"/>
                <w:iCs w:val="0"/>
                <w:color w:val="000000"/>
                <w:kern w:val="0"/>
                <w:sz w:val="21"/>
                <w:szCs w:val="21"/>
                <w:u w:val="none"/>
                <w:lang w:val="en-US" w:eastAsia="zh-CN" w:bidi="ar"/>
              </w:rPr>
              <w:t>（四川大西洋焊接材料股份有限公司）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B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AFD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6B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92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钢结构防腐涂料</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C1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C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海虹老人</w:t>
            </w:r>
            <w:r>
              <w:rPr>
                <w:rFonts w:hint="eastAsia" w:ascii="宋体" w:hAnsi="宋体" w:cs="宋体"/>
                <w:i w:val="0"/>
                <w:iCs w:val="0"/>
                <w:color w:val="000000"/>
                <w:kern w:val="0"/>
                <w:sz w:val="21"/>
                <w:szCs w:val="21"/>
                <w:u w:val="none"/>
                <w:lang w:val="en-US" w:eastAsia="zh-CN" w:bidi="ar"/>
              </w:rPr>
              <w:t>（海虹老人北亚投资有限公司）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B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520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E5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72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7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5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佐敦</w:t>
            </w:r>
            <w:r>
              <w:rPr>
                <w:rFonts w:hint="eastAsia" w:ascii="宋体" w:hAnsi="宋体" w:cs="宋体"/>
                <w:i w:val="0"/>
                <w:iCs w:val="0"/>
                <w:color w:val="000000"/>
                <w:kern w:val="0"/>
                <w:sz w:val="21"/>
                <w:szCs w:val="21"/>
                <w:u w:val="none"/>
                <w:lang w:val="en-US" w:eastAsia="zh-CN" w:bidi="ar"/>
              </w:rPr>
              <w:t>（佐敦涂料（张家港）有限公司）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F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691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D7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4D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F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阿克苏诺贝尔</w:t>
            </w:r>
            <w:r>
              <w:rPr>
                <w:rFonts w:hint="eastAsia" w:ascii="宋体" w:hAnsi="宋体" w:cs="宋体"/>
                <w:i w:val="0"/>
                <w:iCs w:val="0"/>
                <w:color w:val="000000"/>
                <w:kern w:val="0"/>
                <w:sz w:val="21"/>
                <w:szCs w:val="21"/>
                <w:u w:val="none"/>
                <w:lang w:val="en-US" w:eastAsia="zh-CN" w:bidi="ar"/>
              </w:rPr>
              <w:t>（阿克苏诺贝尔防护涂料（苏州）有限公司）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C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A24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7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58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4E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0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式玛卡龙（PPG）</w:t>
            </w:r>
            <w:r>
              <w:rPr>
                <w:rFonts w:hint="eastAsia" w:ascii="宋体" w:hAnsi="宋体" w:cs="宋体"/>
                <w:i w:val="0"/>
                <w:iCs w:val="0"/>
                <w:color w:val="000000"/>
                <w:kern w:val="0"/>
                <w:sz w:val="21"/>
                <w:szCs w:val="21"/>
                <w:u w:val="none"/>
                <w:lang w:val="en-US" w:eastAsia="zh-CN" w:bidi="ar"/>
              </w:rPr>
              <w:t>（庞贝捷涂料（昆山）有限公司）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3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9A9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E1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F3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39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F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江苏法尔胜</w:t>
            </w:r>
            <w:r>
              <w:rPr>
                <w:rFonts w:hint="eastAsia" w:ascii="宋体" w:hAnsi="宋体" w:cs="宋体"/>
                <w:i w:val="0"/>
                <w:iCs w:val="0"/>
                <w:color w:val="000000"/>
                <w:kern w:val="0"/>
                <w:sz w:val="21"/>
                <w:szCs w:val="21"/>
                <w:u w:val="none"/>
                <w:lang w:val="en-US" w:eastAsia="zh-CN" w:bidi="ar"/>
              </w:rPr>
              <w:t>（江苏法尔胜缆索有限公司）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7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3E5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0E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69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C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8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柳州欧维姆</w:t>
            </w:r>
            <w:r>
              <w:rPr>
                <w:rFonts w:hint="eastAsia" w:ascii="宋体" w:hAnsi="宋体" w:cs="宋体"/>
                <w:i w:val="0"/>
                <w:iCs w:val="0"/>
                <w:color w:val="000000"/>
                <w:kern w:val="0"/>
                <w:sz w:val="21"/>
                <w:szCs w:val="21"/>
                <w:u w:val="none"/>
                <w:lang w:val="en-US" w:eastAsia="zh-CN" w:bidi="ar"/>
              </w:rPr>
              <w:t>（柳州欧维姆机械股份有限公司）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E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167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4A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3E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2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5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重庆万桥</w:t>
            </w:r>
            <w:r>
              <w:rPr>
                <w:rFonts w:hint="eastAsia" w:ascii="宋体" w:hAnsi="宋体" w:cs="宋体"/>
                <w:i w:val="0"/>
                <w:iCs w:val="0"/>
                <w:color w:val="000000"/>
                <w:kern w:val="0"/>
                <w:sz w:val="21"/>
                <w:szCs w:val="21"/>
                <w:u w:val="none"/>
                <w:lang w:val="en-US" w:eastAsia="zh-CN" w:bidi="ar"/>
              </w:rPr>
              <w:t>（重庆万桥交通科技发展有限公司）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8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F55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61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B0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结构胶粘剂，粘钢用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3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西卡</w:t>
            </w:r>
            <w:r>
              <w:rPr>
                <w:rFonts w:hint="eastAsia" w:ascii="宋体" w:hAnsi="宋体" w:cs="宋体"/>
                <w:i w:val="0"/>
                <w:iCs w:val="0"/>
                <w:color w:val="000000"/>
                <w:kern w:val="0"/>
                <w:sz w:val="21"/>
                <w:szCs w:val="21"/>
                <w:u w:val="none"/>
                <w:lang w:val="en-US" w:eastAsia="zh-CN" w:bidi="ar"/>
              </w:rPr>
              <w:t>（广州西卡建筑材料有限公司）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A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513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56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D9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8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D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Fischer（慧鱼）</w:t>
            </w:r>
            <w:r>
              <w:rPr>
                <w:rFonts w:hint="eastAsia" w:ascii="宋体" w:hAnsi="宋体" w:cs="宋体"/>
                <w:i w:val="0"/>
                <w:iCs w:val="0"/>
                <w:color w:val="000000"/>
                <w:kern w:val="0"/>
                <w:sz w:val="21"/>
                <w:szCs w:val="21"/>
                <w:u w:val="none"/>
                <w:lang w:val="en-US" w:eastAsia="zh-CN" w:bidi="ar"/>
              </w:rPr>
              <w:t>（慧鱼（太仓）建筑锚栓有限公司）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0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903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5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8B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B2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0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小西</w:t>
            </w:r>
            <w:r>
              <w:rPr>
                <w:rFonts w:hint="eastAsia" w:ascii="宋体" w:hAnsi="宋体" w:cs="宋体"/>
                <w:i w:val="0"/>
                <w:iCs w:val="0"/>
                <w:color w:val="000000"/>
                <w:kern w:val="0"/>
                <w:sz w:val="21"/>
                <w:szCs w:val="21"/>
                <w:u w:val="none"/>
                <w:lang w:val="en-US" w:eastAsia="zh-CN" w:bidi="ar"/>
              </w:rPr>
              <w:t>（科昵西贸易(上海)有限公司）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D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198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20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7F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结构灌注胶，包钢用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82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7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西卡</w:t>
            </w:r>
            <w:r>
              <w:rPr>
                <w:rFonts w:hint="eastAsia" w:ascii="宋体" w:hAnsi="宋体" w:cs="宋体"/>
                <w:i w:val="0"/>
                <w:iCs w:val="0"/>
                <w:color w:val="000000"/>
                <w:kern w:val="0"/>
                <w:sz w:val="21"/>
                <w:szCs w:val="21"/>
                <w:u w:val="none"/>
                <w:lang w:val="en-US" w:eastAsia="zh-CN" w:bidi="ar"/>
              </w:rPr>
              <w:t>（广州西卡建筑材料有限公司）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4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41D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1F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65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EF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A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Fischer（慧鱼）</w:t>
            </w:r>
            <w:r>
              <w:rPr>
                <w:rFonts w:hint="eastAsia" w:ascii="宋体" w:hAnsi="宋体" w:cs="宋体"/>
                <w:i w:val="0"/>
                <w:iCs w:val="0"/>
                <w:color w:val="000000"/>
                <w:kern w:val="0"/>
                <w:sz w:val="21"/>
                <w:szCs w:val="21"/>
                <w:u w:val="none"/>
                <w:lang w:val="en-US" w:eastAsia="zh-CN" w:bidi="ar"/>
              </w:rPr>
              <w:t>（慧鱼（太仓）建筑锚栓有限公司）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A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7F1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99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92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6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6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小西</w:t>
            </w:r>
            <w:r>
              <w:rPr>
                <w:rFonts w:hint="eastAsia" w:ascii="宋体" w:hAnsi="宋体" w:cs="宋体"/>
                <w:i w:val="0"/>
                <w:iCs w:val="0"/>
                <w:color w:val="000000"/>
                <w:kern w:val="0"/>
                <w:sz w:val="21"/>
                <w:szCs w:val="21"/>
                <w:u w:val="none"/>
                <w:lang w:val="en-US" w:eastAsia="zh-CN" w:bidi="ar"/>
              </w:rPr>
              <w:t>（科昵西贸易(上海)有限公司）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1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F04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10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2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8B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6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赫尔曼</w:t>
            </w:r>
            <w:r>
              <w:rPr>
                <w:rFonts w:hint="eastAsia" w:ascii="宋体" w:hAnsi="宋体" w:cs="宋体"/>
                <w:i w:val="0"/>
                <w:iCs w:val="0"/>
                <w:color w:val="000000"/>
                <w:kern w:val="0"/>
                <w:sz w:val="21"/>
                <w:szCs w:val="21"/>
                <w:u w:val="none"/>
                <w:lang w:val="en-US" w:eastAsia="zh-CN" w:bidi="ar"/>
              </w:rPr>
              <w:t>（赫尔曼（广州）化工产品有限公司）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6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C0A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16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91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防水材料（包括SBS卷材 、APP卷材、高分子PVC卷材、高分子及水泥基防水涂料、改性沥青防水涂料、非固化橡胶沥青防水涂料等）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E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6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科顺</w:t>
            </w:r>
            <w:r>
              <w:rPr>
                <w:rFonts w:hint="eastAsia" w:ascii="宋体" w:hAnsi="宋体" w:cs="宋体"/>
                <w:i w:val="0"/>
                <w:iCs w:val="0"/>
                <w:color w:val="000000"/>
                <w:kern w:val="0"/>
                <w:sz w:val="21"/>
                <w:szCs w:val="21"/>
                <w:u w:val="none"/>
                <w:lang w:val="en-US" w:eastAsia="zh-CN" w:bidi="ar"/>
              </w:rPr>
              <w:t>（科顺防水科技股份有限公司）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8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D2F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FF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4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4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5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东方雨虹</w:t>
            </w:r>
            <w:r>
              <w:rPr>
                <w:rFonts w:hint="eastAsia" w:ascii="宋体" w:hAnsi="宋体" w:cs="宋体"/>
                <w:i w:val="0"/>
                <w:iCs w:val="0"/>
                <w:color w:val="000000"/>
                <w:kern w:val="0"/>
                <w:sz w:val="21"/>
                <w:szCs w:val="21"/>
                <w:u w:val="none"/>
                <w:lang w:val="en-US" w:eastAsia="zh-CN" w:bidi="ar"/>
              </w:rPr>
              <w:t>（北京东方雨虹防水技术股份有限公司）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E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EE4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C7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D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B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1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凯伦</w:t>
            </w:r>
            <w:r>
              <w:rPr>
                <w:rFonts w:hint="eastAsia" w:ascii="宋体" w:hAnsi="宋体" w:cs="宋体"/>
                <w:i w:val="0"/>
                <w:iCs w:val="0"/>
                <w:color w:val="000000"/>
                <w:kern w:val="0"/>
                <w:sz w:val="21"/>
                <w:szCs w:val="21"/>
                <w:u w:val="none"/>
                <w:lang w:val="en-US" w:eastAsia="zh-CN" w:bidi="ar"/>
              </w:rPr>
              <w:t>（江苏凯伦建材股份有限公司）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8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F17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48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C2F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0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3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北新禹王</w:t>
            </w:r>
            <w:r>
              <w:rPr>
                <w:rFonts w:hint="eastAsia" w:ascii="宋体" w:hAnsi="宋体" w:cs="宋体"/>
                <w:i w:val="0"/>
                <w:iCs w:val="0"/>
                <w:color w:val="000000"/>
                <w:kern w:val="0"/>
                <w:sz w:val="21"/>
                <w:szCs w:val="21"/>
                <w:u w:val="none"/>
                <w:lang w:val="en-US" w:eastAsia="zh-CN" w:bidi="ar"/>
              </w:rPr>
              <w:t>（北新禹王防水科技集团有限公司）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3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6B1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EC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4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锚栓（含机械锚栓、化学锚栓、背栓、植筋胶）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A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B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慧鱼</w:t>
            </w:r>
            <w:r>
              <w:rPr>
                <w:rFonts w:hint="eastAsia" w:ascii="宋体" w:hAnsi="宋体" w:cs="宋体"/>
                <w:i w:val="0"/>
                <w:iCs w:val="0"/>
                <w:color w:val="000000"/>
                <w:kern w:val="0"/>
                <w:sz w:val="21"/>
                <w:szCs w:val="21"/>
                <w:u w:val="none"/>
                <w:lang w:val="en-US" w:eastAsia="zh-CN" w:bidi="ar"/>
              </w:rPr>
              <w:t>（慧鱼（太仓）建筑锚栓有限公司）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D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0B4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25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71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4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9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喜利得</w:t>
            </w:r>
            <w:r>
              <w:rPr>
                <w:rFonts w:hint="eastAsia" w:ascii="宋体" w:hAnsi="宋体" w:cs="宋体"/>
                <w:i w:val="0"/>
                <w:iCs w:val="0"/>
                <w:color w:val="000000"/>
                <w:kern w:val="0"/>
                <w:sz w:val="21"/>
                <w:szCs w:val="21"/>
                <w:u w:val="none"/>
                <w:lang w:val="en-US" w:eastAsia="zh-CN" w:bidi="ar"/>
              </w:rPr>
              <w:t>（喜利得（中国）商贸有限公司）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2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1C0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C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BA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5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8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倍络得</w:t>
            </w:r>
            <w:r>
              <w:rPr>
                <w:rFonts w:hint="eastAsia" w:ascii="宋体" w:hAnsi="宋体" w:cs="宋体"/>
                <w:i w:val="0"/>
                <w:iCs w:val="0"/>
                <w:color w:val="000000"/>
                <w:kern w:val="0"/>
                <w:sz w:val="21"/>
                <w:szCs w:val="21"/>
                <w:u w:val="none"/>
                <w:lang w:val="en-US" w:eastAsia="zh-CN" w:bidi="ar"/>
              </w:rPr>
              <w:t>（倍络得（上海）国际贸易有限公司）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7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1BBC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48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A9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耐火密封胶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52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B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Sika（西卡）</w:t>
            </w:r>
            <w:r>
              <w:rPr>
                <w:rFonts w:hint="eastAsia" w:ascii="宋体" w:hAnsi="宋体" w:cs="宋体"/>
                <w:i w:val="0"/>
                <w:iCs w:val="0"/>
                <w:color w:val="000000"/>
                <w:kern w:val="0"/>
                <w:sz w:val="21"/>
                <w:szCs w:val="21"/>
                <w:u w:val="none"/>
                <w:lang w:val="en-US" w:eastAsia="zh-CN" w:bidi="ar"/>
              </w:rPr>
              <w:t>（西卡(中国)有限公司）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5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67E9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505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82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FC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F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Hilti（喜利得）</w:t>
            </w:r>
            <w:r>
              <w:rPr>
                <w:rFonts w:hint="eastAsia" w:ascii="宋体" w:hAnsi="宋体" w:cs="宋体"/>
                <w:i w:val="0"/>
                <w:iCs w:val="0"/>
                <w:color w:val="000000"/>
                <w:kern w:val="0"/>
                <w:sz w:val="21"/>
                <w:szCs w:val="21"/>
                <w:u w:val="none"/>
                <w:lang w:val="en-US" w:eastAsia="zh-CN" w:bidi="ar"/>
              </w:rPr>
              <w:t>（喜利得（中国）商贸有限公司）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6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650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EF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40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7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0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陶熙</w:t>
            </w:r>
            <w:r>
              <w:rPr>
                <w:rFonts w:hint="eastAsia" w:ascii="宋体" w:hAnsi="宋体" w:cs="宋体"/>
                <w:i w:val="0"/>
                <w:iCs w:val="0"/>
                <w:color w:val="000000"/>
                <w:kern w:val="0"/>
                <w:sz w:val="21"/>
                <w:szCs w:val="21"/>
                <w:u w:val="none"/>
                <w:lang w:val="en-US" w:eastAsia="zh-CN" w:bidi="ar"/>
              </w:rPr>
              <w:t>（陶氏（张家港）投资有限公司）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3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065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B0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BD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金属面防锈底漆+面漆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6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5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海虹老人</w:t>
            </w:r>
            <w:r>
              <w:rPr>
                <w:rFonts w:hint="eastAsia" w:ascii="宋体" w:hAnsi="宋体" w:cs="宋体"/>
                <w:i w:val="0"/>
                <w:iCs w:val="0"/>
                <w:color w:val="000000"/>
                <w:kern w:val="0"/>
                <w:sz w:val="21"/>
                <w:szCs w:val="21"/>
                <w:u w:val="none"/>
                <w:lang w:val="en-US" w:eastAsia="zh-CN" w:bidi="ar"/>
              </w:rPr>
              <w:t>（海虹老人北亚投资有限公司）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4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C25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A82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E1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3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B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佐敦</w:t>
            </w:r>
            <w:r>
              <w:rPr>
                <w:rFonts w:hint="eastAsia" w:ascii="宋体" w:hAnsi="宋体" w:cs="宋体"/>
                <w:i w:val="0"/>
                <w:iCs w:val="0"/>
                <w:color w:val="000000"/>
                <w:kern w:val="0"/>
                <w:sz w:val="21"/>
                <w:szCs w:val="21"/>
                <w:u w:val="none"/>
                <w:lang w:val="en-US" w:eastAsia="zh-CN" w:bidi="ar"/>
              </w:rPr>
              <w:t>（佐敦涂料（张家港）有限公司）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4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93C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6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F7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6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C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国际(阿克苏诺贝</w:t>
            </w:r>
            <w:r>
              <w:rPr>
                <w:rFonts w:hint="eastAsia" w:ascii="宋体" w:hAnsi="宋体" w:cs="宋体"/>
                <w:i w:val="0"/>
                <w:iCs w:val="0"/>
                <w:color w:val="000000"/>
                <w:kern w:val="0"/>
                <w:sz w:val="21"/>
                <w:szCs w:val="21"/>
                <w:u w:val="none"/>
                <w:lang w:val="en-US" w:eastAsia="zh-CN" w:bidi="ar"/>
              </w:rPr>
              <w:t>（阿克苏诺贝尔防护涂料（苏州）有限公司）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B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3B0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71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8C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59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4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式玛卡龙（PPG）</w:t>
            </w:r>
            <w:r>
              <w:rPr>
                <w:rFonts w:hint="eastAsia" w:ascii="宋体" w:hAnsi="宋体" w:cs="宋体"/>
                <w:i w:val="0"/>
                <w:iCs w:val="0"/>
                <w:color w:val="000000"/>
                <w:kern w:val="0"/>
                <w:sz w:val="21"/>
                <w:szCs w:val="21"/>
                <w:u w:val="none"/>
                <w:lang w:val="en-US" w:eastAsia="zh-CN" w:bidi="ar"/>
              </w:rPr>
              <w:t>（庞贝捷涂料（昆山）有限公司）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A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2DDE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7E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BE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防火封堵</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A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2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Hilti（喜利得）</w:t>
            </w:r>
            <w:r>
              <w:rPr>
                <w:rFonts w:hint="eastAsia" w:ascii="宋体" w:hAnsi="宋体" w:cs="宋体"/>
                <w:i w:val="0"/>
                <w:iCs w:val="0"/>
                <w:color w:val="000000"/>
                <w:kern w:val="0"/>
                <w:sz w:val="21"/>
                <w:szCs w:val="21"/>
                <w:u w:val="none"/>
                <w:lang w:val="en-US" w:eastAsia="zh-CN" w:bidi="ar"/>
              </w:rPr>
              <w:t>（喜利得（中国）商贸有限公司）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E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3C27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C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E1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6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4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w:t>
            </w:r>
            <w:r>
              <w:rPr>
                <w:rFonts w:hint="eastAsia" w:ascii="宋体" w:hAnsi="宋体" w:cs="宋体"/>
                <w:i w:val="0"/>
                <w:iCs w:val="0"/>
                <w:color w:val="000000"/>
                <w:kern w:val="0"/>
                <w:sz w:val="21"/>
                <w:szCs w:val="21"/>
                <w:u w:val="none"/>
                <w:lang w:val="en-US" w:eastAsia="zh-CN" w:bidi="ar"/>
              </w:rPr>
              <w:t>（3M中国有限公司）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2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7DA8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F2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A0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9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8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麦塔克</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1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77A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8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7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4E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D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STI</w:t>
            </w:r>
            <w:r>
              <w:rPr>
                <w:rFonts w:hint="eastAsia" w:ascii="宋体" w:hAnsi="宋体" w:cs="宋体"/>
                <w:i w:val="0"/>
                <w:iCs w:val="0"/>
                <w:color w:val="000000"/>
                <w:kern w:val="0"/>
                <w:sz w:val="21"/>
                <w:szCs w:val="21"/>
                <w:u w:val="none"/>
                <w:lang w:val="en-US" w:eastAsia="zh-CN" w:bidi="ar"/>
              </w:rPr>
              <w:t>（美国STI特种技术有限公司（译名））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4FEA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72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F0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化学锚栓、机械锚栓及植筋胶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5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7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Hilti（喜利得）</w:t>
            </w:r>
            <w:r>
              <w:rPr>
                <w:rFonts w:hint="eastAsia" w:ascii="宋体" w:hAnsi="宋体" w:cs="宋体"/>
                <w:i w:val="0"/>
                <w:iCs w:val="0"/>
                <w:color w:val="000000"/>
                <w:kern w:val="0"/>
                <w:sz w:val="21"/>
                <w:szCs w:val="21"/>
                <w:u w:val="none"/>
                <w:lang w:val="en-US" w:eastAsia="zh-CN" w:bidi="ar"/>
              </w:rPr>
              <w:t>（喜利得（中国）商贸有限公司）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7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464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7D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66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A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7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Fischer（慧鱼）</w:t>
            </w:r>
            <w:r>
              <w:rPr>
                <w:rFonts w:hint="eastAsia" w:ascii="宋体" w:hAnsi="宋体" w:cs="宋体"/>
                <w:i w:val="0"/>
                <w:iCs w:val="0"/>
                <w:color w:val="000000"/>
                <w:kern w:val="0"/>
                <w:sz w:val="21"/>
                <w:szCs w:val="21"/>
                <w:u w:val="none"/>
                <w:lang w:val="en-US" w:eastAsia="zh-CN" w:bidi="ar"/>
              </w:rPr>
              <w:t>（慧鱼（太仓）建筑锚栓有限公司）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2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0FA0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0E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B4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4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F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喜利得</w:t>
            </w:r>
            <w:r>
              <w:rPr>
                <w:rFonts w:hint="eastAsia" w:ascii="宋体" w:hAnsi="宋体" w:cs="宋体"/>
                <w:i w:val="0"/>
                <w:iCs w:val="0"/>
                <w:color w:val="000000"/>
                <w:kern w:val="0"/>
                <w:sz w:val="21"/>
                <w:szCs w:val="21"/>
                <w:u w:val="none"/>
                <w:lang w:val="en-US" w:eastAsia="zh-CN" w:bidi="ar"/>
              </w:rPr>
              <w:t>（喜利得（中国）商贸有限公司）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0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r w14:paraId="5E94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5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06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8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D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倍络得</w:t>
            </w:r>
            <w:r>
              <w:rPr>
                <w:rFonts w:hint="eastAsia" w:ascii="宋体" w:hAnsi="宋体" w:cs="宋体"/>
                <w:i w:val="0"/>
                <w:iCs w:val="0"/>
                <w:color w:val="000000"/>
                <w:kern w:val="0"/>
                <w:sz w:val="21"/>
                <w:szCs w:val="21"/>
                <w:u w:val="none"/>
                <w:lang w:val="en-US" w:eastAsia="zh-CN" w:bidi="ar"/>
              </w:rPr>
              <w:t>（倍络得（上海）国际贸易有限公司）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6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r>
    </w:tbl>
    <w:p w14:paraId="6231622B">
      <w:pPr>
        <w:pStyle w:val="3"/>
        <w:keepNext w:val="0"/>
        <w:keepLines w:val="0"/>
        <w:ind w:firstLineChars="200"/>
        <w:jc w:val="center"/>
        <w:rPr>
          <w:rFonts w:hint="eastAsia" w:ascii="Arial" w:hAnsi="Arial" w:cs="Times New Roman"/>
          <w:b/>
          <w:color w:val="auto"/>
          <w:sz w:val="32"/>
          <w:szCs w:val="32"/>
          <w:highlight w:val="none"/>
        </w:rPr>
      </w:pPr>
      <w:r>
        <w:rPr>
          <w:rFonts w:hint="eastAsia" w:ascii="宋体" w:hAnsi="宋体" w:cs="宋体"/>
          <w:color w:val="auto"/>
          <w:sz w:val="24"/>
          <w:szCs w:val="24"/>
          <w:highlight w:val="none"/>
        </w:rPr>
        <w:br w:type="page"/>
      </w:r>
      <w:bookmarkStart w:id="185" w:name="_Toc10124"/>
      <w:r>
        <w:rPr>
          <w:rFonts w:hint="eastAsia" w:ascii="Arial" w:hAnsi="Arial" w:cs="Times New Roman"/>
          <w:b/>
          <w:color w:val="auto"/>
          <w:sz w:val="32"/>
          <w:szCs w:val="32"/>
          <w:highlight w:val="none"/>
        </w:rPr>
        <w:t>第六章 图纸及勘察资料</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559F56B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（另册）</w:t>
      </w:r>
    </w:p>
    <w:p w14:paraId="69E5E328">
      <w:pPr>
        <w:rPr>
          <w:rFonts w:hint="eastAsia"/>
          <w:color w:val="auto"/>
          <w:sz w:val="24"/>
          <w:szCs w:val="24"/>
          <w:highlight w:val="none"/>
        </w:rPr>
      </w:pPr>
      <w:r>
        <w:rPr>
          <w:rFonts w:hint="eastAsia"/>
          <w:color w:val="auto"/>
          <w:sz w:val="24"/>
          <w:szCs w:val="24"/>
          <w:highlight w:val="none"/>
        </w:rPr>
        <w:br w:type="page"/>
      </w:r>
    </w:p>
    <w:p w14:paraId="3CE9CEC4">
      <w:pPr>
        <w:pStyle w:val="3"/>
        <w:rPr>
          <w:rFonts w:hint="eastAsia" w:ascii="Arial" w:hAnsi="Arial" w:eastAsia="宋体" w:cs="Times New Roman"/>
          <w:b/>
          <w:color w:val="auto"/>
          <w:kern w:val="44"/>
          <w:sz w:val="32"/>
          <w:szCs w:val="32"/>
          <w:highlight w:val="none"/>
          <w:lang w:val="en-US" w:eastAsia="zh-CN" w:bidi="ar-SA"/>
        </w:rPr>
      </w:pPr>
      <w:bookmarkStart w:id="186" w:name="_Toc17474"/>
      <w:bookmarkStart w:id="187" w:name="_Toc19678"/>
      <w:bookmarkStart w:id="188" w:name="_Toc26158"/>
      <w:bookmarkStart w:id="189" w:name="_Toc21758"/>
      <w:bookmarkStart w:id="190" w:name="_Toc11931"/>
      <w:bookmarkStart w:id="191" w:name="_Toc20968"/>
      <w:bookmarkStart w:id="192" w:name="_Toc10951"/>
      <w:bookmarkStart w:id="193" w:name="_Toc3629"/>
      <w:bookmarkStart w:id="194" w:name="_Toc2272570"/>
      <w:bookmarkStart w:id="195" w:name="_Toc27436"/>
      <w:bookmarkStart w:id="196" w:name="_Toc10597"/>
      <w:bookmarkStart w:id="197" w:name="_Toc20002"/>
      <w:bookmarkStart w:id="198" w:name="_Toc6338"/>
      <w:r>
        <w:rPr>
          <w:rFonts w:hint="eastAsia" w:ascii="Arial" w:hAnsi="Arial" w:eastAsia="宋体" w:cs="Times New Roman"/>
          <w:b/>
          <w:color w:val="auto"/>
          <w:kern w:val="44"/>
          <w:sz w:val="32"/>
          <w:szCs w:val="32"/>
          <w:highlight w:val="none"/>
          <w:lang w:val="en-US" w:eastAsia="zh-CN" w:bidi="ar-SA"/>
        </w:rPr>
        <w:t>第七章 工程量清单</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78CDAB07">
      <w:pPr>
        <w:jc w:val="center"/>
        <w:rPr>
          <w:rFonts w:hint="eastAsia" w:ascii="宋体" w:hAnsi="宋体" w:cs="宋体"/>
          <w:color w:val="auto"/>
          <w:szCs w:val="21"/>
          <w:highlight w:val="none"/>
        </w:rPr>
      </w:pPr>
    </w:p>
    <w:p w14:paraId="1EAC4AB5">
      <w:pPr>
        <w:jc w:val="center"/>
        <w:rPr>
          <w:rFonts w:hint="eastAsia" w:ascii="宋体" w:hAnsi="宋体" w:cs="宋体"/>
          <w:b/>
          <w:color w:val="auto"/>
          <w:szCs w:val="21"/>
          <w:highlight w:val="none"/>
        </w:rPr>
      </w:pPr>
      <w:r>
        <w:rPr>
          <w:rFonts w:hint="eastAsia" w:ascii="宋体" w:hAnsi="宋体" w:cs="宋体"/>
          <w:color w:val="auto"/>
          <w:sz w:val="24"/>
          <w:szCs w:val="24"/>
          <w:highlight w:val="none"/>
        </w:rPr>
        <w:t>（另册）</w:t>
      </w:r>
    </w:p>
    <w:p w14:paraId="09BCF084">
      <w:pPr>
        <w:pStyle w:val="3"/>
        <w:rPr>
          <w:rFonts w:hint="eastAsia" w:ascii="Times New Roman" w:hAnsi="Times New Roman" w:cs="Times New Roman"/>
          <w:b w:val="0"/>
          <w:color w:val="auto"/>
          <w:sz w:val="32"/>
          <w:szCs w:val="32"/>
          <w:highlight w:val="none"/>
        </w:rPr>
      </w:pPr>
      <w:r>
        <w:rPr>
          <w:rFonts w:hint="eastAsia"/>
          <w:color w:val="auto"/>
          <w:sz w:val="24"/>
          <w:szCs w:val="24"/>
          <w:highlight w:val="none"/>
        </w:rPr>
        <w:br w:type="page"/>
      </w:r>
      <w:bookmarkStart w:id="199" w:name="_Toc25055"/>
      <w:bookmarkStart w:id="200" w:name="_Toc17841"/>
      <w:bookmarkStart w:id="201" w:name="_Toc23985"/>
      <w:bookmarkStart w:id="202" w:name="_Toc22151"/>
      <w:bookmarkStart w:id="203" w:name="_Toc24368"/>
      <w:bookmarkStart w:id="204" w:name="_Toc8155"/>
      <w:bookmarkStart w:id="205" w:name="_Toc10753"/>
      <w:bookmarkStart w:id="206" w:name="_Toc30433"/>
      <w:bookmarkStart w:id="207" w:name="_Toc3515"/>
      <w:bookmarkStart w:id="208" w:name="_Toc22976"/>
      <w:bookmarkStart w:id="209" w:name="_Toc32020"/>
      <w:bookmarkStart w:id="210" w:name="_Toc28098"/>
      <w:r>
        <w:rPr>
          <w:rFonts w:hint="eastAsia" w:ascii="Times New Roman" w:hAnsi="Times New Roman" w:cs="Times New Roman"/>
          <w:b w:val="0"/>
          <w:color w:val="auto"/>
          <w:sz w:val="32"/>
          <w:szCs w:val="32"/>
          <w:highlight w:val="none"/>
        </w:rPr>
        <w:t>第八章 最高投标限价</w:t>
      </w:r>
      <w:bookmarkEnd w:id="199"/>
      <w:bookmarkEnd w:id="200"/>
      <w:bookmarkEnd w:id="201"/>
      <w:bookmarkEnd w:id="202"/>
      <w:bookmarkEnd w:id="203"/>
      <w:bookmarkEnd w:id="204"/>
      <w:bookmarkEnd w:id="205"/>
      <w:bookmarkEnd w:id="206"/>
      <w:bookmarkEnd w:id="207"/>
      <w:bookmarkEnd w:id="208"/>
      <w:bookmarkEnd w:id="209"/>
      <w:bookmarkEnd w:id="210"/>
    </w:p>
    <w:p w14:paraId="3C4F93DE">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招标人应当在发布招标文件时，公布最高投标限价的总价，分部分项工程费、措施项目费、其他项目费、规费和税金，以及安全</w:t>
      </w:r>
      <w:r>
        <w:rPr>
          <w:rFonts w:hint="eastAsia" w:ascii="宋体" w:hAnsi="宋体" w:cs="宋体"/>
          <w:color w:val="auto"/>
          <w:sz w:val="24"/>
          <w:szCs w:val="24"/>
          <w:highlight w:val="none"/>
          <w:lang w:eastAsia="zh-CN"/>
        </w:rPr>
        <w:t>生产</w:t>
      </w:r>
      <w:r>
        <w:rPr>
          <w:rFonts w:hint="eastAsia" w:ascii="宋体" w:hAnsi="宋体" w:cs="宋体"/>
          <w:color w:val="auto"/>
          <w:sz w:val="24"/>
          <w:szCs w:val="24"/>
          <w:highlight w:val="none"/>
        </w:rPr>
        <w:t>措施费、暂列金额等投标人不可竞争的固定报价。</w:t>
      </w:r>
    </w:p>
    <w:bookmarkEnd w:id="115"/>
    <w:bookmarkEnd w:id="116"/>
    <w:p w14:paraId="4C3A1ECF">
      <w:pPr>
        <w:spacing w:line="360" w:lineRule="auto"/>
        <w:jc w:val="center"/>
        <w:rPr>
          <w:rFonts w:hint="eastAsia" w:ascii="宋体" w:hAnsi="宋体" w:cs="宋体"/>
          <w:color w:val="auto"/>
          <w:sz w:val="24"/>
          <w:szCs w:val="24"/>
          <w:highlight w:val="none"/>
          <w:u w:val="single"/>
          <w:lang w:bidi="ar-SA"/>
        </w:rPr>
      </w:pPr>
      <w:r>
        <w:rPr>
          <w:rFonts w:hint="eastAsia" w:ascii="宋体" w:hAnsi="宋体" w:cs="宋体"/>
          <w:color w:val="auto"/>
          <w:sz w:val="24"/>
          <w:szCs w:val="24"/>
          <w:highlight w:val="none"/>
        </w:rPr>
        <w:t>（另册）</w:t>
      </w:r>
    </w:p>
    <w:sectPr>
      <w:headerReference r:id="rId18" w:type="default"/>
      <w:footerReference r:id="rId19" w:type="default"/>
      <w:pgSz w:w="11906" w:h="16838"/>
      <w:pgMar w:top="1304" w:right="1134" w:bottom="1304" w:left="1134" w:header="851" w:footer="567"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FAAC">
    <w:pPr>
      <w:pStyle w:val="27"/>
      <w:jc w:val="both"/>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D69FB">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A39F">
    <w:pPr>
      <w:pStyle w:val="27"/>
      <w:ind w:firstLine="39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8669">
    <w:pPr>
      <w:pStyle w:val="27"/>
      <w:jc w:val="both"/>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00" cy="133350"/>
              <wp:effectExtent l="0" t="0" r="0" b="0"/>
              <wp:wrapNone/>
              <wp:docPr id="21" name="文本框 11"/>
              <wp:cNvGraphicFramePr/>
              <a:graphic xmlns:a="http://schemas.openxmlformats.org/drawingml/2006/main">
                <a:graphicData uri="http://schemas.microsoft.com/office/word/2010/wordprocessingShape">
                  <wps:wsp>
                    <wps:cNvSpPr txBox="1"/>
                    <wps:spPr>
                      <a:xfrm>
                        <a:off x="0" y="0"/>
                        <a:ext cx="76200" cy="133350"/>
                      </a:xfrm>
                      <a:prstGeom prst="rect">
                        <a:avLst/>
                      </a:prstGeom>
                      <a:noFill/>
                      <a:ln>
                        <a:noFill/>
                      </a:ln>
                    </wps:spPr>
                    <wps:txbx>
                      <w:txbxContent>
                        <w:p w14:paraId="25F6ED65">
                          <w:pPr>
                            <w:pStyle w:val="27"/>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5pt;width:6pt;mso-position-horizontal:center;mso-position-horizontal-relative:margin;mso-wrap-style:none;z-index:251661312;mso-width-relative:page;mso-height-relative:page;" filled="f" stroked="f" coordsize="21600,21600" o:gfxdata="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1cbwbPAAAAAwEAAA8AAAAAAAAAAQAgAAAAIgAAAGRycy9kb3du&#10;cmV2LnhtbFBLAQIUABQAAAAIAIdO4kBZhbt/zwEAAJgDAAAOAAAAAAAAAAEAIAAAAB4BAABkcnMv&#10;ZTJvRG9jLnhtbFBLBQYAAAAABgAGAFkBAABfBQAAAAA=&#10;">
              <v:fill on="f" focussize="0,0"/>
              <v:stroke on="f"/>
              <v:imagedata o:title=""/>
              <o:lock v:ext="edit" aspectratio="f"/>
              <v:textbox inset="0mm,0mm,0mm,0mm" style="mso-fit-shape-to-text:t;">
                <w:txbxContent>
                  <w:p w14:paraId="25F6ED65">
                    <w:pPr>
                      <w:pStyle w:val="2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E3AF">
    <w:pPr>
      <w:widowControl w:val="0"/>
      <w:snapToGrid w:val="0"/>
      <w:ind w:right="360" w:firstLine="36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4D2AB4C6">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101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r6aQ/PAAAAAwEAAA8AAAAAAAAAAQAgAAAAIgAAAGRycy9kb3du&#10;cmV2LnhtbFBLAQIUABQAAAAIAIdO4kCESEU8zwEAAJcDAAAOAAAAAAAAAAEAIAAAAB4BAABkcnMv&#10;ZTJvRG9jLnhtbFBLBQYAAAAABgAGAFkBAABfBQAAAAA=&#10;">
              <v:fill on="f" focussize="0,0"/>
              <v:stroke on="f"/>
              <v:imagedata o:title=""/>
              <o:lock v:ext="edit" aspectratio="f"/>
              <v:textbox inset="0mm,0mm,0mm,0mm" style="mso-fit-shape-to-text:t;">
                <w:txbxContent>
                  <w:p w14:paraId="4D2AB4C6">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101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DC465">
    <w:pPr>
      <w:framePr w:wrap="around" w:vAnchor="text" w:hAnchor="margin" w:xAlign="outside" w:y="1"/>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hint="eastAsia" w:ascii="Times New Roman" w:hAnsi="Times New Roman" w:eastAsia="宋体" w:cs="Times New Roman"/>
        <w:kern w:val="2"/>
        <w:sz w:val="21"/>
        <w:szCs w:val="22"/>
        <w:lang w:val="en-US" w:eastAsia="zh-CN" w:bidi="ar-SA"/>
      </w:rPr>
      <w:t>一</w:t>
    </w:r>
    <w:r>
      <w:rPr>
        <w:rFonts w:ascii="Times New Roman" w:hAnsi="Times New Roman" w:eastAsia="宋体" w:cs="Times New Roman"/>
        <w:kern w:val="2"/>
        <w:sz w:val="21"/>
        <w:szCs w:val="22"/>
        <w:lang w:val="en-US" w:eastAsia="zh-CN" w:bidi="ar-SA"/>
      </w:rPr>
      <w:t>–2</w:t>
    </w:r>
    <w:r>
      <w:rPr>
        <w:rFonts w:ascii="Calibri" w:hAnsi="Calibri" w:eastAsia="宋体" w:cs="Times New Roman"/>
        <w:kern w:val="0"/>
        <w:sz w:val="18"/>
        <w:szCs w:val="18"/>
        <w:lang w:val="en-US" w:eastAsia="zh-CN" w:bidi="ar-SA"/>
      </w:rPr>
      <w:fldChar w:fldCharType="end"/>
    </w:r>
  </w:p>
  <w:p w14:paraId="71D9B76F">
    <w:pPr>
      <w:widowControl w:val="0"/>
      <w:snapToGrid w:val="0"/>
      <w:ind w:right="360" w:firstLine="360"/>
      <w:jc w:val="center"/>
      <w:rPr>
        <w:rFonts w:ascii="Calibri" w:hAnsi="Calibri" w:eastAsia="宋体" w:cs="Times New Roman"/>
        <w:kern w:val="0"/>
        <w:sz w:val="18"/>
        <w:szCs w:val="18"/>
        <w:lang w:val="en-US" w:eastAsia="zh-CN" w:bidi="ar-SA"/>
      </w:rPr>
    </w:pPr>
    <w:r>
      <w:rPr>
        <w:rFonts w:ascii="Calibri" w:hAnsi="Calibri" w:eastAsia="宋体" w:cs="Times New Roman"/>
        <w:kern w:val="0"/>
        <w:sz w:val="20"/>
        <w:szCs w:val="18"/>
        <w:lang w:val="en-US" w:eastAsia="zh-CN" w:bidi="ar-S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99C7">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5415" cy="1333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29F3621F">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67</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5pt;width:11.45pt;mso-position-horizontal:center;mso-position-horizontal-relative:margin;mso-wrap-style:none;z-index:251660288;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vppD88AAAADAQAADwAAAAAAAAABACAAAAAiAAAAZHJzL2Rvd25y&#10;ZXYueG1sUEsBAhQAFAAAAAgAh07iQBijOSrOAQAAmQMAAA4AAAAAAAAAAQAgAAAAHgEAAGRycy9l&#10;Mm9Eb2MueG1sUEsFBgAAAAAGAAYAWQEAAF4FAAAAAA==&#10;">
              <v:fill on="f" focussize="0,0"/>
              <v:stroke on="f"/>
              <v:imagedata o:title=""/>
              <o:lock v:ext="edit" aspectratio="f"/>
              <v:textbox inset="0mm,0mm,0mm,0mm" style="mso-fit-shape-to-text:t;">
                <w:txbxContent>
                  <w:p w14:paraId="29F3621F">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67</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70F5">
    <w:pPr>
      <w:pStyle w:val="2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5415" cy="133350"/>
              <wp:effectExtent l="0" t="0" r="0" b="0"/>
              <wp:wrapNone/>
              <wp:docPr id="19" name="文本框 7"/>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6BF4FC42">
                          <w:pPr>
                            <w:pStyle w:val="27"/>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0.5pt;width:11.45pt;mso-position-horizontal:center;mso-position-horizontal-relative:margin;mso-wrap-style:none;z-index:251660288;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r6aQ/PAAAAAwEAAA8AAAAAAAAAAQAgAAAAIgAAAGRycy9kb3du&#10;cmV2LnhtbFBLAQIUABQAAAAIAIdO4kCeG66wzwEAAJgDAAAOAAAAAAAAAAEAIAAAAB4BAABkcnMv&#10;ZTJvRG9jLnhtbFBLBQYAAAAABgAGAFkBAABfBQAAAAA=&#10;">
              <v:fill on="f" focussize="0,0"/>
              <v:stroke on="f"/>
              <v:imagedata o:title=""/>
              <o:lock v:ext="edit" aspectratio="f"/>
              <v:textbox inset="0mm,0mm,0mm,0mm" style="mso-fit-shape-to-text:t;">
                <w:txbxContent>
                  <w:p w14:paraId="6BF4FC42">
                    <w:pPr>
                      <w:pStyle w:val="2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2723">
    <w:pPr>
      <w:spacing w:line="360" w:lineRule="auto"/>
      <w:ind w:right="360" w:firstLine="360"/>
      <w:jc w:val="center"/>
      <w:rPr>
        <w:rFonts w:hint="eastAsia" w:ascii="仿宋_GB2312" w:hAnsi="等线" w:eastAsia="仿宋_GB2312"/>
        <w:color w:val="000000"/>
        <w:sz w:val="32"/>
      </w:rPr>
    </w:pPr>
    <w:r>
      <w:rPr>
        <w:rFonts w:hint="eastAsia"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44830" cy="641350"/>
              <wp:effectExtent l="0" t="0" r="0" b="0"/>
              <wp:wrapNone/>
              <wp:docPr id="22" name="文本框 207"/>
              <wp:cNvGraphicFramePr/>
              <a:graphic xmlns:a="http://schemas.openxmlformats.org/drawingml/2006/main">
                <a:graphicData uri="http://schemas.microsoft.com/office/word/2010/wordprocessingShape">
                  <wps:wsp>
                    <wps:cNvSpPr txBox="1"/>
                    <wps:spPr>
                      <a:xfrm>
                        <a:off x="0" y="0"/>
                        <a:ext cx="544830" cy="641350"/>
                      </a:xfrm>
                      <a:prstGeom prst="rect">
                        <a:avLst/>
                      </a:prstGeom>
                      <a:noFill/>
                      <a:ln>
                        <a:noFill/>
                      </a:ln>
                    </wps:spPr>
                    <wps:txbx>
                      <w:txbxContent>
                        <w:p w14:paraId="11AE3D36">
                          <w:pPr>
                            <w:spacing w:line="360" w:lineRule="auto"/>
                            <w:ind w:firstLine="629"/>
                            <w:jc w:val="left"/>
                            <w:rPr>
                              <w:rFonts w:hint="eastAsia" w:ascii="仿宋_GB2312" w:hAnsi="等线" w:eastAsia="仿宋_GB2312"/>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Pr>
                              <w:color w:val="000000"/>
                              <w:sz w:val="18"/>
                              <w:szCs w:val="20"/>
                            </w:rPr>
                            <w:t>64</w:t>
                          </w:r>
                          <w:r>
                            <w:rPr>
                              <w:color w:val="000000"/>
                              <w:sz w:val="18"/>
                              <w:szCs w:val="20"/>
                            </w:rPr>
                            <w:fldChar w:fldCharType="end"/>
                          </w:r>
                        </w:p>
                        <w:p w14:paraId="71D562F2">
                          <w:pPr>
                            <w:spacing w:line="360" w:lineRule="auto"/>
                            <w:ind w:left="-4410" w:leftChars="-2100" w:right="-4439" w:rightChars="-2114" w:firstLine="629"/>
                            <w:rPr>
                              <w:rFonts w:hint="eastAsia" w:ascii="仿宋_GB2312" w:hAnsi="等线" w:eastAsia="仿宋_GB2312"/>
                              <w:color w:val="000000"/>
                              <w:sz w:val="32"/>
                              <w:szCs w:val="20"/>
                            </w:rPr>
                          </w:pPr>
                        </w:p>
                      </w:txbxContent>
                    </wps:txbx>
                    <wps:bodyPr wrap="none" lIns="0" tIns="0" rIns="0" bIns="0" upright="1">
                      <a:spAutoFit/>
                    </wps:bodyPr>
                  </wps:wsp>
                </a:graphicData>
              </a:graphic>
            </wp:anchor>
          </w:drawing>
        </mc:Choice>
        <mc:Fallback>
          <w:pict>
            <v:shape id="文本框 207" o:spid="_x0000_s1026" o:spt="202" type="#_x0000_t202" style="position:absolute;left:0pt;margin-top:0pt;height:50.5pt;width:42.9pt;mso-position-horizontal:center;mso-position-horizontal-relative:margin;mso-wrap-style:none;z-index:251662336;mso-width-relative:page;mso-height-relative:page;" filled="f" stroked="f" coordsize="21600,21600" o:gfxdata="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6IdjQAAAABAEAAA8AAAAAAAAAAQAgAAAAIgAAAGRycy9k&#10;b3ducmV2LnhtbFBLAQIUABQAAAAIAIdO4kAUTrAw0QEAAJoDAAAOAAAAAAAAAAEAIAAAAB8BAABk&#10;cnMvZTJvRG9jLnhtbFBLBQYAAAAABgAGAFkBAABiBQAAAAA=&#10;">
              <v:fill on="f" focussize="0,0"/>
              <v:stroke on="f"/>
              <v:imagedata o:title=""/>
              <o:lock v:ext="edit" aspectratio="f"/>
              <v:textbox inset="0mm,0mm,0mm,0mm" style="mso-fit-shape-to-text:t;">
                <w:txbxContent>
                  <w:p w14:paraId="11AE3D36">
                    <w:pPr>
                      <w:spacing w:line="360" w:lineRule="auto"/>
                      <w:ind w:firstLine="629"/>
                      <w:jc w:val="left"/>
                      <w:rPr>
                        <w:rFonts w:hint="eastAsia" w:ascii="仿宋_GB2312" w:hAnsi="等线" w:eastAsia="仿宋_GB2312"/>
                        <w:color w:val="000000"/>
                        <w:sz w:val="32"/>
                        <w:szCs w:val="20"/>
                      </w:rPr>
                    </w:pPr>
                    <w:r>
                      <w:rPr>
                        <w:color w:val="000000"/>
                        <w:sz w:val="18"/>
                        <w:szCs w:val="20"/>
                      </w:rPr>
                      <w:fldChar w:fldCharType="begin"/>
                    </w:r>
                    <w:r>
                      <w:rPr>
                        <w:color w:val="000000"/>
                        <w:sz w:val="18"/>
                        <w:szCs w:val="20"/>
                      </w:rPr>
                      <w:instrText xml:space="preserve">PAGE  </w:instrText>
                    </w:r>
                    <w:r>
                      <w:rPr>
                        <w:color w:val="000000"/>
                        <w:sz w:val="18"/>
                        <w:szCs w:val="20"/>
                      </w:rPr>
                      <w:fldChar w:fldCharType="separate"/>
                    </w:r>
                    <w:r>
                      <w:rPr>
                        <w:color w:val="000000"/>
                        <w:sz w:val="18"/>
                        <w:szCs w:val="20"/>
                      </w:rPr>
                      <w:t>64</w:t>
                    </w:r>
                    <w:r>
                      <w:rPr>
                        <w:color w:val="000000"/>
                        <w:sz w:val="18"/>
                        <w:szCs w:val="20"/>
                      </w:rPr>
                      <w:fldChar w:fldCharType="end"/>
                    </w:r>
                  </w:p>
                  <w:p w14:paraId="71D562F2">
                    <w:pPr>
                      <w:spacing w:line="360" w:lineRule="auto"/>
                      <w:ind w:left="-4410" w:leftChars="-2100" w:right="-4439" w:rightChars="-2114" w:firstLine="629"/>
                      <w:rPr>
                        <w:rFonts w:hint="eastAsia" w:ascii="仿宋_GB2312" w:hAnsi="等线" w:eastAsia="仿宋_GB2312"/>
                        <w:color w:val="000000"/>
                        <w:sz w:val="32"/>
                        <w:szCs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6C76">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2F13">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62F2">
    <w:pPr>
      <w:pStyle w:val="2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A603">
    <w:pPr>
      <w:widowControl w:val="0"/>
      <w:pBdr>
        <w:bottom w:val="none" w:color="auto" w:sz="0" w:space="0"/>
      </w:pBdr>
      <w:snapToGrid w:val="0"/>
      <w:jc w:val="right"/>
      <w:rPr>
        <w:rFonts w:ascii="Calibri" w:hAnsi="Calibri"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BB7A">
    <w:pPr>
      <w:widowControl w:val="0"/>
      <w:pBdr>
        <w:bottom w:val="single" w:color="auto" w:sz="6" w:space="1"/>
      </w:pBdr>
      <w:snapToGrid w:val="0"/>
      <w:jc w:val="right"/>
      <w:rPr>
        <w:rFonts w:ascii="Calibri" w:hAnsi="Calibri" w:eastAsia="宋体" w:cs="Times New Roman"/>
        <w:i/>
        <w:iCs/>
        <w:kern w:val="0"/>
        <w:sz w:val="18"/>
        <w:szCs w:val="18"/>
        <w:lang w:val="en-US" w:eastAsia="zh-CN" w:bidi="ar-SA"/>
      </w:rPr>
    </w:pPr>
    <w:r>
      <w:rPr>
        <w:rFonts w:hint="eastAsia" w:ascii="Calibri" w:hAnsi="Calibri" w:eastAsia="宋体" w:cs="Times New Roman"/>
        <w:i/>
        <w:iCs/>
        <w:kern w:val="0"/>
        <w:sz w:val="18"/>
        <w:szCs w:val="18"/>
        <w:lang w:val="en-US" w:eastAsia="zh-CN" w:bidi="ar-SA"/>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0F00">
    <w:pPr>
      <w:widowControl w:val="0"/>
      <w:pBdr>
        <w:bottom w:val="none" w:color="auto" w:sz="0" w:space="0"/>
      </w:pBdr>
      <w:snapToGrid w:val="0"/>
      <w:jc w:val="right"/>
      <w:rPr>
        <w:rFonts w:ascii="Calibri" w:hAnsi="Calibri" w:eastAsia="宋体" w:cs="Times New Roman"/>
        <w:i/>
        <w:iCs/>
        <w:kern w:val="0"/>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D2DF">
    <w:pPr>
      <w:pStyle w:val="28"/>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1478">
    <w:pPr>
      <w:ind w:firstLine="420" w:firstLineChars="200"/>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4CB5347"/>
    <w:multiLevelType w:val="multilevel"/>
    <w:tmpl w:val="04CB5347"/>
    <w:lvl w:ilvl="0" w:tentative="0">
      <w:start w:val="1"/>
      <w:numFmt w:val="chineseCountingThousand"/>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2">
    <w:nsid w:val="10C89D05"/>
    <w:multiLevelType w:val="multilevel"/>
    <w:tmpl w:val="10C89D05"/>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ZjQ5ZjZmZjEwZTIyZWM5ZDUxYmFkOGM2MzY0ZTYifQ=="/>
    <w:docVar w:name="KSO_WPS_MARK_KEY" w:val="524287a2-ef7d-4cdc-8219-f1a1f4ec4646"/>
  </w:docVars>
  <w:rsids>
    <w:rsidRoot w:val="00172A27"/>
    <w:rsid w:val="00535B91"/>
    <w:rsid w:val="0094030A"/>
    <w:rsid w:val="00F46B6B"/>
    <w:rsid w:val="029563DA"/>
    <w:rsid w:val="03154A75"/>
    <w:rsid w:val="03DC1DA3"/>
    <w:rsid w:val="041E4FA7"/>
    <w:rsid w:val="04413511"/>
    <w:rsid w:val="04B950A1"/>
    <w:rsid w:val="054C7692"/>
    <w:rsid w:val="05526FCB"/>
    <w:rsid w:val="057814D4"/>
    <w:rsid w:val="061E0737"/>
    <w:rsid w:val="063F7B4D"/>
    <w:rsid w:val="066B495D"/>
    <w:rsid w:val="06D03F80"/>
    <w:rsid w:val="075B5700"/>
    <w:rsid w:val="08660354"/>
    <w:rsid w:val="09426C06"/>
    <w:rsid w:val="0A48507B"/>
    <w:rsid w:val="0C3D3C5A"/>
    <w:rsid w:val="0CA40582"/>
    <w:rsid w:val="0D8113E8"/>
    <w:rsid w:val="0E567031"/>
    <w:rsid w:val="0E8A6F0A"/>
    <w:rsid w:val="0EAF3ABD"/>
    <w:rsid w:val="0ED939EE"/>
    <w:rsid w:val="0EEA4B17"/>
    <w:rsid w:val="0F986232"/>
    <w:rsid w:val="0FCE5347"/>
    <w:rsid w:val="0FFE370C"/>
    <w:rsid w:val="1089220B"/>
    <w:rsid w:val="12BA3583"/>
    <w:rsid w:val="12D87146"/>
    <w:rsid w:val="136A3E7F"/>
    <w:rsid w:val="13C4347E"/>
    <w:rsid w:val="143E49F3"/>
    <w:rsid w:val="155F3E9D"/>
    <w:rsid w:val="16412226"/>
    <w:rsid w:val="1695644C"/>
    <w:rsid w:val="19226AE9"/>
    <w:rsid w:val="19566367"/>
    <w:rsid w:val="1B46065D"/>
    <w:rsid w:val="1B832C52"/>
    <w:rsid w:val="1CE75528"/>
    <w:rsid w:val="1EAF2075"/>
    <w:rsid w:val="1EF503D0"/>
    <w:rsid w:val="1F4153C3"/>
    <w:rsid w:val="1FFB7ECC"/>
    <w:rsid w:val="205313D7"/>
    <w:rsid w:val="21190B85"/>
    <w:rsid w:val="219E643A"/>
    <w:rsid w:val="21F11323"/>
    <w:rsid w:val="236919E1"/>
    <w:rsid w:val="244A1D31"/>
    <w:rsid w:val="252157F8"/>
    <w:rsid w:val="2559568C"/>
    <w:rsid w:val="25BA3FC0"/>
    <w:rsid w:val="25D86DB6"/>
    <w:rsid w:val="260348FC"/>
    <w:rsid w:val="2620218A"/>
    <w:rsid w:val="26B63447"/>
    <w:rsid w:val="277F0B5A"/>
    <w:rsid w:val="28343288"/>
    <w:rsid w:val="28A95BFD"/>
    <w:rsid w:val="2932703B"/>
    <w:rsid w:val="294B5D02"/>
    <w:rsid w:val="297C3C21"/>
    <w:rsid w:val="29FC1EC9"/>
    <w:rsid w:val="2A331DAD"/>
    <w:rsid w:val="2AD62E3A"/>
    <w:rsid w:val="2C526E44"/>
    <w:rsid w:val="2D0446E9"/>
    <w:rsid w:val="2D1415DA"/>
    <w:rsid w:val="2D190976"/>
    <w:rsid w:val="2D2E332F"/>
    <w:rsid w:val="2D6B5C91"/>
    <w:rsid w:val="307373A7"/>
    <w:rsid w:val="309F7453"/>
    <w:rsid w:val="31046251"/>
    <w:rsid w:val="311741D6"/>
    <w:rsid w:val="316C3B63"/>
    <w:rsid w:val="32706766"/>
    <w:rsid w:val="330E09B1"/>
    <w:rsid w:val="332E036F"/>
    <w:rsid w:val="3344502A"/>
    <w:rsid w:val="3401322A"/>
    <w:rsid w:val="3435361C"/>
    <w:rsid w:val="346158D0"/>
    <w:rsid w:val="348E524C"/>
    <w:rsid w:val="35FF048A"/>
    <w:rsid w:val="369D7429"/>
    <w:rsid w:val="37400FC9"/>
    <w:rsid w:val="37AE0743"/>
    <w:rsid w:val="38485BDD"/>
    <w:rsid w:val="390A6357"/>
    <w:rsid w:val="39106EAD"/>
    <w:rsid w:val="39305B8B"/>
    <w:rsid w:val="39BC6497"/>
    <w:rsid w:val="3C5F2ED5"/>
    <w:rsid w:val="3C79609B"/>
    <w:rsid w:val="3CBB1D28"/>
    <w:rsid w:val="3D342ADC"/>
    <w:rsid w:val="3D4424CD"/>
    <w:rsid w:val="3D6A1B31"/>
    <w:rsid w:val="3E6532EA"/>
    <w:rsid w:val="3E7A7B93"/>
    <w:rsid w:val="3EDE034A"/>
    <w:rsid w:val="40992458"/>
    <w:rsid w:val="40C16DB4"/>
    <w:rsid w:val="40FB4B2A"/>
    <w:rsid w:val="412D6D56"/>
    <w:rsid w:val="41AD676D"/>
    <w:rsid w:val="4239309E"/>
    <w:rsid w:val="42676E9C"/>
    <w:rsid w:val="4307394C"/>
    <w:rsid w:val="44D11777"/>
    <w:rsid w:val="44D85FCC"/>
    <w:rsid w:val="44EC0AA9"/>
    <w:rsid w:val="44F1039E"/>
    <w:rsid w:val="46975DF9"/>
    <w:rsid w:val="46EB67EB"/>
    <w:rsid w:val="47BE27E5"/>
    <w:rsid w:val="488C4CD5"/>
    <w:rsid w:val="48C46876"/>
    <w:rsid w:val="48E140B2"/>
    <w:rsid w:val="4907292A"/>
    <w:rsid w:val="496F3021"/>
    <w:rsid w:val="49837D12"/>
    <w:rsid w:val="49B5483C"/>
    <w:rsid w:val="4A464C90"/>
    <w:rsid w:val="4A4F299E"/>
    <w:rsid w:val="4C7E6688"/>
    <w:rsid w:val="4CA438AB"/>
    <w:rsid w:val="4CD40D75"/>
    <w:rsid w:val="4E151CA6"/>
    <w:rsid w:val="4E330387"/>
    <w:rsid w:val="4E333252"/>
    <w:rsid w:val="4E515D1A"/>
    <w:rsid w:val="4EAF3CDE"/>
    <w:rsid w:val="4FCD6D1F"/>
    <w:rsid w:val="500323AF"/>
    <w:rsid w:val="508530A8"/>
    <w:rsid w:val="50EC5EEF"/>
    <w:rsid w:val="51557EF9"/>
    <w:rsid w:val="515B40CF"/>
    <w:rsid w:val="516F44EF"/>
    <w:rsid w:val="51890116"/>
    <w:rsid w:val="52E82B11"/>
    <w:rsid w:val="53A92F5C"/>
    <w:rsid w:val="53AD22CD"/>
    <w:rsid w:val="53C13145"/>
    <w:rsid w:val="54664607"/>
    <w:rsid w:val="54843BB7"/>
    <w:rsid w:val="54AA461F"/>
    <w:rsid w:val="54BA447E"/>
    <w:rsid w:val="54BB42EB"/>
    <w:rsid w:val="556E620B"/>
    <w:rsid w:val="55A006A6"/>
    <w:rsid w:val="55B77191"/>
    <w:rsid w:val="56290384"/>
    <w:rsid w:val="564B3E56"/>
    <w:rsid w:val="56903F7C"/>
    <w:rsid w:val="576368CB"/>
    <w:rsid w:val="5814434E"/>
    <w:rsid w:val="58631243"/>
    <w:rsid w:val="59010F2E"/>
    <w:rsid w:val="59AC73AD"/>
    <w:rsid w:val="59B35904"/>
    <w:rsid w:val="59FD510C"/>
    <w:rsid w:val="5A4C77E3"/>
    <w:rsid w:val="5A9A4DE9"/>
    <w:rsid w:val="5B5A51AC"/>
    <w:rsid w:val="5C1D41B0"/>
    <w:rsid w:val="5C4D1EFF"/>
    <w:rsid w:val="5C8B4DD7"/>
    <w:rsid w:val="5CBD425B"/>
    <w:rsid w:val="5D006DC3"/>
    <w:rsid w:val="5D4023A5"/>
    <w:rsid w:val="5D7A5A8F"/>
    <w:rsid w:val="5E014829"/>
    <w:rsid w:val="5E4B0BD9"/>
    <w:rsid w:val="5E8E087F"/>
    <w:rsid w:val="5F8B7C52"/>
    <w:rsid w:val="5FDC094C"/>
    <w:rsid w:val="609D1752"/>
    <w:rsid w:val="60D14B2E"/>
    <w:rsid w:val="61085D3B"/>
    <w:rsid w:val="61C35772"/>
    <w:rsid w:val="640F1407"/>
    <w:rsid w:val="64B738DF"/>
    <w:rsid w:val="65B7443B"/>
    <w:rsid w:val="65C100F4"/>
    <w:rsid w:val="65DA6447"/>
    <w:rsid w:val="66F43C9C"/>
    <w:rsid w:val="67892ABF"/>
    <w:rsid w:val="68434B10"/>
    <w:rsid w:val="68753401"/>
    <w:rsid w:val="68951C1F"/>
    <w:rsid w:val="691846C2"/>
    <w:rsid w:val="6A2D4A3F"/>
    <w:rsid w:val="6AD24684"/>
    <w:rsid w:val="6B1558BD"/>
    <w:rsid w:val="6B205D93"/>
    <w:rsid w:val="6B5F1740"/>
    <w:rsid w:val="6B62441F"/>
    <w:rsid w:val="6BD82524"/>
    <w:rsid w:val="6BD851FC"/>
    <w:rsid w:val="6C0F12DD"/>
    <w:rsid w:val="6F0E7CBF"/>
    <w:rsid w:val="6F3B7113"/>
    <w:rsid w:val="6F954D63"/>
    <w:rsid w:val="70172974"/>
    <w:rsid w:val="701A35D0"/>
    <w:rsid w:val="703D53CF"/>
    <w:rsid w:val="71DE5A1B"/>
    <w:rsid w:val="72680268"/>
    <w:rsid w:val="731D23F8"/>
    <w:rsid w:val="735018BD"/>
    <w:rsid w:val="736865F8"/>
    <w:rsid w:val="7490269B"/>
    <w:rsid w:val="752C6B2B"/>
    <w:rsid w:val="7589717F"/>
    <w:rsid w:val="75A57C68"/>
    <w:rsid w:val="760929C8"/>
    <w:rsid w:val="7631712A"/>
    <w:rsid w:val="763A7923"/>
    <w:rsid w:val="766F5438"/>
    <w:rsid w:val="768D6ACD"/>
    <w:rsid w:val="77660698"/>
    <w:rsid w:val="79F1202B"/>
    <w:rsid w:val="79F426E3"/>
    <w:rsid w:val="7A721832"/>
    <w:rsid w:val="7A82287F"/>
    <w:rsid w:val="7A905DD8"/>
    <w:rsid w:val="7AB556B3"/>
    <w:rsid w:val="7BD75A39"/>
    <w:rsid w:val="7E037924"/>
    <w:rsid w:val="7F2B6466"/>
    <w:rsid w:val="7FE26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50"/>
    <w:qFormat/>
    <w:uiPriority w:val="0"/>
    <w:pPr>
      <w:keepNext/>
      <w:keepLines/>
      <w:widowControl w:val="0"/>
      <w:spacing w:after="120" w:line="360" w:lineRule="auto"/>
      <w:outlineLvl w:val="0"/>
    </w:pPr>
    <w:rPr>
      <w:kern w:val="44"/>
      <w:sz w:val="28"/>
      <w:szCs w:val="28"/>
    </w:rPr>
  </w:style>
  <w:style w:type="paragraph" w:styleId="5">
    <w:name w:val="heading 2"/>
    <w:basedOn w:val="1"/>
    <w:next w:val="1"/>
    <w:qFormat/>
    <w:uiPriority w:val="0"/>
    <w:pPr>
      <w:keepNext/>
      <w:keepLines/>
      <w:widowControl w:val="0"/>
      <w:spacing w:before="120" w:after="120" w:line="415" w:lineRule="auto"/>
      <w:jc w:val="center"/>
      <w:outlineLvl w:val="1"/>
    </w:pPr>
    <w:rPr>
      <w:rFonts w:ascii="Arial" w:hAnsi="Arial"/>
      <w:b/>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1"/>
    <w:next w:val="1"/>
    <w:qFormat/>
    <w:uiPriority w:val="0"/>
    <w:pPr>
      <w:keepNext/>
      <w:keepLines/>
      <w:widowControl w:val="0"/>
      <w:numPr>
        <w:ilvl w:val="3"/>
        <w:numId w:val="1"/>
      </w:numPr>
      <w:spacing w:before="50" w:beforeLines="50" w:beforeAutospacing="0" w:after="50" w:afterLines="50" w:afterAutospacing="0" w:line="360" w:lineRule="auto"/>
      <w:outlineLvl w:val="3"/>
    </w:pPr>
    <w:rPr>
      <w:rFonts w:ascii="Arial" w:hAnsi="Arial"/>
      <w:color w:val="000000"/>
      <w:kern w:val="0"/>
      <w:sz w:val="20"/>
      <w:szCs w:val="21"/>
    </w:rPr>
  </w:style>
  <w:style w:type="paragraph" w:styleId="8">
    <w:name w:val="heading 5"/>
    <w:basedOn w:val="7"/>
    <w:next w:val="9"/>
    <w:qFormat/>
    <w:uiPriority w:val="0"/>
    <w:pPr>
      <w:numPr>
        <w:ilvl w:val="4"/>
        <w:numId w:val="1"/>
      </w:numPr>
      <w:spacing w:line="240" w:lineRule="exact"/>
      <w:outlineLvl w:val="4"/>
    </w:pPr>
  </w:style>
  <w:style w:type="paragraph" w:styleId="10">
    <w:name w:val="heading 6"/>
    <w:basedOn w:val="1"/>
    <w:next w:val="1"/>
    <w:qFormat/>
    <w:uiPriority w:val="0"/>
    <w:pPr>
      <w:keepNext/>
      <w:keepLines/>
      <w:widowControl w:val="0"/>
      <w:numPr>
        <w:ilvl w:val="5"/>
        <w:numId w:val="2"/>
      </w:numPr>
      <w:spacing w:before="240" w:after="64" w:line="319" w:lineRule="auto"/>
      <w:outlineLvl w:val="5"/>
    </w:pPr>
    <w:rPr>
      <w:rFonts w:ascii="Arial" w:hAnsi="Arial" w:eastAsia="黑体"/>
      <w:b/>
      <w:bCs/>
      <w:kern w:val="0"/>
      <w:sz w:val="24"/>
      <w:szCs w:val="24"/>
    </w:rPr>
  </w:style>
  <w:style w:type="paragraph" w:styleId="11">
    <w:name w:val="heading 7"/>
    <w:basedOn w:val="1"/>
    <w:next w:val="9"/>
    <w:qFormat/>
    <w:uiPriority w:val="0"/>
    <w:pPr>
      <w:keepNext/>
      <w:keepLines/>
      <w:widowControl w:val="0"/>
      <w:numPr>
        <w:ilvl w:val="6"/>
        <w:numId w:val="1"/>
      </w:numPr>
      <w:spacing w:before="240" w:after="64" w:line="319" w:lineRule="auto"/>
      <w:outlineLvl w:val="6"/>
    </w:pPr>
    <w:rPr>
      <w:b/>
      <w:kern w:val="0"/>
      <w:sz w:val="24"/>
      <w:szCs w:val="20"/>
    </w:rPr>
  </w:style>
  <w:style w:type="paragraph" w:styleId="12">
    <w:name w:val="heading 8"/>
    <w:basedOn w:val="1"/>
    <w:next w:val="9"/>
    <w:qFormat/>
    <w:uiPriority w:val="0"/>
    <w:pPr>
      <w:keepNext/>
      <w:keepLines/>
      <w:widowControl w:val="0"/>
      <w:numPr>
        <w:ilvl w:val="7"/>
        <w:numId w:val="1"/>
      </w:numPr>
      <w:spacing w:before="240" w:after="64" w:line="319" w:lineRule="auto"/>
      <w:outlineLvl w:val="7"/>
    </w:pPr>
    <w:rPr>
      <w:rFonts w:ascii="Arial" w:hAnsi="Arial" w:eastAsia="黑体"/>
      <w:kern w:val="0"/>
      <w:sz w:val="24"/>
      <w:szCs w:val="20"/>
    </w:rPr>
  </w:style>
  <w:style w:type="paragraph" w:styleId="13">
    <w:name w:val="heading 9"/>
    <w:basedOn w:val="1"/>
    <w:next w:val="9"/>
    <w:qFormat/>
    <w:uiPriority w:val="0"/>
    <w:pPr>
      <w:keepNext/>
      <w:keepLines/>
      <w:widowControl w:val="0"/>
      <w:numPr>
        <w:ilvl w:val="8"/>
        <w:numId w:val="1"/>
      </w:numPr>
      <w:spacing w:before="240" w:after="64" w:line="319" w:lineRule="auto"/>
      <w:outlineLvl w:val="8"/>
    </w:pPr>
    <w:rPr>
      <w:rFonts w:ascii="Arial" w:hAnsi="Arial" w:eastAsia="黑体"/>
      <w:kern w:val="0"/>
      <w:sz w:val="20"/>
      <w:szCs w:val="20"/>
    </w:rPr>
  </w:style>
  <w:style w:type="character" w:default="1" w:styleId="40">
    <w:name w:val="Default Paragraph Font"/>
    <w:qFormat/>
    <w:uiPriority w:val="0"/>
  </w:style>
  <w:style w:type="table" w:default="1" w:styleId="3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styleId="4">
    <w:name w:val="Title"/>
    <w:basedOn w:val="1"/>
    <w:next w:val="1"/>
    <w:link w:val="49"/>
    <w:qFormat/>
    <w:uiPriority w:val="0"/>
    <w:pPr>
      <w:spacing w:before="120" w:after="60"/>
      <w:jc w:val="center"/>
    </w:pPr>
    <w:rPr>
      <w:rFonts w:ascii="Arial" w:hAnsi="Arial"/>
      <w:b/>
      <w:kern w:val="0"/>
      <w:sz w:val="44"/>
      <w:szCs w:val="20"/>
    </w:rPr>
  </w:style>
  <w:style w:type="paragraph" w:styleId="9">
    <w:name w:val="Normal Indent"/>
    <w:basedOn w:val="1"/>
    <w:next w:val="1"/>
    <w:qFormat/>
    <w:uiPriority w:val="0"/>
    <w:pPr>
      <w:ind w:firstLine="420"/>
    </w:pPr>
    <w:rPr>
      <w:szCs w:val="20"/>
    </w:rPr>
  </w:style>
  <w:style w:type="paragraph" w:styleId="14">
    <w:name w:val="Document Map"/>
    <w:basedOn w:val="1"/>
    <w:qFormat/>
    <w:uiPriority w:val="0"/>
    <w:pPr>
      <w:shd w:val="clear" w:color="auto" w:fill="000080"/>
    </w:pPr>
    <w:rPr>
      <w:kern w:val="0"/>
      <w:sz w:val="20"/>
      <w:szCs w:val="20"/>
    </w:rPr>
  </w:style>
  <w:style w:type="paragraph" w:styleId="15">
    <w:name w:val="annotation text"/>
    <w:basedOn w:val="1"/>
    <w:next w:val="1"/>
    <w:qFormat/>
    <w:uiPriority w:val="0"/>
    <w:pPr>
      <w:widowControl w:val="0"/>
      <w:spacing w:line="360" w:lineRule="auto"/>
      <w:ind w:firstLine="218" w:firstLineChars="218"/>
      <w:jc w:val="left"/>
    </w:pPr>
    <w:rPr>
      <w:rFonts w:ascii="宋体" w:hAnsi="宋体" w:eastAsia="宋体" w:cs="Times New Roman"/>
      <w:kern w:val="0"/>
      <w:sz w:val="24"/>
      <w:szCs w:val="24"/>
      <w:lang w:val="en-US" w:eastAsia="zh-CN" w:bidi="ar-SA"/>
    </w:rPr>
  </w:style>
  <w:style w:type="paragraph" w:styleId="16">
    <w:name w:val="Body Text 3"/>
    <w:basedOn w:val="1"/>
    <w:qFormat/>
    <w:uiPriority w:val="0"/>
    <w:pPr>
      <w:spacing w:after="120"/>
    </w:pPr>
    <w:rPr>
      <w:rFonts w:ascii="Calibri" w:hAnsi="Calibri"/>
      <w:sz w:val="16"/>
      <w:szCs w:val="16"/>
    </w:rPr>
  </w:style>
  <w:style w:type="paragraph" w:styleId="17">
    <w:name w:val="Body Text"/>
    <w:basedOn w:val="1"/>
    <w:qFormat/>
    <w:uiPriority w:val="0"/>
    <w:pPr>
      <w:spacing w:after="120"/>
    </w:pPr>
    <w:rPr>
      <w:kern w:val="0"/>
      <w:sz w:val="20"/>
      <w:szCs w:val="20"/>
    </w:rPr>
  </w:style>
  <w:style w:type="paragraph" w:styleId="18">
    <w:name w:val="Body Text Indent"/>
    <w:basedOn w:val="1"/>
    <w:next w:val="19"/>
    <w:qFormat/>
    <w:uiPriority w:val="0"/>
    <w:pPr>
      <w:ind w:firstLine="570"/>
    </w:pPr>
    <w:rPr>
      <w:kern w:val="0"/>
      <w:sz w:val="28"/>
      <w:szCs w:val="20"/>
    </w:rPr>
  </w:style>
  <w:style w:type="paragraph" w:styleId="19">
    <w:name w:val="envelope return"/>
    <w:basedOn w:val="1"/>
    <w:qFormat/>
    <w:uiPriority w:val="0"/>
    <w:pPr>
      <w:snapToGrid w:val="0"/>
    </w:pPr>
    <w:rPr>
      <w:rFonts w:ascii="Arial" w:hAnsi="Arial"/>
      <w:szCs w:val="24"/>
    </w:rPr>
  </w:style>
  <w:style w:type="paragraph" w:styleId="20">
    <w:name w:val="Block Text"/>
    <w:basedOn w:val="1"/>
    <w:qFormat/>
    <w:uiPriority w:val="0"/>
    <w:pPr>
      <w:adjustRightInd w:val="0"/>
      <w:spacing w:line="240" w:lineRule="auto"/>
      <w:ind w:left="0" w:right="0" w:firstLine="0" w:firstLineChars="0"/>
      <w:jc w:val="center"/>
      <w:textAlignment w:val="baseline"/>
    </w:pPr>
    <w:rPr>
      <w:rFonts w:ascii="宋体" w:hAnsi="宋体" w:eastAsia="宋体" w:cs="宋体"/>
      <w:kern w:val="0"/>
      <w:sz w:val="21"/>
      <w:szCs w:val="20"/>
    </w:rPr>
  </w:style>
  <w:style w:type="paragraph" w:styleId="21">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2">
    <w:name w:val="Plain Text"/>
    <w:basedOn w:val="1"/>
    <w:next w:val="1"/>
    <w:qFormat/>
    <w:uiPriority w:val="0"/>
    <w:rPr>
      <w:rFonts w:ascii="宋体" w:hAnsi="Courier New"/>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hAns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rFonts w:ascii="Times New Roman" w:hAnsi="Times New Roman"/>
      <w:sz w:val="24"/>
      <w:szCs w:val="24"/>
    </w:rPr>
  </w:style>
  <w:style w:type="paragraph" w:styleId="33">
    <w:name w:val="Body Text 2"/>
    <w:basedOn w:val="1"/>
    <w:qFormat/>
    <w:uiPriority w:val="0"/>
    <w:rPr>
      <w:rFonts w:ascii="宋体" w:hAnsi="宋体"/>
      <w:kern w:val="0"/>
      <w:sz w:val="20"/>
      <w:szCs w:val="24"/>
      <w:u w:val="single"/>
    </w:rPr>
  </w:style>
  <w:style w:type="paragraph" w:styleId="3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5">
    <w:name w:val="index 1"/>
    <w:basedOn w:val="1"/>
    <w:next w:val="1"/>
    <w:qFormat/>
    <w:uiPriority w:val="0"/>
    <w:rPr>
      <w:rFonts w:ascii="Times New Roman" w:hAnsi="Times New Roman" w:eastAsia="仿宋_GB2312"/>
      <w:sz w:val="28"/>
      <w:szCs w:val="20"/>
    </w:rPr>
  </w:style>
  <w:style w:type="paragraph" w:styleId="36">
    <w:name w:val="annotation subject"/>
    <w:basedOn w:val="15"/>
    <w:next w:val="15"/>
    <w:qFormat/>
    <w:uiPriority w:val="0"/>
    <w:rPr>
      <w:b/>
      <w:bCs/>
    </w:rPr>
  </w:style>
  <w:style w:type="paragraph" w:styleId="37">
    <w:name w:val="Body Text First Indent"/>
    <w:basedOn w:val="17"/>
    <w:qFormat/>
    <w:uiPriority w:val="0"/>
    <w:pPr>
      <w:ind w:firstLine="420"/>
    </w:pPr>
  </w:style>
  <w:style w:type="paragraph" w:styleId="38">
    <w:name w:val="Body Text First Indent 2"/>
    <w:basedOn w:val="18"/>
    <w:qFormat/>
    <w:uiPriority w:val="0"/>
    <w:pPr>
      <w:spacing w:after="120"/>
      <w:ind w:left="200" w:leftChars="200" w:firstLine="200" w:firstLineChars="200"/>
    </w:pPr>
    <w:rPr>
      <w:rFonts w:ascii="Calibri" w:hAnsi="Calibri"/>
      <w:kern w:val="2"/>
      <w:sz w:val="21"/>
      <w:szCs w:val="22"/>
    </w:rPr>
  </w:style>
  <w:style w:type="character" w:styleId="41">
    <w:name w:val="Strong"/>
    <w:basedOn w:val="40"/>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lang w:bidi="ar-SA"/>
    </w:rPr>
  </w:style>
  <w:style w:type="character" w:styleId="44">
    <w:name w:val="FollowedHyperlink"/>
    <w:qFormat/>
    <w:uiPriority w:val="0"/>
    <w:rPr>
      <w:color w:val="954F72"/>
      <w:u w:val="single"/>
    </w:rPr>
  </w:style>
  <w:style w:type="character" w:styleId="45">
    <w:name w:val="Emphasis"/>
    <w:qFormat/>
    <w:uiPriority w:val="0"/>
    <w:rPr>
      <w:i/>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customStyle="1" w:styleId="49">
    <w:name w:val="标题 Char"/>
    <w:basedOn w:val="40"/>
    <w:link w:val="4"/>
    <w:qFormat/>
    <w:uiPriority w:val="0"/>
    <w:rPr>
      <w:rFonts w:ascii="Arial" w:hAnsi="Arial" w:eastAsia="宋体" w:cs="Times New Roman"/>
      <w:b/>
      <w:kern w:val="0"/>
      <w:sz w:val="44"/>
      <w:szCs w:val="20"/>
    </w:rPr>
  </w:style>
  <w:style w:type="character" w:customStyle="1" w:styleId="50">
    <w:name w:val="标题 1 Char"/>
    <w:basedOn w:val="49"/>
    <w:link w:val="3"/>
    <w:qFormat/>
    <w:uiPriority w:val="0"/>
    <w:rPr>
      <w:kern w:val="44"/>
      <w:sz w:val="28"/>
      <w:szCs w:val="28"/>
    </w:rPr>
  </w:style>
  <w:style w:type="character" w:customStyle="1" w:styleId="51">
    <w:name w:val="正文文本缩进 2 字符"/>
    <w:qFormat/>
    <w:uiPriority w:val="0"/>
    <w:rPr>
      <w:rFonts w:ascii="Calibri" w:hAnsi="Calibri" w:eastAsia="宋体" w:cs="Times New Roman"/>
      <w:lang w:bidi="ar-SA"/>
    </w:rPr>
  </w:style>
  <w:style w:type="character" w:customStyle="1" w:styleId="52">
    <w:name w:val="标题 4 字符"/>
    <w:qFormat/>
    <w:uiPriority w:val="0"/>
    <w:rPr>
      <w:rFonts w:ascii="等线 Light" w:hAnsi="等线 Light" w:eastAsia="等线 Light" w:cs="Times New Roman"/>
      <w:b/>
      <w:bCs/>
      <w:sz w:val="28"/>
      <w:szCs w:val="28"/>
      <w:lang w:bidi="ar-SA"/>
    </w:rPr>
  </w:style>
  <w:style w:type="character" w:customStyle="1" w:styleId="53">
    <w:name w:val="纯文本 字符"/>
    <w:qFormat/>
    <w:uiPriority w:val="0"/>
    <w:rPr>
      <w:rFonts w:ascii="等线" w:hAnsi="Courier New" w:cs="Courier New"/>
      <w:lang w:bidi="ar-SA"/>
    </w:rPr>
  </w:style>
  <w:style w:type="character" w:customStyle="1" w:styleId="54">
    <w:name w:val="正文文本缩进 3 字符"/>
    <w:qFormat/>
    <w:uiPriority w:val="0"/>
    <w:rPr>
      <w:rFonts w:ascii="Calibri" w:hAnsi="Calibri" w:eastAsia="宋体" w:cs="Times New Roman"/>
      <w:sz w:val="16"/>
      <w:szCs w:val="16"/>
      <w:lang w:bidi="ar-SA"/>
    </w:rPr>
  </w:style>
  <w:style w:type="paragraph" w:styleId="55">
    <w:name w:val="List Paragraph"/>
    <w:basedOn w:val="1"/>
    <w:qFormat/>
    <w:uiPriority w:val="0"/>
    <w:pPr>
      <w:ind w:firstLine="200" w:firstLineChars="200"/>
    </w:pPr>
    <w:rPr>
      <w:szCs w:val="20"/>
    </w:rPr>
  </w:style>
  <w:style w:type="character" w:customStyle="1" w:styleId="56">
    <w:name w:val="标题 2 字符"/>
    <w:qFormat/>
    <w:uiPriority w:val="0"/>
    <w:rPr>
      <w:rFonts w:ascii="等线 Light" w:hAnsi="等线 Light" w:eastAsia="等线 Light" w:cs="Times New Roman"/>
      <w:b/>
      <w:bCs/>
      <w:sz w:val="32"/>
      <w:szCs w:val="32"/>
      <w:lang w:bidi="ar-SA"/>
    </w:rPr>
  </w:style>
  <w:style w:type="character" w:customStyle="1" w:styleId="57">
    <w:name w:val="脚注文本 字符"/>
    <w:qFormat/>
    <w:uiPriority w:val="0"/>
    <w:rPr>
      <w:rFonts w:ascii="Calibri" w:hAnsi="Calibri" w:eastAsia="宋体" w:cs="Times New Roman"/>
      <w:sz w:val="18"/>
      <w:szCs w:val="18"/>
      <w:lang w:bidi="ar-SA"/>
    </w:rPr>
  </w:style>
  <w:style w:type="character" w:customStyle="1" w:styleId="58">
    <w:name w:val="文档结构图 字符"/>
    <w:qFormat/>
    <w:uiPriority w:val="0"/>
    <w:rPr>
      <w:rFonts w:ascii="Microsoft YaHei UI" w:hAnsi="Calibri" w:eastAsia="Microsoft YaHei UI" w:cs="Times New Roman"/>
      <w:sz w:val="18"/>
      <w:szCs w:val="18"/>
      <w:lang w:bidi="ar-SA"/>
    </w:rPr>
  </w:style>
  <w:style w:type="paragraph" w:customStyle="1" w:styleId="59">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60">
    <w:name w:val="未处理的提及"/>
    <w:qFormat/>
    <w:uiPriority w:val="0"/>
    <w:rPr>
      <w:color w:val="605E5C"/>
      <w:shd w:val="clear" w:color="auto" w:fill="E1DFDD"/>
    </w:rPr>
  </w:style>
  <w:style w:type="character" w:customStyle="1" w:styleId="61">
    <w:name w:val="批注主题 字符"/>
    <w:qFormat/>
    <w:uiPriority w:val="0"/>
    <w:rPr>
      <w:rFonts w:ascii="Calibri" w:hAnsi="Calibri" w:eastAsia="宋体" w:cs="Times New Roman"/>
      <w:b/>
      <w:bCs/>
      <w:lang w:bidi="ar-SA"/>
    </w:rPr>
  </w:style>
  <w:style w:type="character" w:customStyle="1" w:styleId="62">
    <w:name w:val="标题 7 字符"/>
    <w:qFormat/>
    <w:uiPriority w:val="0"/>
    <w:rPr>
      <w:rFonts w:ascii="Calibri" w:hAnsi="Calibri" w:eastAsia="宋体" w:cs="Times New Roman"/>
      <w:b/>
      <w:bCs/>
      <w:sz w:val="24"/>
      <w:szCs w:val="24"/>
      <w:lang w:bidi="ar-SA"/>
    </w:rPr>
  </w:style>
  <w:style w:type="character" w:customStyle="1" w:styleId="63">
    <w:name w:val="标题 3 字符"/>
    <w:qFormat/>
    <w:uiPriority w:val="0"/>
    <w:rPr>
      <w:rFonts w:ascii="Calibri" w:hAnsi="Calibri" w:eastAsia="宋体" w:cs="Times New Roman"/>
      <w:b/>
      <w:bCs/>
      <w:sz w:val="32"/>
      <w:szCs w:val="32"/>
      <w:lang w:bidi="ar-SA"/>
    </w:rPr>
  </w:style>
  <w:style w:type="character" w:customStyle="1" w:styleId="64">
    <w:name w:val="批注文字 字符"/>
    <w:qFormat/>
    <w:uiPriority w:val="0"/>
    <w:rPr>
      <w:rFonts w:ascii="Calibri" w:hAnsi="Calibri" w:eastAsia="宋体" w:cs="Times New Roman"/>
      <w:lang w:bidi="ar-SA"/>
    </w:rPr>
  </w:style>
  <w:style w:type="character" w:customStyle="1" w:styleId="65">
    <w:name w:val="font21"/>
    <w:qFormat/>
    <w:uiPriority w:val="0"/>
    <w:rPr>
      <w:rFonts w:ascii="仿宋" w:hAnsi="仿宋" w:eastAsia="仿宋" w:cs="仿宋"/>
      <w:b/>
      <w:color w:val="000000"/>
      <w:sz w:val="28"/>
      <w:szCs w:val="28"/>
      <w:u w:val="none"/>
      <w:lang w:bidi="ar-SA"/>
    </w:rPr>
  </w:style>
  <w:style w:type="character" w:customStyle="1" w:styleId="66">
    <w:name w:val="批注框文本 字符"/>
    <w:qFormat/>
    <w:uiPriority w:val="0"/>
    <w:rPr>
      <w:rFonts w:ascii="Calibri" w:hAnsi="Calibri" w:eastAsia="宋体" w:cs="Times New Roman"/>
      <w:sz w:val="18"/>
      <w:szCs w:val="18"/>
      <w:lang w:bidi="ar-SA"/>
    </w:rPr>
  </w:style>
  <w:style w:type="character" w:customStyle="1" w:styleId="67">
    <w:name w:val="标题 8 字符"/>
    <w:qFormat/>
    <w:uiPriority w:val="0"/>
    <w:rPr>
      <w:rFonts w:ascii="等线 Light" w:hAnsi="等线 Light" w:eastAsia="等线 Light" w:cs="Times New Roman"/>
      <w:sz w:val="24"/>
      <w:szCs w:val="24"/>
      <w:lang w:bidi="ar-SA"/>
    </w:rPr>
  </w:style>
  <w:style w:type="character" w:customStyle="1" w:styleId="68">
    <w:name w:val="s2"/>
    <w:qFormat/>
    <w:uiPriority w:val="0"/>
  </w:style>
  <w:style w:type="character" w:customStyle="1" w:styleId="69">
    <w:name w:val="正文文本缩进 字符"/>
    <w:qFormat/>
    <w:uiPriority w:val="0"/>
    <w:rPr>
      <w:rFonts w:ascii="Calibri" w:hAnsi="Calibri" w:eastAsia="宋体" w:cs="Times New Roman"/>
      <w:lang w:bidi="ar-SA"/>
    </w:rPr>
  </w:style>
  <w:style w:type="character" w:customStyle="1" w:styleId="70">
    <w:name w:val="页眉 字符"/>
    <w:qFormat/>
    <w:uiPriority w:val="0"/>
    <w:rPr>
      <w:rFonts w:ascii="Calibri" w:hAnsi="Calibri" w:eastAsia="宋体" w:cs="Times New Roman"/>
      <w:sz w:val="18"/>
      <w:szCs w:val="18"/>
      <w:lang w:bidi="ar-SA"/>
    </w:rPr>
  </w:style>
  <w:style w:type="character" w:customStyle="1" w:styleId="71">
    <w:name w:val="页脚 字符"/>
    <w:qFormat/>
    <w:uiPriority w:val="0"/>
    <w:rPr>
      <w:rFonts w:ascii="Calibri" w:hAnsi="Calibri" w:eastAsia="宋体" w:cs="Times New Roman"/>
      <w:sz w:val="18"/>
      <w:szCs w:val="18"/>
      <w:lang w:bidi="ar-SA"/>
    </w:rPr>
  </w:style>
  <w:style w:type="character" w:customStyle="1" w:styleId="72">
    <w:name w:val="日期 字符"/>
    <w:qFormat/>
    <w:uiPriority w:val="0"/>
    <w:rPr>
      <w:rFonts w:ascii="Calibri" w:hAnsi="Calibri" w:eastAsia="宋体" w:cs="Times New Roman"/>
      <w:lang w:bidi="ar-SA"/>
    </w:rPr>
  </w:style>
  <w:style w:type="character" w:customStyle="1" w:styleId="73">
    <w:name w:val="标题 6 字符"/>
    <w:qFormat/>
    <w:uiPriority w:val="0"/>
    <w:rPr>
      <w:rFonts w:ascii="等线 Light" w:hAnsi="等线 Light" w:eastAsia="等线 Light" w:cs="Times New Roman"/>
      <w:b/>
      <w:bCs/>
      <w:sz w:val="24"/>
      <w:szCs w:val="24"/>
      <w:lang w:bidi="ar-SA"/>
    </w:rPr>
  </w:style>
  <w:style w:type="character" w:customStyle="1" w:styleId="74">
    <w:name w:val="标题 9 字符"/>
    <w:qFormat/>
    <w:uiPriority w:val="0"/>
    <w:rPr>
      <w:rFonts w:ascii="等线 Light" w:hAnsi="等线 Light" w:eastAsia="等线 Light" w:cs="Times New Roman"/>
      <w:szCs w:val="21"/>
      <w:lang w:bidi="ar-SA"/>
    </w:rPr>
  </w:style>
  <w:style w:type="character" w:customStyle="1" w:styleId="75">
    <w:name w:val="NormalCharacter"/>
    <w:qFormat/>
    <w:uiPriority w:val="0"/>
  </w:style>
  <w:style w:type="character" w:customStyle="1" w:styleId="76">
    <w:name w:val="正文文本 字符"/>
    <w:qFormat/>
    <w:uiPriority w:val="0"/>
    <w:rPr>
      <w:rFonts w:ascii="Calibri" w:hAnsi="Calibri" w:eastAsia="宋体" w:cs="Times New Roman"/>
      <w:lang w:bidi="ar-SA"/>
    </w:rPr>
  </w:style>
  <w:style w:type="character" w:customStyle="1" w:styleId="77">
    <w:name w:val="正文首行缩进 字符"/>
    <w:qFormat/>
    <w:uiPriority w:val="0"/>
    <w:rPr>
      <w:rFonts w:ascii="Calibri" w:hAnsi="Calibri" w:eastAsia="宋体" w:cs="Times New Roman"/>
      <w:lang w:bidi="ar-SA"/>
    </w:rPr>
  </w:style>
  <w:style w:type="character" w:customStyle="1" w:styleId="78">
    <w:name w:val="font11"/>
    <w:qFormat/>
    <w:uiPriority w:val="0"/>
    <w:rPr>
      <w:rFonts w:ascii="仿宋" w:hAnsi="仿宋" w:eastAsia="仿宋" w:cs="仿宋"/>
      <w:b/>
      <w:color w:val="000000"/>
      <w:sz w:val="28"/>
      <w:szCs w:val="28"/>
      <w:u w:val="none"/>
      <w:lang w:bidi="ar-SA"/>
    </w:rPr>
  </w:style>
  <w:style w:type="character" w:customStyle="1" w:styleId="79">
    <w:name w:val="尾注文本 字符"/>
    <w:qFormat/>
    <w:uiPriority w:val="0"/>
    <w:rPr>
      <w:rFonts w:ascii="Calibri" w:hAnsi="Calibri" w:eastAsia="宋体" w:cs="Times New Roman"/>
      <w:lang w:bidi="ar-SA"/>
    </w:rPr>
  </w:style>
  <w:style w:type="paragraph" w:styleId="80">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81">
    <w:name w:val="正文文本1"/>
    <w:qFormat/>
    <w:uiPriority w:val="0"/>
    <w:rPr>
      <w:rFonts w:ascii="宋体" w:hAnsi="宋体" w:eastAsia="宋体" w:cs="宋体"/>
      <w:color w:val="000000"/>
      <w:spacing w:val="0"/>
      <w:w w:val="100"/>
      <w:position w:val="0"/>
      <w:sz w:val="19"/>
      <w:szCs w:val="19"/>
      <w:shd w:val="clear" w:color="auto" w:fill="FFFFFF"/>
      <w:lang w:val="zh-TW" w:eastAsia="zh-TW" w:bidi="ar-SA"/>
    </w:rPr>
  </w:style>
  <w:style w:type="character" w:customStyle="1" w:styleId="82">
    <w:name w:val="标题 5 字符"/>
    <w:qFormat/>
    <w:uiPriority w:val="0"/>
    <w:rPr>
      <w:rFonts w:ascii="Calibri" w:hAnsi="Calibri" w:eastAsia="宋体" w:cs="Times New Roman"/>
      <w:b/>
      <w:bCs/>
      <w:sz w:val="28"/>
      <w:szCs w:val="28"/>
      <w:lang w:bidi="ar-SA"/>
    </w:rPr>
  </w:style>
  <w:style w:type="character" w:customStyle="1" w:styleId="83">
    <w:name w:val="正文文本 2 字符"/>
    <w:qFormat/>
    <w:uiPriority w:val="0"/>
    <w:rPr>
      <w:rFonts w:ascii="Calibri" w:hAnsi="Calibri" w:eastAsia="宋体" w:cs="Times New Roman"/>
      <w:lang w:bidi="ar-SA"/>
    </w:rPr>
  </w:style>
  <w:style w:type="paragraph" w:customStyle="1" w:styleId="84">
    <w:name w:val="公文正文"/>
    <w:qFormat/>
    <w:uiPriority w:val="0"/>
    <w:pPr>
      <w:widowControl w:val="0"/>
      <w:spacing w:line="360" w:lineRule="auto"/>
      <w:ind w:firstLine="629"/>
      <w:jc w:val="both"/>
    </w:pPr>
    <w:rPr>
      <w:rFonts w:ascii="仿宋_GB2312" w:hAnsi="Calisto MT" w:eastAsia="仿宋_GB2312" w:cs="Times New Roman"/>
      <w:color w:val="000000"/>
      <w:sz w:val="32"/>
      <w:szCs w:val="20"/>
      <w:lang w:val="en-US" w:eastAsia="zh-CN" w:bidi="ar-SA"/>
    </w:rPr>
  </w:style>
  <w:style w:type="paragraph" w:customStyle="1" w:styleId="85">
    <w:name w:val="BodyText1I"/>
    <w:basedOn w:val="86"/>
    <w:qFormat/>
    <w:uiPriority w:val="0"/>
    <w:pPr>
      <w:ind w:firstLine="420"/>
    </w:pPr>
  </w:style>
  <w:style w:type="paragraph" w:customStyle="1" w:styleId="86">
    <w:name w:val="BodyText"/>
    <w:basedOn w:val="1"/>
    <w:qFormat/>
    <w:uiPriority w:val="0"/>
    <w:pPr>
      <w:spacing w:after="120"/>
    </w:pPr>
    <w:rPr>
      <w:rFonts w:ascii="Times New Roman" w:hAnsi="Times New Roman"/>
      <w:kern w:val="0"/>
      <w:sz w:val="20"/>
      <w:szCs w:val="20"/>
    </w:rPr>
  </w:style>
  <w:style w:type="paragraph" w:customStyle="1" w:styleId="87">
    <w:name w:val="Heading2"/>
    <w:basedOn w:val="1"/>
    <w:next w:val="88"/>
    <w:qFormat/>
    <w:uiPriority w:val="0"/>
    <w:pPr>
      <w:keepNext/>
      <w:keepLines/>
      <w:widowControl w:val="0"/>
      <w:spacing w:before="120" w:after="120" w:line="415" w:lineRule="auto"/>
      <w:ind w:left="454"/>
      <w:jc w:val="center"/>
    </w:pPr>
    <w:rPr>
      <w:rFonts w:ascii="Arial" w:hAnsi="Arial"/>
      <w:color w:val="000000"/>
      <w:sz w:val="24"/>
      <w:szCs w:val="24"/>
    </w:rPr>
  </w:style>
  <w:style w:type="paragraph" w:customStyle="1" w:styleId="88">
    <w:name w:val="NormalIndent"/>
    <w:basedOn w:val="1"/>
    <w:qFormat/>
    <w:uiPriority w:val="0"/>
    <w:pPr>
      <w:ind w:firstLine="420"/>
    </w:pPr>
    <w:rPr>
      <w:rFonts w:ascii="Times New Roman" w:hAnsi="Times New Roman"/>
      <w:szCs w:val="20"/>
    </w:rPr>
  </w:style>
  <w:style w:type="paragraph" w:customStyle="1" w:styleId="89">
    <w:name w:val="_Style 87"/>
    <w:qFormat/>
    <w:uiPriority w:val="0"/>
    <w:rPr>
      <w:rFonts w:ascii="Times New Roman" w:hAnsi="Times New Roman" w:eastAsia="宋体" w:cs="Times New Roman"/>
      <w:kern w:val="2"/>
      <w:sz w:val="21"/>
      <w:szCs w:val="22"/>
      <w:lang w:val="en-US" w:eastAsia="zh-CN" w:bidi="ar-SA"/>
    </w:rPr>
  </w:style>
  <w:style w:type="paragraph" w:customStyle="1" w:styleId="90">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lang w:bidi="ar-SA"/>
    </w:rPr>
  </w:style>
  <w:style w:type="paragraph" w:customStyle="1" w:styleId="91">
    <w:name w:val="公文抬头"/>
    <w:basedOn w:val="9"/>
    <w:qFormat/>
    <w:uiPriority w:val="0"/>
    <w:pPr>
      <w:ind w:firstLine="0"/>
    </w:pPr>
    <w:rPr>
      <w:rFonts w:ascii="仿宋_GB2312" w:eastAsia="仿宋_GB2312"/>
      <w:sz w:val="30"/>
      <w:szCs w:val="24"/>
    </w:rPr>
  </w:style>
  <w:style w:type="paragraph" w:customStyle="1" w:styleId="92">
    <w:name w:val="标题3-3"/>
    <w:basedOn w:val="6"/>
    <w:qFormat/>
    <w:uiPriority w:val="0"/>
    <w:pPr>
      <w:keepNext w:val="0"/>
      <w:keepLines w:val="0"/>
      <w:widowControl/>
      <w:snapToGrid w:val="0"/>
      <w:jc w:val="center"/>
      <w:textAlignment w:val="auto"/>
    </w:pPr>
    <w:rPr>
      <w:rFonts w:ascii="方正仿宋简体" w:eastAsia="黑体"/>
      <w:sz w:val="30"/>
    </w:rPr>
  </w:style>
  <w:style w:type="paragraph" w:customStyle="1" w:styleId="93">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样式 宋体 行距: 1.5 倍行距"/>
    <w:basedOn w:val="1"/>
    <w:qFormat/>
    <w:uiPriority w:val="0"/>
    <w:pPr>
      <w:jc w:val="center"/>
    </w:pPr>
    <w:rPr>
      <w:rFonts w:eastAsia="等线"/>
      <w:b/>
      <w:szCs w:val="20"/>
    </w:rPr>
  </w:style>
  <w:style w:type="paragraph" w:customStyle="1" w:styleId="95">
    <w:name w:val="发文落款"/>
    <w:basedOn w:val="84"/>
    <w:qFormat/>
    <w:uiPriority w:val="0"/>
    <w:pPr>
      <w:ind w:left="4094" w:right="607" w:firstLine="0"/>
      <w:jc w:val="center"/>
    </w:pPr>
  </w:style>
  <w:style w:type="paragraph" w:customStyle="1" w:styleId="9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1"/>
    <w:qFormat/>
    <w:uiPriority w:val="0"/>
    <w:rPr>
      <w:rFonts w:ascii="Times New Roman" w:hAnsi="Times New Roman" w:eastAsia="宋体" w:cs="Times New Roman"/>
      <w:kern w:val="2"/>
      <w:sz w:val="21"/>
      <w:szCs w:val="20"/>
      <w:lang w:val="en-US" w:eastAsia="zh-CN" w:bidi="ar-SA"/>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paragraph" w:customStyle="1" w:styleId="99">
    <w:name w:val="PlainText"/>
    <w:basedOn w:val="1"/>
    <w:qFormat/>
    <w:uiPriority w:val="0"/>
    <w:pPr>
      <w:textAlignment w:val="baseline"/>
    </w:pPr>
    <w:rPr>
      <w:rFonts w:ascii="宋体" w:hAnsi="Courier New" w:cs="Calibri"/>
      <w:color w:val="000000"/>
      <w:kern w:val="0"/>
      <w:sz w:val="20"/>
      <w:szCs w:val="20"/>
      <w:lang w:bidi="ar-SA"/>
    </w:rPr>
  </w:style>
  <w:style w:type="paragraph" w:customStyle="1" w:styleId="100">
    <w:name w:val="TOC 标题1"/>
    <w:basedOn w:val="3"/>
    <w:next w:val="1"/>
    <w:qFormat/>
    <w:uiPriority w:val="0"/>
    <w:pPr>
      <w:keepNext/>
      <w:keepLines/>
      <w:widowControl/>
      <w:spacing w:before="480" w:after="0" w:line="276" w:lineRule="auto"/>
      <w:outlineLvl w:val="9"/>
    </w:pPr>
    <w:rPr>
      <w:rFonts w:ascii="Cambria" w:hAnsi="Cambria"/>
      <w:color w:val="365F91"/>
      <w:kern w:val="0"/>
    </w:rPr>
  </w:style>
  <w:style w:type="paragraph" w:customStyle="1" w:styleId="101">
    <w:name w:val="正文 New New"/>
    <w:qFormat/>
    <w:uiPriority w:val="0"/>
    <w:pPr>
      <w:widowControl w:val="0"/>
      <w:jc w:val="both"/>
    </w:pPr>
    <w:rPr>
      <w:rFonts w:ascii="Times New Roman" w:hAnsi="Times New Roman" w:eastAsia="楷体_GB2312" w:cs="Times New Roman"/>
      <w:sz w:val="20"/>
      <w:szCs w:val="20"/>
      <w:lang w:val="en-US" w:eastAsia="zh-CN" w:bidi="ar-SA"/>
    </w:rPr>
  </w:style>
  <w:style w:type="paragraph" w:customStyle="1" w:styleId="102">
    <w:name w:val="正题"/>
    <w:basedOn w:val="59"/>
    <w:next w:val="59"/>
    <w:qFormat/>
    <w:uiPriority w:val="0"/>
    <w:pPr>
      <w:ind w:firstLine="0" w:firstLineChars="0"/>
      <w:jc w:val="center"/>
    </w:pPr>
    <w:rPr>
      <w:rFonts w:eastAsia="黑体"/>
      <w:b/>
      <w:sz w:val="36"/>
      <w:szCs w:val="36"/>
    </w:rPr>
  </w:style>
  <w:style w:type="paragraph" w:customStyle="1" w:styleId="103">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04">
    <w:name w:val="封二"/>
    <w:basedOn w:val="59"/>
    <w:next w:val="59"/>
    <w:qFormat/>
    <w:uiPriority w:val="0"/>
    <w:pPr>
      <w:ind w:firstLine="0" w:firstLineChars="0"/>
      <w:jc w:val="center"/>
    </w:pPr>
    <w:rPr>
      <w:rFonts w:eastAsia="黑体"/>
      <w:b/>
      <w:sz w:val="36"/>
      <w:szCs w:val="36"/>
    </w:rPr>
  </w:style>
  <w:style w:type="paragraph" w:customStyle="1" w:styleId="105">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06">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07">
    <w:name w:val="章节二"/>
    <w:basedOn w:val="1"/>
    <w:next w:val="1"/>
    <w:qFormat/>
    <w:uiPriority w:val="0"/>
    <w:pPr>
      <w:topLinePunct/>
      <w:adjustRightInd w:val="0"/>
      <w:snapToGrid w:val="0"/>
      <w:spacing w:before="50" w:beforeLines="50" w:after="50" w:afterLines="50"/>
      <w:jc w:val="center"/>
      <w:outlineLvl w:val="1"/>
    </w:pPr>
    <w:rPr>
      <w:rFonts w:ascii="Times New Roman" w:hAnsi="Times New Roman" w:eastAsia="黑体"/>
      <w:b/>
      <w:snapToGrid w:val="0"/>
      <w:spacing w:val="4"/>
      <w:kern w:val="0"/>
      <w:sz w:val="30"/>
      <w:szCs w:val="30"/>
    </w:rPr>
  </w:style>
  <w:style w:type="paragraph" w:customStyle="1" w:styleId="108">
    <w:name w:val="章节三"/>
    <w:basedOn w:val="1"/>
    <w:next w:val="1"/>
    <w:qFormat/>
    <w:uiPriority w:val="0"/>
    <w:pPr>
      <w:topLinePunct/>
      <w:adjustRightInd w:val="0"/>
      <w:snapToGrid w:val="0"/>
      <w:spacing w:before="50" w:beforeLines="50" w:after="50" w:afterLines="50"/>
      <w:jc w:val="left"/>
      <w:outlineLvl w:val="2"/>
    </w:pPr>
    <w:rPr>
      <w:rFonts w:ascii="黑体" w:hAnsi="宋体" w:eastAsia="黑体"/>
      <w:b/>
      <w:snapToGrid w:val="0"/>
      <w:spacing w:val="4"/>
      <w:kern w:val="0"/>
      <w:sz w:val="24"/>
      <w:szCs w:val="24"/>
    </w:rPr>
  </w:style>
  <w:style w:type="paragraph" w:customStyle="1" w:styleId="109">
    <w:name w:val="封四"/>
    <w:basedOn w:val="59"/>
    <w:next w:val="59"/>
    <w:qFormat/>
    <w:uiPriority w:val="0"/>
    <w:pPr>
      <w:jc w:val="left"/>
    </w:pPr>
    <w:rPr>
      <w:rFonts w:eastAsia="等线"/>
      <w:sz w:val="30"/>
      <w:szCs w:val="30"/>
    </w:rPr>
  </w:style>
  <w:style w:type="paragraph" w:customStyle="1" w:styleId="110">
    <w:name w:val="封一"/>
    <w:basedOn w:val="59"/>
    <w:next w:val="59"/>
    <w:qFormat/>
    <w:uiPriority w:val="0"/>
    <w:pPr>
      <w:ind w:firstLine="0" w:firstLineChars="0"/>
      <w:jc w:val="center"/>
    </w:pPr>
    <w:rPr>
      <w:rFonts w:ascii="Times New Roman" w:eastAsia="黑体"/>
      <w:b/>
      <w:sz w:val="84"/>
      <w:szCs w:val="84"/>
    </w:rPr>
  </w:style>
  <w:style w:type="character" w:customStyle="1" w:styleId="111">
    <w:name w:val="标题 1 字符1"/>
    <w:qFormat/>
    <w:uiPriority w:val="0"/>
    <w:rPr>
      <w:rFonts w:ascii="宋体" w:hAnsi="宋体" w:eastAsia="宋体" w:cs="宋体"/>
      <w:b/>
      <w:kern w:val="44"/>
      <w:sz w:val="28"/>
      <w:szCs w:val="28"/>
    </w:rPr>
  </w:style>
  <w:style w:type="paragraph" w:customStyle="1" w:styleId="112">
    <w:name w:val="文二"/>
    <w:basedOn w:val="1"/>
    <w:qFormat/>
    <w:uiPriority w:val="0"/>
    <w:pPr>
      <w:jc w:val="left"/>
    </w:pPr>
    <w:rPr>
      <w:rFonts w:ascii="宋体" w:hAnsi="宋体" w:eastAsia="宋体"/>
      <w:szCs w:val="21"/>
    </w:rPr>
  </w:style>
  <w:style w:type="table" w:customStyle="1" w:styleId="113">
    <w:name w:val="Table Normal"/>
    <w:basedOn w:val="39"/>
    <w:semiHidden/>
    <w:unhideWhenUsed/>
    <w:qFormat/>
    <w:uiPriority w:val="0"/>
    <w:rPr>
      <w:rFonts w:ascii="Calibri" w:hAnsi="Calibri"/>
      <w:sz w:val="22"/>
      <w:szCs w:val="22"/>
      <w:lang w:eastAsia="en-US"/>
    </w:rPr>
    <w:tblPr>
      <w:tblCellMar>
        <w:left w:w="0" w:type="dxa"/>
        <w:right w:w="0" w:type="dxa"/>
      </w:tblCellMar>
    </w:tblPr>
  </w:style>
  <w:style w:type="character" w:customStyle="1" w:styleId="114">
    <w:name w:val="15"/>
    <w:basedOn w:val="40"/>
    <w:qFormat/>
    <w:uiPriority w:val="0"/>
    <w:rPr>
      <w:rFonts w:hint="default" w:ascii="Times New Roman" w:hAnsi="Times New Roman" w:cs="Times New Roman"/>
    </w:rPr>
  </w:style>
  <w:style w:type="character" w:customStyle="1" w:styleId="115">
    <w:name w:val="font41"/>
    <w:basedOn w:val="40"/>
    <w:qFormat/>
    <w:uiPriority w:val="0"/>
    <w:rPr>
      <w:rFonts w:hint="eastAsia" w:ascii="宋体" w:hAnsi="宋体" w:eastAsia="宋体" w:cs="宋体"/>
      <w:color w:val="000000"/>
      <w:sz w:val="22"/>
      <w:szCs w:val="22"/>
      <w:u w:val="none"/>
    </w:rPr>
  </w:style>
  <w:style w:type="character" w:customStyle="1" w:styleId="116">
    <w:name w:val="font61"/>
    <w:basedOn w:val="4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8006</Words>
  <Characters>8397</Characters>
  <Lines>1</Lines>
  <Paragraphs>1</Paragraphs>
  <TotalTime>7</TotalTime>
  <ScaleCrop>false</ScaleCrop>
  <LinksUpToDate>false</LinksUpToDate>
  <CharactersWithSpaces>8730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2023-10-15T09:07:00Z</dcterms:created>
  <dc:creator>Administrator</dc:creator>
  <cp:lastModifiedBy>Administrator</cp:lastModifiedBy>
  <cp:lastPrinted>2023-05-17T10:53:00Z</cp:lastPrinted>
  <dcterms:modified xsi:type="dcterms:W3CDTF">2025-10-24T08:44:36Z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5DFD998B34F34E78A82C4C2D2D7BB64D_13</vt:lpwstr>
  </property>
  <property fmtid="{D5CDD505-2E9C-101B-9397-08002B2CF9AE}" pid="4" name="KSOTemplateDocerSaveRecord">
    <vt:lpwstr>eyJoZGlkIjoiZDgyMmM3MGIxNGY3N2U4NGRjNTFkYzVlN2VkYTVkMzEiLCJ1c2VySWQiOiIxOTI5NDk1MDIifQ==</vt:lpwstr>
  </property>
</Properties>
</file>