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C92E8">
      <w:pPr>
        <w:pStyle w:val="55"/>
        <w:numPr>
          <w:ilvl w:val="0"/>
          <w:numId w:val="0"/>
        </w:numPr>
        <w:rPr>
          <w:rFonts w:ascii="黑体" w:hAnsi="黑体" w:eastAsia="黑体"/>
          <w:b w:val="0"/>
          <w:sz w:val="21"/>
          <w:szCs w:val="21"/>
        </w:rPr>
      </w:pPr>
    </w:p>
    <w:p w14:paraId="3D92A714">
      <w:pPr>
        <w:pStyle w:val="55"/>
        <w:numPr>
          <w:ilvl w:val="0"/>
          <w:numId w:val="0"/>
        </w:numPr>
        <w:rPr>
          <w:rFonts w:ascii="黑体" w:hAnsi="黑体" w:eastAsia="黑体"/>
          <w:b w:val="0"/>
          <w:sz w:val="21"/>
          <w:szCs w:val="21"/>
        </w:rPr>
      </w:pPr>
    </w:p>
    <w:p w14:paraId="6EF480F5">
      <w:pPr>
        <w:pStyle w:val="55"/>
        <w:numPr>
          <w:ilvl w:val="0"/>
          <w:numId w:val="0"/>
        </w:numPr>
        <w:rPr>
          <w:rFonts w:ascii="黑体" w:hAnsi="黑体" w:eastAsia="黑体"/>
          <w:b w:val="0"/>
          <w:sz w:val="21"/>
          <w:szCs w:val="21"/>
        </w:rPr>
      </w:pPr>
    </w:p>
    <w:p w14:paraId="6A386A98">
      <w:pPr>
        <w:pStyle w:val="55"/>
        <w:numPr>
          <w:ilvl w:val="0"/>
          <w:numId w:val="0"/>
        </w:numPr>
        <w:rPr>
          <w:rFonts w:ascii="黑体" w:hAnsi="黑体" w:eastAsia="黑体"/>
          <w:b w:val="0"/>
          <w:sz w:val="21"/>
          <w:szCs w:val="21"/>
        </w:rPr>
      </w:pPr>
    </w:p>
    <w:p w14:paraId="6B7165FC">
      <w:pPr>
        <w:pStyle w:val="55"/>
        <w:numPr>
          <w:ilvl w:val="0"/>
          <w:numId w:val="0"/>
        </w:numPr>
        <w:rPr>
          <w:rFonts w:ascii="黑体" w:hAnsi="黑体" w:eastAsia="黑体"/>
          <w:b w:val="0"/>
          <w:sz w:val="21"/>
          <w:szCs w:val="21"/>
        </w:rPr>
      </w:pPr>
    </w:p>
    <w:p w14:paraId="6BC6E2C0">
      <w:pPr>
        <w:pStyle w:val="55"/>
        <w:numPr>
          <w:ilvl w:val="0"/>
          <w:numId w:val="0"/>
        </w:numPr>
        <w:rPr>
          <w:rFonts w:ascii="黑体" w:hAnsi="黑体" w:eastAsia="黑体"/>
          <w:b w:val="0"/>
          <w:sz w:val="21"/>
          <w:szCs w:val="21"/>
        </w:rPr>
      </w:pPr>
    </w:p>
    <w:p w14:paraId="01F353A5">
      <w:pPr>
        <w:pStyle w:val="55"/>
        <w:numPr>
          <w:ilvl w:val="0"/>
          <w:numId w:val="0"/>
        </w:numPr>
        <w:jc w:val="center"/>
        <w:rPr>
          <w:rFonts w:ascii="黑体" w:hAnsi="黑体" w:eastAsia="黑体"/>
          <w:b w:val="0"/>
          <w:sz w:val="44"/>
          <w:szCs w:val="44"/>
        </w:rPr>
      </w:pPr>
      <w:r>
        <w:rPr>
          <w:rFonts w:hint="eastAsia" w:ascii="黑体" w:hAnsi="黑体" w:eastAsia="黑体"/>
          <w:b w:val="0"/>
          <w:sz w:val="44"/>
          <w:szCs w:val="44"/>
          <w:lang w:val="en-US" w:eastAsia="zh-CN"/>
        </w:rPr>
        <w:t>工程建设标准</w:t>
      </w:r>
      <w:r>
        <w:rPr>
          <w:rFonts w:hint="eastAsia" w:ascii="黑体" w:hAnsi="黑体" w:eastAsia="黑体"/>
          <w:b w:val="0"/>
          <w:sz w:val="44"/>
          <w:szCs w:val="44"/>
        </w:rPr>
        <w:t>(结构</w:t>
      </w:r>
      <w:r>
        <w:rPr>
          <w:rFonts w:hint="eastAsia" w:ascii="黑体" w:hAnsi="黑体" w:eastAsia="黑体"/>
          <w:b w:val="0"/>
          <w:sz w:val="44"/>
          <w:szCs w:val="44"/>
          <w:lang w:val="en-US" w:eastAsia="zh-CN"/>
        </w:rPr>
        <w:t>专业</w:t>
      </w:r>
      <w:r>
        <w:rPr>
          <w:rFonts w:hint="eastAsia" w:ascii="黑体" w:hAnsi="黑体" w:eastAsia="黑体"/>
          <w:b w:val="0"/>
          <w:sz w:val="44"/>
          <w:szCs w:val="44"/>
        </w:rPr>
        <w:t>)</w:t>
      </w:r>
    </w:p>
    <w:p w14:paraId="41ABC309">
      <w:pPr>
        <w:pStyle w:val="55"/>
        <w:numPr>
          <w:ilvl w:val="0"/>
          <w:numId w:val="0"/>
        </w:numPr>
        <w:rPr>
          <w:rFonts w:ascii="黑体" w:hAnsi="黑体" w:eastAsia="黑体"/>
          <w:b w:val="0"/>
          <w:sz w:val="21"/>
          <w:szCs w:val="21"/>
        </w:rPr>
      </w:pPr>
    </w:p>
    <w:p w14:paraId="68559798">
      <w:pPr>
        <w:pStyle w:val="55"/>
        <w:numPr>
          <w:ilvl w:val="0"/>
          <w:numId w:val="0"/>
        </w:numPr>
        <w:rPr>
          <w:rFonts w:ascii="黑体" w:hAnsi="黑体" w:eastAsia="黑体"/>
          <w:b w:val="0"/>
          <w:sz w:val="21"/>
          <w:szCs w:val="21"/>
        </w:rPr>
      </w:pPr>
    </w:p>
    <w:p w14:paraId="30EED543">
      <w:pPr>
        <w:pStyle w:val="55"/>
        <w:numPr>
          <w:ilvl w:val="0"/>
          <w:numId w:val="0"/>
        </w:numPr>
        <w:rPr>
          <w:rFonts w:ascii="黑体" w:hAnsi="黑体" w:eastAsia="黑体"/>
          <w:b w:val="0"/>
          <w:sz w:val="21"/>
          <w:szCs w:val="21"/>
        </w:rPr>
      </w:pPr>
    </w:p>
    <w:p w14:paraId="18D61E84">
      <w:pPr>
        <w:pStyle w:val="55"/>
        <w:numPr>
          <w:ilvl w:val="0"/>
          <w:numId w:val="0"/>
        </w:numPr>
        <w:rPr>
          <w:rFonts w:ascii="黑体" w:hAnsi="黑体" w:eastAsia="黑体"/>
          <w:b w:val="0"/>
          <w:sz w:val="21"/>
          <w:szCs w:val="21"/>
        </w:rPr>
      </w:pPr>
    </w:p>
    <w:p w14:paraId="1F40FAF7">
      <w:pPr>
        <w:pStyle w:val="55"/>
        <w:numPr>
          <w:ilvl w:val="0"/>
          <w:numId w:val="0"/>
        </w:numPr>
        <w:rPr>
          <w:rFonts w:ascii="黑体" w:hAnsi="黑体" w:eastAsia="黑体"/>
          <w:b w:val="0"/>
          <w:sz w:val="21"/>
          <w:szCs w:val="21"/>
        </w:rPr>
      </w:pPr>
    </w:p>
    <w:p w14:paraId="1F051314">
      <w:pPr>
        <w:pStyle w:val="55"/>
        <w:numPr>
          <w:ilvl w:val="0"/>
          <w:numId w:val="0"/>
        </w:numPr>
        <w:rPr>
          <w:rFonts w:ascii="黑体" w:hAnsi="黑体" w:eastAsia="黑体"/>
          <w:b w:val="0"/>
          <w:sz w:val="21"/>
          <w:szCs w:val="21"/>
        </w:rPr>
      </w:pPr>
    </w:p>
    <w:p w14:paraId="693A45CC">
      <w:pPr>
        <w:pStyle w:val="55"/>
        <w:numPr>
          <w:ilvl w:val="0"/>
          <w:numId w:val="0"/>
        </w:numPr>
        <w:rPr>
          <w:rFonts w:ascii="黑体" w:hAnsi="黑体" w:eastAsia="黑体"/>
          <w:b w:val="0"/>
          <w:sz w:val="52"/>
          <w:szCs w:val="21"/>
        </w:rPr>
      </w:pPr>
    </w:p>
    <w:p w14:paraId="2B1A5659">
      <w:pPr>
        <w:pStyle w:val="55"/>
        <w:numPr>
          <w:ilvl w:val="0"/>
          <w:numId w:val="0"/>
        </w:numPr>
        <w:rPr>
          <w:rFonts w:ascii="黑体" w:hAnsi="黑体" w:eastAsia="黑体"/>
          <w:b w:val="0"/>
          <w:sz w:val="21"/>
          <w:szCs w:val="21"/>
        </w:rPr>
      </w:pPr>
    </w:p>
    <w:p w14:paraId="3C1B1BA7">
      <w:pPr>
        <w:pStyle w:val="55"/>
        <w:numPr>
          <w:ilvl w:val="0"/>
          <w:numId w:val="0"/>
        </w:numPr>
        <w:rPr>
          <w:rFonts w:ascii="黑体" w:hAnsi="黑体" w:eastAsia="黑体"/>
          <w:b w:val="0"/>
          <w:sz w:val="21"/>
          <w:szCs w:val="21"/>
        </w:rPr>
      </w:pPr>
    </w:p>
    <w:p w14:paraId="0FF9E13D">
      <w:pPr>
        <w:pStyle w:val="55"/>
        <w:numPr>
          <w:ilvl w:val="0"/>
          <w:numId w:val="0"/>
        </w:numPr>
        <w:rPr>
          <w:rFonts w:ascii="黑体" w:hAnsi="黑体" w:eastAsia="黑体"/>
          <w:b w:val="0"/>
          <w:sz w:val="21"/>
          <w:szCs w:val="21"/>
        </w:rPr>
      </w:pPr>
    </w:p>
    <w:p w14:paraId="6DC3339D">
      <w:pPr>
        <w:pStyle w:val="55"/>
        <w:numPr>
          <w:ilvl w:val="0"/>
          <w:numId w:val="0"/>
        </w:numPr>
        <w:rPr>
          <w:rFonts w:ascii="黑体" w:hAnsi="黑体" w:eastAsia="黑体"/>
          <w:b w:val="0"/>
          <w:sz w:val="21"/>
          <w:szCs w:val="21"/>
        </w:rPr>
      </w:pPr>
    </w:p>
    <w:p w14:paraId="034C9845">
      <w:pPr>
        <w:pStyle w:val="55"/>
        <w:numPr>
          <w:ilvl w:val="0"/>
          <w:numId w:val="0"/>
        </w:numPr>
        <w:rPr>
          <w:rFonts w:ascii="黑体" w:hAnsi="黑体" w:eastAsia="黑体"/>
          <w:b w:val="0"/>
          <w:sz w:val="21"/>
          <w:szCs w:val="21"/>
        </w:rPr>
      </w:pPr>
    </w:p>
    <w:p w14:paraId="72A2BFC9">
      <w:pPr>
        <w:pStyle w:val="55"/>
        <w:numPr>
          <w:ilvl w:val="0"/>
          <w:numId w:val="0"/>
        </w:numPr>
        <w:rPr>
          <w:rFonts w:ascii="黑体" w:hAnsi="黑体" w:eastAsia="黑体"/>
          <w:b w:val="0"/>
          <w:sz w:val="21"/>
          <w:szCs w:val="21"/>
        </w:rPr>
      </w:pPr>
    </w:p>
    <w:p w14:paraId="58E8E6FC">
      <w:pPr>
        <w:pStyle w:val="55"/>
        <w:numPr>
          <w:ilvl w:val="0"/>
          <w:numId w:val="0"/>
        </w:numPr>
        <w:rPr>
          <w:rFonts w:ascii="黑体" w:hAnsi="黑体" w:eastAsia="黑体"/>
          <w:b w:val="0"/>
          <w:sz w:val="21"/>
          <w:szCs w:val="21"/>
        </w:rPr>
      </w:pPr>
    </w:p>
    <w:p w14:paraId="03B8ACC7">
      <w:pPr>
        <w:pStyle w:val="55"/>
        <w:numPr>
          <w:ilvl w:val="0"/>
          <w:numId w:val="0"/>
        </w:numPr>
        <w:rPr>
          <w:rFonts w:ascii="黑体" w:hAnsi="黑体" w:eastAsia="黑体"/>
          <w:b w:val="0"/>
          <w:sz w:val="21"/>
          <w:szCs w:val="21"/>
        </w:rPr>
      </w:pPr>
    </w:p>
    <w:p w14:paraId="5AF29C0F">
      <w:pPr>
        <w:pStyle w:val="55"/>
        <w:numPr>
          <w:ilvl w:val="0"/>
          <w:numId w:val="0"/>
        </w:numPr>
        <w:rPr>
          <w:rFonts w:ascii="黑体" w:hAnsi="黑体" w:eastAsia="黑体"/>
          <w:b w:val="0"/>
          <w:sz w:val="21"/>
          <w:szCs w:val="21"/>
        </w:rPr>
      </w:pPr>
    </w:p>
    <w:p w14:paraId="4CD22A6D">
      <w:pPr>
        <w:pStyle w:val="55"/>
        <w:numPr>
          <w:ilvl w:val="0"/>
          <w:numId w:val="0"/>
        </w:numPr>
        <w:rPr>
          <w:rFonts w:ascii="黑体" w:hAnsi="黑体" w:eastAsia="黑体"/>
          <w:b w:val="0"/>
          <w:sz w:val="21"/>
          <w:szCs w:val="21"/>
        </w:rPr>
      </w:pPr>
    </w:p>
    <w:p w14:paraId="1919D0A5">
      <w:pPr>
        <w:pStyle w:val="55"/>
        <w:numPr>
          <w:ilvl w:val="0"/>
          <w:numId w:val="0"/>
        </w:numPr>
        <w:rPr>
          <w:rFonts w:ascii="黑体" w:hAnsi="黑体" w:eastAsia="黑体"/>
          <w:b w:val="0"/>
          <w:sz w:val="21"/>
          <w:szCs w:val="21"/>
        </w:rPr>
      </w:pPr>
    </w:p>
    <w:p w14:paraId="2A6C31E2">
      <w:pPr>
        <w:pStyle w:val="55"/>
        <w:numPr>
          <w:ilvl w:val="0"/>
          <w:numId w:val="0"/>
        </w:numPr>
        <w:rPr>
          <w:rFonts w:ascii="黑体" w:hAnsi="黑体" w:eastAsia="黑体"/>
          <w:b w:val="0"/>
          <w:sz w:val="21"/>
          <w:szCs w:val="21"/>
        </w:rPr>
      </w:pPr>
    </w:p>
    <w:p w14:paraId="58E6B963">
      <w:pPr>
        <w:pStyle w:val="55"/>
        <w:numPr>
          <w:ilvl w:val="0"/>
          <w:numId w:val="0"/>
        </w:numPr>
        <w:rPr>
          <w:rFonts w:ascii="黑体" w:hAnsi="黑体" w:eastAsia="黑体"/>
          <w:b w:val="0"/>
          <w:sz w:val="21"/>
          <w:szCs w:val="21"/>
        </w:rPr>
      </w:pPr>
    </w:p>
    <w:p w14:paraId="19C98C49">
      <w:pPr>
        <w:pStyle w:val="55"/>
        <w:numPr>
          <w:ilvl w:val="0"/>
          <w:numId w:val="0"/>
        </w:numPr>
        <w:rPr>
          <w:rFonts w:ascii="黑体" w:hAnsi="黑体" w:eastAsia="黑体"/>
          <w:b w:val="0"/>
          <w:sz w:val="21"/>
          <w:szCs w:val="21"/>
        </w:rPr>
      </w:pPr>
    </w:p>
    <w:p w14:paraId="0C28DC1E">
      <w:pPr>
        <w:pStyle w:val="55"/>
        <w:numPr>
          <w:ilvl w:val="0"/>
          <w:numId w:val="0"/>
        </w:numPr>
        <w:rPr>
          <w:rFonts w:ascii="黑体" w:hAnsi="黑体" w:eastAsia="黑体"/>
          <w:b w:val="0"/>
          <w:sz w:val="21"/>
          <w:szCs w:val="21"/>
        </w:rPr>
      </w:pPr>
    </w:p>
    <w:p w14:paraId="1E9FC35A">
      <w:pPr>
        <w:rPr>
          <w:rFonts w:ascii="黑体" w:hAnsi="黑体" w:eastAsia="黑体"/>
          <w:b w:val="0"/>
          <w:sz w:val="21"/>
          <w:szCs w:val="21"/>
        </w:rPr>
      </w:pPr>
      <w:r>
        <w:rPr>
          <w:rFonts w:ascii="黑体" w:hAnsi="黑体" w:eastAsia="黑体"/>
          <w:b w:val="0"/>
          <w:sz w:val="21"/>
          <w:szCs w:val="21"/>
        </w:rPr>
        <w:br w:type="page"/>
      </w:r>
    </w:p>
    <w:p w14:paraId="23609635">
      <w:pPr>
        <w:pStyle w:val="55"/>
        <w:numPr>
          <w:ilvl w:val="0"/>
          <w:numId w:val="0"/>
        </w:numPr>
        <w:rPr>
          <w:rFonts w:ascii="黑体" w:hAnsi="黑体" w:eastAsia="黑体"/>
          <w:b w:val="0"/>
          <w:sz w:val="21"/>
          <w:szCs w:val="21"/>
        </w:rPr>
      </w:pPr>
    </w:p>
    <w:sdt>
      <w:sdtPr>
        <w:rPr>
          <w:rFonts w:hint="eastAsia" w:ascii="黑体" w:hAnsi="黑体" w:eastAsia="黑体"/>
          <w:b w:val="0"/>
          <w:bCs w:val="0"/>
          <w:color w:val="auto"/>
          <w:kern w:val="2"/>
          <w:sz w:val="21"/>
          <w:szCs w:val="21"/>
          <w:lang w:val="zh-CN"/>
        </w:rPr>
        <w:id w:val="-676645955"/>
        <w:docPartObj>
          <w:docPartGallery w:val="Table of Contents"/>
          <w:docPartUnique/>
        </w:docPartObj>
      </w:sdtPr>
      <w:sdtEndPr>
        <w:rPr>
          <w:rFonts w:hint="eastAsia" w:ascii="黑体" w:hAnsi="黑体" w:eastAsia="黑体"/>
          <w:b w:val="0"/>
          <w:bCs w:val="0"/>
          <w:color w:val="auto"/>
          <w:kern w:val="2"/>
          <w:sz w:val="21"/>
          <w:szCs w:val="21"/>
          <w:lang w:val="zh-CN"/>
        </w:rPr>
      </w:sdtEndPr>
      <w:sdtContent>
        <w:p w14:paraId="626634F0">
          <w:pPr>
            <w:pStyle w:val="54"/>
            <w:spacing w:line="240" w:lineRule="auto"/>
            <w:jc w:val="center"/>
            <w:rPr>
              <w:rFonts w:ascii="黑体" w:hAnsi="黑体" w:eastAsia="黑体"/>
              <w:b w:val="0"/>
              <w:bCs w:val="0"/>
              <w:color w:val="auto"/>
              <w:kern w:val="2"/>
              <w:sz w:val="21"/>
              <w:szCs w:val="21"/>
              <w:lang w:val="zh-CN"/>
            </w:rPr>
          </w:pPr>
          <w:r>
            <w:rPr>
              <w:rFonts w:hint="eastAsia" w:ascii="黑体" w:hAnsi="黑体" w:eastAsia="黑体"/>
              <w:color w:val="auto"/>
              <w:sz w:val="24"/>
              <w:szCs w:val="21"/>
              <w:lang w:val="zh-CN"/>
            </w:rPr>
            <w:t>目录</w:t>
          </w:r>
        </w:p>
        <w:p w14:paraId="2023B32E">
          <w:pPr>
            <w:pStyle w:val="26"/>
            <w:tabs>
              <w:tab w:val="left" w:pos="1260"/>
              <w:tab w:val="right" w:leader="dot" w:pos="9628"/>
            </w:tabs>
            <w:rPr>
              <w:rFonts w:asciiTheme="minorHAnsi" w:hAnsiTheme="minorHAnsi" w:eastAsiaTheme="minorEastAsia" w:cstheme="minorBidi"/>
              <w:kern w:val="2"/>
              <w:sz w:val="21"/>
            </w:rPr>
          </w:pPr>
          <w:r>
            <w:rPr>
              <w:rFonts w:hint="eastAsia" w:ascii="黑体" w:hAnsi="黑体" w:eastAsia="黑体"/>
              <w:sz w:val="21"/>
              <w:szCs w:val="21"/>
            </w:rPr>
            <w:fldChar w:fldCharType="begin"/>
          </w:r>
          <w:r>
            <w:rPr>
              <w:rFonts w:hint="eastAsia" w:ascii="黑体" w:hAnsi="黑体" w:eastAsia="黑体"/>
              <w:sz w:val="21"/>
              <w:szCs w:val="21"/>
            </w:rPr>
            <w:instrText xml:space="preserve"> TOC \o "1-3" \h \z \u </w:instrText>
          </w:r>
          <w:r>
            <w:rPr>
              <w:rFonts w:hint="eastAsia" w:ascii="黑体" w:hAnsi="黑体" w:eastAsia="黑体"/>
              <w:sz w:val="21"/>
              <w:szCs w:val="21"/>
            </w:rPr>
            <w:fldChar w:fldCharType="separate"/>
          </w:r>
          <w:r>
            <w:fldChar w:fldCharType="begin"/>
          </w:r>
          <w:r>
            <w:instrText xml:space="preserve"> HYPERLINK \l "_Toc136956801" </w:instrText>
          </w:r>
          <w:r>
            <w:fldChar w:fldCharType="separate"/>
          </w:r>
          <w:r>
            <w:rPr>
              <w:rStyle w:val="43"/>
            </w:rPr>
            <w:t>第1篇</w:t>
          </w:r>
          <w:r>
            <w:rPr>
              <w:rFonts w:asciiTheme="minorHAnsi" w:hAnsiTheme="minorHAnsi" w:eastAsiaTheme="minorEastAsia" w:cstheme="minorBidi"/>
              <w:kern w:val="2"/>
              <w:sz w:val="21"/>
            </w:rPr>
            <w:tab/>
          </w:r>
          <w:r>
            <w:rPr>
              <w:rStyle w:val="43"/>
            </w:rPr>
            <w:t>工料规范总则</w:t>
          </w:r>
          <w:r>
            <w:tab/>
          </w:r>
          <w:r>
            <w:fldChar w:fldCharType="begin"/>
          </w:r>
          <w:r>
            <w:instrText xml:space="preserve"> PAGEREF _Toc136956801 \h </w:instrText>
          </w:r>
          <w:r>
            <w:fldChar w:fldCharType="separate"/>
          </w:r>
          <w:r>
            <w:t>1</w:t>
          </w:r>
          <w:r>
            <w:fldChar w:fldCharType="end"/>
          </w:r>
          <w:r>
            <w:fldChar w:fldCharType="end"/>
          </w:r>
        </w:p>
        <w:p w14:paraId="288B2C34">
          <w:pPr>
            <w:pStyle w:val="30"/>
            <w:rPr>
              <w:rFonts w:asciiTheme="minorHAnsi" w:hAnsiTheme="minorHAnsi" w:eastAsiaTheme="minorEastAsia" w:cstheme="minorBidi"/>
              <w:kern w:val="2"/>
              <w:sz w:val="21"/>
            </w:rPr>
          </w:pPr>
          <w:r>
            <w:fldChar w:fldCharType="begin"/>
          </w:r>
          <w:r>
            <w:instrText xml:space="preserve"> HYPERLINK \l "_Toc136956802" </w:instrText>
          </w:r>
          <w:r>
            <w:fldChar w:fldCharType="separate"/>
          </w:r>
          <w:r>
            <w:rPr>
              <w:rStyle w:val="43"/>
            </w:rPr>
            <w:t>1.1</w:t>
          </w:r>
          <w:r>
            <w:rPr>
              <w:rFonts w:asciiTheme="minorHAnsi" w:hAnsiTheme="minorHAnsi" w:eastAsiaTheme="minorEastAsia" w:cstheme="minorBidi"/>
              <w:kern w:val="2"/>
              <w:sz w:val="21"/>
            </w:rPr>
            <w:tab/>
          </w:r>
          <w:r>
            <w:rPr>
              <w:rStyle w:val="43"/>
            </w:rPr>
            <w:t>目的</w:t>
          </w:r>
          <w:r>
            <w:tab/>
          </w:r>
          <w:r>
            <w:fldChar w:fldCharType="begin"/>
          </w:r>
          <w:r>
            <w:instrText xml:space="preserve"> PAGEREF _Toc136956802 \h </w:instrText>
          </w:r>
          <w:r>
            <w:fldChar w:fldCharType="separate"/>
          </w:r>
          <w:r>
            <w:t>1</w:t>
          </w:r>
          <w:r>
            <w:fldChar w:fldCharType="end"/>
          </w:r>
          <w:r>
            <w:fldChar w:fldCharType="end"/>
          </w:r>
        </w:p>
        <w:p w14:paraId="2FB39854">
          <w:pPr>
            <w:pStyle w:val="30"/>
            <w:rPr>
              <w:rFonts w:asciiTheme="minorHAnsi" w:hAnsiTheme="minorHAnsi" w:eastAsiaTheme="minorEastAsia" w:cstheme="minorBidi"/>
              <w:kern w:val="2"/>
              <w:sz w:val="21"/>
            </w:rPr>
          </w:pPr>
          <w:r>
            <w:fldChar w:fldCharType="begin"/>
          </w:r>
          <w:r>
            <w:instrText xml:space="preserve"> HYPERLINK \l "_Toc136956803" </w:instrText>
          </w:r>
          <w:r>
            <w:fldChar w:fldCharType="separate"/>
          </w:r>
          <w:r>
            <w:rPr>
              <w:rStyle w:val="43"/>
            </w:rPr>
            <w:t>1.2</w:t>
          </w:r>
          <w:r>
            <w:rPr>
              <w:rFonts w:asciiTheme="minorHAnsi" w:hAnsiTheme="minorHAnsi" w:eastAsiaTheme="minorEastAsia" w:cstheme="minorBidi"/>
              <w:kern w:val="2"/>
              <w:sz w:val="21"/>
            </w:rPr>
            <w:tab/>
          </w:r>
          <w:r>
            <w:rPr>
              <w:rStyle w:val="43"/>
            </w:rPr>
            <w:t>适用范围</w:t>
          </w:r>
          <w:r>
            <w:tab/>
          </w:r>
          <w:r>
            <w:fldChar w:fldCharType="begin"/>
          </w:r>
          <w:r>
            <w:instrText xml:space="preserve"> PAGEREF _Toc136956803 \h </w:instrText>
          </w:r>
          <w:r>
            <w:fldChar w:fldCharType="separate"/>
          </w:r>
          <w:r>
            <w:t>1</w:t>
          </w:r>
          <w:r>
            <w:fldChar w:fldCharType="end"/>
          </w:r>
          <w:r>
            <w:fldChar w:fldCharType="end"/>
          </w:r>
        </w:p>
        <w:p w14:paraId="235D1613">
          <w:pPr>
            <w:pStyle w:val="30"/>
            <w:rPr>
              <w:rFonts w:asciiTheme="minorHAnsi" w:hAnsiTheme="minorHAnsi" w:eastAsiaTheme="minorEastAsia" w:cstheme="minorBidi"/>
              <w:kern w:val="2"/>
              <w:sz w:val="21"/>
            </w:rPr>
          </w:pPr>
          <w:r>
            <w:fldChar w:fldCharType="begin"/>
          </w:r>
          <w:r>
            <w:instrText xml:space="preserve"> HYPERLINK \l "_Toc136956804" </w:instrText>
          </w:r>
          <w:r>
            <w:fldChar w:fldCharType="separate"/>
          </w:r>
          <w:r>
            <w:rPr>
              <w:rStyle w:val="43"/>
            </w:rPr>
            <w:t>1.3</w:t>
          </w:r>
          <w:r>
            <w:rPr>
              <w:rFonts w:asciiTheme="minorHAnsi" w:hAnsiTheme="minorHAnsi" w:eastAsiaTheme="minorEastAsia" w:cstheme="minorBidi"/>
              <w:kern w:val="2"/>
              <w:sz w:val="21"/>
            </w:rPr>
            <w:tab/>
          </w:r>
          <w:r>
            <w:rPr>
              <w:rStyle w:val="43"/>
            </w:rPr>
            <w:t>应用导则</w:t>
          </w:r>
          <w:r>
            <w:tab/>
          </w:r>
          <w:r>
            <w:fldChar w:fldCharType="begin"/>
          </w:r>
          <w:r>
            <w:instrText xml:space="preserve"> PAGEREF _Toc136956804 \h </w:instrText>
          </w:r>
          <w:r>
            <w:fldChar w:fldCharType="separate"/>
          </w:r>
          <w:r>
            <w:t>1</w:t>
          </w:r>
          <w:r>
            <w:fldChar w:fldCharType="end"/>
          </w:r>
          <w:r>
            <w:fldChar w:fldCharType="end"/>
          </w:r>
        </w:p>
        <w:p w14:paraId="23272E8E">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"_Toc136956805" </w:instrText>
          </w:r>
          <w:r>
            <w:fldChar w:fldCharType="separate"/>
          </w:r>
          <w:r>
            <w:rPr>
              <w:rStyle w:val="43"/>
            </w:rPr>
            <w:t>第2篇</w:t>
          </w:r>
          <w:r>
            <w:rPr>
              <w:rFonts w:asciiTheme="minorHAnsi" w:hAnsiTheme="minorHAnsi" w:eastAsiaTheme="minorEastAsia" w:cstheme="minorBidi"/>
              <w:kern w:val="2"/>
              <w:sz w:val="21"/>
            </w:rPr>
            <w:tab/>
          </w:r>
          <w:r>
            <w:rPr>
              <w:rStyle w:val="43"/>
            </w:rPr>
            <w:t>土方工程技术要求</w:t>
          </w:r>
          <w:r>
            <w:tab/>
          </w:r>
          <w:r>
            <w:fldChar w:fldCharType="begin"/>
          </w:r>
          <w:r>
            <w:instrText xml:space="preserve"> PAGEREF _Toc136956805 \h </w:instrText>
          </w:r>
          <w:r>
            <w:fldChar w:fldCharType="separate"/>
          </w:r>
          <w:r>
            <w:t>2</w:t>
          </w:r>
          <w:r>
            <w:fldChar w:fldCharType="end"/>
          </w:r>
          <w:r>
            <w:fldChar w:fldCharType="end"/>
          </w:r>
        </w:p>
        <w:p w14:paraId="4334890E">
          <w:pPr>
            <w:pStyle w:val="30"/>
            <w:rPr>
              <w:rFonts w:asciiTheme="minorHAnsi" w:hAnsiTheme="minorHAnsi" w:eastAsiaTheme="minorEastAsia" w:cstheme="minorBidi"/>
              <w:kern w:val="2"/>
              <w:sz w:val="21"/>
            </w:rPr>
          </w:pPr>
          <w:r>
            <w:fldChar w:fldCharType="begin"/>
          </w:r>
          <w:r>
            <w:instrText xml:space="preserve"> HYPERLINK \l "_Toc136956806" </w:instrText>
          </w:r>
          <w:r>
            <w:fldChar w:fldCharType="separate"/>
          </w:r>
          <w:r>
            <w:rPr>
              <w:rStyle w:val="43"/>
            </w:rPr>
            <w:t>2.1</w:t>
          </w:r>
          <w:r>
            <w:rPr>
              <w:rFonts w:asciiTheme="minorHAnsi" w:hAnsiTheme="minorHAnsi" w:eastAsiaTheme="minorEastAsia" w:cstheme="minorBidi"/>
              <w:kern w:val="2"/>
              <w:sz w:val="21"/>
            </w:rPr>
            <w:tab/>
          </w:r>
          <w:r>
            <w:rPr>
              <w:rStyle w:val="43"/>
            </w:rPr>
            <w:t>一般挖方工程规则</w:t>
          </w:r>
          <w:r>
            <w:tab/>
          </w:r>
          <w:r>
            <w:fldChar w:fldCharType="begin"/>
          </w:r>
          <w:r>
            <w:instrText xml:space="preserve"> PAGEREF _Toc136956806 \h </w:instrText>
          </w:r>
          <w:r>
            <w:fldChar w:fldCharType="separate"/>
          </w:r>
          <w:r>
            <w:t>2</w:t>
          </w:r>
          <w:r>
            <w:fldChar w:fldCharType="end"/>
          </w:r>
          <w:r>
            <w:fldChar w:fldCharType="end"/>
          </w:r>
        </w:p>
        <w:p w14:paraId="7260737B">
          <w:pPr>
            <w:pStyle w:val="30"/>
            <w:rPr>
              <w:rFonts w:asciiTheme="minorHAnsi" w:hAnsiTheme="minorHAnsi" w:eastAsiaTheme="minorEastAsia" w:cstheme="minorBidi"/>
              <w:kern w:val="2"/>
              <w:sz w:val="21"/>
            </w:rPr>
          </w:pPr>
          <w:r>
            <w:fldChar w:fldCharType="begin"/>
          </w:r>
          <w:r>
            <w:instrText xml:space="preserve"> HYPERLINK \l "_Toc136956807" </w:instrText>
          </w:r>
          <w:r>
            <w:fldChar w:fldCharType="separate"/>
          </w:r>
          <w:r>
            <w:rPr>
              <w:rStyle w:val="43"/>
            </w:rPr>
            <w:t>2.2</w:t>
          </w:r>
          <w:r>
            <w:rPr>
              <w:rFonts w:asciiTheme="minorHAnsi" w:hAnsiTheme="minorHAnsi" w:eastAsiaTheme="minorEastAsia" w:cstheme="minorBidi"/>
              <w:kern w:val="2"/>
              <w:sz w:val="21"/>
            </w:rPr>
            <w:tab/>
          </w:r>
          <w:r>
            <w:rPr>
              <w:rStyle w:val="43"/>
            </w:rPr>
            <w:t>阻障</w:t>
          </w:r>
          <w:r>
            <w:tab/>
          </w:r>
          <w:r>
            <w:fldChar w:fldCharType="begin"/>
          </w:r>
          <w:r>
            <w:instrText xml:space="preserve"> PAGEREF _Toc136956807 \h </w:instrText>
          </w:r>
          <w:r>
            <w:fldChar w:fldCharType="separate"/>
          </w:r>
          <w:r>
            <w:t>3</w:t>
          </w:r>
          <w:r>
            <w:fldChar w:fldCharType="end"/>
          </w:r>
          <w:r>
            <w:fldChar w:fldCharType="end"/>
          </w:r>
        </w:p>
        <w:p w14:paraId="5DC7E40C">
          <w:pPr>
            <w:pStyle w:val="30"/>
            <w:rPr>
              <w:rFonts w:asciiTheme="minorHAnsi" w:hAnsiTheme="minorHAnsi" w:eastAsiaTheme="minorEastAsia" w:cstheme="minorBidi"/>
              <w:kern w:val="2"/>
              <w:sz w:val="21"/>
            </w:rPr>
          </w:pPr>
          <w:r>
            <w:fldChar w:fldCharType="begin"/>
          </w:r>
          <w:r>
            <w:instrText xml:space="preserve"> HYPERLINK \l "_Toc136956808" </w:instrText>
          </w:r>
          <w:r>
            <w:fldChar w:fldCharType="separate"/>
          </w:r>
          <w:r>
            <w:rPr>
              <w:rStyle w:val="43"/>
            </w:rPr>
            <w:t>2.3</w:t>
          </w:r>
          <w:r>
            <w:rPr>
              <w:rFonts w:asciiTheme="minorHAnsi" w:hAnsiTheme="minorHAnsi" w:eastAsiaTheme="minorEastAsia" w:cstheme="minorBidi"/>
              <w:kern w:val="2"/>
              <w:sz w:val="21"/>
            </w:rPr>
            <w:tab/>
          </w:r>
          <w:r>
            <w:rPr>
              <w:rStyle w:val="43"/>
            </w:rPr>
            <w:t>土方回填工程</w:t>
          </w:r>
          <w:r>
            <w:tab/>
          </w:r>
          <w:r>
            <w:fldChar w:fldCharType="begin"/>
          </w:r>
          <w:r>
            <w:instrText xml:space="preserve"> PAGEREF _Toc136956808 \h </w:instrText>
          </w:r>
          <w:r>
            <w:fldChar w:fldCharType="separate"/>
          </w:r>
          <w:r>
            <w:t>4</w:t>
          </w:r>
          <w:r>
            <w:fldChar w:fldCharType="end"/>
          </w:r>
          <w:r>
            <w:fldChar w:fldCharType="end"/>
          </w:r>
        </w:p>
        <w:p w14:paraId="67E30A8F">
          <w:pPr>
            <w:pStyle w:val="30"/>
            <w:rPr>
              <w:rFonts w:asciiTheme="minorHAnsi" w:hAnsiTheme="minorHAnsi" w:eastAsiaTheme="minorEastAsia" w:cstheme="minorBidi"/>
              <w:kern w:val="2"/>
              <w:sz w:val="21"/>
            </w:rPr>
          </w:pPr>
          <w:r>
            <w:fldChar w:fldCharType="begin"/>
          </w:r>
          <w:r>
            <w:instrText xml:space="preserve"> HYPERLINK \l "_Toc136956809" </w:instrText>
          </w:r>
          <w:r>
            <w:fldChar w:fldCharType="separate"/>
          </w:r>
          <w:r>
            <w:rPr>
              <w:rStyle w:val="43"/>
            </w:rPr>
            <w:t>2.4</w:t>
          </w:r>
          <w:r>
            <w:rPr>
              <w:rFonts w:asciiTheme="minorHAnsi" w:hAnsiTheme="minorHAnsi" w:eastAsiaTheme="minorEastAsia" w:cstheme="minorBidi"/>
              <w:kern w:val="2"/>
              <w:sz w:val="21"/>
            </w:rPr>
            <w:tab/>
          </w:r>
          <w:r>
            <w:rPr>
              <w:rStyle w:val="43"/>
            </w:rPr>
            <w:t>填充工程</w:t>
          </w:r>
          <w:r>
            <w:tab/>
          </w:r>
          <w:r>
            <w:fldChar w:fldCharType="begin"/>
          </w:r>
          <w:r>
            <w:instrText xml:space="preserve"> PAGEREF _Toc136956809 \h </w:instrText>
          </w:r>
          <w:r>
            <w:fldChar w:fldCharType="separate"/>
          </w:r>
          <w:r>
            <w:t>8</w:t>
          </w:r>
          <w:r>
            <w:fldChar w:fldCharType="end"/>
          </w:r>
          <w:r>
            <w:fldChar w:fldCharType="end"/>
          </w:r>
        </w:p>
        <w:p w14:paraId="6653D036">
          <w:pPr>
            <w:pStyle w:val="30"/>
            <w:rPr>
              <w:rFonts w:asciiTheme="minorHAnsi" w:hAnsiTheme="minorHAnsi" w:eastAsiaTheme="minorEastAsia" w:cstheme="minorBidi"/>
              <w:kern w:val="2"/>
              <w:sz w:val="21"/>
            </w:rPr>
          </w:pPr>
          <w:r>
            <w:fldChar w:fldCharType="begin"/>
          </w:r>
          <w:r>
            <w:instrText xml:space="preserve"> HYPERLINK \l "_Toc136956810" </w:instrText>
          </w:r>
          <w:r>
            <w:fldChar w:fldCharType="separate"/>
          </w:r>
          <w:r>
            <w:rPr>
              <w:rStyle w:val="43"/>
            </w:rPr>
            <w:t>2.5</w:t>
          </w:r>
          <w:r>
            <w:rPr>
              <w:rFonts w:asciiTheme="minorHAnsi" w:hAnsiTheme="minorHAnsi" w:eastAsiaTheme="minorEastAsia" w:cstheme="minorBidi"/>
              <w:kern w:val="2"/>
              <w:sz w:val="21"/>
            </w:rPr>
            <w:tab/>
          </w:r>
          <w:r>
            <w:rPr>
              <w:rStyle w:val="43"/>
            </w:rPr>
            <w:t>清理</w:t>
          </w:r>
          <w:r>
            <w:tab/>
          </w:r>
          <w:r>
            <w:fldChar w:fldCharType="begin"/>
          </w:r>
          <w:r>
            <w:instrText xml:space="preserve"> PAGEREF _Toc136956810 \h </w:instrText>
          </w:r>
          <w:r>
            <w:fldChar w:fldCharType="separate"/>
          </w:r>
          <w:r>
            <w:t>8</w:t>
          </w:r>
          <w:r>
            <w:fldChar w:fldCharType="end"/>
          </w:r>
          <w:r>
            <w:fldChar w:fldCharType="end"/>
          </w:r>
        </w:p>
        <w:p w14:paraId="29A01F34">
          <w:pPr>
            <w:pStyle w:val="30"/>
            <w:rPr>
              <w:rFonts w:asciiTheme="minorHAnsi" w:hAnsiTheme="minorHAnsi" w:eastAsiaTheme="minorEastAsia" w:cstheme="minorBidi"/>
              <w:kern w:val="2"/>
              <w:sz w:val="21"/>
            </w:rPr>
          </w:pPr>
          <w:r>
            <w:fldChar w:fldCharType="begin"/>
          </w:r>
          <w:r>
            <w:instrText xml:space="preserve"> HYPERLINK \l "_Toc136956811" </w:instrText>
          </w:r>
          <w:r>
            <w:fldChar w:fldCharType="separate"/>
          </w:r>
          <w:r>
            <w:rPr>
              <w:rStyle w:val="43"/>
            </w:rPr>
            <w:t>2.6</w:t>
          </w:r>
          <w:r>
            <w:rPr>
              <w:rFonts w:asciiTheme="minorHAnsi" w:hAnsiTheme="minorHAnsi" w:eastAsiaTheme="minorEastAsia" w:cstheme="minorBidi"/>
              <w:kern w:val="2"/>
              <w:sz w:val="21"/>
            </w:rPr>
            <w:tab/>
          </w:r>
          <w:r>
            <w:rPr>
              <w:rStyle w:val="43"/>
            </w:rPr>
            <w:t>清除积水</w:t>
          </w:r>
          <w:r>
            <w:tab/>
          </w:r>
          <w:r>
            <w:fldChar w:fldCharType="begin"/>
          </w:r>
          <w:r>
            <w:instrText xml:space="preserve"> PAGEREF _Toc136956811 \h </w:instrText>
          </w:r>
          <w:r>
            <w:fldChar w:fldCharType="separate"/>
          </w:r>
          <w:r>
            <w:t>9</w:t>
          </w:r>
          <w:r>
            <w:fldChar w:fldCharType="end"/>
          </w:r>
          <w:r>
            <w:fldChar w:fldCharType="end"/>
          </w:r>
        </w:p>
        <w:p w14:paraId="5C09F862">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"_Toc136956812" </w:instrText>
          </w:r>
          <w:r>
            <w:fldChar w:fldCharType="separate"/>
          </w:r>
          <w:r>
            <w:rPr>
              <w:rStyle w:val="43"/>
            </w:rPr>
            <w:t>第3篇</w:t>
          </w:r>
          <w:r>
            <w:rPr>
              <w:rFonts w:asciiTheme="minorHAnsi" w:hAnsiTheme="minorHAnsi" w:eastAsiaTheme="minorEastAsia" w:cstheme="minorBidi"/>
              <w:kern w:val="2"/>
              <w:sz w:val="21"/>
            </w:rPr>
            <w:tab/>
          </w:r>
          <w:r>
            <w:rPr>
              <w:rStyle w:val="43"/>
            </w:rPr>
            <w:t>抗拔锚杆技术要求</w:t>
          </w:r>
          <w:r>
            <w:tab/>
          </w:r>
          <w:r>
            <w:fldChar w:fldCharType="begin"/>
          </w:r>
          <w:r>
            <w:instrText xml:space="preserve"> PAGEREF _Toc136956812 \h </w:instrText>
          </w:r>
          <w:r>
            <w:fldChar w:fldCharType="separate"/>
          </w:r>
          <w:r>
            <w:t>10</w:t>
          </w:r>
          <w:r>
            <w:fldChar w:fldCharType="end"/>
          </w:r>
          <w:r>
            <w:fldChar w:fldCharType="end"/>
          </w:r>
        </w:p>
        <w:p w14:paraId="143F01C9">
          <w:pPr>
            <w:pStyle w:val="30"/>
            <w:rPr>
              <w:rFonts w:asciiTheme="minorHAnsi" w:hAnsiTheme="minorHAnsi" w:eastAsiaTheme="minorEastAsia" w:cstheme="minorBidi"/>
              <w:kern w:val="2"/>
              <w:sz w:val="21"/>
            </w:rPr>
          </w:pPr>
          <w:r>
            <w:fldChar w:fldCharType="begin"/>
          </w:r>
          <w:r>
            <w:instrText xml:space="preserve"> HYPERLINK \l "_Toc136956813" </w:instrText>
          </w:r>
          <w:r>
            <w:fldChar w:fldCharType="separate"/>
          </w:r>
          <w:r>
            <w:rPr>
              <w:rStyle w:val="43"/>
            </w:rPr>
            <w:t>3.1</w:t>
          </w:r>
          <w:r>
            <w:rPr>
              <w:rFonts w:asciiTheme="minorHAnsi" w:hAnsiTheme="minorHAnsi" w:eastAsiaTheme="minorEastAsia" w:cstheme="minorBidi"/>
              <w:kern w:val="2"/>
              <w:sz w:val="21"/>
            </w:rPr>
            <w:tab/>
          </w:r>
          <w:r>
            <w:rPr>
              <w:rStyle w:val="43"/>
            </w:rPr>
            <w:t>适用标准及规范</w:t>
          </w:r>
          <w:r>
            <w:tab/>
          </w:r>
          <w:r>
            <w:fldChar w:fldCharType="begin"/>
          </w:r>
          <w:r>
            <w:instrText xml:space="preserve"> PAGEREF _Toc136956813 \h </w:instrText>
          </w:r>
          <w:r>
            <w:fldChar w:fldCharType="separate"/>
          </w:r>
          <w:r>
            <w:t>10</w:t>
          </w:r>
          <w:r>
            <w:fldChar w:fldCharType="end"/>
          </w:r>
          <w:r>
            <w:fldChar w:fldCharType="end"/>
          </w:r>
        </w:p>
        <w:p w14:paraId="4744302D">
          <w:pPr>
            <w:pStyle w:val="30"/>
            <w:rPr>
              <w:rFonts w:asciiTheme="minorHAnsi" w:hAnsiTheme="minorHAnsi" w:eastAsiaTheme="minorEastAsia" w:cstheme="minorBidi"/>
              <w:kern w:val="2"/>
              <w:sz w:val="21"/>
            </w:rPr>
          </w:pPr>
          <w:r>
            <w:fldChar w:fldCharType="begin"/>
          </w:r>
          <w:r>
            <w:instrText xml:space="preserve"> HYPERLINK \l "_Toc136956814" </w:instrText>
          </w:r>
          <w:r>
            <w:fldChar w:fldCharType="separate"/>
          </w:r>
          <w:r>
            <w:rPr>
              <w:rStyle w:val="43"/>
            </w:rPr>
            <w:t>3.2</w:t>
          </w:r>
          <w:r>
            <w:rPr>
              <w:rFonts w:asciiTheme="minorHAnsi" w:hAnsiTheme="minorHAnsi" w:eastAsiaTheme="minorEastAsia" w:cstheme="minorBidi"/>
              <w:kern w:val="2"/>
              <w:sz w:val="21"/>
            </w:rPr>
            <w:tab/>
          </w:r>
          <w:r>
            <w:rPr>
              <w:rStyle w:val="43"/>
            </w:rPr>
            <w:t>总则</w:t>
          </w:r>
          <w:r>
            <w:tab/>
          </w:r>
          <w:r>
            <w:fldChar w:fldCharType="begin"/>
          </w:r>
          <w:r>
            <w:instrText xml:space="preserve"> PAGEREF _Toc136956814 \h </w:instrText>
          </w:r>
          <w:r>
            <w:fldChar w:fldCharType="separate"/>
          </w:r>
          <w:r>
            <w:t>10</w:t>
          </w:r>
          <w:r>
            <w:fldChar w:fldCharType="end"/>
          </w:r>
          <w:r>
            <w:fldChar w:fldCharType="end"/>
          </w:r>
        </w:p>
        <w:p w14:paraId="5B204E7F">
          <w:pPr>
            <w:pStyle w:val="30"/>
            <w:rPr>
              <w:rFonts w:asciiTheme="minorHAnsi" w:hAnsiTheme="minorHAnsi" w:eastAsiaTheme="minorEastAsia" w:cstheme="minorBidi"/>
              <w:kern w:val="2"/>
              <w:sz w:val="21"/>
            </w:rPr>
          </w:pPr>
          <w:r>
            <w:fldChar w:fldCharType="begin"/>
          </w:r>
          <w:r>
            <w:instrText xml:space="preserve"> HYPERLINK \l "_Toc136956815" </w:instrText>
          </w:r>
          <w:r>
            <w:fldChar w:fldCharType="separate"/>
          </w:r>
          <w:r>
            <w:rPr>
              <w:rStyle w:val="43"/>
            </w:rPr>
            <w:t>3.3</w:t>
          </w:r>
          <w:r>
            <w:rPr>
              <w:rFonts w:asciiTheme="minorHAnsi" w:hAnsiTheme="minorHAnsi" w:eastAsiaTheme="minorEastAsia" w:cstheme="minorBidi"/>
              <w:kern w:val="2"/>
              <w:sz w:val="21"/>
            </w:rPr>
            <w:tab/>
          </w:r>
          <w:r>
            <w:rPr>
              <w:rStyle w:val="43"/>
            </w:rPr>
            <w:t>施工准备</w:t>
          </w:r>
          <w:r>
            <w:tab/>
          </w:r>
          <w:r>
            <w:fldChar w:fldCharType="begin"/>
          </w:r>
          <w:r>
            <w:instrText xml:space="preserve"> PAGEREF _Toc136956815 \h </w:instrText>
          </w:r>
          <w:r>
            <w:fldChar w:fldCharType="separate"/>
          </w:r>
          <w:r>
            <w:t>13</w:t>
          </w:r>
          <w:r>
            <w:fldChar w:fldCharType="end"/>
          </w:r>
          <w:r>
            <w:fldChar w:fldCharType="end"/>
          </w:r>
        </w:p>
        <w:p w14:paraId="2AAEFCCB">
          <w:pPr>
            <w:pStyle w:val="30"/>
            <w:rPr>
              <w:rFonts w:asciiTheme="minorHAnsi" w:hAnsiTheme="minorHAnsi" w:eastAsiaTheme="minorEastAsia" w:cstheme="minorBidi"/>
              <w:kern w:val="2"/>
              <w:sz w:val="21"/>
            </w:rPr>
          </w:pPr>
          <w:r>
            <w:fldChar w:fldCharType="begin"/>
          </w:r>
          <w:r>
            <w:instrText xml:space="preserve"> HYPERLINK \l "_Toc136956816" </w:instrText>
          </w:r>
          <w:r>
            <w:fldChar w:fldCharType="separate"/>
          </w:r>
          <w:r>
            <w:rPr>
              <w:rStyle w:val="43"/>
            </w:rPr>
            <w:t>3.4</w:t>
          </w:r>
          <w:r>
            <w:rPr>
              <w:rFonts w:asciiTheme="minorHAnsi" w:hAnsiTheme="minorHAnsi" w:eastAsiaTheme="minorEastAsia" w:cstheme="minorBidi"/>
              <w:kern w:val="2"/>
              <w:sz w:val="21"/>
            </w:rPr>
            <w:tab/>
          </w:r>
          <w:r>
            <w:rPr>
              <w:rStyle w:val="43"/>
            </w:rPr>
            <w:t>抗拔锚杆</w:t>
          </w:r>
          <w:r>
            <w:tab/>
          </w:r>
          <w:r>
            <w:fldChar w:fldCharType="begin"/>
          </w:r>
          <w:r>
            <w:instrText xml:space="preserve"> PAGEREF _Toc136956816 \h </w:instrText>
          </w:r>
          <w:r>
            <w:fldChar w:fldCharType="separate"/>
          </w:r>
          <w:r>
            <w:t>14</w:t>
          </w:r>
          <w:r>
            <w:fldChar w:fldCharType="end"/>
          </w:r>
          <w:r>
            <w:fldChar w:fldCharType="end"/>
          </w:r>
        </w:p>
        <w:p w14:paraId="7A3D4C5C">
          <w:pPr>
            <w:pStyle w:val="30"/>
            <w:rPr>
              <w:rFonts w:asciiTheme="minorHAnsi" w:hAnsiTheme="minorHAnsi" w:eastAsiaTheme="minorEastAsia" w:cstheme="minorBidi"/>
              <w:kern w:val="2"/>
              <w:sz w:val="21"/>
            </w:rPr>
          </w:pPr>
          <w:r>
            <w:fldChar w:fldCharType="begin"/>
          </w:r>
          <w:r>
            <w:instrText xml:space="preserve"> HYPERLINK \l "_Toc136956817" </w:instrText>
          </w:r>
          <w:r>
            <w:fldChar w:fldCharType="separate"/>
          </w:r>
          <w:r>
            <w:rPr>
              <w:rStyle w:val="43"/>
            </w:rPr>
            <w:t>3.5</w:t>
          </w:r>
          <w:r>
            <w:rPr>
              <w:rFonts w:asciiTheme="minorHAnsi" w:hAnsiTheme="minorHAnsi" w:eastAsiaTheme="minorEastAsia" w:cstheme="minorBidi"/>
              <w:kern w:val="2"/>
              <w:sz w:val="21"/>
            </w:rPr>
            <w:tab/>
          </w:r>
          <w:r>
            <w:rPr>
              <w:rStyle w:val="43"/>
            </w:rPr>
            <w:t>沉降</w:t>
          </w:r>
          <w:r>
            <w:rPr>
              <w:rStyle w:val="43"/>
              <w:rFonts w:ascii="TT1925A0o00" w:eastAsia="TT1925A0o00" w:cs="TT1925A0o00"/>
            </w:rPr>
            <w:t>监</w:t>
          </w:r>
          <w:r>
            <w:rPr>
              <w:rStyle w:val="43"/>
            </w:rPr>
            <w:t>测</w:t>
          </w:r>
          <w:r>
            <w:tab/>
          </w:r>
          <w:r>
            <w:fldChar w:fldCharType="begin"/>
          </w:r>
          <w:r>
            <w:instrText xml:space="preserve"> PAGEREF _Toc136956817 \h </w:instrText>
          </w:r>
          <w:r>
            <w:fldChar w:fldCharType="separate"/>
          </w:r>
          <w:r>
            <w:t>14</w:t>
          </w:r>
          <w:r>
            <w:fldChar w:fldCharType="end"/>
          </w:r>
          <w:r>
            <w:fldChar w:fldCharType="end"/>
          </w:r>
        </w:p>
        <w:p w14:paraId="37356068">
          <w:pPr>
            <w:pStyle w:val="30"/>
            <w:rPr>
              <w:rFonts w:asciiTheme="minorHAnsi" w:hAnsiTheme="minorHAnsi" w:eastAsiaTheme="minorEastAsia" w:cstheme="minorBidi"/>
              <w:kern w:val="2"/>
              <w:sz w:val="21"/>
            </w:rPr>
          </w:pPr>
          <w:r>
            <w:fldChar w:fldCharType="begin"/>
          </w:r>
          <w:r>
            <w:instrText xml:space="preserve"> HYPERLINK \l "_Toc136956818" </w:instrText>
          </w:r>
          <w:r>
            <w:fldChar w:fldCharType="separate"/>
          </w:r>
          <w:r>
            <w:rPr>
              <w:rStyle w:val="43"/>
            </w:rPr>
            <w:t>3.6</w:t>
          </w:r>
          <w:r>
            <w:rPr>
              <w:rFonts w:asciiTheme="minorHAnsi" w:hAnsiTheme="minorHAnsi" w:eastAsiaTheme="minorEastAsia" w:cstheme="minorBidi"/>
              <w:kern w:val="2"/>
              <w:sz w:val="21"/>
            </w:rPr>
            <w:tab/>
          </w:r>
          <w:r>
            <w:rPr>
              <w:rStyle w:val="43"/>
            </w:rPr>
            <w:t>降低地下水位</w:t>
          </w:r>
          <w:r>
            <w:tab/>
          </w:r>
          <w:r>
            <w:fldChar w:fldCharType="begin"/>
          </w:r>
          <w:r>
            <w:instrText xml:space="preserve"> PAGEREF _Toc136956818 \h </w:instrText>
          </w:r>
          <w:r>
            <w:fldChar w:fldCharType="separate"/>
          </w:r>
          <w:r>
            <w:t>15</w:t>
          </w:r>
          <w:r>
            <w:fldChar w:fldCharType="end"/>
          </w:r>
          <w:r>
            <w:fldChar w:fldCharType="end"/>
          </w:r>
        </w:p>
        <w:p w14:paraId="5D370478">
          <w:pPr>
            <w:pStyle w:val="30"/>
            <w:rPr>
              <w:rFonts w:asciiTheme="minorHAnsi" w:hAnsiTheme="minorHAnsi" w:eastAsiaTheme="minorEastAsia" w:cstheme="minorBidi"/>
              <w:kern w:val="2"/>
              <w:sz w:val="21"/>
            </w:rPr>
          </w:pPr>
          <w:r>
            <w:fldChar w:fldCharType="begin"/>
          </w:r>
          <w:r>
            <w:instrText xml:space="preserve"> HYPERLINK \l "_Toc136956819" </w:instrText>
          </w:r>
          <w:r>
            <w:fldChar w:fldCharType="separate"/>
          </w:r>
          <w:r>
            <w:rPr>
              <w:rStyle w:val="43"/>
            </w:rPr>
            <w:t>3.7</w:t>
          </w:r>
          <w:r>
            <w:rPr>
              <w:rFonts w:asciiTheme="minorHAnsi" w:hAnsiTheme="minorHAnsi" w:eastAsiaTheme="minorEastAsia" w:cstheme="minorBidi"/>
              <w:kern w:val="2"/>
              <w:sz w:val="21"/>
            </w:rPr>
            <w:tab/>
          </w:r>
          <w:r>
            <w:rPr>
              <w:rStyle w:val="43"/>
            </w:rPr>
            <w:t>施工纪录</w:t>
          </w:r>
          <w:r>
            <w:tab/>
          </w:r>
          <w:r>
            <w:fldChar w:fldCharType="begin"/>
          </w:r>
          <w:r>
            <w:instrText xml:space="preserve"> PAGEREF _Toc136956819 \h </w:instrText>
          </w:r>
          <w:r>
            <w:fldChar w:fldCharType="separate"/>
          </w:r>
          <w:r>
            <w:t>15</w:t>
          </w:r>
          <w:r>
            <w:fldChar w:fldCharType="end"/>
          </w:r>
          <w:r>
            <w:fldChar w:fldCharType="end"/>
          </w:r>
        </w:p>
        <w:p w14:paraId="10BED083">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"_Toc136956820" </w:instrText>
          </w:r>
          <w:r>
            <w:fldChar w:fldCharType="separate"/>
          </w:r>
          <w:r>
            <w:rPr>
              <w:rStyle w:val="43"/>
            </w:rPr>
            <w:t>第4篇</w:t>
          </w:r>
          <w:r>
            <w:rPr>
              <w:rFonts w:asciiTheme="minorHAnsi" w:hAnsiTheme="minorHAnsi" w:eastAsiaTheme="minorEastAsia" w:cstheme="minorBidi"/>
              <w:kern w:val="2"/>
              <w:sz w:val="21"/>
            </w:rPr>
            <w:tab/>
          </w:r>
          <w:r>
            <w:rPr>
              <w:rStyle w:val="43"/>
            </w:rPr>
            <w:t>桩基工程技术要求</w:t>
          </w:r>
          <w:r>
            <w:tab/>
          </w:r>
          <w:r>
            <w:fldChar w:fldCharType="begin"/>
          </w:r>
          <w:r>
            <w:instrText xml:space="preserve"> PAGEREF _Toc136956820 \h </w:instrText>
          </w:r>
          <w:r>
            <w:fldChar w:fldCharType="separate"/>
          </w:r>
          <w:r>
            <w:t>17</w:t>
          </w:r>
          <w:r>
            <w:fldChar w:fldCharType="end"/>
          </w:r>
          <w:r>
            <w:fldChar w:fldCharType="end"/>
          </w:r>
        </w:p>
        <w:p w14:paraId="4073FBC8">
          <w:pPr>
            <w:pStyle w:val="30"/>
            <w:rPr>
              <w:rFonts w:asciiTheme="minorHAnsi" w:hAnsiTheme="minorHAnsi" w:eastAsiaTheme="minorEastAsia" w:cstheme="minorBidi"/>
              <w:kern w:val="2"/>
              <w:sz w:val="21"/>
            </w:rPr>
          </w:pPr>
          <w:r>
            <w:fldChar w:fldCharType="begin"/>
          </w:r>
          <w:r>
            <w:instrText xml:space="preserve"> HYPERLINK \l "_Toc136956821" </w:instrText>
          </w:r>
          <w:r>
            <w:fldChar w:fldCharType="separate"/>
          </w:r>
          <w:r>
            <w:rPr>
              <w:rStyle w:val="43"/>
            </w:rPr>
            <w:t>4.1</w:t>
          </w:r>
          <w:r>
            <w:rPr>
              <w:rFonts w:asciiTheme="minorHAnsi" w:hAnsiTheme="minorHAnsi" w:eastAsiaTheme="minorEastAsia" w:cstheme="minorBidi"/>
              <w:kern w:val="2"/>
              <w:sz w:val="21"/>
            </w:rPr>
            <w:tab/>
          </w:r>
          <w:r>
            <w:rPr>
              <w:rStyle w:val="43"/>
            </w:rPr>
            <w:t>总则</w:t>
          </w:r>
          <w:r>
            <w:tab/>
          </w:r>
          <w:r>
            <w:fldChar w:fldCharType="begin"/>
          </w:r>
          <w:r>
            <w:instrText xml:space="preserve"> PAGEREF _Toc136956821 \h </w:instrText>
          </w:r>
          <w:r>
            <w:fldChar w:fldCharType="separate"/>
          </w:r>
          <w:r>
            <w:t>17</w:t>
          </w:r>
          <w:r>
            <w:fldChar w:fldCharType="end"/>
          </w:r>
          <w:r>
            <w:fldChar w:fldCharType="end"/>
          </w:r>
        </w:p>
        <w:p w14:paraId="54C2FA83">
          <w:pPr>
            <w:pStyle w:val="30"/>
            <w:rPr>
              <w:rFonts w:asciiTheme="minorHAnsi" w:hAnsiTheme="minorHAnsi" w:eastAsiaTheme="minorEastAsia" w:cstheme="minorBidi"/>
              <w:kern w:val="2"/>
              <w:sz w:val="21"/>
            </w:rPr>
          </w:pPr>
          <w:r>
            <w:fldChar w:fldCharType="begin"/>
          </w:r>
          <w:r>
            <w:instrText xml:space="preserve"> HYPERLINK \l "_Toc136956822" </w:instrText>
          </w:r>
          <w:r>
            <w:fldChar w:fldCharType="separate"/>
          </w:r>
          <w:r>
            <w:rPr>
              <w:rStyle w:val="43"/>
            </w:rPr>
            <w:t>4.2</w:t>
          </w:r>
          <w:r>
            <w:rPr>
              <w:rFonts w:asciiTheme="minorHAnsi" w:hAnsiTheme="minorHAnsi" w:eastAsiaTheme="minorEastAsia" w:cstheme="minorBidi"/>
              <w:kern w:val="2"/>
              <w:sz w:val="21"/>
            </w:rPr>
            <w:tab/>
          </w:r>
          <w:r>
            <w:rPr>
              <w:rStyle w:val="43"/>
            </w:rPr>
            <w:t>钻孔灌注桩</w:t>
          </w:r>
          <w:r>
            <w:tab/>
          </w:r>
          <w:r>
            <w:fldChar w:fldCharType="begin"/>
          </w:r>
          <w:r>
            <w:instrText xml:space="preserve"> PAGEREF _Toc136956822 \h </w:instrText>
          </w:r>
          <w:r>
            <w:fldChar w:fldCharType="separate"/>
          </w:r>
          <w:r>
            <w:t>21</w:t>
          </w:r>
          <w:r>
            <w:fldChar w:fldCharType="end"/>
          </w:r>
          <w:r>
            <w:fldChar w:fldCharType="end"/>
          </w:r>
        </w:p>
        <w:p w14:paraId="45238755">
          <w:pPr>
            <w:pStyle w:val="30"/>
            <w:rPr>
              <w:rFonts w:asciiTheme="minorHAnsi" w:hAnsiTheme="minorHAnsi" w:eastAsiaTheme="minorEastAsia" w:cstheme="minorBidi"/>
              <w:kern w:val="2"/>
              <w:sz w:val="21"/>
            </w:rPr>
          </w:pPr>
          <w:r>
            <w:fldChar w:fldCharType="begin"/>
          </w:r>
          <w:r>
            <w:instrText xml:space="preserve"> HYPERLINK \l "_Toc136956823" </w:instrText>
          </w:r>
          <w:r>
            <w:fldChar w:fldCharType="separate"/>
          </w:r>
          <w:r>
            <w:rPr>
              <w:rStyle w:val="43"/>
            </w:rPr>
            <w:t>4.3</w:t>
          </w:r>
          <w:r>
            <w:rPr>
              <w:rFonts w:asciiTheme="minorHAnsi" w:hAnsiTheme="minorHAnsi" w:eastAsiaTheme="minorEastAsia" w:cstheme="minorBidi"/>
              <w:kern w:val="2"/>
              <w:sz w:val="21"/>
            </w:rPr>
            <w:tab/>
          </w:r>
          <w:r>
            <w:rPr>
              <w:rStyle w:val="43"/>
            </w:rPr>
            <w:t>预应力管桩</w:t>
          </w:r>
          <w:r>
            <w:tab/>
          </w:r>
          <w:r>
            <w:fldChar w:fldCharType="begin"/>
          </w:r>
          <w:r>
            <w:instrText xml:space="preserve"> PAGEREF _Toc136956823 \h </w:instrText>
          </w:r>
          <w:r>
            <w:fldChar w:fldCharType="separate"/>
          </w:r>
          <w:r>
            <w:t>23</w:t>
          </w:r>
          <w:r>
            <w:fldChar w:fldCharType="end"/>
          </w:r>
          <w:r>
            <w:fldChar w:fldCharType="end"/>
          </w:r>
        </w:p>
        <w:p w14:paraId="2D970753">
          <w:pPr>
            <w:pStyle w:val="30"/>
            <w:rPr>
              <w:rFonts w:asciiTheme="minorHAnsi" w:hAnsiTheme="minorHAnsi" w:eastAsiaTheme="minorEastAsia" w:cstheme="minorBidi"/>
              <w:kern w:val="2"/>
              <w:sz w:val="21"/>
            </w:rPr>
          </w:pPr>
          <w:r>
            <w:fldChar w:fldCharType="begin"/>
          </w:r>
          <w:r>
            <w:instrText xml:space="preserve"> HYPERLINK \l "_Toc136956824" </w:instrText>
          </w:r>
          <w:r>
            <w:fldChar w:fldCharType="separate"/>
          </w:r>
          <w:r>
            <w:rPr>
              <w:rStyle w:val="43"/>
            </w:rPr>
            <w:t>4.4</w:t>
          </w:r>
          <w:r>
            <w:rPr>
              <w:rFonts w:asciiTheme="minorHAnsi" w:hAnsiTheme="minorHAnsi" w:eastAsiaTheme="minorEastAsia" w:cstheme="minorBidi"/>
              <w:kern w:val="2"/>
              <w:sz w:val="21"/>
            </w:rPr>
            <w:tab/>
          </w:r>
          <w:r>
            <w:rPr>
              <w:rStyle w:val="43"/>
            </w:rPr>
            <w:t>其它</w:t>
          </w:r>
          <w:r>
            <w:tab/>
          </w:r>
          <w:r>
            <w:fldChar w:fldCharType="begin"/>
          </w:r>
          <w:r>
            <w:instrText xml:space="preserve"> PAGEREF _Toc136956824 \h </w:instrText>
          </w:r>
          <w:r>
            <w:fldChar w:fldCharType="separate"/>
          </w:r>
          <w:r>
            <w:t>27</w:t>
          </w:r>
          <w:r>
            <w:fldChar w:fldCharType="end"/>
          </w:r>
          <w:r>
            <w:fldChar w:fldCharType="end"/>
          </w:r>
        </w:p>
        <w:p w14:paraId="5B021BF2">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"_Toc136956825" </w:instrText>
          </w:r>
          <w:r>
            <w:fldChar w:fldCharType="separate"/>
          </w:r>
          <w:r>
            <w:rPr>
              <w:rStyle w:val="43"/>
            </w:rPr>
            <w:t>第5篇</w:t>
          </w:r>
          <w:r>
            <w:rPr>
              <w:rFonts w:asciiTheme="minorHAnsi" w:hAnsiTheme="minorHAnsi" w:eastAsiaTheme="minorEastAsia" w:cstheme="minorBidi"/>
              <w:kern w:val="2"/>
              <w:sz w:val="21"/>
            </w:rPr>
            <w:tab/>
          </w:r>
          <w:r>
            <w:rPr>
              <w:rStyle w:val="43"/>
            </w:rPr>
            <w:t>钢筋混凝土工程技术要求</w:t>
          </w:r>
          <w:r>
            <w:tab/>
          </w:r>
          <w:r>
            <w:fldChar w:fldCharType="begin"/>
          </w:r>
          <w:r>
            <w:instrText xml:space="preserve"> PAGEREF _Toc136956825 \h </w:instrText>
          </w:r>
          <w:r>
            <w:fldChar w:fldCharType="separate"/>
          </w:r>
          <w:r>
            <w:t>28</w:t>
          </w:r>
          <w:r>
            <w:fldChar w:fldCharType="end"/>
          </w:r>
          <w:r>
            <w:fldChar w:fldCharType="end"/>
          </w:r>
        </w:p>
        <w:p w14:paraId="724D73A1">
          <w:pPr>
            <w:pStyle w:val="30"/>
            <w:rPr>
              <w:rFonts w:asciiTheme="minorHAnsi" w:hAnsiTheme="minorHAnsi" w:eastAsiaTheme="minorEastAsia" w:cstheme="minorBidi"/>
              <w:kern w:val="2"/>
              <w:sz w:val="21"/>
            </w:rPr>
          </w:pPr>
          <w:r>
            <w:fldChar w:fldCharType="begin"/>
          </w:r>
          <w:r>
            <w:instrText xml:space="preserve"> HYPERLINK \l "_Toc136956826" </w:instrText>
          </w:r>
          <w:r>
            <w:fldChar w:fldCharType="separate"/>
          </w:r>
          <w:r>
            <w:rPr>
              <w:rStyle w:val="43"/>
            </w:rPr>
            <w:t>5.1</w:t>
          </w:r>
          <w:r>
            <w:rPr>
              <w:rFonts w:asciiTheme="minorHAnsi" w:hAnsiTheme="minorHAnsi" w:eastAsiaTheme="minorEastAsia" w:cstheme="minorBidi"/>
              <w:kern w:val="2"/>
              <w:sz w:val="21"/>
            </w:rPr>
            <w:tab/>
          </w:r>
          <w:r>
            <w:rPr>
              <w:rStyle w:val="43"/>
            </w:rPr>
            <w:t>总论</w:t>
          </w:r>
          <w:r>
            <w:tab/>
          </w:r>
          <w:r>
            <w:fldChar w:fldCharType="begin"/>
          </w:r>
          <w:r>
            <w:instrText xml:space="preserve"> PAGEREF _Toc136956826 \h </w:instrText>
          </w:r>
          <w:r>
            <w:fldChar w:fldCharType="separate"/>
          </w:r>
          <w:r>
            <w:t>28</w:t>
          </w:r>
          <w:r>
            <w:fldChar w:fldCharType="end"/>
          </w:r>
          <w:r>
            <w:fldChar w:fldCharType="end"/>
          </w:r>
        </w:p>
        <w:p w14:paraId="28C1A29B">
          <w:pPr>
            <w:pStyle w:val="30"/>
            <w:rPr>
              <w:rFonts w:asciiTheme="minorHAnsi" w:hAnsiTheme="minorHAnsi" w:eastAsiaTheme="minorEastAsia" w:cstheme="minorBidi"/>
              <w:kern w:val="2"/>
              <w:sz w:val="21"/>
            </w:rPr>
          </w:pPr>
          <w:r>
            <w:fldChar w:fldCharType="begin"/>
          </w:r>
          <w:r>
            <w:instrText xml:space="preserve"> HYPERLINK \l "_Toc136956827" </w:instrText>
          </w:r>
          <w:r>
            <w:fldChar w:fldCharType="separate"/>
          </w:r>
          <w:r>
            <w:rPr>
              <w:rStyle w:val="43"/>
            </w:rPr>
            <w:t>5.2</w:t>
          </w:r>
          <w:r>
            <w:rPr>
              <w:rFonts w:asciiTheme="minorHAnsi" w:hAnsiTheme="minorHAnsi" w:eastAsiaTheme="minorEastAsia" w:cstheme="minorBidi"/>
              <w:kern w:val="2"/>
              <w:sz w:val="21"/>
            </w:rPr>
            <w:tab/>
          </w:r>
          <w:r>
            <w:rPr>
              <w:rStyle w:val="43"/>
            </w:rPr>
            <w:t>材料</w:t>
          </w:r>
          <w:r>
            <w:tab/>
          </w:r>
          <w:r>
            <w:fldChar w:fldCharType="begin"/>
          </w:r>
          <w:r>
            <w:instrText xml:space="preserve"> PAGEREF _Toc136956827 \h </w:instrText>
          </w:r>
          <w:r>
            <w:fldChar w:fldCharType="separate"/>
          </w:r>
          <w:r>
            <w:t>29</w:t>
          </w:r>
          <w:r>
            <w:fldChar w:fldCharType="end"/>
          </w:r>
          <w:r>
            <w:fldChar w:fldCharType="end"/>
          </w:r>
        </w:p>
        <w:p w14:paraId="1E807C73">
          <w:pPr>
            <w:pStyle w:val="30"/>
            <w:rPr>
              <w:rFonts w:asciiTheme="minorHAnsi" w:hAnsiTheme="minorHAnsi" w:eastAsiaTheme="minorEastAsia" w:cstheme="minorBidi"/>
              <w:kern w:val="2"/>
              <w:sz w:val="21"/>
            </w:rPr>
          </w:pPr>
          <w:r>
            <w:fldChar w:fldCharType="begin"/>
          </w:r>
          <w:r>
            <w:instrText xml:space="preserve"> HYPERLINK \l "_Toc136956828" </w:instrText>
          </w:r>
          <w:r>
            <w:fldChar w:fldCharType="separate"/>
          </w:r>
          <w:r>
            <w:rPr>
              <w:rStyle w:val="43"/>
            </w:rPr>
            <w:t>5.3</w:t>
          </w:r>
          <w:r>
            <w:rPr>
              <w:rFonts w:asciiTheme="minorHAnsi" w:hAnsiTheme="minorHAnsi" w:eastAsiaTheme="minorEastAsia" w:cstheme="minorBidi"/>
              <w:kern w:val="2"/>
              <w:sz w:val="21"/>
            </w:rPr>
            <w:tab/>
          </w:r>
          <w:r>
            <w:rPr>
              <w:rStyle w:val="43"/>
            </w:rPr>
            <w:t>施工与施工质量</w:t>
          </w:r>
          <w:r>
            <w:tab/>
          </w:r>
          <w:r>
            <w:fldChar w:fldCharType="begin"/>
          </w:r>
          <w:r>
            <w:instrText xml:space="preserve"> PAGEREF _Toc136956828 \h </w:instrText>
          </w:r>
          <w:r>
            <w:fldChar w:fldCharType="separate"/>
          </w:r>
          <w:r>
            <w:t>34</w:t>
          </w:r>
          <w:r>
            <w:fldChar w:fldCharType="end"/>
          </w:r>
          <w:r>
            <w:fldChar w:fldCharType="end"/>
          </w:r>
        </w:p>
        <w:p w14:paraId="1646891C">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"_Toc136956829" </w:instrText>
          </w:r>
          <w:r>
            <w:fldChar w:fldCharType="separate"/>
          </w:r>
          <w:r>
            <w:rPr>
              <w:rStyle w:val="43"/>
            </w:rPr>
            <w:t>第6篇</w:t>
          </w:r>
          <w:r>
            <w:rPr>
              <w:rFonts w:asciiTheme="minorHAnsi" w:hAnsiTheme="minorHAnsi" w:eastAsiaTheme="minorEastAsia" w:cstheme="minorBidi"/>
              <w:kern w:val="2"/>
              <w:sz w:val="21"/>
            </w:rPr>
            <w:tab/>
          </w:r>
          <w:r>
            <w:rPr>
              <w:rStyle w:val="43"/>
            </w:rPr>
            <w:t>高精度模板工程技术要求</w:t>
          </w:r>
          <w:r>
            <w:tab/>
          </w:r>
          <w:r>
            <w:fldChar w:fldCharType="begin"/>
          </w:r>
          <w:r>
            <w:instrText xml:space="preserve"> PAGEREF _Toc136956829 \h </w:instrText>
          </w:r>
          <w:r>
            <w:fldChar w:fldCharType="separate"/>
          </w:r>
          <w:r>
            <w:t>44</w:t>
          </w:r>
          <w:r>
            <w:fldChar w:fldCharType="end"/>
          </w:r>
          <w:r>
            <w:fldChar w:fldCharType="end"/>
          </w:r>
        </w:p>
        <w:p w14:paraId="0F4BC535">
          <w:pPr>
            <w:pStyle w:val="30"/>
            <w:rPr>
              <w:rFonts w:asciiTheme="minorHAnsi" w:hAnsiTheme="minorHAnsi" w:eastAsiaTheme="minorEastAsia" w:cstheme="minorBidi"/>
              <w:kern w:val="2"/>
              <w:sz w:val="21"/>
            </w:rPr>
          </w:pPr>
          <w:r>
            <w:fldChar w:fldCharType="begin"/>
          </w:r>
          <w:r>
            <w:instrText xml:space="preserve"> HYPERLINK \l "_Toc136956830" </w:instrText>
          </w:r>
          <w:r>
            <w:fldChar w:fldCharType="separate"/>
          </w:r>
          <w:r>
            <w:rPr>
              <w:rStyle w:val="43"/>
            </w:rPr>
            <w:t>6.1</w:t>
          </w:r>
          <w:r>
            <w:rPr>
              <w:rFonts w:asciiTheme="minorHAnsi" w:hAnsiTheme="minorHAnsi" w:eastAsiaTheme="minorEastAsia" w:cstheme="minorBidi"/>
              <w:kern w:val="2"/>
              <w:sz w:val="21"/>
            </w:rPr>
            <w:tab/>
          </w:r>
          <w:r>
            <w:rPr>
              <w:rStyle w:val="43"/>
            </w:rPr>
            <w:t>概述</w:t>
          </w:r>
          <w:r>
            <w:tab/>
          </w:r>
          <w:r>
            <w:fldChar w:fldCharType="begin"/>
          </w:r>
          <w:r>
            <w:instrText xml:space="preserve"> PAGEREF _Toc136956830 \h </w:instrText>
          </w:r>
          <w:r>
            <w:fldChar w:fldCharType="separate"/>
          </w:r>
          <w:r>
            <w:t>44</w:t>
          </w:r>
          <w:r>
            <w:fldChar w:fldCharType="end"/>
          </w:r>
          <w:r>
            <w:fldChar w:fldCharType="end"/>
          </w:r>
        </w:p>
        <w:p w14:paraId="6E42D17E">
          <w:pPr>
            <w:pStyle w:val="30"/>
            <w:rPr>
              <w:rFonts w:asciiTheme="minorHAnsi" w:hAnsiTheme="minorHAnsi" w:eastAsiaTheme="minorEastAsia" w:cstheme="minorBidi"/>
              <w:kern w:val="2"/>
              <w:sz w:val="21"/>
            </w:rPr>
          </w:pPr>
          <w:r>
            <w:fldChar w:fldCharType="begin"/>
          </w:r>
          <w:r>
            <w:instrText xml:space="preserve"> HYPERLINK \l "_Toc136956831" </w:instrText>
          </w:r>
          <w:r>
            <w:fldChar w:fldCharType="separate"/>
          </w:r>
          <w:r>
            <w:rPr>
              <w:rStyle w:val="43"/>
            </w:rPr>
            <w:t>6.2</w:t>
          </w:r>
          <w:r>
            <w:rPr>
              <w:rFonts w:asciiTheme="minorHAnsi" w:hAnsiTheme="minorHAnsi" w:eastAsiaTheme="minorEastAsia" w:cstheme="minorBidi"/>
              <w:kern w:val="2"/>
              <w:sz w:val="21"/>
            </w:rPr>
            <w:tab/>
          </w:r>
          <w:r>
            <w:rPr>
              <w:rStyle w:val="43"/>
            </w:rPr>
            <w:t>高精度模板对建筑设计要求</w:t>
          </w:r>
          <w:r>
            <w:tab/>
          </w:r>
          <w:r>
            <w:fldChar w:fldCharType="begin"/>
          </w:r>
          <w:r>
            <w:instrText xml:space="preserve"> PAGEREF _Toc136956831 \h </w:instrText>
          </w:r>
          <w:r>
            <w:fldChar w:fldCharType="separate"/>
          </w:r>
          <w:r>
            <w:t>45</w:t>
          </w:r>
          <w:r>
            <w:fldChar w:fldCharType="end"/>
          </w:r>
          <w:r>
            <w:fldChar w:fldCharType="end"/>
          </w:r>
        </w:p>
        <w:p w14:paraId="1FA87F50">
          <w:pPr>
            <w:pStyle w:val="30"/>
            <w:rPr>
              <w:rFonts w:asciiTheme="minorHAnsi" w:hAnsiTheme="minorHAnsi" w:eastAsiaTheme="minorEastAsia" w:cstheme="minorBidi"/>
              <w:kern w:val="2"/>
              <w:sz w:val="21"/>
            </w:rPr>
          </w:pPr>
          <w:r>
            <w:fldChar w:fldCharType="begin"/>
          </w:r>
          <w:r>
            <w:instrText xml:space="preserve"> HYPERLINK \l "_Toc136956832" </w:instrText>
          </w:r>
          <w:r>
            <w:fldChar w:fldCharType="separate"/>
          </w:r>
          <w:r>
            <w:rPr>
              <w:rStyle w:val="43"/>
            </w:rPr>
            <w:t>6.3</w:t>
          </w:r>
          <w:r>
            <w:rPr>
              <w:rFonts w:asciiTheme="minorHAnsi" w:hAnsiTheme="minorHAnsi" w:eastAsiaTheme="minorEastAsia" w:cstheme="minorBidi"/>
              <w:kern w:val="2"/>
              <w:sz w:val="21"/>
            </w:rPr>
            <w:tab/>
          </w:r>
          <w:r>
            <w:rPr>
              <w:rStyle w:val="43"/>
            </w:rPr>
            <w:t>高精度模板深化</w:t>
          </w:r>
          <w:r>
            <w:tab/>
          </w:r>
          <w:r>
            <w:fldChar w:fldCharType="begin"/>
          </w:r>
          <w:r>
            <w:instrText xml:space="preserve"> PAGEREF _Toc136956832 \h </w:instrText>
          </w:r>
          <w:r>
            <w:fldChar w:fldCharType="separate"/>
          </w:r>
          <w:r>
            <w:t>46</w:t>
          </w:r>
          <w:r>
            <w:fldChar w:fldCharType="end"/>
          </w:r>
          <w:r>
            <w:fldChar w:fldCharType="end"/>
          </w:r>
        </w:p>
        <w:p w14:paraId="5893E827">
          <w:pPr>
            <w:pStyle w:val="30"/>
            <w:rPr>
              <w:rFonts w:asciiTheme="minorHAnsi" w:hAnsiTheme="minorHAnsi" w:eastAsiaTheme="minorEastAsia" w:cstheme="minorBidi"/>
              <w:kern w:val="2"/>
              <w:sz w:val="21"/>
            </w:rPr>
          </w:pPr>
          <w:r>
            <w:fldChar w:fldCharType="begin"/>
          </w:r>
          <w:r>
            <w:instrText xml:space="preserve"> HYPERLINK \l "_Toc136956833" </w:instrText>
          </w:r>
          <w:r>
            <w:fldChar w:fldCharType="separate"/>
          </w:r>
          <w:r>
            <w:rPr>
              <w:rStyle w:val="43"/>
            </w:rPr>
            <w:t>6.4</w:t>
          </w:r>
          <w:r>
            <w:rPr>
              <w:rFonts w:asciiTheme="minorHAnsi" w:hAnsiTheme="minorHAnsi" w:eastAsiaTheme="minorEastAsia" w:cstheme="minorBidi"/>
              <w:kern w:val="2"/>
              <w:sz w:val="21"/>
            </w:rPr>
            <w:tab/>
          </w:r>
          <w:r>
            <w:rPr>
              <w:rStyle w:val="43"/>
            </w:rPr>
            <w:t>模板工程的设计</w:t>
          </w:r>
          <w:r>
            <w:tab/>
          </w:r>
          <w:r>
            <w:fldChar w:fldCharType="begin"/>
          </w:r>
          <w:r>
            <w:instrText xml:space="preserve"> PAGEREF _Toc136956833 \h </w:instrText>
          </w:r>
          <w:r>
            <w:fldChar w:fldCharType="separate"/>
          </w:r>
          <w:r>
            <w:t>46</w:t>
          </w:r>
          <w:r>
            <w:fldChar w:fldCharType="end"/>
          </w:r>
          <w:r>
            <w:fldChar w:fldCharType="end"/>
          </w:r>
        </w:p>
        <w:p w14:paraId="7798E7CF">
          <w:pPr>
            <w:pStyle w:val="30"/>
            <w:rPr>
              <w:rFonts w:asciiTheme="minorHAnsi" w:hAnsiTheme="minorHAnsi" w:eastAsiaTheme="minorEastAsia" w:cstheme="minorBidi"/>
              <w:kern w:val="2"/>
              <w:sz w:val="21"/>
            </w:rPr>
          </w:pPr>
          <w:r>
            <w:fldChar w:fldCharType="begin"/>
          </w:r>
          <w:r>
            <w:instrText xml:space="preserve"> HYPERLINK \l "_Toc136956834" </w:instrText>
          </w:r>
          <w:r>
            <w:fldChar w:fldCharType="separate"/>
          </w:r>
          <w:r>
            <w:rPr>
              <w:rStyle w:val="43"/>
            </w:rPr>
            <w:t>6.5</w:t>
          </w:r>
          <w:r>
            <w:rPr>
              <w:rFonts w:asciiTheme="minorHAnsi" w:hAnsiTheme="minorHAnsi" w:eastAsiaTheme="minorEastAsia" w:cstheme="minorBidi"/>
              <w:kern w:val="2"/>
              <w:sz w:val="21"/>
            </w:rPr>
            <w:tab/>
          </w:r>
          <w:r>
            <w:rPr>
              <w:rStyle w:val="43"/>
            </w:rPr>
            <w:t>模板工程的施工</w:t>
          </w:r>
          <w:r>
            <w:tab/>
          </w:r>
          <w:r>
            <w:fldChar w:fldCharType="begin"/>
          </w:r>
          <w:r>
            <w:instrText xml:space="preserve"> PAGEREF _Toc136956834 \h </w:instrText>
          </w:r>
          <w:r>
            <w:fldChar w:fldCharType="separate"/>
          </w:r>
          <w:r>
            <w:t>47</w:t>
          </w:r>
          <w:r>
            <w:fldChar w:fldCharType="end"/>
          </w:r>
          <w:r>
            <w:fldChar w:fldCharType="end"/>
          </w:r>
        </w:p>
        <w:p w14:paraId="6AA7D378">
          <w:pPr>
            <w:pStyle w:val="30"/>
            <w:rPr>
              <w:rFonts w:asciiTheme="minorHAnsi" w:hAnsiTheme="minorHAnsi" w:eastAsiaTheme="minorEastAsia" w:cstheme="minorBidi"/>
              <w:kern w:val="2"/>
              <w:sz w:val="21"/>
            </w:rPr>
          </w:pPr>
          <w:r>
            <w:fldChar w:fldCharType="begin"/>
          </w:r>
          <w:r>
            <w:instrText xml:space="preserve"> HYPERLINK \l "_Toc136956835" </w:instrText>
          </w:r>
          <w:r>
            <w:fldChar w:fldCharType="separate"/>
          </w:r>
          <w:r>
            <w:rPr>
              <w:rStyle w:val="43"/>
            </w:rPr>
            <w:t>6.6</w:t>
          </w:r>
          <w:r>
            <w:rPr>
              <w:rFonts w:asciiTheme="minorHAnsi" w:hAnsiTheme="minorHAnsi" w:eastAsiaTheme="minorEastAsia" w:cstheme="minorBidi"/>
              <w:kern w:val="2"/>
              <w:sz w:val="21"/>
            </w:rPr>
            <w:tab/>
          </w:r>
          <w:r>
            <w:rPr>
              <w:rStyle w:val="43"/>
            </w:rPr>
            <w:t>安全要求</w:t>
          </w:r>
          <w:r>
            <w:tab/>
          </w:r>
          <w:r>
            <w:fldChar w:fldCharType="begin"/>
          </w:r>
          <w:r>
            <w:instrText xml:space="preserve"> PAGEREF _Toc136956835 \h </w:instrText>
          </w:r>
          <w:r>
            <w:fldChar w:fldCharType="separate"/>
          </w:r>
          <w:r>
            <w:t>48</w:t>
          </w:r>
          <w:r>
            <w:fldChar w:fldCharType="end"/>
          </w:r>
          <w:r>
            <w:fldChar w:fldCharType="end"/>
          </w:r>
        </w:p>
        <w:p w14:paraId="40C3258E">
          <w:pPr>
            <w:pStyle w:val="30"/>
            <w:rPr>
              <w:rFonts w:asciiTheme="minorHAnsi" w:hAnsiTheme="minorHAnsi" w:eastAsiaTheme="minorEastAsia" w:cstheme="minorBidi"/>
              <w:kern w:val="2"/>
              <w:sz w:val="21"/>
            </w:rPr>
          </w:pPr>
          <w:r>
            <w:fldChar w:fldCharType="begin"/>
          </w:r>
          <w:r>
            <w:instrText xml:space="preserve"> HYPERLINK \l "_Toc136956836" </w:instrText>
          </w:r>
          <w:r>
            <w:fldChar w:fldCharType="separate"/>
          </w:r>
          <w:r>
            <w:rPr>
              <w:rStyle w:val="43"/>
            </w:rPr>
            <w:t>6.7</w:t>
          </w:r>
          <w:r>
            <w:rPr>
              <w:rFonts w:asciiTheme="minorHAnsi" w:hAnsiTheme="minorHAnsi" w:eastAsiaTheme="minorEastAsia" w:cstheme="minorBidi"/>
              <w:kern w:val="2"/>
              <w:sz w:val="21"/>
            </w:rPr>
            <w:tab/>
          </w:r>
          <w:r>
            <w:rPr>
              <w:rStyle w:val="43"/>
            </w:rPr>
            <w:t>模板验收</w:t>
          </w:r>
          <w:r>
            <w:tab/>
          </w:r>
          <w:r>
            <w:fldChar w:fldCharType="begin"/>
          </w:r>
          <w:r>
            <w:instrText xml:space="preserve"> PAGEREF _Toc136956836 \h </w:instrText>
          </w:r>
          <w:r>
            <w:fldChar w:fldCharType="separate"/>
          </w:r>
          <w:r>
            <w:t>49</w:t>
          </w:r>
          <w:r>
            <w:fldChar w:fldCharType="end"/>
          </w:r>
          <w:r>
            <w:fldChar w:fldCharType="end"/>
          </w:r>
        </w:p>
        <w:p w14:paraId="0C99430F">
          <w:pPr>
            <w:pStyle w:val="30"/>
            <w:rPr>
              <w:rFonts w:asciiTheme="minorHAnsi" w:hAnsiTheme="minorHAnsi" w:eastAsiaTheme="minorEastAsia" w:cstheme="minorBidi"/>
              <w:kern w:val="2"/>
              <w:sz w:val="21"/>
            </w:rPr>
          </w:pPr>
          <w:r>
            <w:fldChar w:fldCharType="begin"/>
          </w:r>
          <w:r>
            <w:instrText xml:space="preserve"> HYPERLINK \l "_Toc136956837" </w:instrText>
          </w:r>
          <w:r>
            <w:fldChar w:fldCharType="separate"/>
          </w:r>
          <w:r>
            <w:rPr>
              <w:rStyle w:val="43"/>
            </w:rPr>
            <w:t>6.8</w:t>
          </w:r>
          <w:r>
            <w:rPr>
              <w:rFonts w:asciiTheme="minorHAnsi" w:hAnsiTheme="minorHAnsi" w:eastAsiaTheme="minorEastAsia" w:cstheme="minorBidi"/>
              <w:kern w:val="2"/>
              <w:sz w:val="21"/>
            </w:rPr>
            <w:tab/>
          </w:r>
          <w:r>
            <w:rPr>
              <w:rStyle w:val="43"/>
            </w:rPr>
            <w:t>混凝土质量验收</w:t>
          </w:r>
          <w:r>
            <w:tab/>
          </w:r>
          <w:r>
            <w:fldChar w:fldCharType="begin"/>
          </w:r>
          <w:r>
            <w:instrText xml:space="preserve"> PAGEREF _Toc136956837 \h </w:instrText>
          </w:r>
          <w:r>
            <w:fldChar w:fldCharType="separate"/>
          </w:r>
          <w:r>
            <w:t>50</w:t>
          </w:r>
          <w:r>
            <w:fldChar w:fldCharType="end"/>
          </w:r>
          <w:r>
            <w:fldChar w:fldCharType="end"/>
          </w:r>
        </w:p>
        <w:p w14:paraId="767F5200">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"_Toc136956838" </w:instrText>
          </w:r>
          <w:r>
            <w:fldChar w:fldCharType="separate"/>
          </w:r>
          <w:r>
            <w:rPr>
              <w:rStyle w:val="43"/>
            </w:rPr>
            <w:t>第7篇</w:t>
          </w:r>
          <w:r>
            <w:rPr>
              <w:rFonts w:asciiTheme="minorHAnsi" w:hAnsiTheme="minorHAnsi" w:eastAsiaTheme="minorEastAsia" w:cstheme="minorBidi"/>
              <w:kern w:val="2"/>
              <w:sz w:val="21"/>
            </w:rPr>
            <w:tab/>
          </w:r>
          <w:r>
            <w:rPr>
              <w:rStyle w:val="43"/>
            </w:rPr>
            <w:t>装配式混凝土建筑施工</w:t>
          </w:r>
          <w:r>
            <w:tab/>
          </w:r>
          <w:r>
            <w:fldChar w:fldCharType="begin"/>
          </w:r>
          <w:r>
            <w:instrText xml:space="preserve"> PAGEREF _Toc136956838 \h </w:instrText>
          </w:r>
          <w:r>
            <w:fldChar w:fldCharType="separate"/>
          </w:r>
          <w:r>
            <w:t>52</w:t>
          </w:r>
          <w:r>
            <w:fldChar w:fldCharType="end"/>
          </w:r>
          <w:r>
            <w:fldChar w:fldCharType="end"/>
          </w:r>
        </w:p>
        <w:p w14:paraId="56D44015">
          <w:pPr>
            <w:pStyle w:val="30"/>
            <w:rPr>
              <w:rFonts w:asciiTheme="minorHAnsi" w:hAnsiTheme="minorHAnsi" w:eastAsiaTheme="minorEastAsia" w:cstheme="minorBidi"/>
              <w:kern w:val="2"/>
              <w:sz w:val="21"/>
            </w:rPr>
          </w:pPr>
          <w:r>
            <w:fldChar w:fldCharType="begin"/>
          </w:r>
          <w:r>
            <w:instrText xml:space="preserve"> HYPERLINK \l "_Toc136956839" </w:instrText>
          </w:r>
          <w:r>
            <w:fldChar w:fldCharType="separate"/>
          </w:r>
          <w:r>
            <w:rPr>
              <w:rStyle w:val="43"/>
            </w:rPr>
            <w:t>7.1</w:t>
          </w:r>
          <w:r>
            <w:rPr>
              <w:rFonts w:asciiTheme="minorHAnsi" w:hAnsiTheme="minorHAnsi" w:eastAsiaTheme="minorEastAsia" w:cstheme="minorBidi"/>
              <w:kern w:val="2"/>
              <w:sz w:val="21"/>
            </w:rPr>
            <w:tab/>
          </w:r>
          <w:r>
            <w:rPr>
              <w:rStyle w:val="43"/>
            </w:rPr>
            <w:t>装配式建筑标准、规范、图集</w:t>
          </w:r>
          <w:r>
            <w:tab/>
          </w:r>
          <w:r>
            <w:fldChar w:fldCharType="begin"/>
          </w:r>
          <w:r>
            <w:instrText xml:space="preserve"> PAGEREF _Toc136956839 \h </w:instrText>
          </w:r>
          <w:r>
            <w:fldChar w:fldCharType="separate"/>
          </w:r>
          <w:r>
            <w:t>52</w:t>
          </w:r>
          <w:r>
            <w:fldChar w:fldCharType="end"/>
          </w:r>
          <w:r>
            <w:fldChar w:fldCharType="end"/>
          </w:r>
        </w:p>
        <w:p w14:paraId="3EE4BBED">
          <w:pPr>
            <w:pStyle w:val="30"/>
            <w:rPr>
              <w:rFonts w:asciiTheme="minorHAnsi" w:hAnsiTheme="minorHAnsi" w:eastAsiaTheme="minorEastAsia" w:cstheme="minorBidi"/>
              <w:kern w:val="2"/>
              <w:sz w:val="21"/>
            </w:rPr>
          </w:pPr>
          <w:r>
            <w:fldChar w:fldCharType="begin"/>
          </w:r>
          <w:r>
            <w:instrText xml:space="preserve"> HYPERLINK \l "_Toc136956840" </w:instrText>
          </w:r>
          <w:r>
            <w:fldChar w:fldCharType="separate"/>
          </w:r>
          <w:r>
            <w:rPr>
              <w:rStyle w:val="43"/>
            </w:rPr>
            <w:t>7.2</w:t>
          </w:r>
          <w:r>
            <w:rPr>
              <w:rFonts w:asciiTheme="minorHAnsi" w:hAnsiTheme="minorHAnsi" w:eastAsiaTheme="minorEastAsia" w:cstheme="minorBidi"/>
              <w:kern w:val="2"/>
              <w:sz w:val="21"/>
            </w:rPr>
            <w:tab/>
          </w:r>
          <w:r>
            <w:rPr>
              <w:rStyle w:val="43"/>
            </w:rPr>
            <w:t>预制混凝土构件运输、现场堆放</w:t>
          </w:r>
          <w:r>
            <w:tab/>
          </w:r>
          <w:r>
            <w:fldChar w:fldCharType="begin"/>
          </w:r>
          <w:r>
            <w:instrText xml:space="preserve"> PAGEREF _Toc136956840 \h </w:instrText>
          </w:r>
          <w:r>
            <w:fldChar w:fldCharType="separate"/>
          </w:r>
          <w:r>
            <w:t>52</w:t>
          </w:r>
          <w:r>
            <w:fldChar w:fldCharType="end"/>
          </w:r>
          <w:r>
            <w:fldChar w:fldCharType="end"/>
          </w:r>
        </w:p>
        <w:p w14:paraId="3CB00AB8">
          <w:pPr>
            <w:pStyle w:val="30"/>
            <w:rPr>
              <w:rFonts w:asciiTheme="minorHAnsi" w:hAnsiTheme="minorHAnsi" w:eastAsiaTheme="minorEastAsia" w:cstheme="minorBidi"/>
              <w:kern w:val="2"/>
              <w:sz w:val="21"/>
            </w:rPr>
          </w:pPr>
          <w:r>
            <w:fldChar w:fldCharType="begin"/>
          </w:r>
          <w:r>
            <w:instrText xml:space="preserve"> HYPERLINK \l "_Toc136956841" </w:instrText>
          </w:r>
          <w:r>
            <w:fldChar w:fldCharType="separate"/>
          </w:r>
          <w:r>
            <w:rPr>
              <w:rStyle w:val="43"/>
            </w:rPr>
            <w:t>7.3</w:t>
          </w:r>
          <w:r>
            <w:rPr>
              <w:rFonts w:asciiTheme="minorHAnsi" w:hAnsiTheme="minorHAnsi" w:eastAsiaTheme="minorEastAsia" w:cstheme="minorBidi"/>
              <w:kern w:val="2"/>
              <w:sz w:val="21"/>
            </w:rPr>
            <w:tab/>
          </w:r>
          <w:r>
            <w:rPr>
              <w:rStyle w:val="43"/>
            </w:rPr>
            <w:t>预制混凝土构件质量验收</w:t>
          </w:r>
          <w:r>
            <w:tab/>
          </w:r>
          <w:r>
            <w:fldChar w:fldCharType="begin"/>
          </w:r>
          <w:r>
            <w:instrText xml:space="preserve"> PAGEREF _Toc136956841 \h </w:instrText>
          </w:r>
          <w:r>
            <w:fldChar w:fldCharType="separate"/>
          </w:r>
          <w:r>
            <w:t>53</w:t>
          </w:r>
          <w:r>
            <w:fldChar w:fldCharType="end"/>
          </w:r>
          <w:r>
            <w:fldChar w:fldCharType="end"/>
          </w:r>
        </w:p>
        <w:p w14:paraId="7EEDC3D3">
          <w:pPr>
            <w:pStyle w:val="30"/>
            <w:rPr>
              <w:rFonts w:asciiTheme="minorHAnsi" w:hAnsiTheme="minorHAnsi" w:eastAsiaTheme="minorEastAsia" w:cstheme="minorBidi"/>
              <w:kern w:val="2"/>
              <w:sz w:val="21"/>
            </w:rPr>
          </w:pPr>
          <w:r>
            <w:fldChar w:fldCharType="begin"/>
          </w:r>
          <w:r>
            <w:instrText xml:space="preserve"> HYPERLINK \l "_Toc136956842" </w:instrText>
          </w:r>
          <w:r>
            <w:fldChar w:fldCharType="separate"/>
          </w:r>
          <w:r>
            <w:rPr>
              <w:rStyle w:val="43"/>
            </w:rPr>
            <w:t>7.4</w:t>
          </w:r>
          <w:r>
            <w:rPr>
              <w:rFonts w:asciiTheme="minorHAnsi" w:hAnsiTheme="minorHAnsi" w:eastAsiaTheme="minorEastAsia" w:cstheme="minorBidi"/>
              <w:kern w:val="2"/>
              <w:sz w:val="21"/>
            </w:rPr>
            <w:tab/>
          </w:r>
          <w:r>
            <w:rPr>
              <w:rStyle w:val="43"/>
            </w:rPr>
            <w:t>预制混凝土构件吊装施工工艺</w:t>
          </w:r>
          <w:r>
            <w:tab/>
          </w:r>
          <w:r>
            <w:fldChar w:fldCharType="begin"/>
          </w:r>
          <w:r>
            <w:instrText xml:space="preserve"> PAGEREF _Toc136956842 \h </w:instrText>
          </w:r>
          <w:r>
            <w:fldChar w:fldCharType="separate"/>
          </w:r>
          <w:r>
            <w:t>59</w:t>
          </w:r>
          <w:r>
            <w:fldChar w:fldCharType="end"/>
          </w:r>
          <w:r>
            <w:fldChar w:fldCharType="end"/>
          </w:r>
        </w:p>
        <w:p w14:paraId="1F2F297F">
          <w:pPr>
            <w:pStyle w:val="30"/>
            <w:rPr>
              <w:rFonts w:asciiTheme="minorHAnsi" w:hAnsiTheme="minorHAnsi" w:eastAsiaTheme="minorEastAsia" w:cstheme="minorBidi"/>
              <w:kern w:val="2"/>
              <w:sz w:val="21"/>
            </w:rPr>
          </w:pPr>
          <w:r>
            <w:fldChar w:fldCharType="begin"/>
          </w:r>
          <w:r>
            <w:instrText xml:space="preserve"> HYPERLINK \l "_Toc136956843" </w:instrText>
          </w:r>
          <w:r>
            <w:fldChar w:fldCharType="separate"/>
          </w:r>
          <w:r>
            <w:rPr>
              <w:rStyle w:val="43"/>
            </w:rPr>
            <w:t>7.5</w:t>
          </w:r>
          <w:r>
            <w:rPr>
              <w:rFonts w:asciiTheme="minorHAnsi" w:hAnsiTheme="minorHAnsi" w:eastAsiaTheme="minorEastAsia" w:cstheme="minorBidi"/>
              <w:kern w:val="2"/>
              <w:sz w:val="21"/>
            </w:rPr>
            <w:tab/>
          </w:r>
          <w:r>
            <w:rPr>
              <w:rStyle w:val="43"/>
            </w:rPr>
            <w:t>装配式建筑吊装施工质量验收</w:t>
          </w:r>
          <w:r>
            <w:tab/>
          </w:r>
          <w:r>
            <w:fldChar w:fldCharType="begin"/>
          </w:r>
          <w:r>
            <w:instrText xml:space="preserve"> PAGEREF _Toc136956843 \h </w:instrText>
          </w:r>
          <w:r>
            <w:fldChar w:fldCharType="separate"/>
          </w:r>
          <w:r>
            <w:t>59</w:t>
          </w:r>
          <w:r>
            <w:fldChar w:fldCharType="end"/>
          </w:r>
          <w:r>
            <w:fldChar w:fldCharType="end"/>
          </w:r>
        </w:p>
        <w:p w14:paraId="4DB60120">
          <w:pPr>
            <w:pStyle w:val="30"/>
            <w:rPr>
              <w:rFonts w:asciiTheme="minorHAnsi" w:hAnsiTheme="minorHAnsi" w:eastAsiaTheme="minorEastAsia" w:cstheme="minorBidi"/>
              <w:kern w:val="2"/>
              <w:sz w:val="21"/>
            </w:rPr>
          </w:pPr>
          <w:r>
            <w:fldChar w:fldCharType="begin"/>
          </w:r>
          <w:r>
            <w:instrText xml:space="preserve"> HYPERLINK \l "_Toc136956844" </w:instrText>
          </w:r>
          <w:r>
            <w:fldChar w:fldCharType="separate"/>
          </w:r>
          <w:r>
            <w:rPr>
              <w:rStyle w:val="43"/>
            </w:rPr>
            <w:t>7.6</w:t>
          </w:r>
          <w:r>
            <w:rPr>
              <w:rFonts w:asciiTheme="minorHAnsi" w:hAnsiTheme="minorHAnsi" w:eastAsiaTheme="minorEastAsia" w:cstheme="minorBidi"/>
              <w:kern w:val="2"/>
              <w:sz w:val="21"/>
            </w:rPr>
            <w:tab/>
          </w:r>
          <w:r>
            <w:rPr>
              <w:rStyle w:val="43"/>
            </w:rPr>
            <w:t>装配式建筑连接部位施工工艺</w:t>
          </w:r>
          <w:r>
            <w:tab/>
          </w:r>
          <w:r>
            <w:fldChar w:fldCharType="begin"/>
          </w:r>
          <w:r>
            <w:instrText xml:space="preserve"> PAGEREF _Toc136956844 \h </w:instrText>
          </w:r>
          <w:r>
            <w:fldChar w:fldCharType="separate"/>
          </w:r>
          <w:r>
            <w:t>61</w:t>
          </w:r>
          <w:r>
            <w:fldChar w:fldCharType="end"/>
          </w:r>
          <w:r>
            <w:fldChar w:fldCharType="end"/>
          </w:r>
        </w:p>
        <w:p w14:paraId="06F776A5">
          <w:pPr>
            <w:pStyle w:val="30"/>
            <w:rPr>
              <w:rFonts w:asciiTheme="minorHAnsi" w:hAnsiTheme="minorHAnsi" w:eastAsiaTheme="minorEastAsia" w:cstheme="minorBidi"/>
              <w:kern w:val="2"/>
              <w:sz w:val="21"/>
            </w:rPr>
          </w:pPr>
          <w:r>
            <w:fldChar w:fldCharType="begin"/>
          </w:r>
          <w:r>
            <w:instrText xml:space="preserve"> HYPERLINK \l "_Toc136956845" </w:instrText>
          </w:r>
          <w:r>
            <w:fldChar w:fldCharType="separate"/>
          </w:r>
          <w:r>
            <w:rPr>
              <w:rStyle w:val="43"/>
            </w:rPr>
            <w:t>7.7</w:t>
          </w:r>
          <w:r>
            <w:rPr>
              <w:rFonts w:asciiTheme="minorHAnsi" w:hAnsiTheme="minorHAnsi" w:eastAsiaTheme="minorEastAsia" w:cstheme="minorBidi"/>
              <w:kern w:val="2"/>
              <w:sz w:val="21"/>
            </w:rPr>
            <w:tab/>
          </w:r>
          <w:r>
            <w:rPr>
              <w:rStyle w:val="43"/>
            </w:rPr>
            <w:t>装配式机电安装施工工艺</w:t>
          </w:r>
          <w:r>
            <w:tab/>
          </w:r>
          <w:r>
            <w:fldChar w:fldCharType="begin"/>
          </w:r>
          <w:r>
            <w:instrText xml:space="preserve"> PAGEREF _Toc136956845 \h </w:instrText>
          </w:r>
          <w:r>
            <w:fldChar w:fldCharType="separate"/>
          </w:r>
          <w:r>
            <w:t>61</w:t>
          </w:r>
          <w:r>
            <w:fldChar w:fldCharType="end"/>
          </w:r>
          <w:r>
            <w:fldChar w:fldCharType="end"/>
          </w:r>
        </w:p>
        <w:p w14:paraId="59FE22AD">
          <w:pPr>
            <w:pStyle w:val="30"/>
            <w:rPr>
              <w:rFonts w:asciiTheme="minorHAnsi" w:hAnsiTheme="minorHAnsi" w:eastAsiaTheme="minorEastAsia" w:cstheme="minorBidi"/>
              <w:kern w:val="2"/>
              <w:sz w:val="21"/>
            </w:rPr>
          </w:pPr>
          <w:r>
            <w:fldChar w:fldCharType="begin"/>
          </w:r>
          <w:r>
            <w:instrText xml:space="preserve"> HYPERLINK \l "_Toc136956846" </w:instrText>
          </w:r>
          <w:r>
            <w:fldChar w:fldCharType="separate"/>
          </w:r>
          <w:r>
            <w:rPr>
              <w:rStyle w:val="43"/>
            </w:rPr>
            <w:t>7.8</w:t>
          </w:r>
          <w:r>
            <w:rPr>
              <w:rFonts w:asciiTheme="minorHAnsi" w:hAnsiTheme="minorHAnsi" w:eastAsiaTheme="minorEastAsia" w:cstheme="minorBidi"/>
              <w:kern w:val="2"/>
              <w:sz w:val="21"/>
            </w:rPr>
            <w:tab/>
          </w:r>
          <w:r>
            <w:rPr>
              <w:rStyle w:val="43"/>
            </w:rPr>
            <w:t>安全文明及特殊季节施工</w:t>
          </w:r>
          <w:r>
            <w:tab/>
          </w:r>
          <w:r>
            <w:fldChar w:fldCharType="begin"/>
          </w:r>
          <w:r>
            <w:instrText xml:space="preserve"> PAGEREF _Toc136956846 \h </w:instrText>
          </w:r>
          <w:r>
            <w:fldChar w:fldCharType="separate"/>
          </w:r>
          <w:r>
            <w:t>61</w:t>
          </w:r>
          <w:r>
            <w:fldChar w:fldCharType="end"/>
          </w:r>
          <w:r>
            <w:fldChar w:fldCharType="end"/>
          </w:r>
        </w:p>
        <w:p w14:paraId="1EBC40F3">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"_Toc136956847" </w:instrText>
          </w:r>
          <w:r>
            <w:fldChar w:fldCharType="separate"/>
          </w:r>
          <w:r>
            <w:rPr>
              <w:rStyle w:val="43"/>
            </w:rPr>
            <w:t>第8篇</w:t>
          </w:r>
          <w:r>
            <w:rPr>
              <w:rFonts w:asciiTheme="minorHAnsi" w:hAnsiTheme="minorHAnsi" w:eastAsiaTheme="minorEastAsia" w:cstheme="minorBidi"/>
              <w:kern w:val="2"/>
              <w:sz w:val="21"/>
            </w:rPr>
            <w:tab/>
          </w:r>
          <w:r>
            <w:rPr>
              <w:rStyle w:val="43"/>
            </w:rPr>
            <w:t>钢结构工程技术要求</w:t>
          </w:r>
          <w:r>
            <w:tab/>
          </w:r>
          <w:r>
            <w:fldChar w:fldCharType="begin"/>
          </w:r>
          <w:r>
            <w:instrText xml:space="preserve"> PAGEREF _Toc136956847 \h </w:instrText>
          </w:r>
          <w:r>
            <w:fldChar w:fldCharType="separate"/>
          </w:r>
          <w:r>
            <w:t>62</w:t>
          </w:r>
          <w:r>
            <w:fldChar w:fldCharType="end"/>
          </w:r>
          <w:r>
            <w:fldChar w:fldCharType="end"/>
          </w:r>
        </w:p>
        <w:p w14:paraId="7E3C7934">
          <w:pPr>
            <w:pStyle w:val="30"/>
            <w:rPr>
              <w:rFonts w:asciiTheme="minorHAnsi" w:hAnsiTheme="minorHAnsi" w:eastAsiaTheme="minorEastAsia" w:cstheme="minorBidi"/>
              <w:kern w:val="2"/>
              <w:sz w:val="21"/>
            </w:rPr>
          </w:pPr>
          <w:r>
            <w:fldChar w:fldCharType="begin"/>
          </w:r>
          <w:r>
            <w:instrText xml:space="preserve"> HYPERLINK \l "_Toc136956848" </w:instrText>
          </w:r>
          <w:r>
            <w:fldChar w:fldCharType="separate"/>
          </w:r>
          <w:r>
            <w:rPr>
              <w:rStyle w:val="43"/>
            </w:rPr>
            <w:t>8.1</w:t>
          </w:r>
          <w:r>
            <w:rPr>
              <w:rFonts w:asciiTheme="minorHAnsi" w:hAnsiTheme="minorHAnsi" w:eastAsiaTheme="minorEastAsia" w:cstheme="minorBidi"/>
              <w:kern w:val="2"/>
              <w:sz w:val="21"/>
            </w:rPr>
            <w:tab/>
          </w:r>
          <w:r>
            <w:rPr>
              <w:rStyle w:val="43"/>
            </w:rPr>
            <w:t>总则</w:t>
          </w:r>
          <w:r>
            <w:tab/>
          </w:r>
          <w:r>
            <w:fldChar w:fldCharType="begin"/>
          </w:r>
          <w:r>
            <w:instrText xml:space="preserve"> PAGEREF _Toc136956848 \h </w:instrText>
          </w:r>
          <w:r>
            <w:fldChar w:fldCharType="separate"/>
          </w:r>
          <w:r>
            <w:t>62</w:t>
          </w:r>
          <w:r>
            <w:fldChar w:fldCharType="end"/>
          </w:r>
          <w:r>
            <w:fldChar w:fldCharType="end"/>
          </w:r>
        </w:p>
        <w:p w14:paraId="19BDE396">
          <w:pPr>
            <w:pStyle w:val="30"/>
            <w:rPr>
              <w:rFonts w:asciiTheme="minorHAnsi" w:hAnsiTheme="minorHAnsi" w:eastAsiaTheme="minorEastAsia" w:cstheme="minorBidi"/>
              <w:kern w:val="2"/>
              <w:sz w:val="21"/>
            </w:rPr>
          </w:pPr>
          <w:r>
            <w:fldChar w:fldCharType="begin"/>
          </w:r>
          <w:r>
            <w:instrText xml:space="preserve"> HYPERLINK \l "_Toc136956849" </w:instrText>
          </w:r>
          <w:r>
            <w:fldChar w:fldCharType="separate"/>
          </w:r>
          <w:r>
            <w:rPr>
              <w:rStyle w:val="43"/>
            </w:rPr>
            <w:t>8.2</w:t>
          </w:r>
          <w:r>
            <w:rPr>
              <w:rFonts w:asciiTheme="minorHAnsi" w:hAnsiTheme="minorHAnsi" w:eastAsiaTheme="minorEastAsia" w:cstheme="minorBidi"/>
              <w:kern w:val="2"/>
              <w:sz w:val="21"/>
            </w:rPr>
            <w:tab/>
          </w:r>
          <w:r>
            <w:rPr>
              <w:rStyle w:val="43"/>
            </w:rPr>
            <w:t>主要的技术标准及规范名称</w:t>
          </w:r>
          <w:r>
            <w:tab/>
          </w:r>
          <w:r>
            <w:fldChar w:fldCharType="begin"/>
          </w:r>
          <w:r>
            <w:instrText xml:space="preserve"> PAGEREF _Toc136956849 \h </w:instrText>
          </w:r>
          <w:r>
            <w:fldChar w:fldCharType="separate"/>
          </w:r>
          <w:r>
            <w:t>62</w:t>
          </w:r>
          <w:r>
            <w:fldChar w:fldCharType="end"/>
          </w:r>
          <w:r>
            <w:fldChar w:fldCharType="end"/>
          </w:r>
        </w:p>
        <w:p w14:paraId="1E6FE857">
          <w:pPr>
            <w:pStyle w:val="30"/>
            <w:rPr>
              <w:rFonts w:asciiTheme="minorHAnsi" w:hAnsiTheme="minorHAnsi" w:eastAsiaTheme="minorEastAsia" w:cstheme="minorBidi"/>
              <w:kern w:val="2"/>
              <w:sz w:val="21"/>
            </w:rPr>
          </w:pPr>
          <w:r>
            <w:fldChar w:fldCharType="begin"/>
          </w:r>
          <w:r>
            <w:instrText xml:space="preserve"> HYPERLINK \l "_Toc136956850" </w:instrText>
          </w:r>
          <w:r>
            <w:fldChar w:fldCharType="separate"/>
          </w:r>
          <w:r>
            <w:rPr>
              <w:rStyle w:val="43"/>
            </w:rPr>
            <w:t>8.3</w:t>
          </w:r>
          <w:r>
            <w:rPr>
              <w:rFonts w:asciiTheme="minorHAnsi" w:hAnsiTheme="minorHAnsi" w:eastAsiaTheme="minorEastAsia" w:cstheme="minorBidi"/>
              <w:kern w:val="2"/>
              <w:sz w:val="21"/>
            </w:rPr>
            <w:tab/>
          </w:r>
          <w:r>
            <w:rPr>
              <w:rStyle w:val="43"/>
            </w:rPr>
            <w:t>钢结构材料的材质</w:t>
          </w:r>
          <w:r>
            <w:tab/>
          </w:r>
          <w:r>
            <w:fldChar w:fldCharType="begin"/>
          </w:r>
          <w:r>
            <w:instrText xml:space="preserve"> PAGEREF _Toc136956850 \h </w:instrText>
          </w:r>
          <w:r>
            <w:fldChar w:fldCharType="separate"/>
          </w:r>
          <w:r>
            <w:t>63</w:t>
          </w:r>
          <w:r>
            <w:fldChar w:fldCharType="end"/>
          </w:r>
          <w:r>
            <w:fldChar w:fldCharType="end"/>
          </w:r>
        </w:p>
        <w:p w14:paraId="01375CA6">
          <w:pPr>
            <w:pStyle w:val="30"/>
            <w:rPr>
              <w:rFonts w:asciiTheme="minorHAnsi" w:hAnsiTheme="minorHAnsi" w:eastAsiaTheme="minorEastAsia" w:cstheme="minorBidi"/>
              <w:kern w:val="2"/>
              <w:sz w:val="21"/>
            </w:rPr>
          </w:pPr>
          <w:r>
            <w:fldChar w:fldCharType="begin"/>
          </w:r>
          <w:r>
            <w:instrText xml:space="preserve"> HYPERLINK \l "_Toc136956851" </w:instrText>
          </w:r>
          <w:r>
            <w:fldChar w:fldCharType="separate"/>
          </w:r>
          <w:r>
            <w:rPr>
              <w:rStyle w:val="43"/>
            </w:rPr>
            <w:t>8.4</w:t>
          </w:r>
          <w:r>
            <w:rPr>
              <w:rFonts w:asciiTheme="minorHAnsi" w:hAnsiTheme="minorHAnsi" w:eastAsiaTheme="minorEastAsia" w:cstheme="minorBidi"/>
              <w:kern w:val="2"/>
              <w:sz w:val="21"/>
            </w:rPr>
            <w:tab/>
          </w:r>
          <w:r>
            <w:rPr>
              <w:rStyle w:val="43"/>
            </w:rPr>
            <w:t>防腐涂装技术要求</w:t>
          </w:r>
          <w:r>
            <w:tab/>
          </w:r>
          <w:r>
            <w:fldChar w:fldCharType="begin"/>
          </w:r>
          <w:r>
            <w:instrText xml:space="preserve"> PAGEREF _Toc136956851 \h </w:instrText>
          </w:r>
          <w:r>
            <w:fldChar w:fldCharType="separate"/>
          </w:r>
          <w:r>
            <w:t>63</w:t>
          </w:r>
          <w:r>
            <w:fldChar w:fldCharType="end"/>
          </w:r>
          <w:r>
            <w:fldChar w:fldCharType="end"/>
          </w:r>
        </w:p>
        <w:p w14:paraId="5317DE58">
          <w:pPr>
            <w:pStyle w:val="30"/>
            <w:rPr>
              <w:rFonts w:asciiTheme="minorHAnsi" w:hAnsiTheme="minorHAnsi" w:eastAsiaTheme="minorEastAsia" w:cstheme="minorBidi"/>
              <w:kern w:val="2"/>
              <w:sz w:val="21"/>
            </w:rPr>
          </w:pPr>
          <w:r>
            <w:fldChar w:fldCharType="begin"/>
          </w:r>
          <w:r>
            <w:instrText xml:space="preserve"> HYPERLINK \l "_Toc136956855" </w:instrText>
          </w:r>
          <w:r>
            <w:fldChar w:fldCharType="separate"/>
          </w:r>
          <w:r>
            <w:rPr>
              <w:rStyle w:val="43"/>
            </w:rPr>
            <w:t>8.5</w:t>
          </w:r>
          <w:r>
            <w:rPr>
              <w:rFonts w:asciiTheme="minorHAnsi" w:hAnsiTheme="minorHAnsi" w:eastAsiaTheme="minorEastAsia" w:cstheme="minorBidi"/>
              <w:kern w:val="2"/>
              <w:sz w:val="21"/>
            </w:rPr>
            <w:tab/>
          </w:r>
          <w:r>
            <w:rPr>
              <w:rStyle w:val="43"/>
            </w:rPr>
            <w:t>防火涂装的技术要求</w:t>
          </w:r>
          <w:r>
            <w:tab/>
          </w:r>
          <w:r>
            <w:fldChar w:fldCharType="begin"/>
          </w:r>
          <w:r>
            <w:instrText xml:space="preserve"> PAGEREF _Toc136956855 \h </w:instrText>
          </w:r>
          <w:r>
            <w:fldChar w:fldCharType="separate"/>
          </w:r>
          <w:r>
            <w:t>64</w:t>
          </w:r>
          <w:r>
            <w:fldChar w:fldCharType="end"/>
          </w:r>
          <w:r>
            <w:fldChar w:fldCharType="end"/>
          </w:r>
        </w:p>
        <w:p w14:paraId="7E73B1DC">
          <w:pPr>
            <w:pStyle w:val="30"/>
            <w:rPr>
              <w:rFonts w:asciiTheme="minorHAnsi" w:hAnsiTheme="minorHAnsi" w:eastAsiaTheme="minorEastAsia" w:cstheme="minorBidi"/>
              <w:kern w:val="2"/>
              <w:sz w:val="21"/>
            </w:rPr>
          </w:pPr>
          <w:r>
            <w:fldChar w:fldCharType="begin"/>
          </w:r>
          <w:r>
            <w:instrText xml:space="preserve"> HYPERLINK \l "_Toc136956856" </w:instrText>
          </w:r>
          <w:r>
            <w:fldChar w:fldCharType="separate"/>
          </w:r>
          <w:r>
            <w:rPr>
              <w:rStyle w:val="43"/>
            </w:rPr>
            <w:t>8.6</w:t>
          </w:r>
          <w:r>
            <w:rPr>
              <w:rFonts w:asciiTheme="minorHAnsi" w:hAnsiTheme="minorHAnsi" w:eastAsiaTheme="minorEastAsia" w:cstheme="minorBidi"/>
              <w:kern w:val="2"/>
              <w:sz w:val="21"/>
            </w:rPr>
            <w:tab/>
          </w:r>
          <w:r>
            <w:rPr>
              <w:rStyle w:val="43"/>
            </w:rPr>
            <w:t>钢结构的制作设计要求</w:t>
          </w:r>
          <w:r>
            <w:tab/>
          </w:r>
          <w:r>
            <w:fldChar w:fldCharType="begin"/>
          </w:r>
          <w:r>
            <w:instrText xml:space="preserve"> PAGEREF _Toc136956856 \h </w:instrText>
          </w:r>
          <w:r>
            <w:fldChar w:fldCharType="separate"/>
          </w:r>
          <w:r>
            <w:t>73</w:t>
          </w:r>
          <w:r>
            <w:fldChar w:fldCharType="end"/>
          </w:r>
          <w:r>
            <w:fldChar w:fldCharType="end"/>
          </w:r>
        </w:p>
        <w:p w14:paraId="2DEE5210">
          <w:pPr>
            <w:pStyle w:val="30"/>
            <w:rPr>
              <w:rFonts w:asciiTheme="minorHAnsi" w:hAnsiTheme="minorHAnsi" w:eastAsiaTheme="minorEastAsia" w:cstheme="minorBidi"/>
              <w:kern w:val="2"/>
              <w:sz w:val="21"/>
            </w:rPr>
          </w:pPr>
          <w:r>
            <w:fldChar w:fldCharType="begin"/>
          </w:r>
          <w:r>
            <w:instrText xml:space="preserve"> HYPERLINK \l "_Toc136956857" </w:instrText>
          </w:r>
          <w:r>
            <w:fldChar w:fldCharType="separate"/>
          </w:r>
          <w:r>
            <w:rPr>
              <w:rStyle w:val="43"/>
            </w:rPr>
            <w:t>8.7</w:t>
          </w:r>
          <w:r>
            <w:rPr>
              <w:rFonts w:asciiTheme="minorHAnsi" w:hAnsiTheme="minorHAnsi" w:eastAsiaTheme="minorEastAsia" w:cstheme="minorBidi"/>
              <w:kern w:val="2"/>
              <w:sz w:val="21"/>
            </w:rPr>
            <w:tab/>
          </w:r>
          <w:r>
            <w:rPr>
              <w:rStyle w:val="43"/>
            </w:rPr>
            <w:t>钢结构制作及加工运输要求</w:t>
          </w:r>
          <w:r>
            <w:tab/>
          </w:r>
          <w:r>
            <w:fldChar w:fldCharType="begin"/>
          </w:r>
          <w:r>
            <w:instrText xml:space="preserve"> PAGEREF _Toc136956857 \h </w:instrText>
          </w:r>
          <w:r>
            <w:fldChar w:fldCharType="separate"/>
          </w:r>
          <w:r>
            <w:t>74</w:t>
          </w:r>
          <w:r>
            <w:fldChar w:fldCharType="end"/>
          </w:r>
          <w:r>
            <w:fldChar w:fldCharType="end"/>
          </w:r>
        </w:p>
        <w:p w14:paraId="18641CF5">
          <w:pPr>
            <w:pStyle w:val="30"/>
            <w:rPr>
              <w:rFonts w:asciiTheme="minorHAnsi" w:hAnsiTheme="minorHAnsi" w:eastAsiaTheme="minorEastAsia" w:cstheme="minorBidi"/>
              <w:kern w:val="2"/>
              <w:sz w:val="21"/>
            </w:rPr>
          </w:pPr>
          <w:r>
            <w:fldChar w:fldCharType="begin"/>
          </w:r>
          <w:r>
            <w:instrText xml:space="preserve"> HYPERLINK \l "_Toc136956858" </w:instrText>
          </w:r>
          <w:r>
            <w:fldChar w:fldCharType="separate"/>
          </w:r>
          <w:r>
            <w:rPr>
              <w:rStyle w:val="43"/>
            </w:rPr>
            <w:t>8.8</w:t>
          </w:r>
          <w:r>
            <w:rPr>
              <w:rFonts w:asciiTheme="minorHAnsi" w:hAnsiTheme="minorHAnsi" w:eastAsiaTheme="minorEastAsia" w:cstheme="minorBidi"/>
              <w:kern w:val="2"/>
              <w:sz w:val="21"/>
            </w:rPr>
            <w:tab/>
          </w:r>
          <w:r>
            <w:rPr>
              <w:rStyle w:val="43"/>
            </w:rPr>
            <w:t>钢构件安装</w:t>
          </w:r>
          <w:r>
            <w:tab/>
          </w:r>
          <w:r>
            <w:fldChar w:fldCharType="begin"/>
          </w:r>
          <w:r>
            <w:instrText xml:space="preserve"> PAGEREF _Toc136956858 \h </w:instrText>
          </w:r>
          <w:r>
            <w:fldChar w:fldCharType="separate"/>
          </w:r>
          <w:r>
            <w:t>76</w:t>
          </w:r>
          <w:r>
            <w:fldChar w:fldCharType="end"/>
          </w:r>
          <w:r>
            <w:fldChar w:fldCharType="end"/>
          </w:r>
        </w:p>
        <w:p w14:paraId="7BD05B1F">
          <w:pPr>
            <w:pStyle w:val="30"/>
            <w:rPr>
              <w:rFonts w:asciiTheme="minorHAnsi" w:hAnsiTheme="minorHAnsi" w:eastAsiaTheme="minorEastAsia" w:cstheme="minorBidi"/>
              <w:kern w:val="2"/>
              <w:sz w:val="21"/>
            </w:rPr>
          </w:pPr>
          <w:r>
            <w:fldChar w:fldCharType="begin"/>
          </w:r>
          <w:r>
            <w:instrText xml:space="preserve"> HYPERLINK \l "_Toc136956859" </w:instrText>
          </w:r>
          <w:r>
            <w:fldChar w:fldCharType="separate"/>
          </w:r>
          <w:r>
            <w:rPr>
              <w:rStyle w:val="43"/>
            </w:rPr>
            <w:t>8.9</w:t>
          </w:r>
          <w:r>
            <w:rPr>
              <w:rFonts w:asciiTheme="minorHAnsi" w:hAnsiTheme="minorHAnsi" w:eastAsiaTheme="minorEastAsia" w:cstheme="minorBidi"/>
              <w:kern w:val="2"/>
              <w:sz w:val="21"/>
            </w:rPr>
            <w:tab/>
          </w:r>
          <w:r>
            <w:rPr>
              <w:rStyle w:val="43"/>
            </w:rPr>
            <w:t>资质要求</w:t>
          </w:r>
          <w:r>
            <w:tab/>
          </w:r>
          <w:r>
            <w:fldChar w:fldCharType="begin"/>
          </w:r>
          <w:r>
            <w:instrText xml:space="preserve"> PAGEREF _Toc136956859 \h </w:instrText>
          </w:r>
          <w:r>
            <w:fldChar w:fldCharType="separate"/>
          </w:r>
          <w:r>
            <w:t>77</w:t>
          </w:r>
          <w:r>
            <w:fldChar w:fldCharType="end"/>
          </w:r>
          <w:r>
            <w:fldChar w:fldCharType="end"/>
          </w:r>
        </w:p>
        <w:p w14:paraId="4EDA2FFC">
          <w:pPr>
            <w:pStyle w:val="30"/>
            <w:rPr>
              <w:rFonts w:asciiTheme="minorHAnsi" w:hAnsiTheme="minorHAnsi" w:eastAsiaTheme="minorEastAsia" w:cstheme="minorBidi"/>
              <w:kern w:val="2"/>
              <w:sz w:val="21"/>
            </w:rPr>
          </w:pPr>
          <w:r>
            <w:fldChar w:fldCharType="begin"/>
          </w:r>
          <w:r>
            <w:instrText xml:space="preserve"> HYPERLINK \l "_Toc136956860" </w:instrText>
          </w:r>
          <w:r>
            <w:fldChar w:fldCharType="separate"/>
          </w:r>
          <w:r>
            <w:rPr>
              <w:rStyle w:val="43"/>
            </w:rPr>
            <w:t>8.10</w:t>
          </w:r>
          <w:r>
            <w:rPr>
              <w:rFonts w:asciiTheme="minorHAnsi" w:hAnsiTheme="minorHAnsi" w:eastAsiaTheme="minorEastAsia" w:cstheme="minorBidi"/>
              <w:kern w:val="2"/>
              <w:sz w:val="21"/>
            </w:rPr>
            <w:tab/>
          </w:r>
          <w:r>
            <w:rPr>
              <w:rStyle w:val="43"/>
            </w:rPr>
            <w:t>总承包商需提交资料说明</w:t>
          </w:r>
          <w:r>
            <w:tab/>
          </w:r>
          <w:r>
            <w:fldChar w:fldCharType="begin"/>
          </w:r>
          <w:r>
            <w:instrText xml:space="preserve"> PAGEREF _Toc136956860 \h </w:instrText>
          </w:r>
          <w:r>
            <w:fldChar w:fldCharType="separate"/>
          </w:r>
          <w:r>
            <w:t>77</w:t>
          </w:r>
          <w:r>
            <w:fldChar w:fldCharType="end"/>
          </w:r>
          <w:r>
            <w:fldChar w:fldCharType="end"/>
          </w:r>
        </w:p>
        <w:p w14:paraId="0757A289">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"_Toc136956861" </w:instrText>
          </w:r>
          <w:r>
            <w:fldChar w:fldCharType="separate"/>
          </w:r>
          <w:r>
            <w:rPr>
              <w:rStyle w:val="43"/>
            </w:rPr>
            <w:t>第9篇</w:t>
          </w:r>
          <w:r>
            <w:rPr>
              <w:rFonts w:asciiTheme="minorHAnsi" w:hAnsiTheme="minorHAnsi" w:eastAsiaTheme="minorEastAsia" w:cstheme="minorBidi"/>
              <w:kern w:val="2"/>
              <w:sz w:val="21"/>
            </w:rPr>
            <w:tab/>
          </w:r>
          <w:r>
            <w:rPr>
              <w:rStyle w:val="43"/>
            </w:rPr>
            <w:t>砌体工程技术要求</w:t>
          </w:r>
          <w:r>
            <w:tab/>
          </w:r>
          <w:r>
            <w:fldChar w:fldCharType="begin"/>
          </w:r>
          <w:r>
            <w:instrText xml:space="preserve"> PAGEREF _Toc136956861 \h </w:instrText>
          </w:r>
          <w:r>
            <w:fldChar w:fldCharType="separate"/>
          </w:r>
          <w:r>
            <w:t>78</w:t>
          </w:r>
          <w:r>
            <w:fldChar w:fldCharType="end"/>
          </w:r>
          <w:r>
            <w:fldChar w:fldCharType="end"/>
          </w:r>
        </w:p>
        <w:p w14:paraId="51B72947">
          <w:pPr>
            <w:pStyle w:val="30"/>
            <w:rPr>
              <w:rFonts w:asciiTheme="minorHAnsi" w:hAnsiTheme="minorHAnsi" w:eastAsiaTheme="minorEastAsia" w:cstheme="minorBidi"/>
              <w:kern w:val="2"/>
              <w:sz w:val="21"/>
            </w:rPr>
          </w:pPr>
          <w:r>
            <w:fldChar w:fldCharType="begin"/>
          </w:r>
          <w:r>
            <w:instrText xml:space="preserve"> HYPERLINK \l "_Toc136956862" </w:instrText>
          </w:r>
          <w:r>
            <w:fldChar w:fldCharType="separate"/>
          </w:r>
          <w:r>
            <w:rPr>
              <w:rStyle w:val="43"/>
            </w:rPr>
            <w:t>9.1</w:t>
          </w:r>
          <w:r>
            <w:rPr>
              <w:rFonts w:asciiTheme="minorHAnsi" w:hAnsiTheme="minorHAnsi" w:eastAsiaTheme="minorEastAsia" w:cstheme="minorBidi"/>
              <w:kern w:val="2"/>
              <w:sz w:val="21"/>
            </w:rPr>
            <w:tab/>
          </w:r>
          <w:r>
            <w:rPr>
              <w:rStyle w:val="43"/>
            </w:rPr>
            <w:t>概说</w:t>
          </w:r>
          <w:r>
            <w:tab/>
          </w:r>
          <w:r>
            <w:fldChar w:fldCharType="begin"/>
          </w:r>
          <w:r>
            <w:instrText xml:space="preserve"> PAGEREF _Toc136956862 \h </w:instrText>
          </w:r>
          <w:r>
            <w:fldChar w:fldCharType="separate"/>
          </w:r>
          <w:r>
            <w:t>78</w:t>
          </w:r>
          <w:r>
            <w:fldChar w:fldCharType="end"/>
          </w:r>
          <w:r>
            <w:fldChar w:fldCharType="end"/>
          </w:r>
        </w:p>
        <w:p w14:paraId="6043F1EE">
          <w:pPr>
            <w:pStyle w:val="30"/>
            <w:rPr>
              <w:rFonts w:asciiTheme="minorHAnsi" w:hAnsiTheme="minorHAnsi" w:eastAsiaTheme="minorEastAsia" w:cstheme="minorBidi"/>
              <w:kern w:val="2"/>
              <w:sz w:val="21"/>
            </w:rPr>
          </w:pPr>
          <w:r>
            <w:fldChar w:fldCharType="begin"/>
          </w:r>
          <w:r>
            <w:instrText xml:space="preserve"> HYPERLINK \l "_Toc136956863" </w:instrText>
          </w:r>
          <w:r>
            <w:fldChar w:fldCharType="separate"/>
          </w:r>
          <w:r>
            <w:rPr>
              <w:rStyle w:val="43"/>
            </w:rPr>
            <w:t>9.2</w:t>
          </w:r>
          <w:r>
            <w:rPr>
              <w:rFonts w:asciiTheme="minorHAnsi" w:hAnsiTheme="minorHAnsi" w:eastAsiaTheme="minorEastAsia" w:cstheme="minorBidi"/>
              <w:kern w:val="2"/>
              <w:sz w:val="21"/>
            </w:rPr>
            <w:tab/>
          </w:r>
          <w:r>
            <w:rPr>
              <w:rStyle w:val="43"/>
            </w:rPr>
            <w:t>材料</w:t>
          </w:r>
          <w:r>
            <w:tab/>
          </w:r>
          <w:r>
            <w:fldChar w:fldCharType="begin"/>
          </w:r>
          <w:r>
            <w:instrText xml:space="preserve"> PAGEREF _Toc136956863 \h </w:instrText>
          </w:r>
          <w:r>
            <w:fldChar w:fldCharType="separate"/>
          </w:r>
          <w:r>
            <w:t>78</w:t>
          </w:r>
          <w:r>
            <w:fldChar w:fldCharType="end"/>
          </w:r>
          <w:r>
            <w:fldChar w:fldCharType="end"/>
          </w:r>
        </w:p>
        <w:p w14:paraId="51CF5547">
          <w:pPr>
            <w:pStyle w:val="30"/>
            <w:rPr>
              <w:rFonts w:asciiTheme="minorHAnsi" w:hAnsiTheme="minorHAnsi" w:eastAsiaTheme="minorEastAsia" w:cstheme="minorBidi"/>
              <w:kern w:val="2"/>
              <w:sz w:val="21"/>
            </w:rPr>
          </w:pPr>
          <w:r>
            <w:fldChar w:fldCharType="begin"/>
          </w:r>
          <w:r>
            <w:instrText xml:space="preserve"> HYPERLINK \l "_Toc136956864" </w:instrText>
          </w:r>
          <w:r>
            <w:fldChar w:fldCharType="separate"/>
          </w:r>
          <w:r>
            <w:rPr>
              <w:rStyle w:val="43"/>
            </w:rPr>
            <w:t>9.3</w:t>
          </w:r>
          <w:r>
            <w:rPr>
              <w:rFonts w:asciiTheme="minorHAnsi" w:hAnsiTheme="minorHAnsi" w:eastAsiaTheme="minorEastAsia" w:cstheme="minorBidi"/>
              <w:kern w:val="2"/>
              <w:sz w:val="21"/>
            </w:rPr>
            <w:tab/>
          </w:r>
          <w:r>
            <w:rPr>
              <w:rStyle w:val="43"/>
            </w:rPr>
            <w:t>砂浆</w:t>
          </w:r>
          <w:r>
            <w:tab/>
          </w:r>
          <w:r>
            <w:fldChar w:fldCharType="begin"/>
          </w:r>
          <w:r>
            <w:instrText xml:space="preserve"> PAGEREF _Toc136956864 \h </w:instrText>
          </w:r>
          <w:r>
            <w:fldChar w:fldCharType="separate"/>
          </w:r>
          <w:r>
            <w:t>79</w:t>
          </w:r>
          <w:r>
            <w:fldChar w:fldCharType="end"/>
          </w:r>
          <w:r>
            <w:fldChar w:fldCharType="end"/>
          </w:r>
        </w:p>
        <w:p w14:paraId="30D8F04D">
          <w:pPr>
            <w:pStyle w:val="30"/>
            <w:rPr>
              <w:rFonts w:asciiTheme="minorHAnsi" w:hAnsiTheme="minorHAnsi" w:eastAsiaTheme="minorEastAsia" w:cstheme="minorBidi"/>
              <w:kern w:val="2"/>
              <w:sz w:val="21"/>
            </w:rPr>
          </w:pPr>
          <w:r>
            <w:fldChar w:fldCharType="begin"/>
          </w:r>
          <w:r>
            <w:instrText xml:space="preserve"> HYPERLINK \l "_Toc136956865" </w:instrText>
          </w:r>
          <w:r>
            <w:fldChar w:fldCharType="separate"/>
          </w:r>
          <w:r>
            <w:rPr>
              <w:rStyle w:val="43"/>
            </w:rPr>
            <w:t>9.4</w:t>
          </w:r>
          <w:r>
            <w:rPr>
              <w:rFonts w:asciiTheme="minorHAnsi" w:hAnsiTheme="minorHAnsi" w:eastAsiaTheme="minorEastAsia" w:cstheme="minorBidi"/>
              <w:kern w:val="2"/>
              <w:sz w:val="21"/>
            </w:rPr>
            <w:tab/>
          </w:r>
          <w:r>
            <w:rPr>
              <w:rStyle w:val="43"/>
            </w:rPr>
            <w:t>操作工艺</w:t>
          </w:r>
          <w:r>
            <w:tab/>
          </w:r>
          <w:r>
            <w:fldChar w:fldCharType="begin"/>
          </w:r>
          <w:r>
            <w:instrText xml:space="preserve"> PAGEREF _Toc136956865 \h </w:instrText>
          </w:r>
          <w:r>
            <w:fldChar w:fldCharType="separate"/>
          </w:r>
          <w:r>
            <w:t>81</w:t>
          </w:r>
          <w:r>
            <w:fldChar w:fldCharType="end"/>
          </w:r>
          <w:r>
            <w:fldChar w:fldCharType="end"/>
          </w:r>
        </w:p>
        <w:p w14:paraId="092A357C">
          <w:pPr>
            <w:pStyle w:val="30"/>
            <w:rPr>
              <w:rFonts w:asciiTheme="minorHAnsi" w:hAnsiTheme="minorHAnsi" w:eastAsiaTheme="minorEastAsia" w:cstheme="minorBidi"/>
              <w:kern w:val="2"/>
              <w:sz w:val="21"/>
            </w:rPr>
          </w:pPr>
          <w:r>
            <w:fldChar w:fldCharType="begin"/>
          </w:r>
          <w:r>
            <w:instrText xml:space="preserve"> HYPERLINK \l "_Toc136956866" </w:instrText>
          </w:r>
          <w:r>
            <w:fldChar w:fldCharType="separate"/>
          </w:r>
          <w:r>
            <w:rPr>
              <w:rStyle w:val="43"/>
            </w:rPr>
            <w:t>9.5</w:t>
          </w:r>
          <w:r>
            <w:rPr>
              <w:rFonts w:asciiTheme="minorHAnsi" w:hAnsiTheme="minorHAnsi" w:eastAsiaTheme="minorEastAsia" w:cstheme="minorBidi"/>
              <w:kern w:val="2"/>
              <w:sz w:val="21"/>
            </w:rPr>
            <w:tab/>
          </w:r>
          <w:r>
            <w:rPr>
              <w:rStyle w:val="43"/>
            </w:rPr>
            <w:t>砖胎膜防护技术要求</w:t>
          </w:r>
          <w:r>
            <w:tab/>
          </w:r>
          <w:r>
            <w:fldChar w:fldCharType="begin"/>
          </w:r>
          <w:r>
            <w:instrText xml:space="preserve"> PAGEREF _Toc136956866 \h </w:instrText>
          </w:r>
          <w:r>
            <w:fldChar w:fldCharType="separate"/>
          </w:r>
          <w:r>
            <w:t>84</w:t>
          </w:r>
          <w:r>
            <w:fldChar w:fldCharType="end"/>
          </w:r>
          <w:r>
            <w:fldChar w:fldCharType="end"/>
          </w:r>
        </w:p>
        <w:p w14:paraId="562DC227">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"_Toc136956871" </w:instrText>
          </w:r>
          <w:r>
            <w:fldChar w:fldCharType="separate"/>
          </w:r>
          <w:r>
            <w:rPr>
              <w:rStyle w:val="43"/>
              <w:lang w:val="zh-CN"/>
            </w:rPr>
            <w:t>第10篇</w:t>
          </w:r>
          <w:r>
            <w:rPr>
              <w:rFonts w:asciiTheme="minorHAnsi" w:hAnsiTheme="minorHAnsi" w:eastAsiaTheme="minorEastAsia" w:cstheme="minorBidi"/>
              <w:kern w:val="2"/>
              <w:sz w:val="21"/>
            </w:rPr>
            <w:tab/>
          </w:r>
          <w:r>
            <w:rPr>
              <w:rStyle w:val="43"/>
              <w:lang w:val="zh-CN"/>
            </w:rPr>
            <w:t>耐磨地面技术要求</w:t>
          </w:r>
          <w:r>
            <w:tab/>
          </w:r>
          <w:r>
            <w:fldChar w:fldCharType="begin"/>
          </w:r>
          <w:r>
            <w:instrText xml:space="preserve"> PAGEREF _Toc136956871 \h </w:instrText>
          </w:r>
          <w:r>
            <w:fldChar w:fldCharType="separate"/>
          </w:r>
          <w:r>
            <w:t>85</w:t>
          </w:r>
          <w:r>
            <w:fldChar w:fldCharType="end"/>
          </w:r>
          <w:r>
            <w:fldChar w:fldCharType="end"/>
          </w:r>
        </w:p>
        <w:p w14:paraId="6D460AAC">
          <w:pPr>
            <w:pStyle w:val="30"/>
            <w:rPr>
              <w:rFonts w:asciiTheme="minorHAnsi" w:hAnsiTheme="minorHAnsi" w:eastAsiaTheme="minorEastAsia" w:cstheme="minorBidi"/>
              <w:kern w:val="2"/>
              <w:sz w:val="21"/>
            </w:rPr>
          </w:pPr>
          <w:r>
            <w:fldChar w:fldCharType="begin"/>
          </w:r>
          <w:r>
            <w:instrText xml:space="preserve"> HYPERLINK \l "_Toc136956872" </w:instrText>
          </w:r>
          <w:r>
            <w:fldChar w:fldCharType="separate"/>
          </w:r>
          <w:r>
            <w:rPr>
              <w:rStyle w:val="43"/>
            </w:rPr>
            <w:t>10.1</w:t>
          </w:r>
          <w:r>
            <w:rPr>
              <w:rFonts w:asciiTheme="minorHAnsi" w:hAnsiTheme="minorHAnsi" w:eastAsiaTheme="minorEastAsia" w:cstheme="minorBidi"/>
              <w:kern w:val="2"/>
              <w:sz w:val="21"/>
            </w:rPr>
            <w:tab/>
          </w:r>
          <w:r>
            <w:rPr>
              <w:rStyle w:val="43"/>
            </w:rPr>
            <w:t>标准依据</w:t>
          </w:r>
          <w:r>
            <w:tab/>
          </w:r>
          <w:r>
            <w:fldChar w:fldCharType="begin"/>
          </w:r>
          <w:r>
            <w:instrText xml:space="preserve"> PAGEREF _Toc136956872 \h </w:instrText>
          </w:r>
          <w:r>
            <w:fldChar w:fldCharType="separate"/>
          </w:r>
          <w:r>
            <w:t>85</w:t>
          </w:r>
          <w:r>
            <w:fldChar w:fldCharType="end"/>
          </w:r>
          <w:r>
            <w:fldChar w:fldCharType="end"/>
          </w:r>
        </w:p>
        <w:p w14:paraId="1D4BE4DA">
          <w:pPr>
            <w:pStyle w:val="30"/>
            <w:rPr>
              <w:rFonts w:asciiTheme="minorHAnsi" w:hAnsiTheme="minorHAnsi" w:eastAsiaTheme="minorEastAsia" w:cstheme="minorBidi"/>
              <w:kern w:val="2"/>
              <w:sz w:val="21"/>
            </w:rPr>
          </w:pPr>
          <w:r>
            <w:fldChar w:fldCharType="begin"/>
          </w:r>
          <w:r>
            <w:instrText xml:space="preserve"> HYPERLINK \l "_Toc136956873" </w:instrText>
          </w:r>
          <w:r>
            <w:fldChar w:fldCharType="separate"/>
          </w:r>
          <w:r>
            <w:rPr>
              <w:rStyle w:val="43"/>
            </w:rPr>
            <w:t>10.2</w:t>
          </w:r>
          <w:r>
            <w:rPr>
              <w:rFonts w:asciiTheme="minorHAnsi" w:hAnsiTheme="minorHAnsi" w:eastAsiaTheme="minorEastAsia" w:cstheme="minorBidi"/>
              <w:kern w:val="2"/>
              <w:sz w:val="21"/>
            </w:rPr>
            <w:tab/>
          </w:r>
          <w:r>
            <w:rPr>
              <w:rStyle w:val="43"/>
            </w:rPr>
            <w:t>地坪材料要求</w:t>
          </w:r>
          <w:r>
            <w:tab/>
          </w:r>
          <w:r>
            <w:fldChar w:fldCharType="begin"/>
          </w:r>
          <w:r>
            <w:instrText xml:space="preserve"> PAGEREF _Toc136956873 \h </w:instrText>
          </w:r>
          <w:r>
            <w:fldChar w:fldCharType="separate"/>
          </w:r>
          <w:r>
            <w:t>85</w:t>
          </w:r>
          <w:r>
            <w:fldChar w:fldCharType="end"/>
          </w:r>
          <w:r>
            <w:fldChar w:fldCharType="end"/>
          </w:r>
        </w:p>
        <w:p w14:paraId="1AD6B5E4">
          <w:pPr>
            <w:pStyle w:val="30"/>
            <w:rPr>
              <w:rFonts w:asciiTheme="minorHAnsi" w:hAnsiTheme="minorHAnsi" w:eastAsiaTheme="minorEastAsia" w:cstheme="minorBidi"/>
              <w:kern w:val="2"/>
              <w:sz w:val="21"/>
            </w:rPr>
          </w:pPr>
          <w:r>
            <w:fldChar w:fldCharType="begin"/>
          </w:r>
          <w:r>
            <w:instrText xml:space="preserve"> HYPERLINK \l "_Toc136956874" </w:instrText>
          </w:r>
          <w:r>
            <w:fldChar w:fldCharType="separate"/>
          </w:r>
          <w:r>
            <w:rPr>
              <w:rStyle w:val="43"/>
            </w:rPr>
            <w:t>10.3</w:t>
          </w:r>
          <w:r>
            <w:rPr>
              <w:rFonts w:asciiTheme="minorHAnsi" w:hAnsiTheme="minorHAnsi" w:eastAsiaTheme="minorEastAsia" w:cstheme="minorBidi"/>
              <w:kern w:val="2"/>
              <w:sz w:val="21"/>
            </w:rPr>
            <w:tab/>
          </w:r>
          <w:r>
            <w:rPr>
              <w:rStyle w:val="43"/>
            </w:rPr>
            <w:t>工程交付标准</w:t>
          </w:r>
          <w:r>
            <w:tab/>
          </w:r>
          <w:r>
            <w:fldChar w:fldCharType="begin"/>
          </w:r>
          <w:r>
            <w:instrText xml:space="preserve"> PAGEREF _Toc136956874 \h </w:instrText>
          </w:r>
          <w:r>
            <w:fldChar w:fldCharType="separate"/>
          </w:r>
          <w:r>
            <w:t>86</w:t>
          </w:r>
          <w:r>
            <w:fldChar w:fldCharType="end"/>
          </w:r>
          <w:r>
            <w:fldChar w:fldCharType="end"/>
          </w:r>
        </w:p>
        <w:p w14:paraId="5F44A6C2">
          <w:pPr>
            <w:pStyle w:val="26"/>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"_Toc136956875" </w:instrText>
          </w:r>
          <w:r>
            <w:fldChar w:fldCharType="separate"/>
          </w:r>
          <w:r>
            <w:rPr>
              <w:rStyle w:val="43"/>
              <w:rFonts w:ascii="Times New Roman" w:hAnsi="Times New Roman"/>
            </w:rPr>
            <w:t>第11篇</w:t>
          </w:r>
          <w:r>
            <w:rPr>
              <w:rFonts w:asciiTheme="minorHAnsi" w:hAnsiTheme="minorHAnsi" w:eastAsiaTheme="minorEastAsia" w:cstheme="minorBidi"/>
              <w:kern w:val="2"/>
              <w:sz w:val="21"/>
            </w:rPr>
            <w:tab/>
          </w:r>
          <w:r>
            <w:rPr>
              <w:rStyle w:val="43"/>
            </w:rPr>
            <w:t>泡沫混凝土技术要求</w:t>
          </w:r>
          <w:r>
            <w:tab/>
          </w:r>
          <w:r>
            <w:fldChar w:fldCharType="begin"/>
          </w:r>
          <w:r>
            <w:instrText xml:space="preserve"> PAGEREF _Toc136956875 \h </w:instrText>
          </w:r>
          <w:r>
            <w:fldChar w:fldCharType="separate"/>
          </w:r>
          <w:r>
            <w:t>89</w:t>
          </w:r>
          <w:r>
            <w:fldChar w:fldCharType="end"/>
          </w:r>
          <w:r>
            <w:fldChar w:fldCharType="end"/>
          </w:r>
        </w:p>
        <w:p w14:paraId="574DA5D9">
          <w:pPr>
            <w:pStyle w:val="30"/>
            <w:rPr>
              <w:rFonts w:asciiTheme="minorHAnsi" w:hAnsiTheme="minorHAnsi" w:eastAsiaTheme="minorEastAsia" w:cstheme="minorBidi"/>
              <w:kern w:val="2"/>
              <w:sz w:val="21"/>
            </w:rPr>
          </w:pPr>
          <w:r>
            <w:fldChar w:fldCharType="begin"/>
          </w:r>
          <w:r>
            <w:instrText xml:space="preserve"> HYPERLINK \l "_Toc136956876" </w:instrText>
          </w:r>
          <w:r>
            <w:fldChar w:fldCharType="separate"/>
          </w:r>
          <w:r>
            <w:rPr>
              <w:rStyle w:val="43"/>
            </w:rPr>
            <w:t>11.1</w:t>
          </w:r>
          <w:r>
            <w:rPr>
              <w:rFonts w:asciiTheme="minorHAnsi" w:hAnsiTheme="minorHAnsi" w:eastAsiaTheme="minorEastAsia" w:cstheme="minorBidi"/>
              <w:kern w:val="2"/>
              <w:sz w:val="21"/>
            </w:rPr>
            <w:tab/>
          </w:r>
          <w:r>
            <w:rPr>
              <w:rStyle w:val="43"/>
            </w:rPr>
            <w:t>总则</w:t>
          </w:r>
          <w:r>
            <w:tab/>
          </w:r>
          <w:r>
            <w:fldChar w:fldCharType="begin"/>
          </w:r>
          <w:r>
            <w:instrText xml:space="preserve"> PAGEREF _Toc136956876 \h </w:instrText>
          </w:r>
          <w:r>
            <w:fldChar w:fldCharType="separate"/>
          </w:r>
          <w:r>
            <w:t>89</w:t>
          </w:r>
          <w:r>
            <w:fldChar w:fldCharType="end"/>
          </w:r>
          <w:r>
            <w:fldChar w:fldCharType="end"/>
          </w:r>
        </w:p>
        <w:p w14:paraId="076B4DC1">
          <w:pPr>
            <w:pStyle w:val="30"/>
            <w:rPr>
              <w:rFonts w:asciiTheme="minorHAnsi" w:hAnsiTheme="minorHAnsi" w:eastAsiaTheme="minorEastAsia" w:cstheme="minorBidi"/>
              <w:kern w:val="2"/>
              <w:sz w:val="21"/>
            </w:rPr>
          </w:pPr>
          <w:r>
            <w:fldChar w:fldCharType="begin"/>
          </w:r>
          <w:r>
            <w:instrText xml:space="preserve"> HYPERLINK \l "_Toc136956877" </w:instrText>
          </w:r>
          <w:r>
            <w:fldChar w:fldCharType="separate"/>
          </w:r>
          <w:r>
            <w:rPr>
              <w:rStyle w:val="43"/>
            </w:rPr>
            <w:t>11.2</w:t>
          </w:r>
          <w:r>
            <w:rPr>
              <w:rFonts w:asciiTheme="minorHAnsi" w:hAnsiTheme="minorHAnsi" w:eastAsiaTheme="minorEastAsia" w:cstheme="minorBidi"/>
              <w:kern w:val="2"/>
              <w:sz w:val="21"/>
            </w:rPr>
            <w:tab/>
          </w:r>
          <w:r>
            <w:rPr>
              <w:rStyle w:val="43"/>
            </w:rPr>
            <w:t>材料</w:t>
          </w:r>
          <w:r>
            <w:tab/>
          </w:r>
          <w:r>
            <w:fldChar w:fldCharType="begin"/>
          </w:r>
          <w:r>
            <w:instrText xml:space="preserve"> PAGEREF _Toc136956877 \h </w:instrText>
          </w:r>
          <w:r>
            <w:fldChar w:fldCharType="separate"/>
          </w:r>
          <w:r>
            <w:t>89</w:t>
          </w:r>
          <w:r>
            <w:fldChar w:fldCharType="end"/>
          </w:r>
          <w:r>
            <w:fldChar w:fldCharType="end"/>
          </w:r>
        </w:p>
        <w:p w14:paraId="51A58FF2">
          <w:pPr>
            <w:pStyle w:val="30"/>
            <w:rPr>
              <w:rFonts w:asciiTheme="minorHAnsi" w:hAnsiTheme="minorHAnsi" w:eastAsiaTheme="minorEastAsia" w:cstheme="minorBidi"/>
              <w:kern w:val="2"/>
              <w:sz w:val="21"/>
            </w:rPr>
          </w:pPr>
          <w:r>
            <w:fldChar w:fldCharType="begin"/>
          </w:r>
          <w:r>
            <w:instrText xml:space="preserve"> HYPERLINK \l "_Toc136956878" </w:instrText>
          </w:r>
          <w:r>
            <w:fldChar w:fldCharType="separate"/>
          </w:r>
          <w:r>
            <w:rPr>
              <w:rStyle w:val="43"/>
            </w:rPr>
            <w:t>11.3</w:t>
          </w:r>
          <w:r>
            <w:rPr>
              <w:rFonts w:asciiTheme="minorHAnsi" w:hAnsiTheme="minorHAnsi" w:eastAsiaTheme="minorEastAsia" w:cstheme="minorBidi"/>
              <w:kern w:val="2"/>
              <w:sz w:val="21"/>
            </w:rPr>
            <w:tab/>
          </w:r>
          <w:r>
            <w:rPr>
              <w:rStyle w:val="43"/>
            </w:rPr>
            <w:t>配合比</w:t>
          </w:r>
          <w:r>
            <w:tab/>
          </w:r>
          <w:r>
            <w:fldChar w:fldCharType="begin"/>
          </w:r>
          <w:r>
            <w:instrText xml:space="preserve"> PAGEREF _Toc136956878 \h </w:instrText>
          </w:r>
          <w:r>
            <w:fldChar w:fldCharType="separate"/>
          </w:r>
          <w:r>
            <w:t>90</w:t>
          </w:r>
          <w:r>
            <w:fldChar w:fldCharType="end"/>
          </w:r>
          <w:r>
            <w:fldChar w:fldCharType="end"/>
          </w:r>
        </w:p>
        <w:p w14:paraId="46A5089D">
          <w:pPr>
            <w:pStyle w:val="30"/>
            <w:rPr>
              <w:rFonts w:asciiTheme="minorHAnsi" w:hAnsiTheme="minorHAnsi" w:eastAsiaTheme="minorEastAsia" w:cstheme="minorBidi"/>
              <w:kern w:val="2"/>
              <w:sz w:val="21"/>
            </w:rPr>
          </w:pPr>
          <w:r>
            <w:fldChar w:fldCharType="begin"/>
          </w:r>
          <w:r>
            <w:instrText xml:space="preserve"> HYPERLINK \l "_Toc136956879" </w:instrText>
          </w:r>
          <w:r>
            <w:fldChar w:fldCharType="separate"/>
          </w:r>
          <w:r>
            <w:rPr>
              <w:rStyle w:val="43"/>
            </w:rPr>
            <w:t>11.4</w:t>
          </w:r>
          <w:r>
            <w:rPr>
              <w:rFonts w:asciiTheme="minorHAnsi" w:hAnsiTheme="minorHAnsi" w:eastAsiaTheme="minorEastAsia" w:cstheme="minorBidi"/>
              <w:kern w:val="2"/>
              <w:sz w:val="21"/>
            </w:rPr>
            <w:tab/>
          </w:r>
          <w:r>
            <w:rPr>
              <w:rStyle w:val="43"/>
            </w:rPr>
            <w:t>性能要求</w:t>
          </w:r>
          <w:r>
            <w:tab/>
          </w:r>
          <w:r>
            <w:fldChar w:fldCharType="begin"/>
          </w:r>
          <w:r>
            <w:instrText xml:space="preserve"> PAGEREF _Toc136956879 \h </w:instrText>
          </w:r>
          <w:r>
            <w:fldChar w:fldCharType="separate"/>
          </w:r>
          <w:r>
            <w:t>90</w:t>
          </w:r>
          <w:r>
            <w:fldChar w:fldCharType="end"/>
          </w:r>
          <w:r>
            <w:fldChar w:fldCharType="end"/>
          </w:r>
        </w:p>
        <w:p w14:paraId="407D0F1C">
          <w:pPr>
            <w:pStyle w:val="30"/>
            <w:rPr>
              <w:rFonts w:asciiTheme="minorHAnsi" w:hAnsiTheme="minorHAnsi" w:eastAsiaTheme="minorEastAsia" w:cstheme="minorBidi"/>
              <w:kern w:val="2"/>
              <w:sz w:val="21"/>
            </w:rPr>
          </w:pPr>
          <w:r>
            <w:fldChar w:fldCharType="begin"/>
          </w:r>
          <w:r>
            <w:instrText xml:space="preserve"> HYPERLINK \l "_Toc136956880" </w:instrText>
          </w:r>
          <w:r>
            <w:fldChar w:fldCharType="separate"/>
          </w:r>
          <w:r>
            <w:rPr>
              <w:rStyle w:val="43"/>
            </w:rPr>
            <w:t>11.5</w:t>
          </w:r>
          <w:r>
            <w:rPr>
              <w:rFonts w:asciiTheme="minorHAnsi" w:hAnsiTheme="minorHAnsi" w:eastAsiaTheme="minorEastAsia" w:cstheme="minorBidi"/>
              <w:kern w:val="2"/>
              <w:sz w:val="21"/>
            </w:rPr>
            <w:tab/>
          </w:r>
          <w:r>
            <w:rPr>
              <w:rStyle w:val="43"/>
            </w:rPr>
            <w:t>应用场景</w:t>
          </w:r>
          <w:r>
            <w:tab/>
          </w:r>
          <w:r>
            <w:fldChar w:fldCharType="begin"/>
          </w:r>
          <w:r>
            <w:instrText xml:space="preserve"> PAGEREF _Toc136956880 \h </w:instrText>
          </w:r>
          <w:r>
            <w:fldChar w:fldCharType="separate"/>
          </w:r>
          <w:r>
            <w:t>91</w:t>
          </w:r>
          <w:r>
            <w:fldChar w:fldCharType="end"/>
          </w:r>
          <w:r>
            <w:fldChar w:fldCharType="end"/>
          </w:r>
        </w:p>
        <w:p w14:paraId="121124A2">
          <w:pPr>
            <w:pStyle w:val="30"/>
            <w:rPr>
              <w:rFonts w:asciiTheme="minorHAnsi" w:hAnsiTheme="minorHAnsi" w:eastAsiaTheme="minorEastAsia" w:cstheme="minorBidi"/>
              <w:kern w:val="2"/>
              <w:sz w:val="21"/>
            </w:rPr>
          </w:pPr>
          <w:r>
            <w:fldChar w:fldCharType="begin"/>
          </w:r>
          <w:r>
            <w:instrText xml:space="preserve"> HYPERLINK \l "_Toc136956881" </w:instrText>
          </w:r>
          <w:r>
            <w:fldChar w:fldCharType="separate"/>
          </w:r>
          <w:r>
            <w:rPr>
              <w:rStyle w:val="43"/>
              <w:kern w:val="44"/>
            </w:rPr>
            <w:t>11.6</w:t>
          </w:r>
          <w:r>
            <w:rPr>
              <w:rFonts w:asciiTheme="minorHAnsi" w:hAnsiTheme="minorHAnsi" w:eastAsiaTheme="minorEastAsia" w:cstheme="minorBidi"/>
              <w:kern w:val="2"/>
              <w:sz w:val="21"/>
            </w:rPr>
            <w:tab/>
          </w:r>
          <w:r>
            <w:rPr>
              <w:rStyle w:val="43"/>
            </w:rPr>
            <w:t>施工要求</w:t>
          </w:r>
          <w:r>
            <w:tab/>
          </w:r>
          <w:r>
            <w:fldChar w:fldCharType="begin"/>
          </w:r>
          <w:r>
            <w:instrText xml:space="preserve"> PAGEREF _Toc136956881 \h </w:instrText>
          </w:r>
          <w:r>
            <w:fldChar w:fldCharType="separate"/>
          </w:r>
          <w:r>
            <w:t>91</w:t>
          </w:r>
          <w:r>
            <w:fldChar w:fldCharType="end"/>
          </w:r>
          <w:r>
            <w:fldChar w:fldCharType="end"/>
          </w:r>
        </w:p>
        <w:p w14:paraId="5181672E">
          <w:pPr>
            <w:pStyle w:val="30"/>
            <w:rPr>
              <w:rFonts w:asciiTheme="minorHAnsi" w:hAnsiTheme="minorHAnsi" w:eastAsiaTheme="minorEastAsia" w:cstheme="minorBidi"/>
              <w:kern w:val="2"/>
              <w:sz w:val="21"/>
            </w:rPr>
          </w:pPr>
          <w:r>
            <w:fldChar w:fldCharType="begin"/>
          </w:r>
          <w:r>
            <w:instrText xml:space="preserve"> HYPERLINK \l "_Toc136956882" </w:instrText>
          </w:r>
          <w:r>
            <w:fldChar w:fldCharType="separate"/>
          </w:r>
          <w:r>
            <w:rPr>
              <w:rStyle w:val="43"/>
            </w:rPr>
            <w:t>11.7</w:t>
          </w:r>
          <w:r>
            <w:rPr>
              <w:rFonts w:asciiTheme="minorHAnsi" w:hAnsiTheme="minorHAnsi" w:eastAsiaTheme="minorEastAsia" w:cstheme="minorBidi"/>
              <w:kern w:val="2"/>
              <w:sz w:val="21"/>
            </w:rPr>
            <w:tab/>
          </w:r>
          <w:r>
            <w:rPr>
              <w:rStyle w:val="43"/>
            </w:rPr>
            <w:t>验  收</w:t>
          </w:r>
          <w:r>
            <w:tab/>
          </w:r>
          <w:r>
            <w:fldChar w:fldCharType="begin"/>
          </w:r>
          <w:r>
            <w:instrText xml:space="preserve"> PAGEREF _Toc136956882 \h </w:instrText>
          </w:r>
          <w:r>
            <w:fldChar w:fldCharType="separate"/>
          </w:r>
          <w:r>
            <w:t>92</w:t>
          </w:r>
          <w:r>
            <w:fldChar w:fldCharType="end"/>
          </w:r>
          <w:r>
            <w:fldChar w:fldCharType="end"/>
          </w:r>
        </w:p>
        <w:p w14:paraId="37A93670">
          <w:pPr>
            <w:pStyle w:val="30"/>
            <w:rPr>
              <w:rFonts w:asciiTheme="minorHAnsi" w:hAnsiTheme="minorHAnsi" w:eastAsiaTheme="minorEastAsia" w:cstheme="minorBidi"/>
              <w:kern w:val="2"/>
              <w:sz w:val="21"/>
            </w:rPr>
          </w:pPr>
          <w:r>
            <w:fldChar w:fldCharType="begin"/>
          </w:r>
          <w:r>
            <w:instrText xml:space="preserve"> HYPERLINK \l "_Toc136956883" </w:instrText>
          </w:r>
          <w:r>
            <w:fldChar w:fldCharType="separate"/>
          </w:r>
          <w:r>
            <w:rPr>
              <w:rStyle w:val="43"/>
            </w:rPr>
            <w:t>11.8</w:t>
          </w:r>
          <w:r>
            <w:rPr>
              <w:rFonts w:asciiTheme="minorHAnsi" w:hAnsiTheme="minorHAnsi" w:eastAsiaTheme="minorEastAsia" w:cstheme="minorBidi"/>
              <w:kern w:val="2"/>
              <w:sz w:val="21"/>
            </w:rPr>
            <w:tab/>
          </w:r>
          <w:r>
            <w:rPr>
              <w:rStyle w:val="43"/>
            </w:rPr>
            <w:t>发泡剂性能检验方法</w:t>
          </w:r>
          <w:r>
            <w:tab/>
          </w:r>
          <w:r>
            <w:fldChar w:fldCharType="begin"/>
          </w:r>
          <w:r>
            <w:instrText xml:space="preserve"> PAGEREF _Toc136956883 \h </w:instrText>
          </w:r>
          <w:r>
            <w:fldChar w:fldCharType="separate"/>
          </w:r>
          <w:r>
            <w:t>93</w:t>
          </w:r>
          <w:r>
            <w:fldChar w:fldCharType="end"/>
          </w:r>
          <w:r>
            <w:fldChar w:fldCharType="end"/>
          </w:r>
        </w:p>
        <w:p w14:paraId="0F3361CB">
          <w:pPr>
            <w:tabs>
              <w:tab w:val="left" w:pos="851"/>
            </w:tabs>
            <w:rPr>
              <w:rFonts w:ascii="黑体" w:hAnsi="黑体" w:eastAsia="黑体"/>
              <w:szCs w:val="21"/>
              <w:lang w:val="zh-CN"/>
            </w:rPr>
          </w:pPr>
          <w:r>
            <w:rPr>
              <w:rFonts w:hint="eastAsia" w:ascii="黑体" w:hAnsi="黑体" w:eastAsia="黑体"/>
              <w:bCs/>
              <w:szCs w:val="21"/>
              <w:lang w:val="zh-CN"/>
            </w:rPr>
            <w:fldChar w:fldCharType="end"/>
          </w:r>
        </w:p>
      </w:sdtContent>
    </w:sdt>
    <w:p w14:paraId="1BBD9E5C">
      <w:pPr>
        <w:pStyle w:val="55"/>
        <w:numPr>
          <w:ilvl w:val="0"/>
          <w:numId w:val="0"/>
        </w:numPr>
        <w:tabs>
          <w:tab w:val="left" w:pos="851"/>
        </w:tabs>
        <w:rPr>
          <w:rFonts w:ascii="黑体" w:hAnsi="黑体" w:eastAsia="黑体"/>
          <w:b w:val="0"/>
          <w:sz w:val="21"/>
          <w:szCs w:val="21"/>
        </w:rPr>
        <w:sectPr>
          <w:type w:val="continuous"/>
          <w:pgSz w:w="11906" w:h="16838"/>
          <w:pgMar w:top="709" w:right="1134" w:bottom="709" w:left="1134" w:header="794" w:footer="488" w:gutter="0"/>
          <w:cols w:space="425" w:num="1"/>
          <w:docGrid w:type="lines" w:linePitch="312" w:charSpace="0"/>
        </w:sectPr>
      </w:pPr>
    </w:p>
    <w:p w14:paraId="56C19D29">
      <w:bookmarkStart w:id="0" w:name="_Toc422245151"/>
      <w:bookmarkStart w:id="1" w:name="_Toc136956801"/>
      <w:bookmarkStart w:id="2" w:name="_Toc426019023"/>
    </w:p>
    <w:p w14:paraId="398C6175">
      <w:pPr>
        <w:pStyle w:val="120"/>
      </w:pPr>
      <w:r>
        <w:rPr>
          <w:rFonts w:hint="eastAsia"/>
        </w:rPr>
        <w:t>工料规范</w:t>
      </w:r>
      <w:r>
        <w:t>总则</w:t>
      </w:r>
      <w:bookmarkEnd w:id="0"/>
      <w:bookmarkEnd w:id="1"/>
      <w:bookmarkEnd w:id="2"/>
    </w:p>
    <w:p w14:paraId="4E30D82B">
      <w:pPr>
        <w:pStyle w:val="107"/>
      </w:pPr>
      <w:bookmarkStart w:id="3" w:name="_Toc426019024"/>
      <w:bookmarkStart w:id="4" w:name="_Toc422245152"/>
      <w:bookmarkStart w:id="5" w:name="_Toc136956802"/>
      <w:r>
        <w:t>目的</w:t>
      </w:r>
      <w:bookmarkEnd w:id="3"/>
      <w:bookmarkEnd w:id="4"/>
      <w:bookmarkEnd w:id="5"/>
    </w:p>
    <w:p w14:paraId="65C45E01">
      <w:pPr>
        <w:pStyle w:val="112"/>
        <w:numPr>
          <w:ilvl w:val="0"/>
          <w:numId w:val="0"/>
        </w:numPr>
        <w:ind w:left="964"/>
      </w:pPr>
      <w:r>
        <w:t>保证消防、暖通空调、给排水、电气、弱电等专业材料设备统招、专业分包招标及项目履行过程中的需要，提高招标和项目履行过程中技术清晰度，做到技术依据统一。</w:t>
      </w:r>
    </w:p>
    <w:p w14:paraId="5EE0B7B2">
      <w:pPr>
        <w:pStyle w:val="119"/>
      </w:pPr>
      <w:bookmarkStart w:id="6" w:name="_Toc136956803"/>
      <w:bookmarkStart w:id="7" w:name="_Toc422245153"/>
      <w:bookmarkStart w:id="8" w:name="_Toc426019025"/>
      <w:r>
        <w:t>适用范围</w:t>
      </w:r>
      <w:bookmarkEnd w:id="6"/>
      <w:bookmarkEnd w:id="7"/>
      <w:bookmarkEnd w:id="8"/>
    </w:p>
    <w:p w14:paraId="3327FFE2">
      <w:pPr>
        <w:pStyle w:val="112"/>
        <w:numPr>
          <w:ilvl w:val="0"/>
          <w:numId w:val="0"/>
        </w:numPr>
        <w:ind w:left="964"/>
      </w:pPr>
      <w:r>
        <w:t>本工料规范适用于公司新建、改扩建工程，租赁装修类项目另行规定。</w:t>
      </w:r>
    </w:p>
    <w:p w14:paraId="31F8368B">
      <w:pPr>
        <w:pStyle w:val="119"/>
      </w:pPr>
      <w:bookmarkStart w:id="9" w:name="_Toc426019026"/>
      <w:bookmarkStart w:id="10" w:name="_Toc136956804"/>
      <w:bookmarkStart w:id="11" w:name="_Toc422245154"/>
      <w:r>
        <w:t>应用导则</w:t>
      </w:r>
      <w:bookmarkEnd w:id="9"/>
      <w:bookmarkEnd w:id="10"/>
      <w:bookmarkEnd w:id="11"/>
    </w:p>
    <w:p w14:paraId="6815CD50">
      <w:pPr>
        <w:pStyle w:val="110"/>
      </w:pPr>
      <w:r>
        <w:t>如某项目设计师能够就上述专业提供成熟完整的工料规范，经设计处、商务评审部审定之后建议使用设计师提供的版本，保证项目设计资料的完整性、系统性、配套性；如工料规范未能达到要求，则建议设计师在本工料规范基础上修订。</w:t>
      </w:r>
    </w:p>
    <w:p w14:paraId="256EDF47">
      <w:pPr>
        <w:pStyle w:val="122"/>
        <w:rPr>
          <w:b w:val="0"/>
        </w:rPr>
      </w:pPr>
      <w:r>
        <w:rPr>
          <w:b w:val="0"/>
        </w:rPr>
        <w:t>本工料规范为一般性指导文件，具体工程需要根据工程的具体设计和应用情况进行修改，以适用于工程项目的实际情况。</w:t>
      </w:r>
    </w:p>
    <w:p w14:paraId="2585CC9C">
      <w:pPr>
        <w:pStyle w:val="122"/>
        <w:rPr>
          <w:b w:val="0"/>
        </w:rPr>
      </w:pPr>
      <w:r>
        <w:rPr>
          <w:b w:val="0"/>
        </w:rPr>
        <w:t>本工料规范在制定的过程中参考了各种具体设备、具体的系统，可能会存在技术条款的排他性，在招标时允许潜在供应单位提出异议和/或质疑，该异议/或质疑提出经过相应的决策机构评审之后可以适当调整。</w:t>
      </w:r>
    </w:p>
    <w:p w14:paraId="295DA755">
      <w:pPr>
        <w:pStyle w:val="122"/>
        <w:rPr>
          <w:b w:val="0"/>
        </w:rPr>
      </w:pPr>
      <w:r>
        <w:rPr>
          <w:b w:val="0"/>
        </w:rPr>
        <w:t>本工料规范每一章节都独成体系，单独设备或材料统招时可以独立选用，唯选用本工料规范章节仅为通用之技术条款；本工料规范独立章节作为材料设备招标使用时需与相应工程配合之规定、商务要求之规定才能作为招标文件的一部分使用。</w:t>
      </w:r>
    </w:p>
    <w:p w14:paraId="51C7BF3E">
      <w:pPr>
        <w:pStyle w:val="122"/>
      </w:pPr>
      <w:r>
        <w:rPr>
          <w:b w:val="0"/>
        </w:rPr>
        <w:t>本工料规范应结合合同、图纸及其他技术要求共同使用。</w:t>
      </w:r>
      <w:r>
        <w:rPr>
          <w:b w:val="0"/>
        </w:rPr>
        <w:br w:type="textWrapping"/>
      </w:r>
      <w:r>
        <w:rPr>
          <w:b w:val="0"/>
        </w:rPr>
        <w:t>注意事项</w:t>
      </w:r>
    </w:p>
    <w:p w14:paraId="30150422">
      <w:pPr>
        <w:pStyle w:val="112"/>
      </w:pPr>
      <w:r>
        <w:t>本工料规范作为技术管理要求的一部分，若有部分条款与相应的国家、行业、当地政府特殊要求相冲突或低于它们技术规定、技术要求的，须遵循国家、行业、当地政府的技术规定或要求。</w:t>
      </w:r>
    </w:p>
    <w:p w14:paraId="79E56F70">
      <w:pPr>
        <w:pStyle w:val="112"/>
      </w:pPr>
      <w:r>
        <w:t>公司新建、改扩建工程除了需要遵循本工料规范规定外，尚应符合其他专业有关规定和工料规范的要求。</w:t>
      </w:r>
    </w:p>
    <w:p w14:paraId="2CD5966B">
      <w:pPr>
        <w:pStyle w:val="112"/>
      </w:pPr>
      <w:r>
        <w:t>本工料规范依据现国家有关工程质量的法律、法规、管理标准和技术标准，结合公司项目管理的要求、标准和管理程序及其管理实践进行编制</w:t>
      </w:r>
      <w:r>
        <w:rPr>
          <w:rFonts w:hint="eastAsia"/>
        </w:rPr>
        <w:t>。</w:t>
      </w:r>
    </w:p>
    <w:p w14:paraId="172E12D0">
      <w:pPr>
        <w:pStyle w:val="112"/>
      </w:pPr>
      <w:r>
        <w:rPr>
          <w:rFonts w:hint="eastAsia"/>
        </w:rPr>
        <w:t>本工料标准仅供参考，不是标准模板，具体项目应根据项目实际情况进行汇编和补充相关的工料标准。</w:t>
      </w:r>
    </w:p>
    <w:p w14:paraId="5B644105">
      <w:pPr>
        <w:pStyle w:val="112"/>
      </w:pPr>
      <w:r>
        <w:rPr>
          <w:rFonts w:hint="eastAsia"/>
        </w:rPr>
        <w:t>本工料规范中所涉及规范、规程或标准以国家、行业或地方最新颁布为准</w:t>
      </w:r>
    </w:p>
    <w:p w14:paraId="4B6FF206">
      <w:pPr>
        <w:pStyle w:val="112"/>
        <w:numPr>
          <w:numId w:val="0"/>
        </w:numPr>
        <w:ind w:left="454" w:leftChars="0"/>
        <w:rPr>
          <w:rFonts w:hint="eastAsia"/>
        </w:rPr>
      </w:pPr>
    </w:p>
    <w:p w14:paraId="58A882A2">
      <w:pPr>
        <w:pStyle w:val="112"/>
        <w:numPr>
          <w:numId w:val="0"/>
        </w:numPr>
        <w:ind w:left="454" w:leftChars="0"/>
        <w:rPr>
          <w:rFonts w:hint="eastAsia"/>
        </w:rPr>
      </w:pPr>
    </w:p>
    <w:p w14:paraId="259C005F">
      <w:pPr>
        <w:pStyle w:val="106"/>
        <w:sectPr>
          <w:headerReference r:id="rId3" w:type="default"/>
          <w:footerReference r:id="rId4" w:type="default"/>
          <w:pgSz w:w="11906" w:h="16838"/>
          <w:pgMar w:top="709" w:right="1133" w:bottom="720" w:left="1134" w:header="794" w:footer="490" w:gutter="0"/>
          <w:pgNumType w:fmt="decimal" w:start="1"/>
          <w:cols w:space="425" w:num="1"/>
          <w:docGrid w:type="lines" w:linePitch="312" w:charSpace="0"/>
        </w:sectPr>
      </w:pPr>
    </w:p>
    <w:p w14:paraId="4CA7A32B">
      <w:pPr>
        <w:pStyle w:val="106"/>
      </w:pPr>
      <w:bookmarkStart w:id="12" w:name="_Toc136956805"/>
      <w:r>
        <w:rPr>
          <w:rFonts w:hint="eastAsia"/>
        </w:rPr>
        <w:t>土方工程技术要求</w:t>
      </w:r>
      <w:bookmarkEnd w:id="12"/>
    </w:p>
    <w:p w14:paraId="2B7D0AEF">
      <w:pPr>
        <w:pStyle w:val="119"/>
      </w:pPr>
      <w:bookmarkStart w:id="13" w:name="_Toc136956806"/>
      <w:r>
        <w:rPr>
          <w:rFonts w:hint="eastAsia"/>
        </w:rPr>
        <w:t>一般挖方工程规则</w:t>
      </w:r>
      <w:bookmarkEnd w:id="13"/>
    </w:p>
    <w:p w14:paraId="7014F81B">
      <w:pPr>
        <w:pStyle w:val="122"/>
        <w:rPr>
          <w:b w:val="0"/>
        </w:rPr>
      </w:pPr>
      <w:r>
        <w:rPr>
          <w:rFonts w:hint="eastAsia"/>
          <w:b w:val="0"/>
        </w:rPr>
        <w:t>责任</w:t>
      </w:r>
    </w:p>
    <w:p w14:paraId="177FB3B8">
      <w:pPr>
        <w:pStyle w:val="112"/>
      </w:pPr>
      <w:r>
        <w:rPr>
          <w:rFonts w:hint="eastAsia"/>
        </w:rPr>
        <w:t>承包人应根据一切有关的法规、法则和规例负责所有挖方工程。</w:t>
      </w:r>
    </w:p>
    <w:p w14:paraId="5225181F">
      <w:pPr>
        <w:pStyle w:val="112"/>
      </w:pPr>
      <w:r>
        <w:rPr>
          <w:rFonts w:hint="eastAsia"/>
        </w:rPr>
        <w:t>承包人需按照本设计技术要求及有关施工技术要求完成合同工作。</w:t>
      </w:r>
    </w:p>
    <w:p w14:paraId="6CF84BC3">
      <w:pPr>
        <w:pStyle w:val="110"/>
      </w:pPr>
      <w:r>
        <w:rPr>
          <w:rFonts w:hint="eastAsia"/>
        </w:rPr>
        <w:t>现场标高</w:t>
      </w:r>
    </w:p>
    <w:p w14:paraId="6AAD2272">
      <w:pPr>
        <w:pStyle w:val="112"/>
      </w:pPr>
      <w:r>
        <w:rPr>
          <w:rFonts w:hint="eastAsia"/>
        </w:rPr>
        <w:t>除非另有说明，否则图纸上所显示的一切现场标高，不论为标高点或等高线，均须降至基准点。</w:t>
      </w:r>
    </w:p>
    <w:p w14:paraId="130843CA">
      <w:pPr>
        <w:pStyle w:val="112"/>
      </w:pPr>
      <w:r>
        <w:rPr>
          <w:rFonts w:hint="eastAsia"/>
        </w:rPr>
        <w:t>查核图纸上所显示的标高是否准确，发现该等标高的准确度不合规定，则在挖方工程开始之前以书面通知建筑师，否则有关该等不准确标高的索偿将不获考虑。</w:t>
      </w:r>
    </w:p>
    <w:p w14:paraId="15DEC6A2">
      <w:pPr>
        <w:pStyle w:val="110"/>
      </w:pPr>
      <w:r>
        <w:rPr>
          <w:rFonts w:hint="eastAsia"/>
        </w:rPr>
        <w:t>挖方工程的性质</w:t>
      </w:r>
    </w:p>
    <w:p w14:paraId="640190D4">
      <w:pPr>
        <w:pStyle w:val="112"/>
      </w:pPr>
      <w:r>
        <w:rPr>
          <w:rFonts w:hint="eastAsia"/>
        </w:rPr>
        <w:t>承包人应有义务在投标之前到现场视察，以便对将要挖掘的土地性质作出鉴定，并估算需要移离的石块的百分比。该项估算将为承包人个人的风险，故日后将不予以调整。</w:t>
      </w:r>
    </w:p>
    <w:p w14:paraId="5748D47D">
      <w:pPr>
        <w:pStyle w:val="112"/>
      </w:pPr>
      <w:r>
        <w:rPr>
          <w:rFonts w:hint="eastAsia"/>
        </w:rPr>
        <w:t>设计师可能具备有关现场的土壤性质等资料。该等资料将会如实提供，但并不保证完全准确或完全适用于现场。</w:t>
      </w:r>
    </w:p>
    <w:p w14:paraId="69F53E54">
      <w:pPr>
        <w:pStyle w:val="110"/>
      </w:pPr>
      <w:r>
        <w:rPr>
          <w:rFonts w:hint="eastAsia"/>
        </w:rPr>
        <w:t>表土</w:t>
      </w:r>
    </w:p>
    <w:p w14:paraId="397E9961">
      <w:pPr>
        <w:pStyle w:val="112"/>
      </w:pPr>
      <w:r>
        <w:rPr>
          <w:rFonts w:hint="eastAsia"/>
        </w:rPr>
        <w:t>本工程规范内提及的表土即指宜于种植的土壤，包括一切剪草后而储存过久的草皮。</w:t>
      </w:r>
    </w:p>
    <w:p w14:paraId="22BFFD43">
      <w:pPr>
        <w:pStyle w:val="112"/>
      </w:pPr>
      <w:r>
        <w:rPr>
          <w:rFonts w:hint="eastAsia"/>
        </w:rPr>
        <w:t>开始进行挖土或回填工程前，将指定范围的表土清理至所需的平均深度，</w:t>
      </w:r>
      <w:r>
        <w:t xml:space="preserve"> </w:t>
      </w:r>
      <w:r>
        <w:rPr>
          <w:rFonts w:hint="eastAsia"/>
        </w:rPr>
        <w:t>除非另有指定，否则该等表土储存于现场内，以备日后再用。</w:t>
      </w:r>
    </w:p>
    <w:p w14:paraId="54F517B8">
      <w:pPr>
        <w:pStyle w:val="110"/>
      </w:pPr>
      <w:r>
        <w:rPr>
          <w:rFonts w:hint="eastAsia"/>
        </w:rPr>
        <w:t>挖坑的阔度、深度及底层</w:t>
      </w:r>
    </w:p>
    <w:p w14:paraId="7302553D">
      <w:pPr>
        <w:pStyle w:val="112"/>
        <w:numPr>
          <w:ilvl w:val="0"/>
          <w:numId w:val="0"/>
        </w:numPr>
        <w:ind w:left="964"/>
      </w:pPr>
      <w:r>
        <w:rPr>
          <w:rFonts w:hint="eastAsia"/>
        </w:rPr>
        <w:t>按图纸所表示的建（构）筑物阔度与深度，或设计师可能指定的阔度与深度而挖掘。如果挖掘的阔度与深度超过图纸所示或设计师的指定，则需预先取得批准。挖坑的基底须经批准后方可在其上进行新工程。如果挖坑已经适于检查，则通知设计师。经批准后，如果表层由于积水或其它原因而不宜于进行工程，则承包人需自费另行挖掘至重新批准的深度。</w:t>
      </w:r>
    </w:p>
    <w:p w14:paraId="4BD040C6">
      <w:pPr>
        <w:pStyle w:val="110"/>
      </w:pPr>
      <w:r>
        <w:rPr>
          <w:rFonts w:hint="eastAsia"/>
        </w:rPr>
        <w:t>挖坑的变更</w:t>
      </w:r>
    </w:p>
    <w:p w14:paraId="40742940">
      <w:pPr>
        <w:pStyle w:val="112"/>
      </w:pPr>
      <w:r>
        <w:rPr>
          <w:rFonts w:hint="eastAsia"/>
        </w:rPr>
        <w:t>在图纸上一切有关挖土且经批准的变更，将随时由设计师估量，除非该等估量经得协定，否则承包人不可将挖坑填充。</w:t>
      </w:r>
    </w:p>
    <w:p w14:paraId="13D0EC9B">
      <w:pPr>
        <w:pStyle w:val="110"/>
      </w:pPr>
      <w:r>
        <w:rPr>
          <w:rFonts w:hint="eastAsia"/>
        </w:rPr>
        <w:t>铺板、支撑及斜撑</w:t>
      </w:r>
    </w:p>
    <w:p w14:paraId="39A17D49">
      <w:pPr>
        <w:pStyle w:val="112"/>
      </w:pPr>
      <w:r>
        <w:rPr>
          <w:rFonts w:hint="eastAsia"/>
        </w:rPr>
        <w:t>地下室施工挖方应由具备资质之设计单位及工程师提供开挖支护设计方案并获得批准，深基坑开挖支护设计方案需获得有关部门的论证及批准。</w:t>
      </w:r>
    </w:p>
    <w:p w14:paraId="3C875ED4">
      <w:pPr>
        <w:pStyle w:val="112"/>
      </w:pPr>
      <w:r>
        <w:rPr>
          <w:rFonts w:hint="eastAsia"/>
        </w:rPr>
        <w:t>挖方工程进行期间承包人将全面负责保证地表的稳定，并应修复任何可能滑落的地带。施工期间，按需要安装铺板、支撑及斜撑，以及进行额外的挖土工作和由此而引起的回填工程。未经批准，基坑旁不应堆以重载</w:t>
      </w:r>
      <w:r>
        <w:t xml:space="preserve"> </w:t>
      </w:r>
      <w:r>
        <w:rPr>
          <w:rFonts w:hint="eastAsia"/>
        </w:rPr>
        <w:t>。承包人应完成合同内所包括的一切边坡工程、斜坡工程和割切工程，且进行维修，在合同期同和其后的维修期内自费清除崩坍的土堆，并为附近受损坏工程进行修复工作。</w:t>
      </w:r>
    </w:p>
    <w:p w14:paraId="22AEC6D1">
      <w:pPr>
        <w:pStyle w:val="110"/>
      </w:pPr>
      <w:r>
        <w:rPr>
          <w:rFonts w:hint="eastAsia"/>
        </w:rPr>
        <w:t>雨季进行挖土工程</w:t>
      </w:r>
    </w:p>
    <w:p w14:paraId="51BC62C5">
      <w:pPr>
        <w:pStyle w:val="112"/>
        <w:numPr>
          <w:ilvl w:val="0"/>
          <w:numId w:val="0"/>
        </w:numPr>
        <w:ind w:left="964"/>
      </w:pPr>
      <w:r>
        <w:rPr>
          <w:rFonts w:hint="eastAsia"/>
        </w:rPr>
        <w:t>雨季在斜坡进行挖土工程时，须留意以下所采取的预防措施：</w:t>
      </w:r>
    </w:p>
    <w:p w14:paraId="55DB56C8">
      <w:pPr>
        <w:pStyle w:val="112"/>
      </w:pPr>
      <w:r>
        <w:rPr>
          <w:rFonts w:hint="eastAsia"/>
        </w:rPr>
        <w:t>密切留意天气预测，防备大雨的损毁，以及在雨势连续不断的期间，经常视察现场，确保一切挖掘和填充的斜坡安全稳定，足以抵御雨水的冲刷。</w:t>
      </w:r>
    </w:p>
    <w:p w14:paraId="56BF4520">
      <w:pPr>
        <w:pStyle w:val="112"/>
      </w:pPr>
      <w:r>
        <w:rPr>
          <w:rFonts w:hint="eastAsia"/>
        </w:rPr>
        <w:t>确保现场内原有的排水系统畅通无阻，务使由高处排至现场的地面雨水得以拦截，以及可以安全排出现场外。</w:t>
      </w:r>
    </w:p>
    <w:p w14:paraId="416AB7DA">
      <w:pPr>
        <w:pStyle w:val="112"/>
      </w:pPr>
      <w:r>
        <w:rPr>
          <w:rFonts w:hint="eastAsia"/>
        </w:rPr>
        <w:t>如果平整原有现场时排水系统受到建筑工程的阻碍，则需在现场内设置临时的排水设备，使雨水能安全排离现场。</w:t>
      </w:r>
    </w:p>
    <w:p w14:paraId="7340A833">
      <w:pPr>
        <w:pStyle w:val="112"/>
      </w:pPr>
      <w:r>
        <w:rPr>
          <w:rFonts w:hint="eastAsia"/>
        </w:rPr>
        <w:t>采取适当的施工方法，使所需的现场内尽可能减少底层泥土外露的范围，并立刻为保护表层尽行土方工程，和排水工程</w:t>
      </w:r>
    </w:p>
    <w:p w14:paraId="203B8B92">
      <w:pPr>
        <w:pStyle w:val="112"/>
      </w:pPr>
      <w:r>
        <w:rPr>
          <w:rFonts w:hint="eastAsia"/>
        </w:rPr>
        <w:t>如果底层泥土暂时外露的情况无法避免，应采用可靠的防风挡板加以保护。如果该等土面暂时外露的时期超过雨季期，则须进行临时水泥沙浆刷面、及装置临时水泥砂浆外围排水系统，在圆石碟四周尤需设置该等装置。</w:t>
      </w:r>
    </w:p>
    <w:p w14:paraId="67398401">
      <w:pPr>
        <w:pStyle w:val="112"/>
      </w:pPr>
      <w:r>
        <w:rPr>
          <w:rFonts w:hint="eastAsia"/>
        </w:rPr>
        <w:t>将所有填料充份夯实成密致的不透水沟夹层，防止水份内渗。</w:t>
      </w:r>
    </w:p>
    <w:p w14:paraId="62BF85F4">
      <w:pPr>
        <w:pStyle w:val="112"/>
      </w:pPr>
      <w:r>
        <w:rPr>
          <w:rFonts w:hint="eastAsia"/>
        </w:rPr>
        <w:t>将所有填充区造成斜水，以便雨水外排，防止雨水存积。</w:t>
      </w:r>
    </w:p>
    <w:p w14:paraId="6441A3F4">
      <w:pPr>
        <w:pStyle w:val="112"/>
      </w:pPr>
      <w:r>
        <w:rPr>
          <w:rFonts w:hint="eastAsia"/>
        </w:rPr>
        <w:t>斜坡顶部或表层的挖坑不可开启。</w:t>
      </w:r>
    </w:p>
    <w:p w14:paraId="73A8EB8B">
      <w:pPr>
        <w:pStyle w:val="112"/>
      </w:pPr>
      <w:r>
        <w:rPr>
          <w:rFonts w:hint="eastAsia"/>
        </w:rPr>
        <w:t>不可堆积可能导致崩塌的物料，以免危害公众安全或损毁邻近房屋。</w:t>
      </w:r>
    </w:p>
    <w:p w14:paraId="1804E409">
      <w:pPr>
        <w:pStyle w:val="110"/>
      </w:pPr>
      <w:r>
        <w:rPr>
          <w:rFonts w:hint="eastAsia"/>
        </w:rPr>
        <w:t>斜坡附近的坑槽开口</w:t>
      </w:r>
    </w:p>
    <w:p w14:paraId="65E186E7">
      <w:pPr>
        <w:pStyle w:val="112"/>
        <w:numPr>
          <w:ilvl w:val="0"/>
          <w:numId w:val="0"/>
        </w:numPr>
        <w:ind w:left="964"/>
      </w:pPr>
      <w:r>
        <w:rPr>
          <w:rFonts w:hint="eastAsia"/>
        </w:rPr>
        <w:t>如果斜坡面或斜坡之上的坑槽挖掘工程在雨季进行，必须加倍小心，并尽可能分小段挖掘及回填，采取预防措施，在坑槽的两边设置沙包、混凝土壤边石、或夯实的小型填土弯角，防止水份存积坑槽内。并在坑槽的一切低洼地带设置抽水泵，保持坑槽干涸。</w:t>
      </w:r>
    </w:p>
    <w:p w14:paraId="47CAA41B">
      <w:pPr>
        <w:pStyle w:val="110"/>
      </w:pPr>
      <w:r>
        <w:rPr>
          <w:rFonts w:hint="eastAsia"/>
        </w:rPr>
        <w:t>降低地下水位</w:t>
      </w:r>
    </w:p>
    <w:p w14:paraId="4A10CC78">
      <w:pPr>
        <w:pStyle w:val="112"/>
      </w:pPr>
      <w:r>
        <w:rPr>
          <w:rFonts w:hint="eastAsia"/>
        </w:rPr>
        <w:t>开挖低于地下水位的挖方及浇筑结构等工程，投标单位必須在投标阶段呈交有效的降水施工组织，并得到甲方代表及监理单位的认可。降水系統包括井点降水，水坑降水、灌漿及其他或互相结合等措施降低地下水位。降水作业不能对邻近建筑物、道路、管线造成破坏。</w:t>
      </w:r>
    </w:p>
    <w:p w14:paraId="19710F36">
      <w:pPr>
        <w:pStyle w:val="112"/>
      </w:pPr>
      <w:r>
        <w:rPr>
          <w:rFonts w:hint="eastAsia"/>
        </w:rPr>
        <w:t>降水施工组织设计必須符合土方与爆破工程施工及验收规范及地基与基础工程施工及验收规范等国家标准，并在施工中進行沉降和位移观测。</w:t>
      </w:r>
    </w:p>
    <w:p w14:paraId="6019FC35">
      <w:pPr>
        <w:pStyle w:val="119"/>
      </w:pPr>
      <w:bookmarkStart w:id="14" w:name="_Toc136956807"/>
      <w:r>
        <w:rPr>
          <w:rFonts w:hint="eastAsia"/>
        </w:rPr>
        <w:t>阻障</w:t>
      </w:r>
      <w:bookmarkEnd w:id="14"/>
    </w:p>
    <w:p w14:paraId="1A5F723A">
      <w:pPr>
        <w:pStyle w:val="110"/>
      </w:pPr>
      <w:r>
        <w:rPr>
          <w:rFonts w:hint="eastAsia"/>
        </w:rPr>
        <w:t>水道</w:t>
      </w:r>
    </w:p>
    <w:p w14:paraId="28C3915F">
      <w:pPr>
        <w:pStyle w:val="112"/>
        <w:numPr>
          <w:ilvl w:val="0"/>
          <w:numId w:val="0"/>
        </w:numPr>
        <w:ind w:left="964"/>
      </w:pPr>
      <w:r>
        <w:rPr>
          <w:rFonts w:hint="eastAsia"/>
        </w:rPr>
        <w:t>将挖方工程进行时所遇到的渠道、地面排水沟、或其它水道暂时改道，应先取得业主及设计师批准，并在竣工时恢复原状。</w:t>
      </w:r>
    </w:p>
    <w:p w14:paraId="74607DD6">
      <w:pPr>
        <w:pStyle w:val="110"/>
      </w:pPr>
      <w:r>
        <w:rPr>
          <w:rFonts w:hint="eastAsia"/>
        </w:rPr>
        <w:t>废置的排水沟、探孔等</w:t>
      </w:r>
    </w:p>
    <w:p w14:paraId="5DDF809E">
      <w:pPr>
        <w:pStyle w:val="112"/>
        <w:numPr>
          <w:ilvl w:val="0"/>
          <w:numId w:val="0"/>
        </w:numPr>
        <w:ind w:left="964"/>
      </w:pPr>
      <w:r>
        <w:rPr>
          <w:rFonts w:hint="eastAsia"/>
        </w:rPr>
        <w:t>处理和清除挖方工程造行时所遇到的废置排水沟，清理污泥，并按需要加以消毒及用混凝土封闭所有废弃的排水沟。捣毁及拆除废弃的探孔，并以受批准且经加固的适当材料回填。</w:t>
      </w:r>
    </w:p>
    <w:p w14:paraId="34F7ABBA">
      <w:pPr>
        <w:pStyle w:val="110"/>
      </w:pPr>
      <w:r>
        <w:rPr>
          <w:rFonts w:hint="eastAsia"/>
        </w:rPr>
        <w:t>旧墙、旧地基等</w:t>
      </w:r>
    </w:p>
    <w:p w14:paraId="6E47F085">
      <w:pPr>
        <w:pStyle w:val="112"/>
        <w:numPr>
          <w:ilvl w:val="0"/>
          <w:numId w:val="0"/>
        </w:numPr>
        <w:ind w:left="964"/>
      </w:pPr>
      <w:r>
        <w:rPr>
          <w:rFonts w:hint="eastAsia"/>
        </w:rPr>
        <w:t>将挖土工程进行时所遇到的一切残根、埋在地底的朽木和残枝、旧墙、地基或其它的地下结构捣毁和清除，并以受批准且经加固的适当材料回填。</w:t>
      </w:r>
    </w:p>
    <w:p w14:paraId="1A2DA2C7">
      <w:pPr>
        <w:pStyle w:val="110"/>
      </w:pPr>
      <w:r>
        <w:rPr>
          <w:rFonts w:hint="eastAsia"/>
        </w:rPr>
        <w:t>原有排水装置及供应系统</w:t>
      </w:r>
    </w:p>
    <w:p w14:paraId="35D5C268">
      <w:pPr>
        <w:pStyle w:val="112"/>
        <w:numPr>
          <w:ilvl w:val="0"/>
          <w:numId w:val="0"/>
        </w:numPr>
        <w:ind w:left="964"/>
      </w:pPr>
      <w:r>
        <w:rPr>
          <w:rFonts w:hint="eastAsia"/>
        </w:rPr>
        <w:t>采取预防措施，以防损毁原有的排水装置及供应系统。如有发现该等排水装置及供应系统，则应在继续进行邻近的挖方工程前，通知设计师、监理及有关部门、或有关的服务公司，并取得指示，以重新道一步配置该等排水装置或供应系统。如发生任何损毁，承包人须立刻通知设计师、监理和有关部门、或有关的服务公司，并自费进行修复工作。</w:t>
      </w:r>
    </w:p>
    <w:p w14:paraId="3FDDFFFB">
      <w:pPr>
        <w:pStyle w:val="110"/>
      </w:pPr>
      <w:r>
        <w:rPr>
          <w:rFonts w:hint="eastAsia"/>
        </w:rPr>
        <w:t>岩石</w:t>
      </w:r>
    </w:p>
    <w:p w14:paraId="2C10A7D2">
      <w:pPr>
        <w:pStyle w:val="112"/>
        <w:numPr>
          <w:ilvl w:val="0"/>
          <w:numId w:val="0"/>
        </w:numPr>
        <w:ind w:left="964"/>
      </w:pPr>
      <w:r>
        <w:rPr>
          <w:rFonts w:hint="eastAsia"/>
        </w:rPr>
        <w:t>挖方工程进行期间所遇到的岩石须由承包人自费清除。</w:t>
      </w:r>
    </w:p>
    <w:p w14:paraId="00C983FE">
      <w:pPr>
        <w:pStyle w:val="110"/>
      </w:pPr>
      <w:r>
        <w:rPr>
          <w:rFonts w:hint="eastAsia"/>
        </w:rPr>
        <w:t>爆破工程</w:t>
      </w:r>
    </w:p>
    <w:p w14:paraId="4E06B547">
      <w:pPr>
        <w:pStyle w:val="112"/>
      </w:pPr>
      <w:r>
        <w:rPr>
          <w:rFonts w:hint="eastAsia"/>
        </w:rPr>
        <w:t>未经有关部门的书面批准，不可进行爆破工程。承包人须遵守要求及任何法律的规定，并采取所需的额外预防措施，以防造成损毁。爆破工程所引起的或随之而起的损毁，须由承包人自费修复。</w:t>
      </w:r>
    </w:p>
    <w:p w14:paraId="35B3B777">
      <w:pPr>
        <w:pStyle w:val="112"/>
      </w:pPr>
      <w:r>
        <w:rPr>
          <w:rFonts w:hint="eastAsia"/>
        </w:rPr>
        <w:t>如果挖方工程进行期间出现岩石，则应以楔子或横杆等方法搬移。</w:t>
      </w:r>
    </w:p>
    <w:p w14:paraId="00CA0AE8">
      <w:pPr>
        <w:pStyle w:val="119"/>
      </w:pPr>
      <w:bookmarkStart w:id="15" w:name="_Toc136956808"/>
      <w:r>
        <w:rPr>
          <w:rFonts w:hint="eastAsia"/>
        </w:rPr>
        <w:t>土方回填工程</w:t>
      </w:r>
      <w:bookmarkEnd w:id="15"/>
    </w:p>
    <w:p w14:paraId="3456B907">
      <w:pPr>
        <w:widowControl/>
        <w:spacing w:line="360" w:lineRule="auto"/>
        <w:ind w:left="996" w:hanging="996" w:hangingChars="551"/>
        <w:rPr>
          <w:rFonts w:ascii="黑体" w:hAnsi="黑体" w:eastAsia="黑体" w:cs="宋体"/>
          <w:color w:val="000000"/>
          <w:kern w:val="0"/>
          <w:sz w:val="18"/>
          <w:szCs w:val="18"/>
        </w:rPr>
      </w:pPr>
      <w:r>
        <w:rPr>
          <w:rStyle w:val="124"/>
        </w:rPr>
        <w:t xml:space="preserve">2.3.1     </w:t>
      </w:r>
      <w:r>
        <w:rPr>
          <w:rFonts w:ascii="黑体" w:hAnsi="黑体" w:eastAsia="黑体" w:cs="宋体"/>
          <w:color w:val="000000"/>
          <w:kern w:val="0"/>
          <w:sz w:val="18"/>
          <w:szCs w:val="18"/>
        </w:rPr>
        <w:t xml:space="preserve">范围 </w:t>
      </w:r>
    </w:p>
    <w:p w14:paraId="63373E7F">
      <w:pPr>
        <w:widowControl/>
        <w:spacing w:line="360" w:lineRule="auto"/>
        <w:ind w:left="848" w:hanging="847" w:hangingChars="471"/>
        <w:rPr>
          <w:rFonts w:ascii="黑体" w:hAnsi="黑体" w:eastAsia="黑体" w:cs="宋体"/>
          <w:color w:val="000000"/>
          <w:kern w:val="0"/>
          <w:sz w:val="18"/>
          <w:szCs w:val="18"/>
        </w:rPr>
      </w:pPr>
      <w:r>
        <w:rPr>
          <w:rFonts w:ascii="Calibri" w:hAnsi="Calibri" w:eastAsia="黑体" w:cs="Calibri"/>
          <w:color w:val="000000"/>
          <w:kern w:val="0"/>
          <w:sz w:val="18"/>
          <w:szCs w:val="18"/>
        </w:rPr>
        <w:t xml:space="preserve">             </w:t>
      </w:r>
      <w:r>
        <w:rPr>
          <w:rFonts w:ascii="黑体" w:hAnsi="黑体" w:eastAsia="黑体" w:cs="宋体"/>
          <w:color w:val="000000"/>
          <w:kern w:val="0"/>
          <w:sz w:val="18"/>
          <w:szCs w:val="18"/>
        </w:rPr>
        <w:t>本工艺标准适</w:t>
      </w:r>
      <w:r>
        <w:rPr>
          <w:rFonts w:hint="eastAsia" w:ascii="黑体" w:hAnsi="黑体" w:eastAsia="黑体" w:cs="宋体"/>
          <w:color w:val="000000"/>
          <w:kern w:val="0"/>
          <w:sz w:val="18"/>
          <w:szCs w:val="18"/>
        </w:rPr>
        <w:t>用于新建</w:t>
      </w:r>
      <w:r>
        <w:rPr>
          <w:rFonts w:ascii="黑体" w:hAnsi="黑体" w:eastAsia="黑体" w:cs="宋体"/>
          <w:color w:val="000000"/>
          <w:kern w:val="0"/>
          <w:sz w:val="18"/>
          <w:szCs w:val="18"/>
        </w:rPr>
        <w:t>建筑物、构筑物大面积平整场地、大型基坑和管沟等回填土。</w:t>
      </w:r>
    </w:p>
    <w:p w14:paraId="3E583FFE">
      <w:pPr>
        <w:spacing w:line="360" w:lineRule="auto"/>
        <w:rPr>
          <w:rFonts w:ascii="黑体" w:hAnsi="黑体" w:eastAsia="黑体"/>
          <w:sz w:val="18"/>
        </w:rPr>
      </w:pPr>
      <w:r>
        <w:rPr>
          <w:rStyle w:val="124"/>
        </w:rPr>
        <w:t xml:space="preserve">2.3.2 </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场地填土压实度不应低于下表要求（</w:t>
      </w:r>
      <w:r>
        <w:rPr>
          <w:rFonts w:hint="eastAsia" w:ascii="黑体" w:hAnsi="黑体" w:eastAsia="黑体"/>
          <w:sz w:val="18"/>
        </w:rPr>
        <w:t>当规范或具体设计有更高要求时，按规范或设计要求执行）。</w:t>
      </w:r>
    </w:p>
    <w:tbl>
      <w:tblPr>
        <w:tblStyle w:val="38"/>
        <w:tblpPr w:leftFromText="180" w:rightFromText="180" w:vertAnchor="text" w:horzAnchor="margin" w:tblpXSpec="center" w:tblpY="1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549"/>
        <w:gridCol w:w="2976"/>
      </w:tblGrid>
      <w:tr w14:paraId="1E8F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33A11EBF">
            <w:pPr>
              <w:rPr>
                <w:rFonts w:ascii="黑体" w:hAnsi="黑体" w:eastAsia="黑体"/>
                <w:sz w:val="18"/>
                <w:szCs w:val="18"/>
              </w:rPr>
            </w:pPr>
            <w:r>
              <w:rPr>
                <w:rFonts w:hint="eastAsia" w:ascii="黑体" w:hAnsi="黑体" w:eastAsia="黑体"/>
                <w:sz w:val="18"/>
                <w:szCs w:val="18"/>
              </w:rPr>
              <w:t>位置</w:t>
            </w:r>
          </w:p>
        </w:tc>
        <w:tc>
          <w:tcPr>
            <w:tcW w:w="2976" w:type="dxa"/>
          </w:tcPr>
          <w:p w14:paraId="05216EA9">
            <w:pPr>
              <w:rPr>
                <w:rFonts w:ascii="黑体" w:hAnsi="黑体" w:eastAsia="黑体"/>
                <w:sz w:val="18"/>
                <w:szCs w:val="18"/>
              </w:rPr>
            </w:pPr>
            <w:r>
              <w:rPr>
                <w:rFonts w:hint="eastAsia" w:ascii="黑体" w:hAnsi="黑体" w:eastAsia="黑体"/>
                <w:sz w:val="18"/>
                <w:szCs w:val="18"/>
              </w:rPr>
              <w:t>压实度</w:t>
            </w:r>
          </w:p>
        </w:tc>
      </w:tr>
      <w:tr w14:paraId="78F4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restart"/>
            <w:vAlign w:val="center"/>
          </w:tcPr>
          <w:p w14:paraId="5432C6B4">
            <w:pPr>
              <w:jc w:val="center"/>
              <w:rPr>
                <w:rFonts w:ascii="黑体" w:hAnsi="黑体" w:eastAsia="黑体"/>
                <w:sz w:val="18"/>
                <w:szCs w:val="18"/>
              </w:rPr>
            </w:pPr>
            <w:r>
              <w:rPr>
                <w:rFonts w:hint="eastAsia" w:ascii="黑体" w:hAnsi="黑体" w:eastAsia="黑体"/>
                <w:sz w:val="18"/>
                <w:szCs w:val="18"/>
              </w:rPr>
              <w:t>建筑轮廓线范围内</w:t>
            </w:r>
          </w:p>
        </w:tc>
        <w:tc>
          <w:tcPr>
            <w:tcW w:w="1549" w:type="dxa"/>
          </w:tcPr>
          <w:p w14:paraId="0A7FB682">
            <w:pPr>
              <w:rPr>
                <w:rFonts w:ascii="黑体" w:hAnsi="黑体" w:eastAsia="黑体"/>
                <w:sz w:val="18"/>
                <w:szCs w:val="18"/>
              </w:rPr>
            </w:pPr>
            <w:r>
              <w:rPr>
                <w:rFonts w:hint="eastAsia" w:ascii="黑体" w:hAnsi="黑体" w:eastAsia="黑体"/>
                <w:sz w:val="18"/>
                <w:szCs w:val="18"/>
              </w:rPr>
              <w:t>建筑地坪</w:t>
            </w:r>
          </w:p>
        </w:tc>
        <w:tc>
          <w:tcPr>
            <w:tcW w:w="2976" w:type="dxa"/>
          </w:tcPr>
          <w:p w14:paraId="0491B796">
            <w:pPr>
              <w:rPr>
                <w:rFonts w:ascii="黑体" w:hAnsi="黑体" w:eastAsia="黑体"/>
                <w:sz w:val="18"/>
                <w:szCs w:val="18"/>
              </w:rPr>
            </w:pPr>
            <w:r>
              <w:rPr>
                <w:rFonts w:hint="eastAsia" w:ascii="黑体" w:hAnsi="黑体" w:eastAsia="黑体"/>
                <w:sz w:val="18"/>
                <w:szCs w:val="18"/>
              </w:rPr>
              <w:t>94%</w:t>
            </w:r>
          </w:p>
        </w:tc>
      </w:tr>
      <w:tr w14:paraId="58D0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dxa"/>
            <w:vMerge w:val="continue"/>
          </w:tcPr>
          <w:p w14:paraId="34C346F7">
            <w:pPr>
              <w:rPr>
                <w:rFonts w:ascii="黑体" w:hAnsi="黑体" w:eastAsia="黑体"/>
                <w:sz w:val="18"/>
                <w:szCs w:val="18"/>
              </w:rPr>
            </w:pPr>
          </w:p>
        </w:tc>
        <w:tc>
          <w:tcPr>
            <w:tcW w:w="1549" w:type="dxa"/>
          </w:tcPr>
          <w:p w14:paraId="77B48FC1">
            <w:pPr>
              <w:rPr>
                <w:rFonts w:ascii="黑体" w:hAnsi="黑体" w:eastAsia="黑体"/>
                <w:sz w:val="18"/>
                <w:szCs w:val="18"/>
              </w:rPr>
            </w:pPr>
            <w:r>
              <w:rPr>
                <w:rFonts w:hint="eastAsia" w:ascii="黑体" w:hAnsi="黑体" w:eastAsia="黑体"/>
                <w:sz w:val="18"/>
                <w:szCs w:val="18"/>
              </w:rPr>
              <w:t>结构地坪（</w:t>
            </w:r>
            <w:r>
              <w:rPr>
                <w:rFonts w:ascii="黑体" w:hAnsi="黑体" w:eastAsia="黑体"/>
                <w:sz w:val="18"/>
                <w:szCs w:val="18"/>
              </w:rPr>
              <w:t>有桩）</w:t>
            </w:r>
          </w:p>
        </w:tc>
        <w:tc>
          <w:tcPr>
            <w:tcW w:w="2976" w:type="dxa"/>
          </w:tcPr>
          <w:p w14:paraId="779B988A">
            <w:pPr>
              <w:rPr>
                <w:rFonts w:ascii="黑体" w:hAnsi="黑体" w:eastAsia="黑体"/>
                <w:sz w:val="18"/>
                <w:szCs w:val="18"/>
              </w:rPr>
            </w:pPr>
            <w:r>
              <w:rPr>
                <w:rFonts w:hint="eastAsia" w:ascii="黑体" w:hAnsi="黑体" w:eastAsia="黑体"/>
                <w:sz w:val="18"/>
                <w:szCs w:val="18"/>
              </w:rPr>
              <w:t>90%</w:t>
            </w:r>
          </w:p>
        </w:tc>
      </w:tr>
      <w:tr w14:paraId="0E57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69A7D271">
            <w:pPr>
              <w:rPr>
                <w:rFonts w:ascii="黑体" w:hAnsi="黑体" w:eastAsia="黑体"/>
                <w:sz w:val="18"/>
                <w:szCs w:val="18"/>
              </w:rPr>
            </w:pPr>
            <w:r>
              <w:rPr>
                <w:rFonts w:hint="eastAsia" w:ascii="黑体" w:hAnsi="黑体" w:eastAsia="黑体"/>
                <w:sz w:val="18"/>
                <w:szCs w:val="18"/>
              </w:rPr>
              <w:t>道路及广场</w:t>
            </w:r>
          </w:p>
        </w:tc>
        <w:tc>
          <w:tcPr>
            <w:tcW w:w="2976" w:type="dxa"/>
          </w:tcPr>
          <w:p w14:paraId="75CB7E13">
            <w:pPr>
              <w:rPr>
                <w:rFonts w:ascii="黑体" w:hAnsi="黑体" w:eastAsia="黑体"/>
                <w:sz w:val="18"/>
                <w:szCs w:val="18"/>
              </w:rPr>
            </w:pPr>
            <w:r>
              <w:rPr>
                <w:rFonts w:hint="eastAsia" w:ascii="黑体" w:hAnsi="黑体" w:eastAsia="黑体"/>
                <w:sz w:val="18"/>
                <w:szCs w:val="18"/>
              </w:rPr>
              <w:t>按城市次干路规范要求</w:t>
            </w:r>
          </w:p>
        </w:tc>
      </w:tr>
      <w:tr w14:paraId="3C19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665D8FA1">
            <w:pPr>
              <w:rPr>
                <w:rFonts w:ascii="黑体" w:hAnsi="黑体" w:eastAsia="黑体"/>
                <w:sz w:val="18"/>
                <w:szCs w:val="18"/>
              </w:rPr>
            </w:pPr>
            <w:r>
              <w:rPr>
                <w:rFonts w:hint="eastAsia" w:ascii="黑体" w:hAnsi="黑体" w:eastAsia="黑体"/>
                <w:sz w:val="18"/>
                <w:szCs w:val="18"/>
              </w:rPr>
              <w:t>建</w:t>
            </w:r>
            <w:r>
              <w:rPr>
                <w:rFonts w:ascii="黑体" w:hAnsi="黑体" w:eastAsia="黑体"/>
                <w:sz w:val="18"/>
                <w:szCs w:val="18"/>
              </w:rPr>
              <w:t>、</w:t>
            </w:r>
            <w:r>
              <w:rPr>
                <w:rFonts w:hint="eastAsia" w:ascii="黑体" w:hAnsi="黑体" w:eastAsia="黑体"/>
                <w:sz w:val="18"/>
                <w:szCs w:val="18"/>
              </w:rPr>
              <w:t>构筑物地基（无桩）</w:t>
            </w:r>
          </w:p>
        </w:tc>
        <w:tc>
          <w:tcPr>
            <w:tcW w:w="2976" w:type="dxa"/>
          </w:tcPr>
          <w:p w14:paraId="7D0110BA">
            <w:pPr>
              <w:rPr>
                <w:rFonts w:ascii="黑体" w:hAnsi="黑体" w:eastAsia="黑体"/>
                <w:sz w:val="18"/>
                <w:szCs w:val="18"/>
              </w:rPr>
            </w:pPr>
            <w:r>
              <w:rPr>
                <w:rFonts w:hint="eastAsia" w:ascii="黑体" w:hAnsi="黑体" w:eastAsia="黑体"/>
                <w:sz w:val="18"/>
                <w:szCs w:val="18"/>
              </w:rPr>
              <w:t>94%</w:t>
            </w:r>
          </w:p>
        </w:tc>
      </w:tr>
      <w:tr w14:paraId="4E52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4EC27D3B">
            <w:pPr>
              <w:rPr>
                <w:rFonts w:ascii="黑体" w:hAnsi="黑体" w:eastAsia="黑体"/>
                <w:sz w:val="18"/>
                <w:szCs w:val="18"/>
              </w:rPr>
            </w:pPr>
            <w:r>
              <w:rPr>
                <w:rFonts w:hint="eastAsia" w:ascii="黑体" w:hAnsi="黑体" w:eastAsia="黑体"/>
                <w:sz w:val="18"/>
                <w:szCs w:val="18"/>
              </w:rPr>
              <w:t>绿化区域（表层</w:t>
            </w:r>
            <w:r>
              <w:rPr>
                <w:rFonts w:ascii="黑体" w:hAnsi="黑体" w:eastAsia="黑体"/>
                <w:sz w:val="18"/>
                <w:szCs w:val="18"/>
              </w:rPr>
              <w:t>1.5</w:t>
            </w:r>
            <w:r>
              <w:rPr>
                <w:rFonts w:hint="eastAsia" w:ascii="黑体" w:hAnsi="黑体" w:eastAsia="黑体"/>
                <w:sz w:val="18"/>
                <w:szCs w:val="18"/>
              </w:rPr>
              <w:t>米以内）</w:t>
            </w:r>
          </w:p>
        </w:tc>
        <w:tc>
          <w:tcPr>
            <w:tcW w:w="2976" w:type="dxa"/>
          </w:tcPr>
          <w:p w14:paraId="699932F7">
            <w:pPr>
              <w:rPr>
                <w:rFonts w:ascii="黑体" w:hAnsi="黑体" w:eastAsia="黑体"/>
                <w:sz w:val="18"/>
                <w:szCs w:val="18"/>
              </w:rPr>
            </w:pPr>
            <w:r>
              <w:rPr>
                <w:rFonts w:hint="eastAsia" w:ascii="黑体" w:hAnsi="黑体" w:eastAsia="黑体"/>
                <w:sz w:val="18"/>
                <w:szCs w:val="18"/>
              </w:rPr>
              <w:t>85%</w:t>
            </w:r>
          </w:p>
        </w:tc>
      </w:tr>
      <w:tr w14:paraId="4136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1A7B15C8">
            <w:pPr>
              <w:rPr>
                <w:rFonts w:ascii="黑体" w:hAnsi="黑体" w:eastAsia="黑体"/>
                <w:sz w:val="18"/>
                <w:szCs w:val="18"/>
              </w:rPr>
            </w:pPr>
            <w:r>
              <w:rPr>
                <w:rFonts w:hint="eastAsia" w:ascii="黑体" w:hAnsi="黑体" w:eastAsia="黑体"/>
                <w:sz w:val="18"/>
                <w:szCs w:val="18"/>
              </w:rPr>
              <w:t>绿化</w:t>
            </w:r>
            <w:r>
              <w:rPr>
                <w:rFonts w:ascii="黑体" w:hAnsi="黑体" w:eastAsia="黑体"/>
                <w:sz w:val="18"/>
                <w:szCs w:val="18"/>
              </w:rPr>
              <w:t>或</w:t>
            </w:r>
            <w:r>
              <w:rPr>
                <w:rFonts w:hint="eastAsia" w:ascii="黑体" w:hAnsi="黑体" w:eastAsia="黑体"/>
                <w:sz w:val="18"/>
                <w:szCs w:val="18"/>
              </w:rPr>
              <w:t>基坑肥槽区域（1.5米</w:t>
            </w:r>
            <w:r>
              <w:rPr>
                <w:rFonts w:ascii="黑体" w:hAnsi="黑体" w:eastAsia="黑体"/>
                <w:sz w:val="18"/>
                <w:szCs w:val="18"/>
              </w:rPr>
              <w:t>以下）</w:t>
            </w:r>
          </w:p>
        </w:tc>
        <w:tc>
          <w:tcPr>
            <w:tcW w:w="2976" w:type="dxa"/>
          </w:tcPr>
          <w:p w14:paraId="35083483">
            <w:pPr>
              <w:rPr>
                <w:rFonts w:ascii="黑体" w:hAnsi="黑体" w:eastAsia="黑体"/>
                <w:sz w:val="18"/>
                <w:szCs w:val="18"/>
              </w:rPr>
            </w:pPr>
            <w:r>
              <w:rPr>
                <w:rFonts w:hint="eastAsia" w:ascii="黑体" w:hAnsi="黑体" w:eastAsia="黑体"/>
                <w:sz w:val="18"/>
                <w:szCs w:val="18"/>
              </w:rPr>
              <w:t>9</w:t>
            </w:r>
            <w:r>
              <w:rPr>
                <w:rFonts w:ascii="黑体" w:hAnsi="黑体" w:eastAsia="黑体"/>
                <w:sz w:val="18"/>
                <w:szCs w:val="18"/>
              </w:rPr>
              <w:t>2</w:t>
            </w:r>
            <w:r>
              <w:rPr>
                <w:rFonts w:hint="eastAsia" w:ascii="黑体" w:hAnsi="黑体" w:eastAsia="黑体"/>
                <w:sz w:val="18"/>
                <w:szCs w:val="18"/>
              </w:rPr>
              <w:t>%</w:t>
            </w:r>
          </w:p>
        </w:tc>
      </w:tr>
    </w:tbl>
    <w:p w14:paraId="0695FFD0">
      <w:pPr>
        <w:pStyle w:val="51"/>
        <w:spacing w:line="360" w:lineRule="auto"/>
        <w:ind w:left="851" w:firstLine="0" w:firstLineChars="0"/>
        <w:rPr>
          <w:rFonts w:ascii="黑体" w:hAnsi="黑体" w:eastAsia="黑体"/>
          <w:sz w:val="18"/>
        </w:rPr>
      </w:pPr>
    </w:p>
    <w:p w14:paraId="050AB522">
      <w:pPr>
        <w:pStyle w:val="51"/>
        <w:spacing w:line="360" w:lineRule="auto"/>
        <w:ind w:left="851" w:firstLine="0" w:firstLineChars="0"/>
        <w:rPr>
          <w:rFonts w:ascii="黑体" w:hAnsi="黑体" w:eastAsia="黑体"/>
          <w:sz w:val="18"/>
        </w:rPr>
      </w:pPr>
    </w:p>
    <w:p w14:paraId="30683B29">
      <w:pPr>
        <w:pStyle w:val="51"/>
        <w:spacing w:line="360" w:lineRule="auto"/>
        <w:ind w:left="851" w:firstLine="0" w:firstLineChars="0"/>
        <w:rPr>
          <w:rFonts w:ascii="黑体" w:hAnsi="黑体" w:eastAsia="黑体"/>
          <w:sz w:val="18"/>
        </w:rPr>
      </w:pPr>
    </w:p>
    <w:p w14:paraId="5652A3B2">
      <w:pPr>
        <w:pStyle w:val="51"/>
        <w:spacing w:line="360" w:lineRule="auto"/>
        <w:ind w:left="851" w:firstLine="0" w:firstLineChars="0"/>
        <w:rPr>
          <w:rFonts w:ascii="黑体" w:hAnsi="黑体" w:eastAsia="黑体"/>
          <w:sz w:val="18"/>
        </w:rPr>
      </w:pPr>
    </w:p>
    <w:p w14:paraId="6762CDCB">
      <w:pPr>
        <w:pStyle w:val="51"/>
        <w:spacing w:line="360" w:lineRule="auto"/>
        <w:ind w:left="851" w:firstLine="0" w:firstLineChars="0"/>
        <w:rPr>
          <w:rFonts w:ascii="黑体" w:hAnsi="黑体" w:eastAsia="黑体"/>
          <w:sz w:val="18"/>
        </w:rPr>
      </w:pPr>
    </w:p>
    <w:p w14:paraId="5117193A">
      <w:pPr>
        <w:pStyle w:val="51"/>
        <w:spacing w:line="360" w:lineRule="auto"/>
        <w:ind w:left="851" w:firstLine="0" w:firstLineChars="0"/>
        <w:rPr>
          <w:rFonts w:ascii="黑体" w:hAnsi="黑体" w:eastAsia="黑体"/>
          <w:sz w:val="18"/>
        </w:rPr>
      </w:pPr>
    </w:p>
    <w:p w14:paraId="63A64256">
      <w:pPr>
        <w:widowControl/>
        <w:spacing w:line="360" w:lineRule="auto"/>
        <w:ind w:left="851" w:hanging="851" w:hangingChars="471"/>
        <w:rPr>
          <w:rFonts w:ascii="黑体" w:hAnsi="黑体" w:eastAsia="黑体" w:cs="宋体"/>
          <w:color w:val="000000"/>
          <w:kern w:val="0"/>
          <w:sz w:val="18"/>
          <w:szCs w:val="18"/>
        </w:rPr>
      </w:pPr>
      <w:r>
        <w:rPr>
          <w:rStyle w:val="124"/>
        </w:rPr>
        <w:t xml:space="preserve">2.3.3 </w:t>
      </w:r>
      <w:r>
        <w:rPr>
          <w:rFonts w:ascii="黑体" w:hAnsi="黑体" w:eastAsia="黑体" w:cs="宋体"/>
          <w:color w:val="000000"/>
          <w:kern w:val="0"/>
          <w:sz w:val="18"/>
          <w:szCs w:val="18"/>
        </w:rPr>
        <w:t xml:space="preserve">    施工准备 </w:t>
      </w:r>
    </w:p>
    <w:p w14:paraId="345B1035">
      <w:pPr>
        <w:widowControl/>
        <w:spacing w:line="360" w:lineRule="auto"/>
        <w:ind w:left="875" w:leftChars="202" w:hanging="451" w:hangingChars="251"/>
        <w:rPr>
          <w:rFonts w:ascii="黑体" w:hAnsi="黑体" w:eastAsia="黑体" w:cs="宋体"/>
          <w:color w:val="000000"/>
          <w:kern w:val="0"/>
          <w:sz w:val="18"/>
          <w:szCs w:val="18"/>
        </w:rPr>
      </w:pPr>
      <w:r>
        <w:rPr>
          <w:rFonts w:ascii="Calibri" w:hAnsi="Calibri" w:eastAsia="黑体" w:cs="Calibri"/>
          <w:color w:val="000000"/>
          <w:kern w:val="0"/>
          <w:sz w:val="18"/>
          <w:szCs w:val="18"/>
        </w:rPr>
        <w:t> </w:t>
      </w:r>
      <w:r>
        <w:rPr>
          <w:rFonts w:ascii="黑体" w:hAnsi="黑体" w:eastAsia="黑体" w:cs="宋体"/>
          <w:color w:val="000000"/>
          <w:kern w:val="0"/>
          <w:sz w:val="18"/>
          <w:szCs w:val="18"/>
        </w:rPr>
        <w:t>1</w:t>
      </w:r>
      <w:r>
        <w:rPr>
          <w:rFonts w:hint="eastAsia" w:ascii="黑体" w:hAnsi="黑体" w:eastAsia="黑体" w:cs="宋体"/>
          <w:color w:val="000000"/>
          <w:kern w:val="0"/>
          <w:sz w:val="18"/>
          <w:szCs w:val="18"/>
        </w:rPr>
        <w:t xml:space="preserve">． </w:t>
      </w:r>
      <w:r>
        <w:rPr>
          <w:rFonts w:ascii="黑体" w:hAnsi="黑体" w:eastAsia="黑体" w:cs="宋体"/>
          <w:color w:val="000000"/>
          <w:kern w:val="0"/>
          <w:sz w:val="18"/>
          <w:szCs w:val="18"/>
        </w:rPr>
        <w:t xml:space="preserve">  材料及主要机具：</w:t>
      </w:r>
    </w:p>
    <w:p w14:paraId="2A842C36">
      <w:pPr>
        <w:pStyle w:val="51"/>
        <w:numPr>
          <w:ilvl w:val="0"/>
          <w:numId w:val="5"/>
        </w:numPr>
        <w:ind w:left="993" w:leftChars="203" w:hanging="567" w:hangingChars="315"/>
        <w:rPr>
          <w:rFonts w:ascii="黑体" w:hAnsi="黑体" w:eastAsia="黑体"/>
          <w:sz w:val="18"/>
          <w:szCs w:val="18"/>
        </w:rPr>
      </w:pPr>
      <w:r>
        <w:rPr>
          <w:rFonts w:ascii="黑体" w:hAnsi="黑体" w:eastAsia="黑体"/>
          <w:sz w:val="18"/>
          <w:szCs w:val="18"/>
        </w:rPr>
        <w:t>碎石类土、砂土(使用细砂、粉砂时应取得设计单位同意)和爆破石碴，可用作表层以下填料</w:t>
      </w:r>
      <w:r>
        <w:rPr>
          <w:rFonts w:hint="eastAsia" w:ascii="黑体" w:hAnsi="黑体" w:eastAsia="黑体"/>
          <w:sz w:val="18"/>
          <w:szCs w:val="18"/>
        </w:rPr>
        <w:t>；</w:t>
      </w:r>
      <w:r>
        <w:rPr>
          <w:rFonts w:ascii="黑体" w:hAnsi="黑体" w:eastAsia="黑体"/>
          <w:sz w:val="18"/>
          <w:szCs w:val="18"/>
        </w:rPr>
        <w:t>它最大粒径不得超过每层铺填厚度的2/3或3/4(使用振动碾时)，含水率应符合规定。</w:t>
      </w:r>
    </w:p>
    <w:p w14:paraId="3230BEE3">
      <w:pPr>
        <w:pStyle w:val="51"/>
        <w:numPr>
          <w:ilvl w:val="0"/>
          <w:numId w:val="5"/>
        </w:numPr>
        <w:ind w:left="993" w:leftChars="203" w:hanging="567" w:hangingChars="315"/>
        <w:rPr>
          <w:rFonts w:ascii="黑体" w:hAnsi="黑体" w:eastAsia="黑体"/>
          <w:sz w:val="18"/>
          <w:szCs w:val="18"/>
        </w:rPr>
      </w:pPr>
      <w:r>
        <w:rPr>
          <w:rFonts w:ascii="黑体" w:hAnsi="黑体" w:eastAsia="黑体"/>
          <w:sz w:val="18"/>
          <w:szCs w:val="18"/>
        </w:rPr>
        <w:t>粘性土应检验其含水率，必须达到设计控制范围，方可使用。</w:t>
      </w:r>
    </w:p>
    <w:p w14:paraId="787D4430">
      <w:pPr>
        <w:pStyle w:val="51"/>
        <w:numPr>
          <w:ilvl w:val="0"/>
          <w:numId w:val="5"/>
        </w:numPr>
        <w:ind w:left="993" w:leftChars="203" w:hanging="567" w:hangingChars="315"/>
        <w:rPr>
          <w:rFonts w:ascii="黑体" w:hAnsi="黑体" w:eastAsia="黑体"/>
          <w:sz w:val="18"/>
          <w:szCs w:val="18"/>
        </w:rPr>
      </w:pPr>
      <w:r>
        <w:rPr>
          <w:rFonts w:ascii="黑体" w:hAnsi="黑体" w:eastAsia="黑体"/>
          <w:sz w:val="18"/>
          <w:szCs w:val="18"/>
        </w:rPr>
        <w:t>盐渍土一般不可使用。但填料中不含有盐晶、盐块或含盐植物的根茎，并符合《土方与爆破工程施工及验收规范》附表1.8的规定的盐渍土则可以使用。</w:t>
      </w:r>
    </w:p>
    <w:p w14:paraId="483378E6">
      <w:pPr>
        <w:pStyle w:val="51"/>
        <w:numPr>
          <w:ilvl w:val="0"/>
          <w:numId w:val="5"/>
        </w:numPr>
        <w:ind w:left="993" w:leftChars="203" w:hanging="567" w:hangingChars="315"/>
        <w:rPr>
          <w:rFonts w:ascii="黑体" w:hAnsi="黑体" w:eastAsia="黑体"/>
          <w:sz w:val="18"/>
          <w:szCs w:val="18"/>
        </w:rPr>
      </w:pPr>
      <w:r>
        <w:rPr>
          <w:rFonts w:ascii="黑体" w:hAnsi="黑体" w:eastAsia="黑体"/>
          <w:sz w:val="18"/>
          <w:szCs w:val="18"/>
        </w:rPr>
        <w:t>主要机具：</w:t>
      </w:r>
    </w:p>
    <w:p w14:paraId="7C72B3A4">
      <w:pPr>
        <w:pStyle w:val="51"/>
        <w:ind w:left="993" w:firstLine="0" w:firstLineChars="0"/>
        <w:rPr>
          <w:rFonts w:ascii="黑体" w:hAnsi="黑体" w:eastAsia="黑体"/>
          <w:sz w:val="18"/>
          <w:szCs w:val="18"/>
        </w:rPr>
      </w:pPr>
      <w:r>
        <w:rPr>
          <w:rFonts w:ascii="黑体" w:hAnsi="黑体" w:eastAsia="黑体"/>
          <w:sz w:val="18"/>
          <w:szCs w:val="18"/>
        </w:rPr>
        <w:t>装运土方机械有：铲土机、自卸汽车、推土机、铲运机及翻斗车等。</w:t>
      </w:r>
    </w:p>
    <w:p w14:paraId="30C6A883">
      <w:pPr>
        <w:pStyle w:val="51"/>
        <w:ind w:left="993" w:firstLine="0" w:firstLineChars="0"/>
        <w:rPr>
          <w:rFonts w:ascii="黑体" w:hAnsi="黑体" w:eastAsia="黑体"/>
          <w:sz w:val="18"/>
          <w:szCs w:val="18"/>
        </w:rPr>
      </w:pPr>
      <w:r>
        <w:rPr>
          <w:rFonts w:ascii="黑体" w:hAnsi="黑体" w:eastAsia="黑体"/>
          <w:sz w:val="18"/>
          <w:szCs w:val="18"/>
        </w:rPr>
        <w:t>碾压机械有：平碾、羊足碾和振动碾等。</w:t>
      </w:r>
    </w:p>
    <w:p w14:paraId="2926D332">
      <w:pPr>
        <w:widowControl/>
        <w:spacing w:line="360" w:lineRule="auto"/>
        <w:ind w:firstLine="360" w:firstLineChars="200"/>
        <w:rPr>
          <w:rFonts w:ascii="黑体" w:hAnsi="黑体" w:eastAsia="黑体" w:cs="宋体"/>
          <w:color w:val="000000"/>
          <w:kern w:val="0"/>
          <w:sz w:val="18"/>
          <w:szCs w:val="18"/>
        </w:rPr>
      </w:pPr>
      <w:r>
        <w:rPr>
          <w:rFonts w:ascii="Calibri" w:hAnsi="Calibri" w:eastAsia="黑体" w:cs="Calibri"/>
          <w:color w:val="000000"/>
          <w:kern w:val="0"/>
          <w:sz w:val="18"/>
          <w:szCs w:val="18"/>
        </w:rPr>
        <w:t> </w:t>
      </w:r>
      <w:r>
        <w:rPr>
          <w:rFonts w:ascii="黑体" w:hAnsi="黑体" w:eastAsia="黑体" w:cs="Calibri"/>
          <w:color w:val="000000"/>
          <w:kern w:val="0"/>
          <w:sz w:val="18"/>
          <w:szCs w:val="18"/>
        </w:rPr>
        <w:t xml:space="preserve">      </w:t>
      </w:r>
      <w:r>
        <w:rPr>
          <w:rFonts w:ascii="黑体" w:hAnsi="黑体" w:eastAsia="黑体" w:cs="宋体"/>
          <w:color w:val="000000"/>
          <w:kern w:val="0"/>
          <w:sz w:val="18"/>
          <w:szCs w:val="18"/>
        </w:rPr>
        <w:t>一般机具有：蛙式或柴油打夯机、手推车、铁锹(平头或尖头)、2m钢尺、20号铅丝、胶皮管等。</w:t>
      </w:r>
    </w:p>
    <w:p w14:paraId="27FF4EE7">
      <w:pPr>
        <w:widowControl/>
        <w:spacing w:line="360" w:lineRule="auto"/>
        <w:ind w:firstLine="360" w:firstLineChars="200"/>
        <w:rPr>
          <w:rFonts w:ascii="黑体" w:hAnsi="黑体" w:eastAsia="黑体" w:cs="宋体"/>
          <w:color w:val="000000"/>
          <w:kern w:val="0"/>
          <w:sz w:val="18"/>
          <w:szCs w:val="18"/>
        </w:rPr>
      </w:pPr>
      <w:r>
        <w:rPr>
          <w:rFonts w:ascii="黑体" w:hAnsi="黑体" w:eastAsia="黑体" w:cs="宋体"/>
          <w:color w:val="000000"/>
          <w:kern w:val="0"/>
          <w:sz w:val="18"/>
          <w:szCs w:val="18"/>
        </w:rPr>
        <w:t>2</w:t>
      </w:r>
      <w:r>
        <w:rPr>
          <w:rFonts w:hint="eastAsia" w:ascii="黑体" w:hAnsi="黑体" w:eastAsia="黑体" w:cs="宋体"/>
          <w:color w:val="000000"/>
          <w:kern w:val="0"/>
          <w:sz w:val="18"/>
          <w:szCs w:val="18"/>
        </w:rPr>
        <w:t xml:space="preserve">．  </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作</w:t>
      </w:r>
      <w:r>
        <w:rPr>
          <w:rFonts w:ascii="黑体" w:hAnsi="黑体" w:eastAsia="黑体" w:cs="宋体"/>
          <w:color w:val="000000"/>
          <w:kern w:val="0"/>
          <w:sz w:val="18"/>
          <w:szCs w:val="18"/>
        </w:rPr>
        <w:t>业条件：</w:t>
      </w:r>
    </w:p>
    <w:p w14:paraId="41DACC1E">
      <w:pPr>
        <w:pStyle w:val="51"/>
        <w:widowControl/>
        <w:numPr>
          <w:ilvl w:val="0"/>
          <w:numId w:val="6"/>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施工前应根据工程特点、填方土料种类、密实度要求、施工条件等，合理地确定填方土料含水量控制范围、虚铺厚度和压实遍数等参数；重要回填土方工程，其参数应通过压实试验来确定。</w:t>
      </w:r>
    </w:p>
    <w:p w14:paraId="7B72D47E">
      <w:pPr>
        <w:pStyle w:val="51"/>
        <w:widowControl/>
        <w:numPr>
          <w:ilvl w:val="0"/>
          <w:numId w:val="6"/>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填土前应对填方基底和已完工程进行检查和中间验收，合格后要作好隐蔽检查和验收手续。</w:t>
      </w:r>
    </w:p>
    <w:p w14:paraId="408D760A">
      <w:pPr>
        <w:pStyle w:val="51"/>
        <w:widowControl/>
        <w:numPr>
          <w:ilvl w:val="0"/>
          <w:numId w:val="6"/>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施工前，应做好水平高程标志布置。如大型基坑或沟边上每隔1m钉上水平桩橛或在邻近的固定建筑物上抄上标准高程点。大面积场地上或地坪每隔一定距离钉上水平桩。</w:t>
      </w:r>
    </w:p>
    <w:p w14:paraId="3087C69F">
      <w:pPr>
        <w:pStyle w:val="51"/>
        <w:widowControl/>
        <w:numPr>
          <w:ilvl w:val="0"/>
          <w:numId w:val="6"/>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确定好土方机械、车辆的行走路线，应事先经过检查，必要时要进行加固加宽等准备工作。同时要编好施工方案。</w:t>
      </w:r>
    </w:p>
    <w:p w14:paraId="78A1C3E5">
      <w:pPr>
        <w:widowControl/>
        <w:spacing w:line="360" w:lineRule="auto"/>
        <w:rPr>
          <w:rFonts w:ascii="黑体" w:hAnsi="黑体" w:eastAsia="黑体" w:cs="宋体"/>
          <w:color w:val="000000"/>
          <w:kern w:val="0"/>
          <w:sz w:val="18"/>
          <w:szCs w:val="18"/>
        </w:rPr>
      </w:pPr>
      <w:r>
        <w:rPr>
          <w:rStyle w:val="124"/>
        </w:rPr>
        <w:t xml:space="preserve">2.3.4  </w:t>
      </w:r>
      <w:r>
        <w:rPr>
          <w:rFonts w:ascii="黑体" w:hAnsi="黑体" w:eastAsia="黑体" w:cs="宋体"/>
          <w:color w:val="000000"/>
          <w:kern w:val="0"/>
          <w:sz w:val="18"/>
          <w:szCs w:val="18"/>
        </w:rPr>
        <w:t xml:space="preserve">    操作工艺 </w:t>
      </w:r>
    </w:p>
    <w:p w14:paraId="357A63F3">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 xml:space="preserve">工艺流程：基坑底地坪上清理 → 检验土质 → 分层铺土 → 分层碾压密实 → 检验密实度 →修整找平验收 </w:t>
      </w:r>
    </w:p>
    <w:p w14:paraId="75C8BB14">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填土前，应将基土上的洞穴或基底表面上的树根、垃圾等杂物都处理完毕，清除干净。</w:t>
      </w:r>
    </w:p>
    <w:p w14:paraId="5B23AC45">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检验土质。检验回填土料的种类、粒径，有无杂物，是否符合规定，以及土料的含水量是否在控制范围内；如含水量偏高，可采用翻松、晾晒或均匀掺入干土等措施；如遇填料含水量偏低，可采用预先洒水润湿等措施。</w:t>
      </w:r>
    </w:p>
    <w:p w14:paraId="1571CFB0">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填土应分层铺摊。每层铺土的厚度应根据土质、密实度要求和机具性能确定。或按</w:t>
      </w:r>
      <w:r>
        <w:rPr>
          <w:rFonts w:hint="eastAsia" w:ascii="黑体" w:hAnsi="黑体" w:eastAsia="黑体" w:cs="宋体"/>
          <w:color w:val="000000"/>
          <w:kern w:val="0"/>
          <w:sz w:val="18"/>
          <w:szCs w:val="18"/>
        </w:rPr>
        <w:t>下</w:t>
      </w:r>
      <w:r>
        <w:rPr>
          <w:rFonts w:ascii="黑体" w:hAnsi="黑体" w:eastAsia="黑体" w:cs="宋体"/>
          <w:color w:val="000000"/>
          <w:kern w:val="0"/>
          <w:sz w:val="18"/>
          <w:szCs w:val="18"/>
        </w:rPr>
        <w:t>表选用。</w:t>
      </w:r>
    </w:p>
    <w:p w14:paraId="45F6A688">
      <w:pPr>
        <w:widowControl/>
        <w:spacing w:line="360" w:lineRule="auto"/>
        <w:rPr>
          <w:rFonts w:ascii="黑体" w:hAnsi="黑体" w:eastAsia="黑体" w:cs="宋体"/>
          <w:color w:val="000000"/>
          <w:kern w:val="0"/>
          <w:sz w:val="18"/>
          <w:szCs w:val="18"/>
        </w:rPr>
      </w:pPr>
      <w:r>
        <w:rPr>
          <w:rFonts w:ascii="Calibri" w:hAnsi="Calibri" w:eastAsia="黑体" w:cs="Calibri"/>
          <w:color w:val="000000"/>
          <w:kern w:val="0"/>
          <w:sz w:val="18"/>
          <w:szCs w:val="18"/>
        </w:rPr>
        <w:t>                  </w:t>
      </w:r>
      <w:r>
        <w:rPr>
          <w:rFonts w:ascii="黑体" w:hAnsi="黑体" w:eastAsia="黑体" w:cs="宋体"/>
          <w:color w:val="000000"/>
          <w:kern w:val="0"/>
          <w:sz w:val="18"/>
          <w:szCs w:val="18"/>
        </w:rPr>
        <w:t>填土每层的铺土厚度和压实遍数</w:t>
      </w:r>
      <w:r>
        <w:rPr>
          <w:rFonts w:ascii="Calibri" w:hAnsi="Calibri" w:eastAsia="黑体" w:cs="Calibri"/>
          <w:color w:val="000000"/>
          <w:kern w:val="0"/>
          <w:sz w:val="18"/>
          <w:szCs w:val="18"/>
        </w:rPr>
        <w:t>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835"/>
        <w:gridCol w:w="3686"/>
      </w:tblGrid>
      <w:tr w14:paraId="1188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14:paraId="0B9802E4">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压</w:t>
            </w:r>
            <w:r>
              <w:rPr>
                <w:rFonts w:ascii="Calibri" w:hAnsi="Calibri" w:eastAsia="黑体" w:cs="Calibri"/>
                <w:color w:val="000000"/>
                <w:kern w:val="0"/>
                <w:sz w:val="18"/>
                <w:szCs w:val="18"/>
              </w:rPr>
              <w:t>  </w:t>
            </w:r>
            <w:r>
              <w:rPr>
                <w:rFonts w:ascii="黑体" w:hAnsi="黑体" w:eastAsia="黑体" w:cs="宋体"/>
                <w:color w:val="000000"/>
                <w:kern w:val="0"/>
                <w:sz w:val="18"/>
                <w:szCs w:val="18"/>
              </w:rPr>
              <w:t>实</w:t>
            </w:r>
            <w:r>
              <w:rPr>
                <w:rFonts w:ascii="Calibri" w:hAnsi="Calibri" w:eastAsia="黑体" w:cs="Calibri"/>
                <w:color w:val="000000"/>
                <w:kern w:val="0"/>
                <w:sz w:val="18"/>
                <w:szCs w:val="18"/>
              </w:rPr>
              <w:t>  </w:t>
            </w:r>
            <w:r>
              <w:rPr>
                <w:rFonts w:ascii="黑体" w:hAnsi="黑体" w:eastAsia="黑体" w:cs="宋体"/>
                <w:color w:val="000000"/>
                <w:kern w:val="0"/>
                <w:sz w:val="18"/>
                <w:szCs w:val="18"/>
              </w:rPr>
              <w:t>机</w:t>
            </w:r>
            <w:r>
              <w:rPr>
                <w:rFonts w:ascii="Calibri" w:hAnsi="Calibri" w:eastAsia="黑体" w:cs="Calibri"/>
                <w:color w:val="000000"/>
                <w:kern w:val="0"/>
                <w:sz w:val="18"/>
                <w:szCs w:val="18"/>
              </w:rPr>
              <w:t>  </w:t>
            </w:r>
            <w:r>
              <w:rPr>
                <w:rFonts w:ascii="黑体" w:hAnsi="黑体" w:eastAsia="黑体" w:cs="宋体"/>
                <w:color w:val="000000"/>
                <w:kern w:val="0"/>
                <w:sz w:val="18"/>
                <w:szCs w:val="18"/>
              </w:rPr>
              <w:t>具</w:t>
            </w:r>
          </w:p>
        </w:tc>
        <w:tc>
          <w:tcPr>
            <w:tcW w:w="2835" w:type="dxa"/>
          </w:tcPr>
          <w:p w14:paraId="7CA639E0">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每层铺土厚度</w:t>
            </w:r>
            <w:r>
              <w:rPr>
                <w:rFonts w:ascii="Calibri" w:hAnsi="Calibri" w:eastAsia="黑体" w:cs="Calibri"/>
                <w:color w:val="000000"/>
                <w:kern w:val="0"/>
                <w:sz w:val="18"/>
                <w:szCs w:val="18"/>
              </w:rPr>
              <w:t> </w:t>
            </w:r>
            <w:r>
              <w:rPr>
                <w:rFonts w:ascii="黑体" w:hAnsi="黑体" w:eastAsia="黑体" w:cs="宋体"/>
                <w:color w:val="000000"/>
                <w:kern w:val="0"/>
                <w:sz w:val="18"/>
                <w:szCs w:val="18"/>
              </w:rPr>
              <w:t>(mm)</w:t>
            </w:r>
          </w:p>
        </w:tc>
        <w:tc>
          <w:tcPr>
            <w:tcW w:w="3686" w:type="dxa"/>
          </w:tcPr>
          <w:p w14:paraId="1A16CC30">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每层压实遍数</w:t>
            </w:r>
            <w:r>
              <w:rPr>
                <w:rFonts w:ascii="Calibri" w:hAnsi="Calibri" w:eastAsia="黑体" w:cs="Calibri"/>
                <w:color w:val="000000"/>
                <w:kern w:val="0"/>
                <w:sz w:val="18"/>
                <w:szCs w:val="18"/>
              </w:rPr>
              <w:t> </w:t>
            </w:r>
            <w:r>
              <w:rPr>
                <w:rFonts w:ascii="黑体" w:hAnsi="黑体" w:eastAsia="黑体" w:cs="宋体"/>
                <w:color w:val="000000"/>
                <w:kern w:val="0"/>
                <w:sz w:val="18"/>
                <w:szCs w:val="18"/>
              </w:rPr>
              <w:t xml:space="preserve">(遍) </w:t>
            </w:r>
          </w:p>
        </w:tc>
      </w:tr>
      <w:tr w14:paraId="423E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14:paraId="235DF5E1">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平碾</w:t>
            </w:r>
            <w:r>
              <w:rPr>
                <w:rFonts w:ascii="Calibri" w:hAnsi="Calibri" w:eastAsia="黑体" w:cs="Calibri"/>
                <w:color w:val="000000"/>
                <w:kern w:val="0"/>
                <w:sz w:val="18"/>
                <w:szCs w:val="18"/>
              </w:rPr>
              <w:t> </w:t>
            </w:r>
          </w:p>
        </w:tc>
        <w:tc>
          <w:tcPr>
            <w:tcW w:w="2835" w:type="dxa"/>
          </w:tcPr>
          <w:p w14:paraId="6820083E">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200~300</w:t>
            </w:r>
          </w:p>
        </w:tc>
        <w:tc>
          <w:tcPr>
            <w:tcW w:w="3686" w:type="dxa"/>
          </w:tcPr>
          <w:p w14:paraId="6B1E9D33">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6~8</w:t>
            </w:r>
          </w:p>
        </w:tc>
      </w:tr>
      <w:tr w14:paraId="2404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14:paraId="0F3DDC48">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羊足碾</w:t>
            </w:r>
            <w:r>
              <w:rPr>
                <w:rFonts w:ascii="Calibri" w:hAnsi="Calibri" w:eastAsia="黑体" w:cs="Calibri"/>
                <w:color w:val="000000"/>
                <w:kern w:val="0"/>
                <w:sz w:val="18"/>
                <w:szCs w:val="18"/>
              </w:rPr>
              <w:t> </w:t>
            </w:r>
          </w:p>
        </w:tc>
        <w:tc>
          <w:tcPr>
            <w:tcW w:w="2835" w:type="dxa"/>
          </w:tcPr>
          <w:p w14:paraId="10C79660">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200~350</w:t>
            </w:r>
          </w:p>
        </w:tc>
        <w:tc>
          <w:tcPr>
            <w:tcW w:w="3686" w:type="dxa"/>
          </w:tcPr>
          <w:p w14:paraId="4EF7E140">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8~16</w:t>
            </w:r>
          </w:p>
        </w:tc>
      </w:tr>
      <w:tr w14:paraId="14F6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14:paraId="63E252C2">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振动平碾</w:t>
            </w:r>
            <w:r>
              <w:rPr>
                <w:rFonts w:ascii="Calibri" w:hAnsi="Calibri" w:eastAsia="黑体" w:cs="Calibri"/>
                <w:color w:val="000000"/>
                <w:kern w:val="0"/>
                <w:sz w:val="18"/>
                <w:szCs w:val="18"/>
              </w:rPr>
              <w:t> </w:t>
            </w:r>
          </w:p>
        </w:tc>
        <w:tc>
          <w:tcPr>
            <w:tcW w:w="2835" w:type="dxa"/>
          </w:tcPr>
          <w:p w14:paraId="259FFDE1">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500~1000</w:t>
            </w:r>
          </w:p>
        </w:tc>
        <w:tc>
          <w:tcPr>
            <w:tcW w:w="3686" w:type="dxa"/>
          </w:tcPr>
          <w:p w14:paraId="3388ACBF">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6~8</w:t>
            </w:r>
          </w:p>
        </w:tc>
      </w:tr>
      <w:tr w14:paraId="1CEB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14:paraId="045634C6">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蛙式</w:t>
            </w: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柴油式打夯机</w:t>
            </w:r>
          </w:p>
        </w:tc>
        <w:tc>
          <w:tcPr>
            <w:tcW w:w="2835" w:type="dxa"/>
          </w:tcPr>
          <w:p w14:paraId="46D6495B">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200~250</w:t>
            </w:r>
          </w:p>
        </w:tc>
        <w:tc>
          <w:tcPr>
            <w:tcW w:w="3686" w:type="dxa"/>
          </w:tcPr>
          <w:p w14:paraId="46CCAEBD">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3~4</w:t>
            </w:r>
          </w:p>
        </w:tc>
      </w:tr>
    </w:tbl>
    <w:p w14:paraId="69449CA5">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碾压机械压实填方时，应控制行驶速度，一般不应超过以下规定：</w:t>
      </w:r>
      <w:r>
        <w:rPr>
          <w:rFonts w:ascii="Calibri" w:hAnsi="Calibri" w:eastAsia="黑体" w:cs="Calibri"/>
          <w:color w:val="000000"/>
          <w:kern w:val="0"/>
          <w:sz w:val="18"/>
          <w:szCs w:val="18"/>
        </w:rPr>
        <w:t> </w:t>
      </w:r>
      <w:r>
        <w:rPr>
          <w:rFonts w:ascii="黑体" w:hAnsi="黑体" w:eastAsia="黑体" w:cs="宋体"/>
          <w:color w:val="000000"/>
          <w:kern w:val="0"/>
          <w:sz w:val="18"/>
          <w:szCs w:val="18"/>
        </w:rPr>
        <w:t>平碾：2km/h</w:t>
      </w: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羊足碾：3kW/h</w:t>
      </w:r>
      <w:r>
        <w:rPr>
          <w:rFonts w:hint="eastAsia" w:ascii="黑体" w:hAnsi="黑体" w:eastAsia="黑体" w:cs="宋体"/>
          <w:color w:val="000000"/>
          <w:kern w:val="0"/>
          <w:sz w:val="18"/>
          <w:szCs w:val="18"/>
        </w:rPr>
        <w:t>；</w:t>
      </w:r>
      <w:r>
        <w:rPr>
          <w:rFonts w:ascii="Calibri" w:hAnsi="Calibri" w:eastAsia="黑体" w:cs="Calibri"/>
          <w:color w:val="000000"/>
          <w:kern w:val="0"/>
          <w:sz w:val="18"/>
          <w:szCs w:val="18"/>
        </w:rPr>
        <w:t> </w:t>
      </w:r>
      <w:r>
        <w:rPr>
          <w:rFonts w:ascii="黑体" w:hAnsi="黑体" w:eastAsia="黑体" w:cs="宋体"/>
          <w:color w:val="000000"/>
          <w:kern w:val="0"/>
          <w:sz w:val="18"/>
          <w:szCs w:val="18"/>
        </w:rPr>
        <w:t>振动碾：2km/h</w:t>
      </w:r>
    </w:p>
    <w:p w14:paraId="00105A18">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碾压时，轮(夯)迹应相互搭接，防止漏压或漏夯。长宽比较大时，填土应分段进行。每层接缝处应作成斜坡形，碾迹重叠。重叠0.5～l.0m左右，上下层错缝距离不应小于1m。</w:t>
      </w:r>
    </w:p>
    <w:p w14:paraId="4633E48C">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填方超出基底表面时，应保证边缘部位的压实质量。填土后，如设计不要求边坡修整，宜将填方边缘宽填0.5m；如设计要求边坡修平拍实，宽填可为0.2m。</w:t>
      </w:r>
    </w:p>
    <w:p w14:paraId="73D42E35">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在机械施工碾压不到的填土部位，应配合人工推土填充，用蛙式或柴油打夯机分层夯打密实。</w:t>
      </w:r>
    </w:p>
    <w:p w14:paraId="6BA9A8F2">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回填土方每层压实后，应按规范规定进行环刀取样，测出干土的质量密度，达到要求后，再进行上一层的铺土。</w:t>
      </w:r>
    </w:p>
    <w:p w14:paraId="7E01852F">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填方全部完成后，表面应进行拉线找平，凡超过标准高程的地方，及时依线铲平；凡低于标准高程的地方，应补土找平夯实。</w:t>
      </w:r>
    </w:p>
    <w:p w14:paraId="0523C48A">
      <w:pPr>
        <w:pStyle w:val="51"/>
        <w:widowControl/>
        <w:numPr>
          <w:ilvl w:val="0"/>
          <w:numId w:val="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雨、冬期施工：</w:t>
      </w:r>
    </w:p>
    <w:p w14:paraId="1E4F7F51">
      <w:pPr>
        <w:pStyle w:val="51"/>
        <w:widowControl/>
        <w:numPr>
          <w:ilvl w:val="0"/>
          <w:numId w:val="8"/>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雨期施工的填方工程，应连续进行尽快完成；工作面不宜过大，应分层分段逐片进行。重要或特殊的土方回填，应尽量在雨期前完成。</w:t>
      </w:r>
    </w:p>
    <w:p w14:paraId="575E9B23">
      <w:pPr>
        <w:pStyle w:val="51"/>
        <w:widowControl/>
        <w:numPr>
          <w:ilvl w:val="0"/>
          <w:numId w:val="8"/>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雨施时，应有防雨措施或方案，要防止地面水流入基坑和地坪内，以免边坡塌方或基土遭到破坏。</w:t>
      </w:r>
    </w:p>
    <w:p w14:paraId="7C94DFC6">
      <w:pPr>
        <w:pStyle w:val="51"/>
        <w:widowControl/>
        <w:numPr>
          <w:ilvl w:val="0"/>
          <w:numId w:val="8"/>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填方工程不宜在冬期施工，如必须在冬期施工时，其施工方法需经过技术经济比较后确定。</w:t>
      </w:r>
    </w:p>
    <w:p w14:paraId="7076BE05">
      <w:pPr>
        <w:pStyle w:val="51"/>
        <w:widowControl/>
        <w:numPr>
          <w:ilvl w:val="0"/>
          <w:numId w:val="8"/>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冬期填方前，应清除基底上的冰雪和保温材料；距离边坡表层1m以内不得用冻土填筑；填方上层应用未冻、不冻胀或透水性好的土料填筑，其厚度应符合设计要求。</w:t>
      </w:r>
    </w:p>
    <w:p w14:paraId="7870C0EA">
      <w:pPr>
        <w:pStyle w:val="51"/>
        <w:widowControl/>
        <w:numPr>
          <w:ilvl w:val="0"/>
          <w:numId w:val="8"/>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冬期施工室外平均气温在-5</w:t>
      </w: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以上时，填方高度不受限制；平均温度在-5</w:t>
      </w: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以下时，填方高度不宜超过</w:t>
      </w:r>
      <w:r>
        <w:rPr>
          <w:rFonts w:hint="eastAsia" w:ascii="黑体" w:hAnsi="黑体" w:eastAsia="黑体" w:cs="宋体"/>
          <w:color w:val="000000"/>
          <w:kern w:val="0"/>
          <w:sz w:val="18"/>
          <w:szCs w:val="18"/>
        </w:rPr>
        <w:t>下</w:t>
      </w:r>
      <w:r>
        <w:rPr>
          <w:rFonts w:ascii="黑体" w:hAnsi="黑体" w:eastAsia="黑体" w:cs="宋体"/>
          <w:color w:val="000000"/>
          <w:kern w:val="0"/>
          <w:sz w:val="18"/>
          <w:szCs w:val="18"/>
        </w:rPr>
        <w:t>表的规定。但用石块和不含冰块的砂土(不包括粉砂)、碎石类土填筑时，可不受表内填方高度的限制。</w:t>
      </w:r>
    </w:p>
    <w:p w14:paraId="1C2DD0BC">
      <w:pPr>
        <w:widowControl/>
        <w:spacing w:line="360" w:lineRule="auto"/>
        <w:ind w:firstLine="2175"/>
        <w:rPr>
          <w:rFonts w:ascii="黑体" w:hAnsi="黑体" w:eastAsia="黑体" w:cs="宋体"/>
          <w:color w:val="000000"/>
          <w:kern w:val="0"/>
          <w:sz w:val="18"/>
          <w:szCs w:val="18"/>
        </w:rPr>
      </w:pPr>
      <w:r>
        <w:rPr>
          <w:rFonts w:ascii="黑体" w:hAnsi="黑体" w:eastAsia="黑体" w:cs="宋体"/>
          <w:color w:val="000000"/>
          <w:kern w:val="0"/>
          <w:sz w:val="18"/>
          <w:szCs w:val="18"/>
        </w:rPr>
        <w:t>冬期填方高度限制</w:t>
      </w:r>
      <w:r>
        <w:rPr>
          <w:rFonts w:ascii="Calibri" w:hAnsi="Calibri" w:eastAsia="黑体" w:cs="Calibri"/>
          <w:color w:val="000000"/>
          <w:kern w:val="0"/>
          <w:sz w:val="18"/>
          <w:szCs w:val="18"/>
        </w:rPr>
        <w:t>                    </w:t>
      </w:r>
    </w:p>
    <w:tbl>
      <w:tblPr>
        <w:tblStyle w:val="37"/>
        <w:tblW w:w="0" w:type="auto"/>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2581"/>
      </w:tblGrid>
      <w:tr w14:paraId="6E96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4897D9F1">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平均气温</w:t>
            </w:r>
            <w:r>
              <w:rPr>
                <w:rFonts w:ascii="Calibri" w:hAnsi="Calibri" w:eastAsia="黑体" w:cs="Calibri"/>
                <w:color w:val="000000"/>
                <w:kern w:val="0"/>
                <w:sz w:val="18"/>
                <w:szCs w:val="18"/>
              </w:rPr>
              <w:t> </w:t>
            </w:r>
            <w:r>
              <w:rPr>
                <w:rFonts w:ascii="黑体" w:hAnsi="黑体" w:eastAsia="黑体" w:cs="宋体"/>
                <w:color w:val="000000"/>
                <w:kern w:val="0"/>
                <w:sz w:val="18"/>
                <w:szCs w:val="18"/>
              </w:rPr>
              <w:t>(</w:t>
            </w:r>
            <w:r>
              <w:rPr>
                <w:rFonts w:hint="eastAsia" w:ascii="黑体" w:hAnsi="黑体" w:eastAsia="黑体" w:cs="宋体"/>
                <w:color w:val="000000"/>
                <w:kern w:val="0"/>
                <w:sz w:val="18"/>
                <w:szCs w:val="18"/>
              </w:rPr>
              <w:t>℃</w:t>
            </w:r>
            <w:r>
              <w:rPr>
                <w:rFonts w:ascii="黑体" w:hAnsi="黑体" w:eastAsia="黑体"/>
                <w:color w:val="000000"/>
                <w:kern w:val="0"/>
                <w:sz w:val="18"/>
                <w:szCs w:val="18"/>
              </w:rPr>
              <w:t>)</w:t>
            </w:r>
          </w:p>
        </w:tc>
        <w:tc>
          <w:tcPr>
            <w:tcW w:w="2581" w:type="dxa"/>
            <w:vAlign w:val="center"/>
          </w:tcPr>
          <w:p w14:paraId="0E789557">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填方高度</w:t>
            </w:r>
            <w:r>
              <w:rPr>
                <w:rFonts w:ascii="Calibri" w:hAnsi="Calibri" w:eastAsia="黑体" w:cs="Calibri"/>
                <w:color w:val="000000"/>
                <w:kern w:val="0"/>
                <w:sz w:val="18"/>
                <w:szCs w:val="18"/>
              </w:rPr>
              <w:t> </w:t>
            </w:r>
            <w:r>
              <w:rPr>
                <w:rFonts w:ascii="黑体" w:hAnsi="黑体" w:eastAsia="黑体" w:cs="宋体"/>
                <w:color w:val="000000"/>
                <w:kern w:val="0"/>
                <w:sz w:val="18"/>
                <w:szCs w:val="18"/>
              </w:rPr>
              <w:t>(m)</w:t>
            </w:r>
          </w:p>
        </w:tc>
      </w:tr>
      <w:tr w14:paraId="051C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2B7382CB">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-5~-10</w:t>
            </w:r>
          </w:p>
        </w:tc>
        <w:tc>
          <w:tcPr>
            <w:tcW w:w="2581" w:type="dxa"/>
            <w:vAlign w:val="center"/>
          </w:tcPr>
          <w:p w14:paraId="4118D9F4">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4.5</w:t>
            </w:r>
          </w:p>
        </w:tc>
      </w:tr>
      <w:tr w14:paraId="33A5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1011A870">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-11~-15</w:t>
            </w:r>
          </w:p>
        </w:tc>
        <w:tc>
          <w:tcPr>
            <w:tcW w:w="2581" w:type="dxa"/>
            <w:vAlign w:val="center"/>
          </w:tcPr>
          <w:p w14:paraId="2D4C8025">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3.5</w:t>
            </w:r>
          </w:p>
        </w:tc>
      </w:tr>
      <w:tr w14:paraId="3A42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vAlign w:val="center"/>
          </w:tcPr>
          <w:p w14:paraId="53AA52B5">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-16~-20</w:t>
            </w:r>
          </w:p>
        </w:tc>
        <w:tc>
          <w:tcPr>
            <w:tcW w:w="2581" w:type="dxa"/>
            <w:vAlign w:val="center"/>
          </w:tcPr>
          <w:p w14:paraId="4F073480">
            <w:pPr>
              <w:widowControl/>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2.5</w:t>
            </w:r>
          </w:p>
        </w:tc>
      </w:tr>
    </w:tbl>
    <w:p w14:paraId="3E70349F">
      <w:pPr>
        <w:widowControl/>
        <w:spacing w:line="360" w:lineRule="auto"/>
        <w:ind w:left="989" w:leftChars="203" w:hanging="563" w:hangingChars="313"/>
        <w:rPr>
          <w:rFonts w:ascii="黑体" w:hAnsi="黑体" w:eastAsia="黑体" w:cs="宋体"/>
          <w:color w:val="000000"/>
          <w:kern w:val="0"/>
          <w:sz w:val="18"/>
          <w:szCs w:val="18"/>
        </w:rPr>
      </w:pPr>
      <w:r>
        <w:rPr>
          <w:rFonts w:hint="eastAsia" w:ascii="黑体" w:hAnsi="黑体" w:eastAsia="黑体" w:cs="宋体"/>
          <w:color w:val="000000"/>
          <w:kern w:val="0"/>
          <w:sz w:val="18"/>
          <w:szCs w:val="18"/>
        </w:rPr>
        <w:t>6</w:t>
      </w:r>
      <w:r>
        <w:rPr>
          <w:rFonts w:ascii="黑体" w:hAnsi="黑体" w:eastAsia="黑体" w:cs="宋体"/>
          <w:color w:val="000000"/>
          <w:kern w:val="0"/>
          <w:sz w:val="18"/>
          <w:szCs w:val="18"/>
        </w:rPr>
        <w:t>)    冬期回填土方，每层铺筑厚度应比常温施工时减少20%～25%，其中冻土块体积不得超过填方总体积的15%；其粒径不得大于150mm。铺冻土块要均匀分布，逐层压(夯)实。回填土方的工作应连续进行，防止基ffff或已填方土层受冻。并且要及时采取防冻措施。</w:t>
      </w:r>
    </w:p>
    <w:p w14:paraId="1E4EECBA">
      <w:pPr>
        <w:widowControl/>
        <w:spacing w:line="360" w:lineRule="auto"/>
        <w:rPr>
          <w:rFonts w:ascii="黑体" w:hAnsi="黑体" w:eastAsia="黑体" w:cs="宋体"/>
          <w:color w:val="000000"/>
          <w:kern w:val="0"/>
          <w:sz w:val="18"/>
          <w:szCs w:val="18"/>
        </w:rPr>
      </w:pPr>
      <w:r>
        <w:rPr>
          <w:rStyle w:val="124"/>
        </w:rPr>
        <w:t xml:space="preserve">2.3.5.  </w:t>
      </w:r>
      <w:r>
        <w:rPr>
          <w:rFonts w:ascii="黑体" w:hAnsi="黑体" w:eastAsia="黑体" w:cs="宋体"/>
          <w:color w:val="000000"/>
          <w:kern w:val="0"/>
          <w:sz w:val="18"/>
          <w:szCs w:val="18"/>
        </w:rPr>
        <w:t xml:space="preserve">   质量标准</w:t>
      </w:r>
    </w:p>
    <w:p w14:paraId="4F96DA4D">
      <w:pPr>
        <w:widowControl/>
        <w:spacing w:line="360" w:lineRule="auto"/>
        <w:ind w:left="989" w:leftChars="203" w:hanging="563" w:hangingChars="313"/>
        <w:rPr>
          <w:rFonts w:ascii="黑体" w:hAnsi="黑体" w:eastAsia="黑体" w:cs="宋体"/>
          <w:color w:val="000000"/>
          <w:kern w:val="0"/>
          <w:sz w:val="18"/>
          <w:szCs w:val="18"/>
        </w:rPr>
      </w:pPr>
      <w:r>
        <w:rPr>
          <w:rFonts w:ascii="黑体" w:hAnsi="黑体" w:eastAsia="黑体" w:cs="宋体"/>
          <w:color w:val="000000"/>
          <w:kern w:val="0"/>
          <w:sz w:val="18"/>
          <w:szCs w:val="18"/>
        </w:rPr>
        <w:t>1</w:t>
      </w: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主控</w:t>
      </w:r>
      <w:r>
        <w:rPr>
          <w:rFonts w:ascii="黑体" w:hAnsi="黑体" w:eastAsia="黑体" w:cs="宋体"/>
          <w:color w:val="000000"/>
          <w:kern w:val="0"/>
          <w:sz w:val="18"/>
          <w:szCs w:val="18"/>
        </w:rPr>
        <w:t>项目：</w:t>
      </w:r>
    </w:p>
    <w:p w14:paraId="0A3C2A85">
      <w:pPr>
        <w:pStyle w:val="51"/>
        <w:widowControl/>
        <w:numPr>
          <w:ilvl w:val="0"/>
          <w:numId w:val="9"/>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基底处理必须符合设计要求或施工规范的规定。</w:t>
      </w:r>
    </w:p>
    <w:p w14:paraId="1BC56890">
      <w:pPr>
        <w:pStyle w:val="51"/>
        <w:widowControl/>
        <w:numPr>
          <w:ilvl w:val="0"/>
          <w:numId w:val="9"/>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回填的土料，必须符合设计要求或施工规范的规定。</w:t>
      </w:r>
    </w:p>
    <w:p w14:paraId="650670B2">
      <w:pPr>
        <w:pStyle w:val="51"/>
        <w:widowControl/>
        <w:numPr>
          <w:ilvl w:val="0"/>
          <w:numId w:val="9"/>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回填土必须按规定分层夯压密</w:t>
      </w:r>
      <w:r>
        <w:rPr>
          <w:rFonts w:hint="eastAsia" w:ascii="黑体" w:hAnsi="黑体" w:eastAsia="黑体" w:cs="宋体"/>
          <w:color w:val="000000"/>
          <w:kern w:val="0"/>
          <w:sz w:val="18"/>
          <w:szCs w:val="18"/>
        </w:rPr>
        <w:t>实，场地平整压实度要求：交工面压实度≥</w:t>
      </w:r>
      <w:r>
        <w:rPr>
          <w:rFonts w:ascii="黑体" w:hAnsi="黑体" w:eastAsia="黑体" w:cs="宋体"/>
          <w:color w:val="000000"/>
          <w:kern w:val="0"/>
          <w:sz w:val="18"/>
          <w:szCs w:val="18"/>
        </w:rPr>
        <w:t>92%、地基承载力≥120kPa</w:t>
      </w:r>
      <w:r>
        <w:rPr>
          <w:rFonts w:hint="eastAsia" w:ascii="黑体" w:hAnsi="黑体" w:eastAsia="黑体" w:cs="宋体"/>
          <w:color w:val="000000"/>
          <w:kern w:val="0"/>
          <w:sz w:val="18"/>
          <w:szCs w:val="18"/>
        </w:rPr>
        <w:t>；基坑支护及边坡回填要求：压实度≥</w:t>
      </w:r>
      <w:r>
        <w:rPr>
          <w:rFonts w:ascii="黑体" w:hAnsi="黑体" w:eastAsia="黑体" w:cs="宋体"/>
          <w:color w:val="000000"/>
          <w:kern w:val="0"/>
          <w:sz w:val="18"/>
          <w:szCs w:val="18"/>
        </w:rPr>
        <w:t>90%。取样测定压实后的干土质量密度，其合格率不应小于90%；不合格的干土质量密度的最低值与设计值的差，不应大于0.08g/cm3，且不应集中。环刀取样的方法及数量应符合规定。</w:t>
      </w:r>
    </w:p>
    <w:p w14:paraId="19311853">
      <w:pPr>
        <w:widowControl/>
        <w:spacing w:line="360" w:lineRule="auto"/>
        <w:ind w:firstLine="424" w:firstLineChars="236"/>
        <w:rPr>
          <w:rFonts w:ascii="黑体" w:hAnsi="黑体" w:eastAsia="黑体" w:cs="宋体"/>
          <w:color w:val="000000"/>
          <w:kern w:val="0"/>
          <w:sz w:val="18"/>
          <w:szCs w:val="18"/>
        </w:rPr>
      </w:pPr>
      <w:r>
        <w:rPr>
          <w:rFonts w:ascii="黑体" w:hAnsi="黑体" w:eastAsia="黑体" w:cs="宋体"/>
          <w:color w:val="000000"/>
          <w:kern w:val="0"/>
          <w:sz w:val="18"/>
          <w:szCs w:val="18"/>
        </w:rPr>
        <w:t>2</w:t>
      </w: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一般项目</w:t>
      </w:r>
      <w:r>
        <w:rPr>
          <w:rFonts w:ascii="黑体" w:hAnsi="黑体" w:eastAsia="黑体" w:cs="宋体"/>
          <w:color w:val="000000"/>
          <w:kern w:val="0"/>
          <w:sz w:val="18"/>
          <w:szCs w:val="18"/>
        </w:rPr>
        <w:t>:</w:t>
      </w:r>
    </w:p>
    <w:p w14:paraId="3E2166B7">
      <w:pPr>
        <w:widowControl/>
        <w:spacing w:line="360" w:lineRule="auto"/>
        <w:ind w:firstLine="991" w:firstLineChars="551"/>
        <w:rPr>
          <w:rFonts w:ascii="黑体" w:hAnsi="黑体" w:eastAsia="黑体" w:cs="宋体"/>
          <w:color w:val="000000"/>
          <w:kern w:val="0"/>
          <w:sz w:val="18"/>
          <w:szCs w:val="18"/>
        </w:rPr>
      </w:pPr>
      <w:r>
        <w:rPr>
          <w:rFonts w:ascii="黑体" w:hAnsi="黑体" w:eastAsia="黑体" w:cs="宋体"/>
          <w:color w:val="000000"/>
          <w:kern w:val="0"/>
          <w:sz w:val="18"/>
          <w:szCs w:val="18"/>
        </w:rPr>
        <w:t>允许偏差项目，见</w:t>
      </w:r>
      <w:r>
        <w:rPr>
          <w:rFonts w:hint="eastAsia" w:ascii="黑体" w:hAnsi="黑体" w:eastAsia="黑体" w:cs="宋体"/>
          <w:color w:val="000000"/>
          <w:kern w:val="0"/>
          <w:sz w:val="18"/>
          <w:szCs w:val="18"/>
        </w:rPr>
        <w:t>下</w:t>
      </w:r>
      <w:r>
        <w:rPr>
          <w:rFonts w:ascii="黑体" w:hAnsi="黑体" w:eastAsia="黑体" w:cs="宋体"/>
          <w:color w:val="000000"/>
          <w:kern w:val="0"/>
          <w:sz w:val="18"/>
          <w:szCs w:val="18"/>
        </w:rPr>
        <w:t>表。</w:t>
      </w:r>
    </w:p>
    <w:p w14:paraId="01A1B50C">
      <w:pPr>
        <w:spacing w:line="360" w:lineRule="auto"/>
        <w:ind w:firstLine="2100"/>
        <w:rPr>
          <w:rFonts w:ascii="黑体" w:hAnsi="黑体" w:eastAsia="黑体" w:cs="宋体"/>
          <w:color w:val="000000"/>
          <w:kern w:val="0"/>
          <w:sz w:val="18"/>
          <w:szCs w:val="18"/>
        </w:rPr>
      </w:pPr>
      <w:r>
        <w:rPr>
          <w:rFonts w:ascii="黑体" w:hAnsi="黑体" w:eastAsia="黑体" w:cs="宋体"/>
          <w:color w:val="000000"/>
          <w:kern w:val="0"/>
          <w:sz w:val="18"/>
          <w:szCs w:val="18"/>
        </w:rPr>
        <w:t>回填土工程允许偏差</w:t>
      </w:r>
      <w:r>
        <w:rPr>
          <w:rFonts w:ascii="Calibri" w:hAnsi="Calibri" w:eastAsia="黑体" w:cs="Calibri"/>
          <w:color w:val="000000"/>
          <w:kern w:val="0"/>
          <w:sz w:val="18"/>
          <w:szCs w:val="18"/>
        </w:rPr>
        <w:t>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2551"/>
        <w:gridCol w:w="4218"/>
      </w:tblGrid>
      <w:tr w14:paraId="7F1F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E5FCF9">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项次</w:t>
            </w:r>
          </w:p>
        </w:tc>
        <w:tc>
          <w:tcPr>
            <w:tcW w:w="1985" w:type="dxa"/>
            <w:vAlign w:val="center"/>
          </w:tcPr>
          <w:p w14:paraId="0C6D3DDA">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项目</w:t>
            </w:r>
          </w:p>
        </w:tc>
        <w:tc>
          <w:tcPr>
            <w:tcW w:w="2551" w:type="dxa"/>
            <w:vAlign w:val="center"/>
          </w:tcPr>
          <w:p w14:paraId="24CBB745">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允许偏差(mm)</w:t>
            </w:r>
          </w:p>
        </w:tc>
        <w:tc>
          <w:tcPr>
            <w:tcW w:w="4218" w:type="dxa"/>
            <w:vAlign w:val="center"/>
          </w:tcPr>
          <w:p w14:paraId="2FE40B46">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检验方法</w:t>
            </w:r>
          </w:p>
        </w:tc>
      </w:tr>
      <w:tr w14:paraId="7641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859B7A">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w:t>
            </w:r>
          </w:p>
        </w:tc>
        <w:tc>
          <w:tcPr>
            <w:tcW w:w="1985" w:type="dxa"/>
            <w:vAlign w:val="center"/>
          </w:tcPr>
          <w:p w14:paraId="2787834A">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顶面标高</w:t>
            </w:r>
          </w:p>
        </w:tc>
        <w:tc>
          <w:tcPr>
            <w:tcW w:w="2551" w:type="dxa"/>
            <w:vAlign w:val="center"/>
          </w:tcPr>
          <w:p w14:paraId="21948CD7">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+0，-50</w:t>
            </w:r>
          </w:p>
        </w:tc>
        <w:tc>
          <w:tcPr>
            <w:tcW w:w="4218" w:type="dxa"/>
            <w:vAlign w:val="center"/>
          </w:tcPr>
          <w:p w14:paraId="6BEC69C7">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用水准仪或拉线尺量检查</w:t>
            </w:r>
          </w:p>
        </w:tc>
      </w:tr>
      <w:tr w14:paraId="674D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F047C0F">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w:t>
            </w:r>
          </w:p>
        </w:tc>
        <w:tc>
          <w:tcPr>
            <w:tcW w:w="1985" w:type="dxa"/>
            <w:vAlign w:val="center"/>
          </w:tcPr>
          <w:p w14:paraId="5AEBE0FA">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表面平整度</w:t>
            </w:r>
          </w:p>
        </w:tc>
        <w:tc>
          <w:tcPr>
            <w:tcW w:w="2551" w:type="dxa"/>
            <w:vAlign w:val="center"/>
          </w:tcPr>
          <w:p w14:paraId="380E6E63">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20</w:t>
            </w:r>
          </w:p>
        </w:tc>
        <w:tc>
          <w:tcPr>
            <w:tcW w:w="4218" w:type="dxa"/>
            <w:vAlign w:val="center"/>
          </w:tcPr>
          <w:p w14:paraId="1D36410A">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用2m靠尺和楔形塞尺尺量检查</w:t>
            </w:r>
          </w:p>
        </w:tc>
      </w:tr>
    </w:tbl>
    <w:p w14:paraId="3B348F94">
      <w:pPr>
        <w:widowControl/>
        <w:spacing w:line="360" w:lineRule="auto"/>
        <w:ind w:left="996" w:leftChars="1" w:hanging="994" w:hangingChars="550"/>
        <w:rPr>
          <w:rFonts w:ascii="黑体" w:hAnsi="黑体" w:eastAsia="黑体" w:cs="宋体"/>
          <w:color w:val="000000"/>
          <w:kern w:val="0"/>
          <w:sz w:val="18"/>
          <w:szCs w:val="18"/>
        </w:rPr>
      </w:pPr>
      <w:r>
        <w:rPr>
          <w:rStyle w:val="124"/>
        </w:rPr>
        <w:t xml:space="preserve">2.3.6 </w:t>
      </w:r>
      <w:r>
        <w:rPr>
          <w:rFonts w:ascii="黑体" w:hAnsi="黑体" w:eastAsia="黑体" w:cs="宋体"/>
          <w:color w:val="000000"/>
          <w:kern w:val="0"/>
          <w:sz w:val="18"/>
          <w:szCs w:val="18"/>
        </w:rPr>
        <w:t xml:space="preserve">     成品保护</w:t>
      </w:r>
    </w:p>
    <w:p w14:paraId="19CD7EB1">
      <w:pPr>
        <w:pStyle w:val="51"/>
        <w:widowControl/>
        <w:numPr>
          <w:ilvl w:val="0"/>
          <w:numId w:val="10"/>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施工时，对定位标准桩、轴线控制极、标准水准点及龙门板等，填运土方时不得碰撞，也不得在龙门板上休息。并应定期复测检查这些标准桩点是否正确。</w:t>
      </w:r>
    </w:p>
    <w:p w14:paraId="0E25FDD7">
      <w:pPr>
        <w:pStyle w:val="51"/>
        <w:widowControl/>
        <w:numPr>
          <w:ilvl w:val="0"/>
          <w:numId w:val="10"/>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夜间施工时，应合理安排施工顺序，要有足够的照明设施。防止铺填超厚，严禁用汽车直接将土倒入基坑(槽)内。</w:t>
      </w:r>
    </w:p>
    <w:p w14:paraId="3942C3FA">
      <w:pPr>
        <w:pStyle w:val="51"/>
        <w:widowControl/>
        <w:numPr>
          <w:ilvl w:val="0"/>
          <w:numId w:val="10"/>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基础或管沟的现浇混凝土应达到一定强度，不致因回填土而受破坏时，方可回填土方。</w:t>
      </w:r>
    </w:p>
    <w:p w14:paraId="1BE9B6C3">
      <w:pPr>
        <w:widowControl/>
        <w:spacing w:line="360" w:lineRule="auto"/>
        <w:rPr>
          <w:rFonts w:ascii="黑体" w:hAnsi="黑体" w:eastAsia="黑体" w:cs="宋体"/>
          <w:color w:val="000000"/>
          <w:kern w:val="0"/>
          <w:sz w:val="18"/>
          <w:szCs w:val="18"/>
        </w:rPr>
      </w:pPr>
      <w:r>
        <w:rPr>
          <w:rStyle w:val="124"/>
        </w:rPr>
        <w:t xml:space="preserve">2.3.7  </w:t>
      </w:r>
      <w:r>
        <w:rPr>
          <w:rFonts w:ascii="黑体" w:hAnsi="黑体" w:eastAsia="黑体" w:cs="宋体"/>
          <w:color w:val="000000"/>
          <w:kern w:val="0"/>
          <w:sz w:val="18"/>
          <w:szCs w:val="18"/>
        </w:rPr>
        <w:t xml:space="preserve">    应注意的质量问题</w:t>
      </w:r>
    </w:p>
    <w:p w14:paraId="32D83882">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未按要求测定土的干土质量密度：回填土每层都应测定夯实后的干土质量密度，符合设计要求后才能铺摊上层土。试验报告要注明土料种类，试验日期、试验结论及试验人员签字。未达到设计要求的部位，应有处理方法和复验结果。</w:t>
      </w:r>
    </w:p>
    <w:p w14:paraId="57921977">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回填土下沉：因虚铺土超过规定厚度或冬期施工时有较大的冻土块，或夯实不够遍数，甚至漏夯，基底有机物或树根、落土等杂物清理个彻底等原因，造成回填土下沉。为此，应在施工中认真执行规范的有关规定，并要严格检查，发现问题及时纠正。</w:t>
      </w:r>
    </w:p>
    <w:p w14:paraId="3721194F">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回填土夯压不密实：应在夯压时对干土适当洒水加以润湿；如回填土太湿同样夯不密实呈“橡皮土”现象，这时应将“橡皮土”挖出，重新换好土再予夯压实。</w:t>
      </w:r>
    </w:p>
    <w:p w14:paraId="0706B793">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在地形、工程地质复杂地区内的填方，且对填方密实度要求较高时，应采取措施。(如排水暗沟、护坡桩等)，以防填方土粒流失，造成不均匀下沉和坍塌等事故。</w:t>
      </w:r>
    </w:p>
    <w:p w14:paraId="664F636A">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填方基土为杂填土时，应按设计要求加固地基，并要妥善处理基底下的软硬点、空洞、旧基以及暗塘等。</w:t>
      </w:r>
    </w:p>
    <w:p w14:paraId="2077DDF9">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回填管沟时，为防止管道中心线位移或损坏管道，应用人工先在管子周围填土夯实，并应从管道两边同时进行，直至管顶0.5m以上，在不损坏管道的情况下，方可采用机械回填和压实。</w:t>
      </w:r>
    </w:p>
    <w:p w14:paraId="420BB44F">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在抹带接口处，防腐绝缘层或电缆周围，应使用细粒土料回填。</w:t>
      </w:r>
    </w:p>
    <w:p w14:paraId="44D58D30">
      <w:pPr>
        <w:pStyle w:val="51"/>
        <w:widowControl/>
        <w:numPr>
          <w:ilvl w:val="0"/>
          <w:numId w:val="11"/>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填方应按设计要求预留沉降量，如设计无要求时，可根据工程性质、填方高度、填料种类、密实要求和地基情况等，与建设单位共同确定(沉降量一般不超过填方高度的3%)。</w:t>
      </w:r>
    </w:p>
    <w:p w14:paraId="6FF5CABB">
      <w:pPr>
        <w:widowControl/>
        <w:spacing w:line="360" w:lineRule="auto"/>
        <w:rPr>
          <w:rFonts w:ascii="黑体" w:hAnsi="黑体" w:eastAsia="黑体" w:cs="宋体"/>
          <w:color w:val="000000"/>
          <w:kern w:val="0"/>
          <w:sz w:val="18"/>
          <w:szCs w:val="18"/>
        </w:rPr>
      </w:pPr>
      <w:r>
        <w:rPr>
          <w:rStyle w:val="124"/>
        </w:rPr>
        <w:t xml:space="preserve">2.3.8    </w:t>
      </w:r>
      <w:r>
        <w:rPr>
          <w:rFonts w:ascii="黑体" w:hAnsi="黑体" w:eastAsia="黑体" w:cs="宋体"/>
          <w:color w:val="000000"/>
          <w:kern w:val="0"/>
          <w:sz w:val="18"/>
          <w:szCs w:val="18"/>
        </w:rPr>
        <w:t xml:space="preserve">  质量记录</w:t>
      </w:r>
    </w:p>
    <w:p w14:paraId="6767AB48">
      <w:pPr>
        <w:widowControl/>
        <w:spacing w:line="360" w:lineRule="auto"/>
        <w:ind w:firstLine="1080" w:firstLineChars="600"/>
        <w:rPr>
          <w:rFonts w:ascii="黑体" w:hAnsi="黑体" w:eastAsia="黑体" w:cs="宋体"/>
          <w:color w:val="000000"/>
          <w:kern w:val="0"/>
          <w:sz w:val="18"/>
          <w:szCs w:val="18"/>
        </w:rPr>
      </w:pPr>
      <w:r>
        <w:rPr>
          <w:rFonts w:ascii="黑体" w:hAnsi="黑体" w:eastAsia="黑体" w:cs="宋体"/>
          <w:color w:val="000000"/>
          <w:kern w:val="0"/>
          <w:sz w:val="18"/>
          <w:szCs w:val="18"/>
        </w:rPr>
        <w:t>本工艺标准应具备以下质量记录：</w:t>
      </w:r>
    </w:p>
    <w:p w14:paraId="365A69A3">
      <w:pPr>
        <w:pStyle w:val="51"/>
        <w:widowControl/>
        <w:numPr>
          <w:ilvl w:val="0"/>
          <w:numId w:val="12"/>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地基处理记录。</w:t>
      </w:r>
    </w:p>
    <w:p w14:paraId="068C9739">
      <w:pPr>
        <w:pStyle w:val="51"/>
        <w:widowControl/>
        <w:numPr>
          <w:ilvl w:val="0"/>
          <w:numId w:val="12"/>
        </w:numPr>
        <w:spacing w:line="360" w:lineRule="auto"/>
        <w:ind w:left="993" w:hanging="567"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地基隐蔽验收记录。</w:t>
      </w:r>
    </w:p>
    <w:p w14:paraId="48CE3032">
      <w:pPr>
        <w:pStyle w:val="51"/>
        <w:widowControl/>
        <w:numPr>
          <w:ilvl w:val="0"/>
          <w:numId w:val="12"/>
        </w:numPr>
        <w:tabs>
          <w:tab w:val="left" w:pos="426"/>
        </w:tabs>
        <w:spacing w:line="360" w:lineRule="auto"/>
        <w:ind w:left="993" w:hanging="567"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回填土的试验报告。</w:t>
      </w:r>
    </w:p>
    <w:p w14:paraId="23D1C12A">
      <w:pPr>
        <w:pStyle w:val="122"/>
        <w:numPr>
          <w:ilvl w:val="0"/>
          <w:numId w:val="0"/>
        </w:numPr>
        <w:ind w:left="992" w:hanging="992"/>
      </w:pPr>
      <w:r>
        <w:rPr>
          <w:rFonts w:hint="eastAsia"/>
        </w:rPr>
        <w:t>2</w:t>
      </w:r>
      <w:r>
        <w:t xml:space="preserve">.3.9      </w:t>
      </w:r>
      <w:r>
        <w:rPr>
          <w:rFonts w:hint="eastAsia"/>
        </w:rPr>
        <w:t>挖掘过度</w:t>
      </w:r>
    </w:p>
    <w:p w14:paraId="40DD3AE6">
      <w:pPr>
        <w:pStyle w:val="112"/>
        <w:numPr>
          <w:ilvl w:val="0"/>
          <w:numId w:val="0"/>
        </w:numPr>
        <w:ind w:left="964"/>
      </w:pPr>
      <w:r>
        <w:rPr>
          <w:rFonts w:hint="eastAsia"/>
        </w:rPr>
        <w:t>如挖坑超过所需的深度，则承包人应自费以</w:t>
      </w:r>
      <w:r>
        <w:t>1</w:t>
      </w:r>
      <w:r>
        <w:rPr>
          <w:rFonts w:hint="eastAsia"/>
        </w:rPr>
        <w:t>：</w:t>
      </w:r>
      <w:r>
        <w:t>3</w:t>
      </w:r>
      <w:r>
        <w:rPr>
          <w:rFonts w:hint="eastAsia"/>
        </w:rPr>
        <w:t>：</w:t>
      </w:r>
      <w:r>
        <w:t>6</w:t>
      </w:r>
      <w:r>
        <w:rPr>
          <w:rFonts w:hint="eastAsia"/>
        </w:rPr>
        <w:t>或经批准的混凝土回填。设计师如有指示，承包人应自费以</w:t>
      </w:r>
      <w:r>
        <w:t>1</w:t>
      </w:r>
      <w:r>
        <w:rPr>
          <w:rFonts w:hint="eastAsia"/>
        </w:rPr>
        <w:t>：</w:t>
      </w:r>
      <w:r>
        <w:t>3</w:t>
      </w:r>
      <w:r>
        <w:rPr>
          <w:rFonts w:hint="eastAsia"/>
        </w:rPr>
        <w:t>：</w:t>
      </w:r>
      <w:r>
        <w:t>6</w:t>
      </w:r>
      <w:r>
        <w:rPr>
          <w:rFonts w:hint="eastAsia"/>
        </w:rPr>
        <w:t>或经批准的混凝土将超过所需阔度的挖坑回填。</w:t>
      </w:r>
    </w:p>
    <w:p w14:paraId="066D0A70">
      <w:pPr>
        <w:pStyle w:val="119"/>
      </w:pPr>
      <w:bookmarkStart w:id="16" w:name="_Toc136956809"/>
      <w:r>
        <w:rPr>
          <w:rFonts w:hint="eastAsia"/>
        </w:rPr>
        <w:t>填充工程</w:t>
      </w:r>
      <w:bookmarkEnd w:id="16"/>
    </w:p>
    <w:p w14:paraId="4D263011">
      <w:pPr>
        <w:pStyle w:val="122"/>
        <w:rPr>
          <w:b w:val="0"/>
        </w:rPr>
      </w:pPr>
      <w:r>
        <w:rPr>
          <w:rFonts w:hint="eastAsia"/>
          <w:b w:val="0"/>
        </w:rPr>
        <w:t>一般用料</w:t>
      </w:r>
    </w:p>
    <w:p w14:paraId="16730A17">
      <w:pPr>
        <w:pStyle w:val="112"/>
        <w:numPr>
          <w:ilvl w:val="0"/>
          <w:numId w:val="0"/>
        </w:numPr>
        <w:ind w:left="964"/>
      </w:pPr>
      <w:r>
        <w:rPr>
          <w:rFonts w:hint="eastAsia"/>
        </w:rPr>
        <w:t>将要填充覆盖的范围在开始进行填充工程前，必须清除一切植物和垃圾。地基除非经得设计师勘察和批准，否则不可在地基附近进行填充工程。</w:t>
      </w:r>
    </w:p>
    <w:p w14:paraId="0965C311">
      <w:pPr>
        <w:pStyle w:val="110"/>
      </w:pPr>
      <w:r>
        <w:rPr>
          <w:rFonts w:hint="eastAsia"/>
        </w:rPr>
        <w:t>填料的成份</w:t>
      </w:r>
    </w:p>
    <w:p w14:paraId="4C4DFB26">
      <w:pPr>
        <w:pStyle w:val="112"/>
        <w:numPr>
          <w:ilvl w:val="0"/>
          <w:numId w:val="0"/>
        </w:numPr>
        <w:ind w:left="964"/>
      </w:pPr>
      <w:r>
        <w:rPr>
          <w:rFonts w:hint="eastAsia"/>
        </w:rPr>
        <w:t>填充的材料应为挖方工程中所挖掘而得、且经细选的材料。如果所挖掘出来的材料不合适，或者不足够，则承包人应自行从其它来源取得足够且经批准的材料，将工程完成至所需的施工基面。</w:t>
      </w:r>
    </w:p>
    <w:p w14:paraId="579D498F">
      <w:pPr>
        <w:pStyle w:val="110"/>
      </w:pPr>
      <w:r>
        <w:rPr>
          <w:rFonts w:hint="eastAsia"/>
        </w:rPr>
        <w:t>填土</w:t>
      </w:r>
    </w:p>
    <w:p w14:paraId="162A9F32">
      <w:pPr>
        <w:pStyle w:val="112"/>
        <w:numPr>
          <w:ilvl w:val="0"/>
          <w:numId w:val="0"/>
        </w:numPr>
        <w:ind w:left="964"/>
      </w:pPr>
      <w:r>
        <w:rPr>
          <w:rFonts w:hint="eastAsia"/>
        </w:rPr>
        <w:t>填土必须为已清除垃圾和植物纤维的下层土。</w:t>
      </w:r>
    </w:p>
    <w:p w14:paraId="2B87166A">
      <w:pPr>
        <w:pStyle w:val="110"/>
      </w:pPr>
      <w:r>
        <w:rPr>
          <w:rFonts w:hint="eastAsia"/>
        </w:rPr>
        <w:t>石填料</w:t>
      </w:r>
    </w:p>
    <w:p w14:paraId="40F0D4B8">
      <w:pPr>
        <w:pStyle w:val="112"/>
      </w:pPr>
      <w:r>
        <w:rPr>
          <w:rFonts w:hint="eastAsia"/>
        </w:rPr>
        <w:t>石填料必须为碎岩、石料、混凝土、砖块、硬瓦片、或其它硬料，其中的垃圾、废物或不合适的物料必须清除。</w:t>
      </w:r>
    </w:p>
    <w:p w14:paraId="3328C6D8">
      <w:pPr>
        <w:pStyle w:val="112"/>
      </w:pPr>
      <w:r>
        <w:rPr>
          <w:rFonts w:hint="eastAsia"/>
        </w:rPr>
        <w:t>以合适的混水填料铺盖面层，并藉</w:t>
      </w:r>
      <w:r>
        <w:t xml:space="preserve"> </w:t>
      </w:r>
      <w:r>
        <w:rPr>
          <w:rFonts w:hint="eastAsia"/>
        </w:rPr>
        <w:t>辗压、和夯实来加固。</w:t>
      </w:r>
    </w:p>
    <w:p w14:paraId="1A70AB55">
      <w:pPr>
        <w:pStyle w:val="110"/>
      </w:pPr>
      <w:r>
        <w:rPr>
          <w:rFonts w:hint="eastAsia"/>
        </w:rPr>
        <w:t>不合适材料</w:t>
      </w:r>
    </w:p>
    <w:p w14:paraId="3686F10A">
      <w:pPr>
        <w:pStyle w:val="112"/>
        <w:numPr>
          <w:ilvl w:val="0"/>
          <w:numId w:val="0"/>
        </w:numPr>
        <w:ind w:left="964"/>
      </w:pPr>
      <w:r>
        <w:rPr>
          <w:rFonts w:hint="eastAsia"/>
        </w:rPr>
        <w:t>如建筑师</w:t>
      </w:r>
      <w:r>
        <w:t>/</w:t>
      </w:r>
      <w:r>
        <w:rPr>
          <w:rFonts w:hint="eastAsia"/>
        </w:rPr>
        <w:t>结构师认为输入的填料不合适，必须搬离现场。</w:t>
      </w:r>
    </w:p>
    <w:p w14:paraId="6F443D81">
      <w:pPr>
        <w:pStyle w:val="110"/>
      </w:pPr>
      <w:r>
        <w:rPr>
          <w:rFonts w:hint="eastAsia"/>
        </w:rPr>
        <w:t>夯实</w:t>
      </w:r>
    </w:p>
    <w:p w14:paraId="53A3511C">
      <w:pPr>
        <w:pStyle w:val="112"/>
        <w:numPr>
          <w:ilvl w:val="0"/>
          <w:numId w:val="0"/>
        </w:numPr>
        <w:ind w:left="964"/>
      </w:pPr>
      <w:r>
        <w:rPr>
          <w:rFonts w:hint="eastAsia"/>
        </w:rPr>
        <w:t>将填料排整和铺平成</w:t>
      </w:r>
      <w:r>
        <w:t>250mm(</w:t>
      </w:r>
      <w:r>
        <w:rPr>
          <w:rFonts w:hint="eastAsia"/>
        </w:rPr>
        <w:t>最厚</w:t>
      </w:r>
      <w:r>
        <w:t>)</w:t>
      </w:r>
      <w:r>
        <w:rPr>
          <w:rFonts w:hint="eastAsia"/>
        </w:rPr>
        <w:t>的薄层，并按需要用风动锺或压路机或其它机具夯实。</w:t>
      </w:r>
    </w:p>
    <w:p w14:paraId="66B2F421">
      <w:pPr>
        <w:pStyle w:val="110"/>
      </w:pPr>
      <w:r>
        <w:rPr>
          <w:rFonts w:hint="eastAsia"/>
        </w:rPr>
        <w:t>重新配制的填土</w:t>
      </w:r>
    </w:p>
    <w:p w14:paraId="1E798DC5">
      <w:pPr>
        <w:pStyle w:val="112"/>
        <w:numPr>
          <w:ilvl w:val="0"/>
          <w:numId w:val="0"/>
        </w:numPr>
        <w:ind w:left="964"/>
      </w:pPr>
      <w:r>
        <w:rPr>
          <w:rFonts w:hint="eastAsia"/>
        </w:rPr>
        <w:t>重新配制的填土应由水泥、细砂和经选择的土壤混和而成，其中的重量比例为一分水泥、三分细砂和十二份土壤。经选择的土壤的含量不可多于</w:t>
      </w:r>
      <w:r>
        <w:t>59%</w:t>
      </w:r>
      <w:r>
        <w:rPr>
          <w:rFonts w:hint="eastAsia"/>
        </w:rPr>
        <w:t>的土粒，可穿过</w:t>
      </w:r>
      <w:r>
        <w:t>75unD</w:t>
      </w:r>
      <w:r>
        <w:rPr>
          <w:rFonts w:hint="eastAsia"/>
        </w:rPr>
        <w:t>的滤筛，其中的黑土和其它有机物质必须清除，风化的花岗岩通常都符合此等要求。</w:t>
      </w:r>
    </w:p>
    <w:p w14:paraId="05A305CA">
      <w:pPr>
        <w:pStyle w:val="119"/>
      </w:pPr>
      <w:bookmarkStart w:id="17" w:name="_Toc136956810"/>
      <w:r>
        <w:rPr>
          <w:rFonts w:hint="eastAsia"/>
        </w:rPr>
        <w:t>清理</w:t>
      </w:r>
      <w:bookmarkEnd w:id="17"/>
    </w:p>
    <w:p w14:paraId="20770D80">
      <w:pPr>
        <w:pStyle w:val="122"/>
        <w:rPr>
          <w:b w:val="0"/>
        </w:rPr>
      </w:pPr>
      <w:r>
        <w:rPr>
          <w:rFonts w:hint="eastAsia"/>
          <w:b w:val="0"/>
        </w:rPr>
        <w:t>挖掘工程带来的物料</w:t>
      </w:r>
    </w:p>
    <w:p w14:paraId="5C2E77AA">
      <w:pPr>
        <w:pStyle w:val="112"/>
        <w:numPr>
          <w:ilvl w:val="0"/>
          <w:numId w:val="0"/>
        </w:numPr>
        <w:ind w:left="964"/>
      </w:pPr>
      <w:r>
        <w:rPr>
          <w:rFonts w:hint="eastAsia"/>
        </w:rPr>
        <w:t>一切挖堀而得的物料应为承包人的物资，包括石块和细砂。</w:t>
      </w:r>
    </w:p>
    <w:p w14:paraId="1BBCE80A">
      <w:pPr>
        <w:pStyle w:val="110"/>
      </w:pPr>
      <w:r>
        <w:rPr>
          <w:rFonts w:hint="eastAsia"/>
        </w:rPr>
        <w:t>现场石块</w:t>
      </w:r>
    </w:p>
    <w:p w14:paraId="05CC3B83">
      <w:pPr>
        <w:pStyle w:val="112"/>
        <w:numPr>
          <w:ilvl w:val="0"/>
          <w:numId w:val="0"/>
        </w:numPr>
        <w:ind w:left="964"/>
      </w:pPr>
      <w:r>
        <w:rPr>
          <w:rFonts w:hint="eastAsia"/>
        </w:rPr>
        <w:t>如建筑师</w:t>
      </w:r>
      <w:r>
        <w:t>/</w:t>
      </w:r>
      <w:r>
        <w:rPr>
          <w:rFonts w:hint="eastAsia"/>
        </w:rPr>
        <w:t>结构师批准，挖掘而得的石块可击碎后用作石填料的骨料。</w:t>
      </w:r>
    </w:p>
    <w:p w14:paraId="7F18DDB7">
      <w:pPr>
        <w:pStyle w:val="110"/>
      </w:pPr>
      <w:r>
        <w:rPr>
          <w:rFonts w:hint="eastAsia"/>
        </w:rPr>
        <w:t>不合适的物料</w:t>
      </w:r>
    </w:p>
    <w:p w14:paraId="11464F97">
      <w:pPr>
        <w:pStyle w:val="112"/>
        <w:numPr>
          <w:ilvl w:val="0"/>
          <w:numId w:val="0"/>
        </w:numPr>
        <w:ind w:left="964"/>
      </w:pPr>
      <w:r>
        <w:rPr>
          <w:rFonts w:hint="eastAsia"/>
        </w:rPr>
        <w:t>挖掘而得的物料如不宜于填充，应搬离现场。</w:t>
      </w:r>
    </w:p>
    <w:p w14:paraId="6CFE46E0">
      <w:pPr>
        <w:pStyle w:val="110"/>
      </w:pPr>
      <w:r>
        <w:rPr>
          <w:rFonts w:hint="eastAsia"/>
        </w:rPr>
        <w:t>过剩的物料</w:t>
      </w:r>
    </w:p>
    <w:p w14:paraId="3BDECF35">
      <w:pPr>
        <w:pStyle w:val="112"/>
        <w:numPr>
          <w:ilvl w:val="0"/>
          <w:numId w:val="0"/>
        </w:numPr>
        <w:ind w:left="964"/>
      </w:pPr>
      <w:r>
        <w:rPr>
          <w:rFonts w:hint="eastAsia"/>
        </w:rPr>
        <w:t>挖掘而得的剩余物料，应搬离现场，或按指示排整和铺平。</w:t>
      </w:r>
    </w:p>
    <w:p w14:paraId="7570EC4B">
      <w:pPr>
        <w:pStyle w:val="110"/>
      </w:pPr>
      <w:r>
        <w:rPr>
          <w:rFonts w:hint="eastAsia"/>
        </w:rPr>
        <w:t>卸土场</w:t>
      </w:r>
    </w:p>
    <w:p w14:paraId="177C99F3">
      <w:pPr>
        <w:pStyle w:val="112"/>
        <w:numPr>
          <w:ilvl w:val="0"/>
          <w:numId w:val="0"/>
        </w:numPr>
        <w:ind w:left="964"/>
      </w:pPr>
      <w:r>
        <w:rPr>
          <w:rFonts w:hint="eastAsia"/>
        </w:rPr>
        <w:t>如有指示，将现场清除的物料运至特定的卸土场，否则承包人将负责另找一卸土场，并负责支付一切所需的费用。</w:t>
      </w:r>
    </w:p>
    <w:p w14:paraId="13710815">
      <w:pPr>
        <w:pStyle w:val="110"/>
      </w:pPr>
      <w:r>
        <w:rPr>
          <w:rFonts w:hint="eastAsia"/>
        </w:rPr>
        <w:t>表土</w:t>
      </w:r>
    </w:p>
    <w:p w14:paraId="71D77F91">
      <w:pPr>
        <w:pStyle w:val="112"/>
        <w:numPr>
          <w:ilvl w:val="0"/>
          <w:numId w:val="0"/>
        </w:numPr>
        <w:ind w:left="964"/>
      </w:pPr>
      <w:r>
        <w:rPr>
          <w:rFonts w:hint="eastAsia"/>
        </w:rPr>
        <w:t>将挖掘而得的表土堆放在临时的弃土场，如有指示，须运离现场，或排整和铺平。</w:t>
      </w:r>
    </w:p>
    <w:p w14:paraId="27673090">
      <w:pPr>
        <w:pStyle w:val="110"/>
      </w:pPr>
      <w:r>
        <w:rPr>
          <w:rFonts w:hint="eastAsia"/>
        </w:rPr>
        <w:t>轧石机</w:t>
      </w:r>
    </w:p>
    <w:p w14:paraId="029E3CBD">
      <w:pPr>
        <w:pStyle w:val="112"/>
        <w:numPr>
          <w:ilvl w:val="0"/>
          <w:numId w:val="0"/>
        </w:numPr>
        <w:ind w:left="964"/>
      </w:pPr>
      <w:r>
        <w:rPr>
          <w:rFonts w:hint="eastAsia"/>
        </w:rPr>
        <w:t>除非另有指示，承包人不可在现场使用轧石机。</w:t>
      </w:r>
    </w:p>
    <w:p w14:paraId="200F2CD0">
      <w:pPr>
        <w:pStyle w:val="119"/>
      </w:pPr>
      <w:bookmarkStart w:id="18" w:name="_Toc136956811"/>
      <w:r>
        <w:rPr>
          <w:rFonts w:hint="eastAsia"/>
        </w:rPr>
        <w:t>清除积水</w:t>
      </w:r>
      <w:bookmarkEnd w:id="18"/>
    </w:p>
    <w:p w14:paraId="46CADE60">
      <w:pPr>
        <w:pStyle w:val="110"/>
      </w:pPr>
      <w:r>
        <w:rPr>
          <w:rFonts w:hint="eastAsia"/>
        </w:rPr>
        <w:t>地基的积水</w:t>
      </w:r>
    </w:p>
    <w:p w14:paraId="4D4C9F9A">
      <w:pPr>
        <w:pStyle w:val="112"/>
        <w:numPr>
          <w:ilvl w:val="0"/>
          <w:numId w:val="0"/>
        </w:numPr>
        <w:ind w:left="964"/>
      </w:pPr>
      <w:r>
        <w:rPr>
          <w:rFonts w:hint="eastAsia"/>
        </w:rPr>
        <w:t>施工期同，一切由于喷泉、雨水、水管爆裂或其它因素而集存在现场或沟槽和挖坑的水份，必须由承包人自费舀出或泵出，或用其它方法清除。</w:t>
      </w:r>
    </w:p>
    <w:p w14:paraId="137AFD5A">
      <w:pPr>
        <w:pStyle w:val="110"/>
      </w:pPr>
      <w:r>
        <w:rPr>
          <w:rFonts w:hint="eastAsia"/>
        </w:rPr>
        <w:t>防水层</w:t>
      </w:r>
    </w:p>
    <w:p w14:paraId="4231B749">
      <w:pPr>
        <w:pStyle w:val="112"/>
        <w:numPr>
          <w:ilvl w:val="0"/>
          <w:numId w:val="0"/>
        </w:numPr>
        <w:ind w:left="964"/>
      </w:pPr>
      <w:r>
        <w:rPr>
          <w:rFonts w:hint="eastAsia"/>
        </w:rPr>
        <w:t>按设计图纸在基础下设置防水层，尤其要做好桩头防水处理，确保此处不应成为渗水通道。</w:t>
      </w:r>
    </w:p>
    <w:p w14:paraId="2DB5B9B3">
      <w:pPr>
        <w:pStyle w:val="110"/>
      </w:pPr>
      <w:r>
        <w:rPr>
          <w:rFonts w:hint="eastAsia"/>
        </w:rPr>
        <w:t>预防白蚁</w:t>
      </w:r>
    </w:p>
    <w:p w14:paraId="0ACD2005">
      <w:pPr>
        <w:pStyle w:val="112"/>
        <w:numPr>
          <w:ilvl w:val="0"/>
          <w:numId w:val="0"/>
        </w:numPr>
        <w:ind w:left="964"/>
      </w:pPr>
      <w:r>
        <w:rPr>
          <w:rFonts w:hint="eastAsia"/>
        </w:rPr>
        <w:t>如有规定，在铺放任何混凝土层前，为工程现场加上经建筑师批准的防白蚁化学剂。</w:t>
      </w:r>
    </w:p>
    <w:p w14:paraId="32565CBE">
      <w:pPr>
        <w:pStyle w:val="110"/>
      </w:pPr>
      <w:r>
        <w:rPr>
          <w:rFonts w:hint="eastAsia"/>
        </w:rPr>
        <w:t>桩</w:t>
      </w:r>
    </w:p>
    <w:p w14:paraId="01EED374">
      <w:pPr>
        <w:pStyle w:val="112"/>
        <w:numPr>
          <w:ilvl w:val="0"/>
          <w:numId w:val="0"/>
        </w:numPr>
        <w:ind w:left="964"/>
      </w:pPr>
      <w:r>
        <w:rPr>
          <w:rFonts w:hint="eastAsia"/>
        </w:rPr>
        <w:t>若混凝土桩外露，应将混凝土修齐至图纸所示的切桩点，令钢筋外露，以便与承台可靠连接。</w:t>
      </w:r>
    </w:p>
    <w:p w14:paraId="7E5378C3">
      <w:pPr>
        <w:widowControl/>
        <w:jc w:val="left"/>
      </w:pPr>
    </w:p>
    <w:p w14:paraId="172F37C1">
      <w:pPr>
        <w:widowControl/>
        <w:numPr>
          <w:ilvl w:val="0"/>
          <w:numId w:val="13"/>
        </w:numPr>
        <w:adjustRightInd w:val="0"/>
        <w:spacing w:line="360" w:lineRule="atLeast"/>
        <w:textAlignment w:val="baseline"/>
        <w:sectPr>
          <w:footerReference r:id="rId5" w:type="default"/>
          <w:type w:val="continuous"/>
          <w:pgSz w:w="11906" w:h="16838"/>
          <w:pgMar w:top="709" w:right="1133" w:bottom="720" w:left="1134" w:header="794" w:footer="490" w:gutter="0"/>
          <w:pgNumType w:fmt="decimal"/>
          <w:cols w:space="425" w:num="1"/>
          <w:docGrid w:type="lines" w:linePitch="312" w:charSpace="0"/>
        </w:sectPr>
      </w:pPr>
      <w:r>
        <w:br w:type="page"/>
      </w:r>
    </w:p>
    <w:p w14:paraId="5EF066E4">
      <w:pPr>
        <w:pStyle w:val="106"/>
        <w:rPr>
          <w:u w:val="single"/>
        </w:rPr>
      </w:pPr>
      <w:bookmarkStart w:id="19" w:name="_Toc136956812"/>
      <w:r>
        <w:rPr>
          <w:rFonts w:hint="eastAsia"/>
        </w:rPr>
        <w:t>抗拔锚杆技术要求</w:t>
      </w:r>
      <w:bookmarkEnd w:id="19"/>
    </w:p>
    <w:p w14:paraId="3BFE5CD5">
      <w:pPr>
        <w:pStyle w:val="119"/>
      </w:pPr>
      <w:bookmarkStart w:id="20" w:name="_Toc136956813"/>
      <w:r>
        <w:rPr>
          <w:rFonts w:hint="eastAsia"/>
        </w:rPr>
        <w:t>适用标准</w:t>
      </w:r>
      <w:r>
        <w:t>及规范</w:t>
      </w:r>
      <w:bookmarkEnd w:id="20"/>
    </w:p>
    <w:p w14:paraId="4DBE9A8A">
      <w:pPr>
        <w:pStyle w:val="112"/>
        <w:numPr>
          <w:ilvl w:val="0"/>
          <w:numId w:val="0"/>
        </w:numPr>
        <w:ind w:left="964"/>
        <w:rPr>
          <w:b/>
          <w:u w:val="single"/>
          <w:lang w:eastAsia="zh-TW"/>
        </w:rPr>
      </w:pPr>
      <w:r>
        <w:rPr>
          <w:rFonts w:hint="eastAsia"/>
        </w:rPr>
        <w:t>承包人需按照本设计技术要求及设计图纸严格进行，并需符合中华人民共和国的一切现行有关规范，施工条例及规定和一切有关修订，</w:t>
      </w:r>
      <w:r>
        <w:t>包括并不限于:</w:t>
      </w:r>
    </w:p>
    <w:p w14:paraId="6EE50626">
      <w:pPr>
        <w:pStyle w:val="112"/>
      </w:pPr>
      <w:r>
        <w:rPr>
          <w:rFonts w:hint="eastAsia"/>
        </w:rPr>
        <w:t>中华人民共和国国家标准《建筑地基基础设计规范》</w:t>
      </w:r>
      <w:r>
        <w:t>(GB50007)</w:t>
      </w:r>
    </w:p>
    <w:p w14:paraId="34FE50D3">
      <w:pPr>
        <w:pStyle w:val="112"/>
      </w:pPr>
      <w:r>
        <w:rPr>
          <w:rFonts w:hint="eastAsia"/>
        </w:rPr>
        <w:t>中华人民共和国国家标准《工程测量规范》</w:t>
      </w:r>
      <w:r>
        <w:t>(GB50026)</w:t>
      </w:r>
    </w:p>
    <w:p w14:paraId="46F87AEB">
      <w:pPr>
        <w:pStyle w:val="112"/>
        <w:rPr>
          <w:lang w:eastAsia="zh-TW"/>
        </w:rPr>
      </w:pPr>
      <w:r>
        <w:rPr>
          <w:rFonts w:hint="eastAsia"/>
        </w:rPr>
        <w:t>中华人民共和国国家标准《岩土工程基本术语标准》</w:t>
      </w:r>
      <w:r>
        <w:t>(GB/T50279-298)</w:t>
      </w:r>
    </w:p>
    <w:p w14:paraId="0567DEDB">
      <w:pPr>
        <w:pStyle w:val="112"/>
      </w:pPr>
      <w:r>
        <w:rPr>
          <w:rFonts w:hint="eastAsia"/>
        </w:rPr>
        <w:t>中华人民共和国国家标准《混凝土结构设计规范》（</w:t>
      </w:r>
      <w:r>
        <w:t>GB 50010</w:t>
      </w:r>
      <w:r>
        <w:rPr>
          <w:rFonts w:hint="eastAsia"/>
        </w:rPr>
        <w:t>）</w:t>
      </w:r>
    </w:p>
    <w:p w14:paraId="42374569">
      <w:pPr>
        <w:pStyle w:val="112"/>
      </w:pPr>
      <w:r>
        <w:rPr>
          <w:rFonts w:hint="eastAsia"/>
        </w:rPr>
        <w:t>中华人民共和国国家标准《建筑地基基础工程施工质量验收规范》（</w:t>
      </w:r>
      <w:r>
        <w:t>GB 50202</w:t>
      </w:r>
      <w:r>
        <w:rPr>
          <w:rFonts w:hint="eastAsia"/>
        </w:rPr>
        <w:t>）</w:t>
      </w:r>
    </w:p>
    <w:p w14:paraId="116D415F">
      <w:pPr>
        <w:pStyle w:val="112"/>
      </w:pPr>
      <w:r>
        <w:rPr>
          <w:rFonts w:hint="eastAsia"/>
        </w:rPr>
        <w:t>中华人民共和国国家标准《混凝土强度检验评定标准》（</w:t>
      </w:r>
      <w:r>
        <w:t>GBJ 107</w:t>
      </w:r>
      <w:r>
        <w:rPr>
          <w:rFonts w:hint="eastAsia"/>
        </w:rPr>
        <w:t>）</w:t>
      </w:r>
    </w:p>
    <w:p w14:paraId="256DD791">
      <w:pPr>
        <w:pStyle w:val="112"/>
      </w:pPr>
      <w:r>
        <w:rPr>
          <w:rFonts w:hint="eastAsia"/>
        </w:rPr>
        <w:t>中国工程建设标淮化协会标准《土层锚杆设计与施工规范》</w:t>
      </w:r>
      <w:r>
        <w:t xml:space="preserve"> (CECS22)</w:t>
      </w:r>
    </w:p>
    <w:p w14:paraId="50E3BB8A">
      <w:pPr>
        <w:pStyle w:val="112"/>
      </w:pPr>
      <w:r>
        <w:rPr>
          <w:rFonts w:hint="eastAsia"/>
        </w:rPr>
        <w:t>建设单位提供的建筑总图、基础平面布置图及抗拔锚杆平面布置图。</w:t>
      </w:r>
    </w:p>
    <w:p w14:paraId="2959A686">
      <w:pPr>
        <w:pStyle w:val="112"/>
      </w:pPr>
      <w:r>
        <w:rPr>
          <w:rFonts w:hint="eastAsia"/>
        </w:rPr>
        <w:t>建设单位提供的岩土工程勘察报告。</w:t>
      </w:r>
    </w:p>
    <w:p w14:paraId="79F1C1BA">
      <w:pPr>
        <w:pStyle w:val="119"/>
      </w:pPr>
      <w:bookmarkStart w:id="21" w:name="_Toc136956814"/>
      <w:r>
        <w:rPr>
          <w:rFonts w:hint="eastAsia"/>
        </w:rPr>
        <w:t>总则</w:t>
      </w:r>
      <w:bookmarkEnd w:id="21"/>
    </w:p>
    <w:p w14:paraId="65D60287">
      <w:pPr>
        <w:pStyle w:val="110"/>
        <w:rPr>
          <w:sz w:val="21"/>
        </w:rPr>
      </w:pPr>
      <w:r>
        <w:rPr>
          <w:rFonts w:hint="eastAsia"/>
        </w:rPr>
        <w:t>承包人需按照本设计技术要求及设计图纸严格进行，并需符合中华人民共和国的一切现行有关规范，施工条例及规定和一切有关修订。</w:t>
      </w:r>
    </w:p>
    <w:p w14:paraId="17EB8DE9">
      <w:pPr>
        <w:pStyle w:val="110"/>
        <w:rPr>
          <w:sz w:val="21"/>
        </w:rPr>
      </w:pPr>
      <w:r>
        <w:rPr>
          <w:rFonts w:hint="eastAsia"/>
        </w:rPr>
        <w:t>承包方责任</w:t>
      </w:r>
    </w:p>
    <w:p w14:paraId="56DB0F82">
      <w:pPr>
        <w:pStyle w:val="112"/>
      </w:pPr>
      <w:r>
        <w:rPr>
          <w:rFonts w:hint="eastAsia"/>
        </w:rPr>
        <w:t>本技术要求适用于本项目中</w:t>
      </w:r>
      <w:r>
        <w:rPr>
          <w:rFonts w:hint="eastAsia" w:cs="Arial"/>
        </w:rPr>
        <w:t>抗拔锚杆</w:t>
      </w:r>
      <w:r>
        <w:rPr>
          <w:rFonts w:hint="eastAsia"/>
        </w:rPr>
        <w:t>工程，包括锚杆的现场施工和试验的各个方面，还包括了物料的运输、吊运、堆放、检测等章节。</w:t>
      </w:r>
    </w:p>
    <w:p w14:paraId="5F2D83BF">
      <w:pPr>
        <w:pStyle w:val="112"/>
      </w:pPr>
      <w:r>
        <w:rPr>
          <w:rFonts w:hint="eastAsia"/>
        </w:rPr>
        <w:t>承包方需按照本技术要求及设计图纸完成合同要求工作，并应遵守包括上述规范图集在内的所有现行有关规范规程的要求。若各规范内容有互相抵触时应按较严格的条款执行。</w:t>
      </w:r>
    </w:p>
    <w:p w14:paraId="37AF477B">
      <w:pPr>
        <w:pStyle w:val="110"/>
      </w:pPr>
      <w:r>
        <w:rPr>
          <w:rFonts w:hint="eastAsia"/>
        </w:rPr>
        <w:t>对公共设施的损害</w:t>
      </w:r>
    </w:p>
    <w:p w14:paraId="67879577">
      <w:pPr>
        <w:pStyle w:val="112"/>
      </w:pPr>
      <w:r>
        <w:rPr>
          <w:rFonts w:hint="eastAsia"/>
        </w:rPr>
        <w:t>承包人应负责施工安全，并采取所有预防措施防止相邻建筑物、道路及周围地面的沉降及损害。承包方应在一定的间隔时间内观察相邻建筑物及周围地面，有责任立即将可能引起事故的损害迹象或裂缝汇报给发包方、设计单位及监理单位。</w:t>
      </w:r>
    </w:p>
    <w:p w14:paraId="439D5E49">
      <w:pPr>
        <w:pStyle w:val="112"/>
      </w:pPr>
      <w:r>
        <w:rPr>
          <w:rFonts w:hint="eastAsia"/>
        </w:rPr>
        <w:t>在发包方及设计单位指导下，承包方应给予相邻建筑物以足够支撑，并且在施工靠近建筑物的基础或桩时，应采取措施代替支撑。</w:t>
      </w:r>
    </w:p>
    <w:p w14:paraId="0F9341A6">
      <w:pPr>
        <w:pStyle w:val="112"/>
      </w:pPr>
      <w:r>
        <w:rPr>
          <w:rFonts w:hint="eastAsia"/>
        </w:rPr>
        <w:t>应注意不要损坏地下水管、煤气管、地下电缆及其它地下设施。若损坏了公共设施﹐应立即报告发包方、监理单位及设计单位，所有处理损坏的费用由承包方承担。在图上注明的公共设施偏离了位置及发现有另外的公共设施，应尽快通知发包方、设计单位及监理单位。</w:t>
      </w:r>
    </w:p>
    <w:p w14:paraId="38B39818">
      <w:pPr>
        <w:pStyle w:val="112"/>
      </w:pPr>
      <w:r>
        <w:rPr>
          <w:rFonts w:hint="eastAsia"/>
        </w:rPr>
        <w:t>承包方应进行以上工程，并承担处理损害的费用。</w:t>
      </w:r>
    </w:p>
    <w:p w14:paraId="475997D6">
      <w:pPr>
        <w:pStyle w:val="110"/>
      </w:pPr>
      <w:r>
        <w:rPr>
          <w:rFonts w:hint="eastAsia"/>
        </w:rPr>
        <w:t>地盘地质勘察报告</w:t>
      </w:r>
    </w:p>
    <w:p w14:paraId="0F0F804E">
      <w:pPr>
        <w:pStyle w:val="112"/>
        <w:numPr>
          <w:ilvl w:val="0"/>
          <w:numId w:val="0"/>
        </w:numPr>
        <w:ind w:left="964"/>
      </w:pPr>
      <w:r>
        <w:rPr>
          <w:rFonts w:hint="eastAsia"/>
        </w:rPr>
        <w:t>由发包方及设计单位提供的地质勘察报告及钻孔记录已尽量反映可能遇到的地质情况，发包方应对整个地盘的地质报告、钻孔资料、可能的地质变化作出自己的见解。</w:t>
      </w:r>
    </w:p>
    <w:p w14:paraId="0F0EF0E8">
      <w:pPr>
        <w:pStyle w:val="110"/>
      </w:pPr>
      <w:r>
        <w:rPr>
          <w:rFonts w:hint="eastAsia"/>
        </w:rPr>
        <w:t>承包方的现场考察</w:t>
      </w:r>
    </w:p>
    <w:p w14:paraId="2C8CF3EB">
      <w:pPr>
        <w:pStyle w:val="112"/>
        <w:numPr>
          <w:ilvl w:val="0"/>
          <w:numId w:val="0"/>
        </w:numPr>
        <w:ind w:left="964"/>
      </w:pPr>
      <w:r>
        <w:rPr>
          <w:rFonts w:hint="eastAsia"/>
        </w:rPr>
        <w:t>建议承包方认真考察地盘并且彻底了解地盘的位置、地盘环境、交通情况、</w:t>
      </w:r>
      <w:r>
        <w:tab/>
      </w:r>
      <w:r>
        <w:rPr>
          <w:rFonts w:hint="eastAsia"/>
        </w:rPr>
        <w:t>拟建位置周围的限制及其它应引起注意的情况等等。</w:t>
      </w:r>
    </w:p>
    <w:p w14:paraId="39A36106">
      <w:pPr>
        <w:pStyle w:val="110"/>
      </w:pPr>
      <w:r>
        <w:rPr>
          <w:rFonts w:hint="eastAsia"/>
        </w:rPr>
        <w:t>锚杆的尺寸及承载力</w:t>
      </w:r>
    </w:p>
    <w:p w14:paraId="1B672E7A">
      <w:pPr>
        <w:pStyle w:val="112"/>
        <w:numPr>
          <w:ilvl w:val="0"/>
          <w:numId w:val="0"/>
        </w:numPr>
        <w:ind w:left="964"/>
      </w:pPr>
      <w:r>
        <w:rPr>
          <w:rFonts w:hint="eastAsia"/>
        </w:rPr>
        <w:t>锚杆的尺寸及长度已注在施工图上，锚杆应能承受说明上的承载力要求而没有过分的下沉，且能承受设计单位要求进行的荷载试验，以及能通过当地质监站及有关政府部门的质量验收要求。</w:t>
      </w:r>
    </w:p>
    <w:p w14:paraId="670AFEB9">
      <w:pPr>
        <w:pStyle w:val="110"/>
      </w:pPr>
      <w:r>
        <w:rPr>
          <w:rFonts w:hint="eastAsia"/>
        </w:rPr>
        <w:t>材料</w:t>
      </w:r>
    </w:p>
    <w:p w14:paraId="19DBF482">
      <w:pPr>
        <w:pStyle w:val="112"/>
        <w:numPr>
          <w:ilvl w:val="0"/>
          <w:numId w:val="0"/>
        </w:numPr>
        <w:ind w:left="964"/>
      </w:pPr>
      <w:r>
        <w:rPr>
          <w:rFonts w:hint="eastAsia"/>
        </w:rPr>
        <w:t>混凝土锚杆的材料应符合混凝土施工规范的要求。</w:t>
      </w:r>
    </w:p>
    <w:p w14:paraId="0C63EF0B">
      <w:pPr>
        <w:pStyle w:val="110"/>
      </w:pPr>
      <w:r>
        <w:rPr>
          <w:rFonts w:hint="eastAsia"/>
        </w:rPr>
        <w:t>放线</w:t>
      </w:r>
    </w:p>
    <w:p w14:paraId="533EF79E">
      <w:pPr>
        <w:pStyle w:val="112"/>
      </w:pPr>
      <w:r>
        <w:rPr>
          <w:rFonts w:hint="eastAsia"/>
        </w:rPr>
        <w:t>承包方应提供所有必需工具、机器、钉，按锚杆布置图及设计单位提供的更详细资料放线，虽然发包方、监理单位及设计单位可以验线，但保证锚杆以要求的角度在正确位置上是承包方的责任。</w:t>
      </w:r>
    </w:p>
    <w:p w14:paraId="1B1F41C5">
      <w:pPr>
        <w:pStyle w:val="112"/>
      </w:pPr>
      <w:r>
        <w:rPr>
          <w:rFonts w:hint="eastAsia"/>
        </w:rPr>
        <w:t>若发现施工图上标注尺寸与实际尺寸不符合，承包方应报告给设计单位，发包方及设计单位会解决矛盾之处，没有设计单位或其代表的同意，承包方不应改变锚杆位置。</w:t>
      </w:r>
    </w:p>
    <w:p w14:paraId="00A39387">
      <w:pPr>
        <w:pStyle w:val="112"/>
      </w:pPr>
      <w:r>
        <w:rPr>
          <w:rFonts w:hint="eastAsia"/>
        </w:rPr>
        <w:t>当锚杆位置偏差超过允许值或偏心距不能由简单的桩群解决时，设计单位可以要求补打锚杆，承包方应承担该部分的补打锚杆费用及所需工期。</w:t>
      </w:r>
    </w:p>
    <w:p w14:paraId="6DAC009A">
      <w:pPr>
        <w:pStyle w:val="110"/>
      </w:pPr>
      <w:r>
        <w:rPr>
          <w:rFonts w:hint="eastAsia"/>
        </w:rPr>
        <w:t>杆位误差</w:t>
      </w:r>
    </w:p>
    <w:p w14:paraId="31B7EA41">
      <w:pPr>
        <w:pStyle w:val="112"/>
      </w:pPr>
      <w:r>
        <w:rPr>
          <w:rFonts w:hint="eastAsia"/>
        </w:rPr>
        <w:t>尽可能准确地垂直向下或照设计要求的角度进行打锚杆或钻孔，除非另有误差注明在施工图上，锚杆设计的垂直度的偏差不应大于</w:t>
      </w:r>
      <w:r>
        <w:rPr>
          <w:rFonts w:hint="eastAsia" w:cs="Arial"/>
        </w:rPr>
        <w:t>2</w:t>
      </w:r>
      <w:r>
        <w:rPr>
          <w:rFonts w:cs="Arial"/>
        </w:rPr>
        <w:t>/100</w:t>
      </w:r>
      <w:r>
        <w:rPr>
          <w:rFonts w:hint="eastAsia"/>
        </w:rPr>
        <w:t>，锚杆的水平和垂直孔距偏差不应大于</w:t>
      </w:r>
      <w:r>
        <w:rPr>
          <w:rFonts w:hint="eastAsia" w:cs="Arial"/>
        </w:rPr>
        <w:t>100</w:t>
      </w:r>
      <w:r>
        <w:rPr>
          <w:rFonts w:cs="Arial"/>
        </w:rPr>
        <w:t>mm</w:t>
      </w:r>
      <w:r>
        <w:rPr>
          <w:rFonts w:hint="eastAsia"/>
        </w:rPr>
        <w:t>，桩径偏差不应大于</w:t>
      </w:r>
      <w:r>
        <w:rPr>
          <w:rFonts w:cs="Arial"/>
        </w:rPr>
        <w:t>50mm</w:t>
      </w:r>
      <w:r>
        <w:rPr>
          <w:rFonts w:hint="eastAsia"/>
        </w:rPr>
        <w:t>。</w:t>
      </w:r>
    </w:p>
    <w:p w14:paraId="018831BD">
      <w:pPr>
        <w:pStyle w:val="112"/>
      </w:pPr>
      <w:r>
        <w:rPr>
          <w:rFonts w:hint="eastAsia"/>
        </w:rPr>
        <w:t>抗拔锚杆不应打在地下建筑物退缩线以外，除非设计单位注明在设计图上。</w:t>
      </w:r>
    </w:p>
    <w:p w14:paraId="260B88B5">
      <w:pPr>
        <w:pStyle w:val="110"/>
      </w:pPr>
      <w:r>
        <w:rPr>
          <w:rFonts w:hint="eastAsia"/>
        </w:rPr>
        <w:t>试验</w:t>
      </w:r>
    </w:p>
    <w:p w14:paraId="36C6E20C">
      <w:pPr>
        <w:pStyle w:val="112"/>
        <w:numPr>
          <w:ilvl w:val="0"/>
          <w:numId w:val="0"/>
        </w:numPr>
        <w:ind w:left="964"/>
      </w:pPr>
      <w:r>
        <w:rPr>
          <w:rFonts w:hint="eastAsia"/>
        </w:rPr>
        <w:t>承包方应进行试成孔，杆位由有关政府部门或设计单位选定，试验时设计单位或其代表须在场，应保存实测孔径、垂直度、孔壁稳定性和回淤指标等的详细记录。试开挖成孔应保持</w:t>
      </w:r>
      <w:r>
        <w:t>48</w:t>
      </w:r>
      <w:r>
        <w:rPr>
          <w:rFonts w:hint="eastAsia"/>
        </w:rPr>
        <w:t>小时</w:t>
      </w:r>
      <w:r>
        <w:t xml:space="preserve">， </w:t>
      </w:r>
      <w:r>
        <w:rPr>
          <w:rFonts w:hint="eastAsia"/>
        </w:rPr>
        <w:t>其间须连续观测孔壁的稳定性。</w:t>
      </w:r>
    </w:p>
    <w:p w14:paraId="07371F71">
      <w:pPr>
        <w:pStyle w:val="110"/>
      </w:pPr>
      <w:r>
        <w:rPr>
          <w:rFonts w:hint="eastAsia"/>
        </w:rPr>
        <w:t>抗拔锚杆基本试验</w:t>
      </w:r>
    </w:p>
    <w:p w14:paraId="455F8BAE">
      <w:pPr>
        <w:pStyle w:val="112"/>
      </w:pPr>
      <w:r>
        <w:rPr>
          <w:rFonts w:hint="eastAsia"/>
        </w:rPr>
        <w:t>锚杆基本试验的地质条件、锚杆材料和施工工艺等应与工程锚杆一致。</w:t>
      </w:r>
    </w:p>
    <w:p w14:paraId="7A9D4328">
      <w:pPr>
        <w:pStyle w:val="112"/>
      </w:pPr>
      <w:r>
        <w:rPr>
          <w:rFonts w:hint="eastAsia"/>
        </w:rPr>
        <w:t>基本试验时最大的试验荷载不宜超过锚杆杆体承载力标准值的</w:t>
      </w:r>
      <w:r>
        <w:t>0.9</w:t>
      </w:r>
      <w:r>
        <w:rPr>
          <w:rFonts w:hint="eastAsia"/>
        </w:rPr>
        <w:t>倍。</w:t>
      </w:r>
    </w:p>
    <w:p w14:paraId="4262E68A">
      <w:pPr>
        <w:pStyle w:val="112"/>
      </w:pPr>
      <w:r>
        <w:rPr>
          <w:rFonts w:hint="eastAsia"/>
        </w:rPr>
        <w:t>基本试验只要目的是确定锚固体与岩土层间粘结强度特征值、锚杆设计参数和施工工艺。试验锚杆的锚固长度和锚杆根数应符合下列规定：</w:t>
      </w:r>
    </w:p>
    <w:p w14:paraId="0960AABA">
      <w:pPr>
        <w:pStyle w:val="114"/>
      </w:pPr>
      <w:r>
        <w:rPr>
          <w:rFonts w:hint="eastAsia"/>
        </w:rPr>
        <w:t>当进行确定锚固体与岩土层间粘结强度特征值、验证杆体与砂浆间粘结强度设计值的试验时，为使锚固体与地层间首先破坏，可采取增加锚杆钢筋用量（锚固段长度取设计锚固长度）或减短锚固长度（锚固长度取设计锚固长度的</w:t>
      </w:r>
      <w:r>
        <w:t>0.4~0.6</w:t>
      </w:r>
      <w:r>
        <w:rPr>
          <w:rFonts w:hint="eastAsia"/>
        </w:rPr>
        <w:t>倍，硬质岩取小值）的措施；</w:t>
      </w:r>
    </w:p>
    <w:p w14:paraId="3E8EB799">
      <w:pPr>
        <w:pStyle w:val="114"/>
      </w:pPr>
      <w:r>
        <w:rPr>
          <w:rFonts w:hint="eastAsia"/>
        </w:rPr>
        <w:t>当进行确定锚固段变形参数和应力分布的试验时，锚固段长度应取设计锚固长度；</w:t>
      </w:r>
    </w:p>
    <w:p w14:paraId="33DC33F6">
      <w:pPr>
        <w:pStyle w:val="114"/>
      </w:pPr>
      <w:r>
        <w:rPr>
          <w:rFonts w:hint="eastAsia"/>
        </w:rPr>
        <w:t>每种试验锚杆数量均不应少于</w:t>
      </w:r>
      <w:r>
        <w:t>3</w:t>
      </w:r>
      <w:r>
        <w:rPr>
          <w:rFonts w:hint="eastAsia"/>
        </w:rPr>
        <w:t>根。</w:t>
      </w:r>
    </w:p>
    <w:p w14:paraId="37F36B77">
      <w:pPr>
        <w:pStyle w:val="112"/>
      </w:pPr>
      <w:r>
        <w:rPr>
          <w:rFonts w:hint="eastAsia"/>
        </w:rPr>
        <w:t>当锚杆试验数量为</w:t>
      </w:r>
      <w:r>
        <w:t>3</w:t>
      </w:r>
      <w:r>
        <w:rPr>
          <w:rFonts w:hint="eastAsia"/>
        </w:rPr>
        <w:t>根，各极限承载力值的最大差值小于</w:t>
      </w:r>
      <w:r>
        <w:t>30%</w:t>
      </w:r>
      <w:r>
        <w:rPr>
          <w:rFonts w:hint="eastAsia"/>
        </w:rPr>
        <w:t>时，取最小值作为锚杆的极限承载力标准值；若最大差值超过</w:t>
      </w:r>
      <w:r>
        <w:t>30%</w:t>
      </w:r>
      <w:r>
        <w:rPr>
          <w:rFonts w:hint="eastAsia"/>
        </w:rPr>
        <w:t>，应增加试验数量，按</w:t>
      </w:r>
      <w:r>
        <w:t>95%</w:t>
      </w:r>
      <w:r>
        <w:rPr>
          <w:rFonts w:hint="eastAsia"/>
        </w:rPr>
        <w:t>的保证概率计算锚杆极限承载力标准值。</w:t>
      </w:r>
    </w:p>
    <w:p w14:paraId="04F8E9A9">
      <w:pPr>
        <w:pStyle w:val="112"/>
      </w:pPr>
      <w:r>
        <w:rPr>
          <w:rFonts w:hint="eastAsia"/>
        </w:rPr>
        <w:t>锚固体与地层间极限粘结强度标准值除以</w:t>
      </w:r>
      <w:r>
        <w:t>2.2~2.7</w:t>
      </w:r>
      <w:r>
        <w:rPr>
          <w:rFonts w:hint="eastAsia"/>
        </w:rPr>
        <w:t>（对硬质岩取大值，对软岩、极软岩和土取小值；当试验的锚固长度与设计长度相同时取小值，反之取大值）为粘结强度特征值。</w:t>
      </w:r>
    </w:p>
    <w:p w14:paraId="11AB4D06">
      <w:pPr>
        <w:pStyle w:val="112"/>
      </w:pPr>
      <w:r>
        <w:rPr>
          <w:rFonts w:hint="eastAsia"/>
        </w:rPr>
        <w:t>基本试验的钻孔，应钻取芯样进行岩石力学性能试验。</w:t>
      </w:r>
    </w:p>
    <w:p w14:paraId="7E64371C">
      <w:pPr>
        <w:pStyle w:val="110"/>
      </w:pPr>
      <w:r>
        <w:rPr>
          <w:rFonts w:hint="eastAsia"/>
        </w:rPr>
        <w:t>锚杆抗拔承载力的检测</w:t>
      </w:r>
    </w:p>
    <w:p w14:paraId="56B27C1A">
      <w:pPr>
        <w:pStyle w:val="112"/>
      </w:pPr>
      <w:r>
        <w:rPr>
          <w:rFonts w:hint="eastAsia"/>
        </w:rPr>
        <w:t>检测数量不应少于锚杆总数的5%，且同一土层中的锚杆检测数量不应少于3根；</w:t>
      </w:r>
    </w:p>
    <w:p w14:paraId="792C7FDA">
      <w:pPr>
        <w:pStyle w:val="112"/>
      </w:pPr>
      <w:r>
        <w:rPr>
          <w:rFonts w:hint="eastAsia"/>
        </w:rPr>
        <w:t>检测试验应在锚固段注浆固结体强度达到15MPa或达到设计强度的75%后进行；检测锚杆应采用随机抽样的方法选取；抗拔承载力检测值与轴向拉力标准值的比值应≥1.4；</w:t>
      </w:r>
    </w:p>
    <w:p w14:paraId="3785B3EC">
      <w:pPr>
        <w:pStyle w:val="112"/>
      </w:pPr>
      <w:r>
        <w:rPr>
          <w:rFonts w:hint="eastAsia"/>
        </w:rPr>
        <w:t>施工单位检测前应制定验收试验方案，并经业主方及设计方同意后才能进行抗拔承载力试验；当检测的锚杆不合格时，应扩大检测数量。</w:t>
      </w:r>
    </w:p>
    <w:p w14:paraId="2B9A51C5">
      <w:pPr>
        <w:pStyle w:val="110"/>
      </w:pPr>
      <w:r>
        <w:rPr>
          <w:rFonts w:hint="eastAsia"/>
        </w:rPr>
        <w:t>开工时注意点</w:t>
      </w:r>
    </w:p>
    <w:p w14:paraId="01EB73ED">
      <w:pPr>
        <w:pStyle w:val="112"/>
        <w:numPr>
          <w:ilvl w:val="0"/>
          <w:numId w:val="0"/>
        </w:numPr>
        <w:ind w:left="964"/>
      </w:pPr>
      <w:r>
        <w:rPr>
          <w:rFonts w:hint="eastAsia"/>
        </w:rPr>
        <w:t>承包方在开始钻第一个锚杆孔位时提前</w:t>
      </w:r>
      <w:r>
        <w:rPr>
          <w:rFonts w:cs="Arial"/>
        </w:rPr>
        <w:t>48</w:t>
      </w:r>
      <w:r>
        <w:rPr>
          <w:rFonts w:hint="eastAsia"/>
        </w:rPr>
        <w:t>小时通知发包方、监理单位及设计单</w:t>
      </w:r>
      <w:r>
        <w:tab/>
      </w:r>
      <w:r>
        <w:rPr>
          <w:rFonts w:hint="eastAsia"/>
        </w:rPr>
        <w:t>位，以便有关工程师及其代表在场。</w:t>
      </w:r>
    </w:p>
    <w:p w14:paraId="2178273F">
      <w:pPr>
        <w:pStyle w:val="110"/>
      </w:pPr>
      <w:r>
        <w:rPr>
          <w:rFonts w:hint="eastAsia"/>
        </w:rPr>
        <w:t>工地清除</w:t>
      </w:r>
    </w:p>
    <w:p w14:paraId="7D0F1139">
      <w:pPr>
        <w:pStyle w:val="112"/>
        <w:numPr>
          <w:ilvl w:val="0"/>
          <w:numId w:val="0"/>
        </w:numPr>
        <w:ind w:left="964"/>
      </w:pPr>
      <w:r>
        <w:rPr>
          <w:rFonts w:hint="eastAsia"/>
        </w:rPr>
        <w:t>在工程完成后，承包方应使工地清洁、整齐，清除所有碎石、剩余材料等等。</w:t>
      </w:r>
    </w:p>
    <w:p w14:paraId="1866C837">
      <w:pPr>
        <w:pStyle w:val="110"/>
      </w:pPr>
      <w:r>
        <w:rPr>
          <w:rFonts w:hint="eastAsia"/>
        </w:rPr>
        <w:t>工程阻碍及延迟</w:t>
      </w:r>
    </w:p>
    <w:p w14:paraId="28895F84">
      <w:pPr>
        <w:pStyle w:val="112"/>
        <w:numPr>
          <w:ilvl w:val="0"/>
          <w:numId w:val="0"/>
        </w:numPr>
        <w:ind w:left="964"/>
      </w:pPr>
      <w:r>
        <w:rPr>
          <w:rFonts w:hint="eastAsia"/>
        </w:rPr>
        <w:t xml:space="preserve">一般认为承包方做钻孔桩工期已包括任何可能遇到的情况。若在施工中遇到外因引发的延误，如发包方及设计单位可能延缓了承包方的工作，承包方应服从发包方及设计单位的决定。 </w:t>
      </w:r>
    </w:p>
    <w:p w14:paraId="7BCCBF47">
      <w:pPr>
        <w:pStyle w:val="110"/>
      </w:pPr>
      <w:r>
        <w:rPr>
          <w:rFonts w:hint="eastAsia"/>
        </w:rPr>
        <w:t>杆长</w:t>
      </w:r>
    </w:p>
    <w:p w14:paraId="2B73BDF2">
      <w:pPr>
        <w:pStyle w:val="112"/>
        <w:numPr>
          <w:ilvl w:val="0"/>
          <w:numId w:val="0"/>
        </w:numPr>
        <w:ind w:left="964"/>
      </w:pPr>
      <w:r>
        <w:rPr>
          <w:rFonts w:hint="eastAsia"/>
        </w:rPr>
        <w:t>锚杆应在无受损的情况下，支承起图纸上标明的承载力设计值，且满足试验荷载下的沉降要求。承包方应在锚杆试验基础上，及依据所提供的地盘地质勘察报告和其它可进行的试验结果或承包方自己补充的地质资料，来决定每根锚杆的开挖深度。但仍需得到发包方和设计单位的认可。</w:t>
      </w:r>
    </w:p>
    <w:p w14:paraId="12DB03F9">
      <w:pPr>
        <w:pStyle w:val="110"/>
      </w:pPr>
      <w:r>
        <w:rPr>
          <w:rFonts w:hint="eastAsia"/>
        </w:rPr>
        <w:t>锚杆缺陷</w:t>
      </w:r>
    </w:p>
    <w:p w14:paraId="0F4B2596">
      <w:pPr>
        <w:pStyle w:val="112"/>
        <w:numPr>
          <w:ilvl w:val="0"/>
          <w:numId w:val="0"/>
        </w:numPr>
        <w:ind w:left="964"/>
      </w:pPr>
      <w:r>
        <w:rPr>
          <w:rFonts w:hint="eastAsia"/>
        </w:rPr>
        <w:t>按有关规范，若锚杆在允许偏差外，或与设计要求不符等原因而造成不能永久支承荷载，即认为锚杆受到破坏。设计单位可采取措施，如补打锚杆、改变结构等，以保证荷载能安全地移到增加的桩或其它的桩上。承包方应承担补打锚杆、改变结构等措施所增加的一切费用及相应的工期。</w:t>
      </w:r>
    </w:p>
    <w:p w14:paraId="7968B748">
      <w:pPr>
        <w:pStyle w:val="110"/>
      </w:pPr>
      <w:r>
        <w:rPr>
          <w:rFonts w:hint="eastAsia"/>
        </w:rPr>
        <w:t>分包</w:t>
      </w:r>
    </w:p>
    <w:p w14:paraId="2EE0384D">
      <w:pPr>
        <w:pStyle w:val="112"/>
        <w:numPr>
          <w:ilvl w:val="0"/>
          <w:numId w:val="0"/>
        </w:numPr>
        <w:ind w:left="964"/>
      </w:pPr>
      <w:r>
        <w:rPr>
          <w:rFonts w:hint="eastAsia"/>
        </w:rPr>
        <w:t>未经发包方批准，所有工程不得擅自分包。</w:t>
      </w:r>
    </w:p>
    <w:p w14:paraId="009915CC">
      <w:pPr>
        <w:pStyle w:val="110"/>
      </w:pPr>
      <w:r>
        <w:rPr>
          <w:rFonts w:hint="eastAsia"/>
        </w:rPr>
        <w:t>与政府部门施工单位和独立专项承包单位合作</w:t>
      </w:r>
    </w:p>
    <w:p w14:paraId="5ECCB9A1">
      <w:pPr>
        <w:pStyle w:val="112"/>
      </w:pPr>
      <w:r>
        <w:rPr>
          <w:rFonts w:hint="eastAsia"/>
        </w:rPr>
        <w:t>发包方有权直接雇用独立专项承包单位于工地现场与承包方同步施工，承包方须为独立专项承包单位的施工提供方便。</w:t>
      </w:r>
    </w:p>
    <w:p w14:paraId="1BAC274D">
      <w:pPr>
        <w:pStyle w:val="112"/>
      </w:pPr>
      <w:r>
        <w:rPr>
          <w:rFonts w:hint="eastAsia"/>
        </w:rPr>
        <w:t>承包方应随时执行一切所需工作，以保证及促进所有独立专项承包单位有效的执行工作。</w:t>
      </w:r>
    </w:p>
    <w:p w14:paraId="35C53724">
      <w:pPr>
        <w:pStyle w:val="112"/>
      </w:pPr>
      <w:r>
        <w:rPr>
          <w:rFonts w:hint="eastAsia"/>
        </w:rPr>
        <w:t>承包方应允许政府部门施工单位在现场进行施工，并在编制工程进度计划表中包括政府部门施工单位工程施工的具体安排。</w:t>
      </w:r>
    </w:p>
    <w:p w14:paraId="1B8C9757">
      <w:pPr>
        <w:pStyle w:val="110"/>
      </w:pPr>
      <w:r>
        <w:rPr>
          <w:rFonts w:hint="eastAsia"/>
        </w:rPr>
        <w:t>临时施工车道安排</w:t>
      </w:r>
    </w:p>
    <w:p w14:paraId="30F897F5">
      <w:pPr>
        <w:pStyle w:val="112"/>
        <w:numPr>
          <w:ilvl w:val="0"/>
          <w:numId w:val="0"/>
        </w:numPr>
        <w:ind w:left="964"/>
        <w:rPr>
          <w:rFonts w:ascii="Arial" w:hAnsi="Arial" w:cs="Arial"/>
        </w:rPr>
      </w:pPr>
      <w:r>
        <w:rPr>
          <w:rFonts w:hint="eastAsia"/>
        </w:rPr>
        <w:t>开挖施工单位将移交本场地的临时施工车道管理于承包人，于使用期间，承包人需管理、保养及维修临时施工车道。在工程施工期间，需转换临时施工车道位置至少一次，以完成所有抗拔锚杆工程，承包人需承担改变临时施工车道的费用。完工时，临时施工车道需交回甲方以便往后施工使用。施工单位需在工程开始时一星期内提供相关临时车道安排于甲方认可。</w:t>
      </w:r>
    </w:p>
    <w:p w14:paraId="028BCA1B">
      <w:pPr>
        <w:pStyle w:val="119"/>
      </w:pPr>
      <w:bookmarkStart w:id="22" w:name="_Toc136956815"/>
      <w:r>
        <w:rPr>
          <w:rFonts w:hint="eastAsia"/>
        </w:rPr>
        <w:t>施工准备</w:t>
      </w:r>
      <w:bookmarkEnd w:id="22"/>
    </w:p>
    <w:p w14:paraId="7A2BDED4">
      <w:pPr>
        <w:pStyle w:val="112"/>
      </w:pPr>
      <w:r>
        <w:rPr>
          <w:rFonts w:hint="eastAsia"/>
        </w:rPr>
        <w:t>在组织开挖工程施工前，施工单位应根据建设单位提供的当地实测地形图（包括测量成果）、原有地下管线或构筑物竣工图、工程地质、气象等技术数据，编制施工组织设计（或施工方案），同时提供平面控制桩和水平点，作为施工测量和工程验收的依据报呈设计单位审批。如现场实际情况与建设单位所提供的图纸及文件不符，施工单位需于中标后两周内根据现场实际情况作相应调整。对于甲方所提供岩土勘察报告内列明的基础设计参数</w:t>
      </w:r>
      <w:r>
        <w:t xml:space="preserve">， </w:t>
      </w:r>
      <w:r>
        <w:rPr>
          <w:rFonts w:hint="eastAsia"/>
        </w:rPr>
        <w:t>一切意见和结论</w:t>
      </w:r>
      <w:r>
        <w:t xml:space="preserve">， </w:t>
      </w:r>
      <w:r>
        <w:rPr>
          <w:rFonts w:hint="eastAsia"/>
        </w:rPr>
        <w:t>甲方一概不会负责。</w:t>
      </w:r>
    </w:p>
    <w:p w14:paraId="2B1CD153">
      <w:pPr>
        <w:pStyle w:val="112"/>
      </w:pPr>
      <w:r>
        <w:rPr>
          <w:rFonts w:hint="eastAsia"/>
        </w:rPr>
        <w:t>施工单位于施工前需认明场地附近所有的建筑物</w:t>
      </w:r>
      <w:r>
        <w:rPr>
          <w:rFonts w:hint="eastAsia" w:ascii="Arial"/>
        </w:rPr>
        <w:t>、</w:t>
      </w:r>
      <w:r>
        <w:rPr>
          <w:rFonts w:hint="eastAsia"/>
        </w:rPr>
        <w:t>拟建地铁管道、道路、地上或其它地下管道、电线等。</w:t>
      </w:r>
    </w:p>
    <w:p w14:paraId="2104E7E3">
      <w:pPr>
        <w:pStyle w:val="112"/>
      </w:pPr>
      <w:r>
        <w:rPr>
          <w:rFonts w:hint="eastAsia"/>
        </w:rPr>
        <w:t>钻孔应在定位放线后，方可施工。在城市规划区域内，应根据城市规划部门测放的建筑界线、街道控制桩和水平点测量。</w:t>
      </w:r>
    </w:p>
    <w:p w14:paraId="201BC357">
      <w:pPr>
        <w:pStyle w:val="112"/>
      </w:pPr>
      <w:r>
        <w:rPr>
          <w:rFonts w:hint="eastAsia"/>
        </w:rPr>
        <w:t>在施工区域内，有碍施工的已有建筑物和构筑物、道路、沟渠、管线、坟墓、树木等，应在施工前妥善处理。</w:t>
      </w:r>
    </w:p>
    <w:p w14:paraId="3DF902AF">
      <w:pPr>
        <w:pStyle w:val="112"/>
      </w:pPr>
      <w:r>
        <w:rPr>
          <w:rFonts w:hint="eastAsia"/>
        </w:rPr>
        <w:t>施工机械进入现场所经过的道路、桥梁和卸车设施等，应事先做好必要的加宽，加固等准备工作。开工前应作好施工场地内机械运作的道路，并开辟适当的工程面，以利施工。</w:t>
      </w:r>
    </w:p>
    <w:p w14:paraId="588D76BF">
      <w:pPr>
        <w:pStyle w:val="112"/>
      </w:pPr>
      <w:r>
        <w:rPr>
          <w:rFonts w:hint="eastAsia"/>
        </w:rPr>
        <w:t>施工单位需在施工前向甲方提交详细施工计划方案，经甲方批核后方可进行施工。施工单位需在于每天知会甲方监督人员于下一天的工作计划。若下一天为非工作天或国内法定假期，施工单位需于下一个工作天之前的</w:t>
      </w:r>
      <w:r>
        <w:t>24</w:t>
      </w:r>
      <w:r>
        <w:rPr>
          <w:rFonts w:hint="eastAsia"/>
        </w:rPr>
        <w:t>小时知会甲方监督人员的工作计划。</w:t>
      </w:r>
    </w:p>
    <w:p w14:paraId="7B699B05">
      <w:pPr>
        <w:pStyle w:val="119"/>
      </w:pPr>
      <w:bookmarkStart w:id="23" w:name="_Toc136956816"/>
      <w:r>
        <w:rPr>
          <w:rFonts w:hint="eastAsia"/>
        </w:rPr>
        <w:t>抗拔锚杆</w:t>
      </w:r>
      <w:bookmarkEnd w:id="23"/>
    </w:p>
    <w:p w14:paraId="66AF50D6">
      <w:pPr>
        <w:pStyle w:val="112"/>
        <w:rPr>
          <w:lang w:eastAsia="zh-TW"/>
        </w:rPr>
      </w:pPr>
      <w:r>
        <w:rPr>
          <w:rFonts w:hint="eastAsia"/>
        </w:rPr>
        <w:t>锚杆孔直径不应少于一倍锚杆直径加</w:t>
      </w:r>
      <w:r>
        <w:t>50mm</w:t>
      </w:r>
      <w:r>
        <w:rPr>
          <w:rFonts w:hint="eastAsia"/>
        </w:rPr>
        <w:t>。</w:t>
      </w:r>
    </w:p>
    <w:p w14:paraId="6C6E212A">
      <w:pPr>
        <w:pStyle w:val="112"/>
        <w:rPr>
          <w:lang w:eastAsia="zh-TW"/>
        </w:rPr>
      </w:pPr>
      <w:r>
        <w:rPr>
          <w:rFonts w:hint="eastAsia"/>
        </w:rPr>
        <w:t>锚杆置中距离不应少于锚杆孔直径的</w:t>
      </w:r>
      <w:r>
        <w:t>6</w:t>
      </w:r>
      <w:r>
        <w:rPr>
          <w:rFonts w:hint="eastAsia"/>
        </w:rPr>
        <w:t>倍。</w:t>
      </w:r>
    </w:p>
    <w:p w14:paraId="5901775F">
      <w:pPr>
        <w:pStyle w:val="112"/>
        <w:rPr>
          <w:lang w:eastAsia="zh-TW"/>
        </w:rPr>
      </w:pPr>
      <w:r>
        <w:rPr>
          <w:rFonts w:hint="eastAsia"/>
        </w:rPr>
        <w:t>锚杆孔直径不应少于</w:t>
      </w:r>
      <w:r>
        <w:t>150mm</w:t>
      </w:r>
      <w:r>
        <w:rPr>
          <w:rFonts w:hint="eastAsia"/>
        </w:rPr>
        <w:t>。</w:t>
      </w:r>
    </w:p>
    <w:p w14:paraId="49CE665F">
      <w:pPr>
        <w:pStyle w:val="112"/>
        <w:rPr>
          <w:lang w:eastAsia="zh-TW"/>
        </w:rPr>
      </w:pPr>
      <w:r>
        <w:rPr>
          <w:rFonts w:hint="eastAsia"/>
        </w:rPr>
        <w:t>锚杆埋深从基承台底部计算不应少于锚杆直径的</w:t>
      </w:r>
      <w:r>
        <w:t>40</w:t>
      </w:r>
      <w:r>
        <w:rPr>
          <w:rFonts w:hint="eastAsia"/>
        </w:rPr>
        <w:t>倍。</w:t>
      </w:r>
    </w:p>
    <w:p w14:paraId="31AD5EF9">
      <w:pPr>
        <w:pStyle w:val="112"/>
        <w:rPr>
          <w:lang w:eastAsia="zh-TW"/>
        </w:rPr>
      </w:pPr>
      <w:r>
        <w:rPr>
          <w:rFonts w:hint="eastAsia"/>
        </w:rPr>
        <w:t>锚杆应采用热轧带肋钢筋，水泥砂浆强度不应低于</w:t>
      </w:r>
      <w:r>
        <w:t>30MPa</w:t>
      </w:r>
      <w:r>
        <w:rPr>
          <w:rFonts w:hint="eastAsia"/>
        </w:rPr>
        <w:t>，细石混凝土强度不应低于</w:t>
      </w:r>
      <w:r>
        <w:t>C30</w:t>
      </w:r>
      <w:r>
        <w:rPr>
          <w:rFonts w:hint="eastAsia"/>
        </w:rPr>
        <w:t>。</w:t>
      </w:r>
    </w:p>
    <w:p w14:paraId="04248184">
      <w:pPr>
        <w:pStyle w:val="112"/>
        <w:rPr>
          <w:lang w:eastAsia="zh-TW"/>
        </w:rPr>
      </w:pPr>
      <w:r>
        <w:rPr>
          <w:rFonts w:hint="eastAsia"/>
        </w:rPr>
        <w:t>灌浆前，应将锚杆孔清理干净。</w:t>
      </w:r>
    </w:p>
    <w:p w14:paraId="0EFF9091">
      <w:pPr>
        <w:pStyle w:val="112"/>
        <w:rPr>
          <w:lang w:eastAsia="zh-TW"/>
        </w:rPr>
      </w:pPr>
      <w:r>
        <w:rPr>
          <w:rFonts w:hint="eastAsia"/>
        </w:rPr>
        <w:t>在抗拔锚杆施工过程，需注意抗拔锚杆成品的保护措施。</w:t>
      </w:r>
    </w:p>
    <w:p w14:paraId="7EDA603A">
      <w:pPr>
        <w:pStyle w:val="112"/>
        <w:rPr>
          <w:lang w:eastAsia="zh-TW"/>
        </w:rPr>
      </w:pPr>
      <w:r>
        <w:rPr>
          <w:rFonts w:hint="eastAsia"/>
        </w:rPr>
        <w:t>完成后的抗拔锚杆须作明显标记，并须根据实际情况，在现场标示机械的行走路线，避免机械进入抗拔锚杆施工区域对锚杆成品造成破坏。</w:t>
      </w:r>
    </w:p>
    <w:p w14:paraId="19B32841">
      <w:pPr>
        <w:pStyle w:val="112"/>
      </w:pPr>
      <w:r>
        <w:rPr>
          <w:rFonts w:hint="eastAsia"/>
        </w:rPr>
        <w:t>完成抗拔锚杆后，施工单位需在平整的地下室范围内现浇</w:t>
      </w:r>
      <w:r>
        <w:t xml:space="preserve">100mm </w:t>
      </w:r>
      <w:r>
        <w:rPr>
          <w:rFonts w:hint="eastAsia"/>
        </w:rPr>
        <w:t>厚的素混凝土垫层。</w:t>
      </w:r>
    </w:p>
    <w:p w14:paraId="269511F0">
      <w:pPr>
        <w:pStyle w:val="119"/>
      </w:pPr>
      <w:bookmarkStart w:id="24" w:name="_Toc136956817"/>
      <w:r>
        <w:rPr>
          <w:rFonts w:hint="eastAsia"/>
        </w:rPr>
        <w:t>沉降</w:t>
      </w:r>
      <w:r>
        <w:rPr>
          <w:rFonts w:hint="eastAsia" w:ascii="TT1925A0o00" w:eastAsia="TT1925A0o00" w:cs="TT1925A0o00"/>
        </w:rPr>
        <w:t>监</w:t>
      </w:r>
      <w:r>
        <w:rPr>
          <w:rFonts w:hint="eastAsia"/>
        </w:rPr>
        <w:t>测</w:t>
      </w:r>
      <w:bookmarkEnd w:id="24"/>
    </w:p>
    <w:p w14:paraId="5792E7ED">
      <w:pPr>
        <w:pStyle w:val="112"/>
      </w:pPr>
      <w:r>
        <w:rPr>
          <w:rFonts w:hint="eastAsia" w:cs="TT1925A0o01"/>
        </w:rPr>
        <w:t>现有沉</w:t>
      </w:r>
      <w:r>
        <w:rPr>
          <w:rFonts w:hint="eastAsia"/>
        </w:rPr>
        <w:t>降监测</w:t>
      </w:r>
      <w:r>
        <w:rPr>
          <w:rFonts w:hint="eastAsia" w:cs="TT1925A0o01"/>
        </w:rPr>
        <w:t>点</w:t>
      </w:r>
      <w:r>
        <w:rPr>
          <w:rFonts w:hint="eastAsia"/>
        </w:rPr>
        <w:t>及水位监测</w:t>
      </w:r>
      <w:r>
        <w:rPr>
          <w:rFonts w:hint="eastAsia" w:cs="TT1925A0o01"/>
        </w:rPr>
        <w:t>点</w:t>
      </w:r>
      <w:r>
        <w:rPr>
          <w:rFonts w:hint="eastAsia"/>
        </w:rPr>
        <w:t>布置见附图。施工单位需与基坑开挖施工单位进行交底，确保所有</w:t>
      </w:r>
      <w:r>
        <w:rPr>
          <w:rFonts w:hint="eastAsia" w:cs="TT1925A0o01"/>
        </w:rPr>
        <w:t>现有沉</w:t>
      </w:r>
      <w:r>
        <w:rPr>
          <w:rFonts w:hint="eastAsia"/>
        </w:rPr>
        <w:t>降监测</w:t>
      </w:r>
      <w:r>
        <w:rPr>
          <w:rFonts w:hint="eastAsia" w:cs="TT1925A0o01"/>
        </w:rPr>
        <w:t>点</w:t>
      </w:r>
      <w:r>
        <w:rPr>
          <w:rFonts w:hint="eastAsia"/>
        </w:rPr>
        <w:t>及水位监测</w:t>
      </w:r>
      <w:r>
        <w:rPr>
          <w:rFonts w:hint="eastAsia" w:cs="TT1925A0o01"/>
        </w:rPr>
        <w:t>点并无损坏。交底后</w:t>
      </w:r>
      <w:r>
        <w:rPr>
          <w:rFonts w:hint="eastAsia"/>
        </w:rPr>
        <w:t>所有</w:t>
      </w:r>
      <w:r>
        <w:rPr>
          <w:rFonts w:hint="eastAsia" w:cs="TT1925A0o01"/>
        </w:rPr>
        <w:t>现有沉</w:t>
      </w:r>
      <w:r>
        <w:rPr>
          <w:rFonts w:hint="eastAsia"/>
        </w:rPr>
        <w:t>降监测</w:t>
      </w:r>
      <w:r>
        <w:rPr>
          <w:rFonts w:hint="eastAsia" w:cs="TT1925A0o01"/>
        </w:rPr>
        <w:t>点</w:t>
      </w:r>
      <w:r>
        <w:rPr>
          <w:rFonts w:hint="eastAsia"/>
        </w:rPr>
        <w:t>及水位监测</w:t>
      </w:r>
      <w:r>
        <w:rPr>
          <w:rFonts w:hint="eastAsia" w:cs="TT1925A0o01"/>
        </w:rPr>
        <w:t>点将由</w:t>
      </w:r>
      <w:r>
        <w:rPr>
          <w:rFonts w:hint="eastAsia"/>
        </w:rPr>
        <w:t>施工单位负责。所有管理、维修</w:t>
      </w:r>
      <w:r>
        <w:rPr>
          <w:rFonts w:hint="eastAsia" w:hAnsi="宋体"/>
        </w:rPr>
        <w:t>所增加的一切费用及相应的工期均由施工单位承担。</w:t>
      </w:r>
    </w:p>
    <w:p w14:paraId="67D8AE52">
      <w:pPr>
        <w:pStyle w:val="112"/>
      </w:pPr>
      <w:r>
        <w:rPr>
          <w:rFonts w:hint="eastAsia"/>
        </w:rPr>
        <w:t>报告</w:t>
      </w:r>
      <w:r>
        <w:rPr>
          <w:rFonts w:hint="eastAsia" w:cs="TT1925A0o03"/>
        </w:rPr>
        <w:t>格</w:t>
      </w:r>
      <w:r>
        <w:rPr>
          <w:rFonts w:hint="eastAsia"/>
        </w:rPr>
        <w:t>式</w:t>
      </w:r>
      <w:r>
        <w:rPr>
          <w:rFonts w:hint="eastAsia" w:cs="TT1925A0o01"/>
        </w:rPr>
        <w:t>必须</w:t>
      </w:r>
      <w:r>
        <w:rPr>
          <w:rFonts w:hint="eastAsia"/>
        </w:rPr>
        <w:t>于施工</w:t>
      </w:r>
      <w:r>
        <w:rPr>
          <w:rFonts w:hint="eastAsia" w:cs="TT1925A0o01"/>
        </w:rPr>
        <w:t>前</w:t>
      </w:r>
      <w:r>
        <w:rPr>
          <w:rFonts w:hint="eastAsia"/>
        </w:rPr>
        <w:t>提供</w:t>
      </w:r>
      <w:r>
        <w:rPr>
          <w:rFonts w:hint="eastAsia" w:cs="TT1925A0o01"/>
        </w:rPr>
        <w:t>甲</w:t>
      </w:r>
      <w:r>
        <w:rPr>
          <w:rFonts w:hint="eastAsia"/>
        </w:rPr>
        <w:t>方审批。</w:t>
      </w:r>
    </w:p>
    <w:p w14:paraId="1FFC176C">
      <w:pPr>
        <w:pStyle w:val="112"/>
      </w:pPr>
      <w:r>
        <w:rPr>
          <w:rFonts w:hint="eastAsia"/>
        </w:rPr>
        <w:t>施工开</w:t>
      </w:r>
      <w:r>
        <w:rPr>
          <w:rFonts w:hint="eastAsia" w:cs="TT1925A0o02"/>
        </w:rPr>
        <w:t>始</w:t>
      </w:r>
      <w:r>
        <w:rPr>
          <w:rFonts w:hint="eastAsia"/>
        </w:rPr>
        <w:t>后的</w:t>
      </w:r>
      <w:r>
        <w:rPr>
          <w:rFonts w:hint="eastAsia" w:cs="TT1925A0o02"/>
        </w:rPr>
        <w:t>每</w:t>
      </w:r>
      <w:r>
        <w:rPr>
          <w:rFonts w:hint="eastAsia"/>
        </w:rPr>
        <w:t>一</w:t>
      </w:r>
      <w:r>
        <w:rPr>
          <w:rFonts w:hint="eastAsia" w:cs="TT1925A0o02"/>
        </w:rPr>
        <w:t>个</w:t>
      </w:r>
      <w:r>
        <w:rPr>
          <w:rFonts w:hint="eastAsia"/>
        </w:rPr>
        <w:t>工</w:t>
      </w:r>
      <w:r>
        <w:rPr>
          <w:rFonts w:hint="eastAsia" w:cs="TT1925A0o01"/>
        </w:rPr>
        <w:t>作天</w:t>
      </w:r>
      <w:r>
        <w:rPr>
          <w:rFonts w:hint="eastAsia"/>
        </w:rPr>
        <w:t>，施工单位需向监</w:t>
      </w:r>
      <w:r>
        <w:rPr>
          <w:rFonts w:hint="eastAsia" w:cs="TT1925A0o01"/>
        </w:rPr>
        <w:t>理</w:t>
      </w:r>
      <w:r>
        <w:rPr>
          <w:rFonts w:hint="eastAsia"/>
        </w:rPr>
        <w:t>和</w:t>
      </w:r>
      <w:r>
        <w:rPr>
          <w:rFonts w:hint="eastAsia" w:cs="TT1925A0o01"/>
        </w:rPr>
        <w:t>甲</w:t>
      </w:r>
      <w:r>
        <w:rPr>
          <w:rFonts w:hint="eastAsia"/>
        </w:rPr>
        <w:t>方</w:t>
      </w:r>
      <w:r>
        <w:rPr>
          <w:rFonts w:hint="eastAsia" w:cs="TT1925A0o03"/>
        </w:rPr>
        <w:t>驻</w:t>
      </w:r>
      <w:r>
        <w:rPr>
          <w:rFonts w:hint="eastAsia"/>
        </w:rPr>
        <w:t>工地</w:t>
      </w:r>
      <w:r>
        <w:rPr>
          <w:rFonts w:hint="eastAsia" w:cs="TT1925A0o01"/>
        </w:rPr>
        <w:t>代表</w:t>
      </w:r>
      <w:r>
        <w:rPr>
          <w:rFonts w:hint="eastAsia"/>
        </w:rPr>
        <w:t>提交当日</w:t>
      </w:r>
      <w:r>
        <w:rPr>
          <w:rFonts w:hint="eastAsia" w:cs="TT1925A0o01"/>
        </w:rPr>
        <w:t>沉</w:t>
      </w:r>
      <w:r>
        <w:rPr>
          <w:rFonts w:hint="eastAsia"/>
        </w:rPr>
        <w:t>降及水位监测纪录，</w:t>
      </w:r>
      <w:r>
        <w:rPr>
          <w:rFonts w:hint="eastAsia" w:cs="TT1925A0o02"/>
        </w:rPr>
        <w:t>而</w:t>
      </w:r>
      <w:r>
        <w:rPr>
          <w:rFonts w:hint="eastAsia"/>
        </w:rPr>
        <w:t>在</w:t>
      </w:r>
      <w:r>
        <w:rPr>
          <w:rFonts w:hint="eastAsia" w:cs="TT1925A0o02"/>
        </w:rPr>
        <w:t>每</w:t>
      </w:r>
      <w:r>
        <w:rPr>
          <w:rFonts w:hint="eastAsia" w:cs="TT1925A0o01"/>
        </w:rPr>
        <w:t>周</w:t>
      </w:r>
      <w:r>
        <w:rPr>
          <w:rFonts w:hint="eastAsia"/>
        </w:rPr>
        <w:t>的</w:t>
      </w:r>
      <w:r>
        <w:rPr>
          <w:rFonts w:hint="eastAsia" w:cs="TT1925A0o03"/>
        </w:rPr>
        <w:t>第</w:t>
      </w:r>
      <w:r>
        <w:rPr>
          <w:rFonts w:hint="eastAsia"/>
        </w:rPr>
        <w:t>一</w:t>
      </w:r>
      <w:r>
        <w:rPr>
          <w:rFonts w:hint="eastAsia" w:cs="TT1925A0o02"/>
        </w:rPr>
        <w:t>个</w:t>
      </w:r>
      <w:r>
        <w:rPr>
          <w:rFonts w:hint="eastAsia"/>
        </w:rPr>
        <w:t>工</w:t>
      </w:r>
      <w:r>
        <w:rPr>
          <w:rFonts w:hint="eastAsia" w:cs="TT1925A0o01"/>
        </w:rPr>
        <w:t>作天</w:t>
      </w:r>
      <w:r>
        <w:rPr>
          <w:rFonts w:hint="eastAsia"/>
        </w:rPr>
        <w:t>，施工单位需向监</w:t>
      </w:r>
      <w:r>
        <w:rPr>
          <w:rFonts w:hint="eastAsia" w:cs="TT1925A0o01"/>
        </w:rPr>
        <w:t>理</w:t>
      </w:r>
      <w:r>
        <w:rPr>
          <w:rFonts w:hint="eastAsia"/>
        </w:rPr>
        <w:t>和</w:t>
      </w:r>
      <w:r>
        <w:rPr>
          <w:rFonts w:hint="eastAsia" w:cs="TT1925A0o01"/>
        </w:rPr>
        <w:t>甲</w:t>
      </w:r>
      <w:r>
        <w:rPr>
          <w:rFonts w:hint="eastAsia"/>
        </w:rPr>
        <w:t>方</w:t>
      </w:r>
      <w:r>
        <w:rPr>
          <w:rFonts w:hint="eastAsia" w:cs="TT1925A0o03"/>
        </w:rPr>
        <w:t>驻</w:t>
      </w:r>
      <w:r>
        <w:rPr>
          <w:rFonts w:hint="eastAsia"/>
        </w:rPr>
        <w:t>工地</w:t>
      </w:r>
      <w:r>
        <w:rPr>
          <w:rFonts w:hint="eastAsia" w:cs="TT1925A0o01"/>
        </w:rPr>
        <w:t>代表</w:t>
      </w:r>
      <w:r>
        <w:rPr>
          <w:rFonts w:hint="eastAsia"/>
        </w:rPr>
        <w:t>提交</w:t>
      </w:r>
      <w:r>
        <w:rPr>
          <w:rFonts w:hint="eastAsia" w:cs="TT1925A0o01"/>
        </w:rPr>
        <w:t>过</w:t>
      </w:r>
      <w:r>
        <w:rPr>
          <w:rFonts w:hint="eastAsia" w:cs="TT1925A0o02"/>
        </w:rPr>
        <w:t>去</w:t>
      </w:r>
      <w:r>
        <w:rPr>
          <w:rFonts w:hint="eastAsia"/>
        </w:rPr>
        <w:t>一</w:t>
      </w:r>
      <w:r>
        <w:rPr>
          <w:rFonts w:hint="eastAsia" w:cs="TT1925A0o01"/>
        </w:rPr>
        <w:t>周沉</w:t>
      </w:r>
      <w:r>
        <w:rPr>
          <w:rFonts w:hint="eastAsia"/>
        </w:rPr>
        <w:t>降及水位监测的整合报告。</w:t>
      </w:r>
    </w:p>
    <w:p w14:paraId="6CF88C7B">
      <w:pPr>
        <w:pStyle w:val="112"/>
      </w:pPr>
      <w:r>
        <w:rPr>
          <w:rFonts w:hint="eastAsia"/>
        </w:rPr>
        <w:t>在施工</w:t>
      </w:r>
      <w:r>
        <w:rPr>
          <w:rFonts w:hint="eastAsia" w:cs="TT1925A0o01"/>
        </w:rPr>
        <w:t>过</w:t>
      </w:r>
      <w:r>
        <w:rPr>
          <w:rFonts w:hint="eastAsia"/>
        </w:rPr>
        <w:t>程中，应对</w:t>
      </w:r>
      <w:r>
        <w:rPr>
          <w:rFonts w:hint="eastAsia" w:cs="TT1925A0o02"/>
        </w:rPr>
        <w:t>已</w:t>
      </w:r>
      <w:r>
        <w:rPr>
          <w:rFonts w:hint="eastAsia"/>
        </w:rPr>
        <w:t>有建筑</w:t>
      </w:r>
      <w:r>
        <w:rPr>
          <w:rFonts w:hint="eastAsia" w:cs="TT1925A0o01"/>
        </w:rPr>
        <w:t>物（</w:t>
      </w:r>
      <w:r>
        <w:rPr>
          <w:rFonts w:hint="eastAsia"/>
        </w:rPr>
        <w:t>含道</w:t>
      </w:r>
      <w:r>
        <w:rPr>
          <w:rFonts w:hint="eastAsia" w:cs="TT1925A0o01"/>
        </w:rPr>
        <w:t>路</w:t>
      </w:r>
      <w:r>
        <w:rPr>
          <w:rFonts w:hint="eastAsia"/>
        </w:rPr>
        <w:t>、</w:t>
      </w:r>
      <w:r>
        <w:rPr>
          <w:rFonts w:hint="eastAsia" w:cs="TT1925A0o01"/>
        </w:rPr>
        <w:t>管线）</w:t>
      </w:r>
      <w:r>
        <w:rPr>
          <w:rFonts w:hint="eastAsia"/>
        </w:rPr>
        <w:t>进行监测，</w:t>
      </w:r>
      <w:r>
        <w:rPr>
          <w:rFonts w:hint="eastAsia" w:cs="TT1925A0o02"/>
        </w:rPr>
        <w:t>若</w:t>
      </w:r>
      <w:r>
        <w:rPr>
          <w:rFonts w:hint="eastAsia" w:cs="TT1925A0o03"/>
        </w:rPr>
        <w:t>遇</w:t>
      </w:r>
      <w:r>
        <w:rPr>
          <w:rFonts w:hint="eastAsia" w:cs="TT1925A0o02"/>
        </w:rPr>
        <w:t>到</w:t>
      </w:r>
      <w:r>
        <w:rPr>
          <w:rFonts w:hint="eastAsia"/>
        </w:rPr>
        <w:t>下列</w:t>
      </w:r>
    </w:p>
    <w:p w14:paraId="3965EDB2">
      <w:pPr>
        <w:pStyle w:val="112"/>
        <w:rPr>
          <w:lang w:eastAsia="zh-TW"/>
        </w:rPr>
      </w:pPr>
      <w:r>
        <w:rPr>
          <w:rFonts w:hint="eastAsia"/>
        </w:rPr>
        <w:t>可</w:t>
      </w:r>
      <w:r>
        <w:rPr>
          <w:rFonts w:hint="eastAsia" w:cs="TT1925A0o01"/>
        </w:rPr>
        <w:t>能影响</w:t>
      </w:r>
      <w:r>
        <w:rPr>
          <w:rFonts w:hint="eastAsia"/>
        </w:rPr>
        <w:t>建筑</w:t>
      </w:r>
      <w:r>
        <w:rPr>
          <w:rFonts w:hint="eastAsia" w:cs="TT1925A0o01"/>
        </w:rPr>
        <w:t>物</w:t>
      </w:r>
      <w:r>
        <w:rPr>
          <w:rFonts w:hint="eastAsia"/>
        </w:rPr>
        <w:t>安全的</w:t>
      </w:r>
      <w:r>
        <w:rPr>
          <w:rFonts w:hint="eastAsia" w:cs="TT1925A0o02"/>
        </w:rPr>
        <w:t>情</w:t>
      </w:r>
      <w:r>
        <w:rPr>
          <w:rFonts w:hint="eastAsia"/>
        </w:rPr>
        <w:t>况，应及</w:t>
      </w:r>
      <w:r>
        <w:rPr>
          <w:rFonts w:hint="eastAsia" w:cs="TT1925A0o01"/>
        </w:rPr>
        <w:t>时通知</w:t>
      </w:r>
      <w:r>
        <w:rPr>
          <w:rFonts w:hint="eastAsia"/>
        </w:rPr>
        <w:t>设计单位</w:t>
      </w:r>
      <w:r>
        <w:rPr>
          <w:rFonts w:hint="eastAsia" w:cs="TT1925A0o01"/>
        </w:rPr>
        <w:t>并</w:t>
      </w:r>
      <w:r>
        <w:rPr>
          <w:rFonts w:hint="eastAsia"/>
        </w:rPr>
        <w:t>对</w:t>
      </w:r>
      <w:r>
        <w:rPr>
          <w:rFonts w:hint="eastAsia" w:cs="TT1925A0o02"/>
        </w:rPr>
        <w:t>已</w:t>
      </w:r>
      <w:r>
        <w:rPr>
          <w:rFonts w:hint="eastAsia"/>
        </w:rPr>
        <w:t>有建筑</w:t>
      </w:r>
      <w:r>
        <w:rPr>
          <w:rFonts w:hint="eastAsia" w:cs="TT1925A0o01"/>
        </w:rPr>
        <w:t>物采</w:t>
      </w:r>
      <w:r>
        <w:rPr>
          <w:rFonts w:hint="eastAsia"/>
        </w:rPr>
        <w:t>取应</w:t>
      </w:r>
      <w:r>
        <w:rPr>
          <w:rFonts w:hint="eastAsia" w:cs="TT1925A0o03"/>
        </w:rPr>
        <w:t>急</w:t>
      </w:r>
      <w:r>
        <w:rPr>
          <w:rFonts w:hint="eastAsia" w:cs="TT1925A0o01"/>
        </w:rPr>
        <w:t>措</w:t>
      </w:r>
      <w:r>
        <w:rPr>
          <w:rFonts w:hint="eastAsia"/>
        </w:rPr>
        <w:t>施：</w:t>
      </w:r>
    </w:p>
    <w:p w14:paraId="62B0D16D">
      <w:pPr>
        <w:pStyle w:val="114"/>
      </w:pPr>
      <w:r>
        <w:rPr>
          <w:rFonts w:hint="eastAsia"/>
        </w:rPr>
        <w:t>地面</w:t>
      </w:r>
      <w:r>
        <w:rPr>
          <w:rFonts w:hint="eastAsia" w:cs="TT1925A0o01"/>
        </w:rPr>
        <w:t>沉</w:t>
      </w:r>
      <w:r>
        <w:rPr>
          <w:rFonts w:hint="eastAsia"/>
        </w:rPr>
        <w:t>降接</w:t>
      </w:r>
      <w:r>
        <w:rPr>
          <w:rFonts w:hint="eastAsia" w:cs="TT1925A0o01"/>
        </w:rPr>
        <w:t>近</w:t>
      </w:r>
      <w:r>
        <w:rPr>
          <w:rFonts w:hint="eastAsia"/>
        </w:rPr>
        <w:t>30mm，</w:t>
      </w:r>
      <w:r>
        <w:rPr>
          <w:rFonts w:hint="eastAsia" w:cs="TT1925A0o01"/>
        </w:rPr>
        <w:t>桩顶</w:t>
      </w:r>
      <w:r>
        <w:rPr>
          <w:rFonts w:hint="eastAsia"/>
        </w:rPr>
        <w:t>水平位</w:t>
      </w:r>
      <w:r>
        <w:rPr>
          <w:rFonts w:hint="eastAsia" w:cs="TT1925A0o01"/>
        </w:rPr>
        <w:t>移</w:t>
      </w:r>
      <w:r>
        <w:rPr>
          <w:rFonts w:hint="eastAsia"/>
        </w:rPr>
        <w:t>接</w:t>
      </w:r>
      <w:r>
        <w:rPr>
          <w:rFonts w:hint="eastAsia" w:cs="TT1925A0o01"/>
        </w:rPr>
        <w:t>近</w:t>
      </w:r>
      <w:r>
        <w:rPr>
          <w:rFonts w:hint="eastAsia"/>
        </w:rPr>
        <w:t>30mm。</w:t>
      </w:r>
    </w:p>
    <w:p w14:paraId="5C0D5FAD">
      <w:pPr>
        <w:pStyle w:val="114"/>
      </w:pPr>
      <w:r>
        <w:rPr>
          <w:rFonts w:hint="eastAsia"/>
        </w:rPr>
        <w:t>建筑</w:t>
      </w:r>
      <w:r>
        <w:rPr>
          <w:rFonts w:hint="eastAsia" w:cs="TT1925A0o01"/>
        </w:rPr>
        <w:t>物</w:t>
      </w:r>
      <w:r>
        <w:rPr>
          <w:rFonts w:hint="eastAsia"/>
        </w:rPr>
        <w:t>的</w:t>
      </w:r>
      <w:r>
        <w:rPr>
          <w:rFonts w:hint="eastAsia" w:cs="TT1925A0o01"/>
        </w:rPr>
        <w:t>不均</w:t>
      </w:r>
      <w:r>
        <w:rPr>
          <w:rFonts w:hint="eastAsia" w:cs="TT1925A0o02"/>
        </w:rPr>
        <w:t>匀</w:t>
      </w:r>
      <w:r>
        <w:rPr>
          <w:rFonts w:hint="eastAsia" w:cs="TT1925A0o01"/>
        </w:rPr>
        <w:t>沉</w:t>
      </w:r>
      <w:r>
        <w:rPr>
          <w:rFonts w:hint="eastAsia"/>
        </w:rPr>
        <w:t>降</w:t>
      </w:r>
      <w:r>
        <w:rPr>
          <w:rFonts w:hint="eastAsia" w:cs="TT1925A0o02"/>
        </w:rPr>
        <w:t>已</w:t>
      </w:r>
      <w:r>
        <w:rPr>
          <w:rFonts w:hint="eastAsia"/>
        </w:rPr>
        <w:t>大于《建筑地基基础设计规范》规</w:t>
      </w:r>
      <w:r>
        <w:rPr>
          <w:rFonts w:hint="eastAsia" w:cs="TT1925A0o01"/>
        </w:rPr>
        <w:t>定</w:t>
      </w:r>
      <w:r>
        <w:rPr>
          <w:rFonts w:hint="eastAsia"/>
        </w:rPr>
        <w:t>的</w:t>
      </w:r>
      <w:r>
        <w:rPr>
          <w:rFonts w:hint="eastAsia" w:cs="TT1925A0o01"/>
        </w:rPr>
        <w:t>允</w:t>
      </w:r>
      <w:r>
        <w:rPr>
          <w:rFonts w:hint="eastAsia"/>
        </w:rPr>
        <w:t>许</w:t>
      </w:r>
      <w:r>
        <w:rPr>
          <w:rFonts w:hint="eastAsia" w:cs="TT1925A0o01"/>
        </w:rPr>
        <w:t>沉</w:t>
      </w:r>
      <w:r>
        <w:rPr>
          <w:rFonts w:hint="eastAsia"/>
        </w:rPr>
        <w:t>降</w:t>
      </w:r>
      <w:r>
        <w:rPr>
          <w:rFonts w:hint="eastAsia" w:cs="TT1925A0o01"/>
        </w:rPr>
        <w:t>差</w:t>
      </w:r>
      <w:r>
        <w:rPr>
          <w:rFonts w:hint="eastAsia"/>
        </w:rPr>
        <w:t>或建筑</w:t>
      </w:r>
      <w:r>
        <w:rPr>
          <w:rFonts w:hint="eastAsia" w:cs="TT1925A0o01"/>
        </w:rPr>
        <w:t>物</w:t>
      </w:r>
      <w:r>
        <w:rPr>
          <w:rFonts w:hint="eastAsia"/>
        </w:rPr>
        <w:t>的</w:t>
      </w:r>
      <w:r>
        <w:rPr>
          <w:rFonts w:hint="eastAsia" w:cs="TT1925A0o02"/>
        </w:rPr>
        <w:t>倾斜</w:t>
      </w:r>
      <w:r>
        <w:rPr>
          <w:rFonts w:hint="eastAsia" w:cs="TT1925A0o03"/>
        </w:rPr>
        <w:t>速率</w:t>
      </w:r>
      <w:r>
        <w:rPr>
          <w:rFonts w:hint="eastAsia"/>
        </w:rPr>
        <w:t>连</w:t>
      </w:r>
      <w:r>
        <w:rPr>
          <w:rFonts w:hint="eastAsia" w:cs="TT1925A0o01"/>
        </w:rPr>
        <w:t>续</w:t>
      </w:r>
      <w:r>
        <w:rPr>
          <w:rFonts w:hint="eastAsia" w:cs="TT1925A0o03"/>
        </w:rPr>
        <w:t>三</w:t>
      </w:r>
      <w:r>
        <w:rPr>
          <w:rFonts w:hint="eastAsia"/>
        </w:rPr>
        <w:t>日大于0.0001</w:t>
      </w:r>
      <w:r>
        <w:rPr>
          <w:rFonts w:hint="eastAsia" w:cs="TT1925A0o03"/>
        </w:rPr>
        <w:t>H</w:t>
      </w:r>
      <w:r>
        <w:rPr>
          <w:rFonts w:hint="eastAsia"/>
        </w:rPr>
        <w:t>/</w:t>
      </w:r>
      <w:r>
        <w:rPr>
          <w:rFonts w:hint="eastAsia" w:cs="TT1925A0o01"/>
        </w:rPr>
        <w:t>d（</w:t>
      </w:r>
      <w:r>
        <w:rPr>
          <w:rFonts w:hint="eastAsia" w:cs="TT1925A0o03"/>
        </w:rPr>
        <w:t>H</w:t>
      </w:r>
      <w:r>
        <w:rPr>
          <w:rFonts w:hint="eastAsia"/>
        </w:rPr>
        <w:t>为建筑</w:t>
      </w:r>
      <w:r>
        <w:rPr>
          <w:rFonts w:hint="eastAsia" w:cs="TT1925A0o01"/>
        </w:rPr>
        <w:t>物承重结构</w:t>
      </w:r>
      <w:r>
        <w:rPr>
          <w:rFonts w:hint="eastAsia" w:cs="TT1925A0o02"/>
        </w:rPr>
        <w:t>高</w:t>
      </w:r>
      <w:r>
        <w:rPr>
          <w:rFonts w:hint="eastAsia"/>
        </w:rPr>
        <w:t>度</w:t>
      </w:r>
      <w:r>
        <w:rPr>
          <w:rFonts w:hint="eastAsia" w:cs="TT1925A0o01"/>
        </w:rPr>
        <w:t>）</w:t>
      </w:r>
      <w:r>
        <w:rPr>
          <w:rFonts w:hint="eastAsia"/>
        </w:rPr>
        <w:t>。</w:t>
      </w:r>
    </w:p>
    <w:p w14:paraId="39CBC70A">
      <w:pPr>
        <w:pStyle w:val="114"/>
      </w:pPr>
      <w:r>
        <w:rPr>
          <w:rFonts w:hint="eastAsia"/>
        </w:rPr>
        <w:t>基坑</w:t>
      </w:r>
      <w:r>
        <w:rPr>
          <w:rFonts w:hint="eastAsia" w:cs="TT1925A0o02"/>
        </w:rPr>
        <w:t>底</w:t>
      </w:r>
      <w:r>
        <w:rPr>
          <w:rFonts w:hint="eastAsia" w:cs="TT1925A0o01"/>
        </w:rPr>
        <w:t>部</w:t>
      </w:r>
      <w:r>
        <w:rPr>
          <w:rFonts w:hint="eastAsia"/>
        </w:rPr>
        <w:t>或</w:t>
      </w:r>
      <w:r>
        <w:rPr>
          <w:rFonts w:hint="eastAsia" w:cs="TT1925A0o01"/>
        </w:rPr>
        <w:t>周围</w:t>
      </w:r>
      <w:r>
        <w:rPr>
          <w:rFonts w:hint="eastAsia"/>
        </w:rPr>
        <w:t>土体</w:t>
      </w:r>
      <w:r>
        <w:rPr>
          <w:rFonts w:hint="eastAsia" w:cs="TT1925A0o01"/>
        </w:rPr>
        <w:t>出现</w:t>
      </w:r>
      <w:r>
        <w:rPr>
          <w:rFonts w:hint="eastAsia"/>
        </w:rPr>
        <w:t>可</w:t>
      </w:r>
      <w:r>
        <w:rPr>
          <w:rFonts w:hint="eastAsia" w:cs="TT1925A0o01"/>
        </w:rPr>
        <w:t>能</w:t>
      </w:r>
      <w:r>
        <w:rPr>
          <w:rFonts w:hint="eastAsia" w:cs="TT1925A0o03"/>
        </w:rPr>
        <w:t>导</w:t>
      </w:r>
      <w:r>
        <w:rPr>
          <w:rFonts w:hint="eastAsia" w:cs="TT1925A0o02"/>
        </w:rPr>
        <w:t>致</w:t>
      </w:r>
      <w:r>
        <w:rPr>
          <w:rFonts w:hint="eastAsia" w:cs="TT1925A0o03"/>
        </w:rPr>
        <w:t>剪</w:t>
      </w:r>
      <w:r>
        <w:rPr>
          <w:rFonts w:hint="eastAsia"/>
        </w:rPr>
        <w:t>切</w:t>
      </w:r>
      <w:r>
        <w:rPr>
          <w:rFonts w:hint="eastAsia" w:cs="TT1925A0o02"/>
        </w:rPr>
        <w:t>破</w:t>
      </w:r>
      <w:r>
        <w:rPr>
          <w:rFonts w:hint="eastAsia" w:cs="TT1925A0o01"/>
        </w:rPr>
        <w:t>坏</w:t>
      </w:r>
      <w:r>
        <w:rPr>
          <w:rFonts w:hint="eastAsia"/>
        </w:rPr>
        <w:t>的</w:t>
      </w:r>
      <w:r>
        <w:rPr>
          <w:rFonts w:hint="eastAsia" w:cs="TT1925A0o02"/>
        </w:rPr>
        <w:t>迹象</w:t>
      </w:r>
      <w:r>
        <w:rPr>
          <w:rFonts w:hint="eastAsia"/>
        </w:rPr>
        <w:t>或</w:t>
      </w:r>
      <w:r>
        <w:rPr>
          <w:rFonts w:hint="eastAsia" w:cs="TT1925A0o01"/>
        </w:rPr>
        <w:t>其它</w:t>
      </w:r>
      <w:r>
        <w:rPr>
          <w:rFonts w:hint="eastAsia"/>
        </w:rPr>
        <w:t>可</w:t>
      </w:r>
      <w:r>
        <w:rPr>
          <w:rFonts w:hint="eastAsia" w:cs="TT1925A0o01"/>
        </w:rPr>
        <w:t>能影响</w:t>
      </w:r>
      <w:r>
        <w:rPr>
          <w:rFonts w:hint="eastAsia"/>
        </w:rPr>
        <w:t>安全的</w:t>
      </w:r>
      <w:r>
        <w:rPr>
          <w:rFonts w:hint="eastAsia" w:cs="TT1925A0o03"/>
        </w:rPr>
        <w:t>征兆</w:t>
      </w:r>
      <w:r>
        <w:rPr>
          <w:rFonts w:hint="eastAsia" w:cs="TT1925A0o01"/>
        </w:rPr>
        <w:t>（如</w:t>
      </w:r>
      <w:r>
        <w:rPr>
          <w:rFonts w:hint="eastAsia" w:cs="TT1925A0o02"/>
        </w:rPr>
        <w:t>少</w:t>
      </w:r>
      <w:r>
        <w:rPr>
          <w:rFonts w:hint="eastAsia"/>
        </w:rPr>
        <w:t>量</w:t>
      </w:r>
      <w:r>
        <w:rPr>
          <w:rFonts w:hint="eastAsia" w:cs="TT1925A0o01"/>
        </w:rPr>
        <w:t>流</w:t>
      </w:r>
      <w:r>
        <w:rPr>
          <w:rFonts w:hint="eastAsia" w:cs="TT1925A0o02"/>
        </w:rPr>
        <w:t>砂</w:t>
      </w:r>
      <w:r>
        <w:rPr>
          <w:rFonts w:hint="eastAsia"/>
        </w:rPr>
        <w:t>、</w:t>
      </w:r>
      <w:r>
        <w:rPr>
          <w:rFonts w:hint="eastAsia" w:cs="TT1925A0o01"/>
        </w:rPr>
        <w:t>涌</w:t>
      </w:r>
      <w:r>
        <w:rPr>
          <w:rFonts w:hint="eastAsia"/>
        </w:rPr>
        <w:t>土、</w:t>
      </w:r>
      <w:r>
        <w:rPr>
          <w:rFonts w:hint="eastAsia" w:cs="TT1925A0o03"/>
        </w:rPr>
        <w:t>隆</w:t>
      </w:r>
      <w:r>
        <w:rPr>
          <w:rFonts w:hint="eastAsia" w:cs="TT1925A0o01"/>
        </w:rPr>
        <w:t>起</w:t>
      </w:r>
      <w:r>
        <w:rPr>
          <w:rFonts w:hint="eastAsia"/>
        </w:rPr>
        <w:t>、</w:t>
      </w:r>
      <w:r>
        <w:rPr>
          <w:rFonts w:hint="eastAsia" w:cs="TT1925A0o03"/>
        </w:rPr>
        <w:t>陷</w:t>
      </w:r>
      <w:r>
        <w:rPr>
          <w:rFonts w:hint="eastAsia" w:cs="TT1925A0o01"/>
        </w:rPr>
        <w:t>落</w:t>
      </w:r>
      <w:r>
        <w:rPr>
          <w:rFonts w:hint="eastAsia"/>
        </w:rPr>
        <w:t>等</w:t>
      </w:r>
      <w:r>
        <w:rPr>
          <w:rFonts w:hint="eastAsia" w:cs="TT1925A0o01"/>
        </w:rPr>
        <w:t>）</w:t>
      </w:r>
      <w:r>
        <w:rPr>
          <w:rFonts w:hint="eastAsia"/>
        </w:rPr>
        <w:t>。</w:t>
      </w:r>
    </w:p>
    <w:p w14:paraId="781238FF">
      <w:pPr>
        <w:pStyle w:val="114"/>
      </w:pPr>
      <w:r>
        <w:rPr>
          <w:rFonts w:hint="eastAsia" w:cs="TT1925A0o01"/>
        </w:rPr>
        <w:t>根</w:t>
      </w:r>
      <w:r>
        <w:rPr>
          <w:rFonts w:hint="eastAsia"/>
        </w:rPr>
        <w:t>据经验</w:t>
      </w:r>
      <w:r>
        <w:rPr>
          <w:rFonts w:hint="eastAsia" w:cs="TT1925A0o03"/>
        </w:rPr>
        <w:t>判断</w:t>
      </w:r>
      <w:r>
        <w:rPr>
          <w:rFonts w:hint="eastAsia" w:cs="TT1925A0o02"/>
        </w:rPr>
        <w:t>已</w:t>
      </w:r>
      <w:r>
        <w:rPr>
          <w:rFonts w:hint="eastAsia" w:cs="TT1925A0o01"/>
        </w:rPr>
        <w:t>出现其它必须加强</w:t>
      </w:r>
      <w:r>
        <w:rPr>
          <w:rFonts w:hint="eastAsia"/>
        </w:rPr>
        <w:t>监测的</w:t>
      </w:r>
      <w:r>
        <w:rPr>
          <w:rFonts w:hint="eastAsia" w:cs="TT1925A0o02"/>
        </w:rPr>
        <w:t>情</w:t>
      </w:r>
      <w:r>
        <w:rPr>
          <w:rFonts w:hint="eastAsia"/>
        </w:rPr>
        <w:t>况。</w:t>
      </w:r>
    </w:p>
    <w:p w14:paraId="2BD9F789">
      <w:pPr>
        <w:pStyle w:val="112"/>
      </w:pPr>
      <w:r>
        <w:rPr>
          <w:rFonts w:hint="eastAsia"/>
        </w:rPr>
        <w:t>施工单位应</w:t>
      </w:r>
      <w:r>
        <w:rPr>
          <w:rFonts w:hint="eastAsia" w:cs="TT1925A0o03"/>
        </w:rPr>
        <w:t>派</w:t>
      </w:r>
      <w:r>
        <w:rPr>
          <w:rFonts w:hint="eastAsia" w:cs="TT1925A0o01"/>
        </w:rPr>
        <w:t>出</w:t>
      </w:r>
      <w:r>
        <w:rPr>
          <w:rFonts w:hint="eastAsia"/>
        </w:rPr>
        <w:t>合资</w:t>
      </w:r>
      <w:r>
        <w:rPr>
          <w:rFonts w:hint="eastAsia" w:cs="TT1925A0o03"/>
        </w:rPr>
        <w:t>格</w:t>
      </w:r>
      <w:r>
        <w:rPr>
          <w:rFonts w:hint="eastAsia"/>
        </w:rPr>
        <w:t>工程监</w:t>
      </w:r>
      <w:r>
        <w:rPr>
          <w:rFonts w:hint="eastAsia" w:cs="TT1925A0o01"/>
        </w:rPr>
        <w:t>督</w:t>
      </w:r>
      <w:r>
        <w:rPr>
          <w:rFonts w:hint="eastAsia"/>
        </w:rPr>
        <w:t>人</w:t>
      </w:r>
      <w:r>
        <w:rPr>
          <w:rFonts w:hint="eastAsia" w:cs="TT1925A0o01"/>
        </w:rPr>
        <w:t>员专责</w:t>
      </w:r>
      <w:r>
        <w:rPr>
          <w:rFonts w:hint="eastAsia"/>
        </w:rPr>
        <w:t>支护工程的</w:t>
      </w:r>
      <w:r>
        <w:rPr>
          <w:rFonts w:hint="eastAsia" w:cs="TT1925A0o01"/>
        </w:rPr>
        <w:t>质</w:t>
      </w:r>
      <w:r>
        <w:rPr>
          <w:rFonts w:hint="eastAsia"/>
        </w:rPr>
        <w:t>量和施工进度。</w:t>
      </w:r>
    </w:p>
    <w:p w14:paraId="0D3E2C65">
      <w:pPr>
        <w:pStyle w:val="112"/>
      </w:pPr>
      <w:r>
        <w:rPr>
          <w:rFonts w:hint="eastAsia"/>
        </w:rPr>
        <w:t>施工单位</w:t>
      </w:r>
      <w:r>
        <w:rPr>
          <w:rFonts w:hint="eastAsia" w:cs="TT1925A0o03"/>
        </w:rPr>
        <w:t>派</w:t>
      </w:r>
      <w:r>
        <w:rPr>
          <w:rFonts w:hint="eastAsia" w:cs="TT1925A0o01"/>
        </w:rPr>
        <w:t>出</w:t>
      </w:r>
      <w:r>
        <w:rPr>
          <w:rFonts w:hint="eastAsia"/>
        </w:rPr>
        <w:t>的监</w:t>
      </w:r>
      <w:r>
        <w:rPr>
          <w:rFonts w:hint="eastAsia" w:cs="TT1925A0o01"/>
        </w:rPr>
        <w:t>督</w:t>
      </w:r>
      <w:r>
        <w:rPr>
          <w:rFonts w:hint="eastAsia"/>
        </w:rPr>
        <w:t>人</w:t>
      </w:r>
      <w:r>
        <w:rPr>
          <w:rFonts w:hint="eastAsia" w:cs="TT1925A0o01"/>
        </w:rPr>
        <w:t>员必须</w:t>
      </w:r>
      <w:r>
        <w:rPr>
          <w:rFonts w:hint="eastAsia"/>
        </w:rPr>
        <w:t>对基础工程有相当经验，</w:t>
      </w:r>
      <w:r>
        <w:rPr>
          <w:rFonts w:hint="eastAsia" w:cs="TT1925A0o01"/>
        </w:rPr>
        <w:t>并</w:t>
      </w:r>
      <w:r>
        <w:rPr>
          <w:rFonts w:hint="eastAsia" w:cs="TT1925A0o02"/>
        </w:rPr>
        <w:t>且</w:t>
      </w:r>
      <w:r>
        <w:rPr>
          <w:rFonts w:hint="eastAsia" w:cs="TT1925A0o01"/>
        </w:rPr>
        <w:t>把</w:t>
      </w:r>
      <w:r>
        <w:rPr>
          <w:rFonts w:hint="eastAsia"/>
        </w:rPr>
        <w:t>有关</w:t>
      </w:r>
      <w:r>
        <w:rPr>
          <w:rFonts w:hint="eastAsia" w:cs="TT1925A0o03"/>
        </w:rPr>
        <w:t>履历</w:t>
      </w:r>
      <w:r>
        <w:rPr>
          <w:rFonts w:hint="eastAsia" w:cs="TT1925A0o01"/>
        </w:rPr>
        <w:t>表上</w:t>
      </w:r>
      <w:r>
        <w:rPr>
          <w:rFonts w:hint="eastAsia"/>
        </w:rPr>
        <w:t>报</w:t>
      </w:r>
      <w:r>
        <w:rPr>
          <w:rFonts w:hint="eastAsia" w:cs="TT1925A0o02"/>
        </w:rPr>
        <w:t>给</w:t>
      </w:r>
      <w:r>
        <w:rPr>
          <w:rFonts w:hint="eastAsia"/>
        </w:rPr>
        <w:t>建设单位</w:t>
      </w:r>
      <w:r>
        <w:rPr>
          <w:rFonts w:hint="eastAsia" w:cs="TT1925A0o01"/>
        </w:rPr>
        <w:t>作出</w:t>
      </w:r>
      <w:r>
        <w:rPr>
          <w:rFonts w:hint="eastAsia"/>
        </w:rPr>
        <w:t>审核，经批准后方可施工。</w:t>
      </w:r>
      <w:r>
        <w:rPr>
          <w:rFonts w:hint="eastAsia" w:cs="TT1925A0o01"/>
        </w:rPr>
        <w:t>此外</w:t>
      </w:r>
      <w:r>
        <w:rPr>
          <w:rFonts w:hint="eastAsia"/>
        </w:rPr>
        <w:t>，监</w:t>
      </w:r>
      <w:r>
        <w:rPr>
          <w:rFonts w:hint="eastAsia" w:cs="TT1925A0o01"/>
        </w:rPr>
        <w:t>督</w:t>
      </w:r>
      <w:r>
        <w:rPr>
          <w:rFonts w:hint="eastAsia"/>
        </w:rPr>
        <w:t>人</w:t>
      </w:r>
      <w:r>
        <w:rPr>
          <w:rFonts w:hint="eastAsia" w:cs="TT1925A0o01"/>
        </w:rPr>
        <w:t>员必须</w:t>
      </w:r>
      <w:r>
        <w:rPr>
          <w:rFonts w:hint="eastAsia"/>
        </w:rPr>
        <w:t>为全</w:t>
      </w:r>
      <w:r>
        <w:rPr>
          <w:rFonts w:hint="eastAsia" w:cs="TT1925A0o03"/>
        </w:rPr>
        <w:t>职</w:t>
      </w:r>
      <w:r>
        <w:rPr>
          <w:rFonts w:hint="eastAsia"/>
        </w:rPr>
        <w:t>基础的工程监</w:t>
      </w:r>
      <w:r>
        <w:rPr>
          <w:rFonts w:hint="eastAsia" w:cs="TT1925A0o01"/>
        </w:rPr>
        <w:t>督</w:t>
      </w:r>
      <w:r>
        <w:rPr>
          <w:rFonts w:hint="eastAsia"/>
        </w:rPr>
        <w:t>人</w:t>
      </w:r>
      <w:r>
        <w:rPr>
          <w:rFonts w:hint="eastAsia" w:cs="TT1925A0o01"/>
        </w:rPr>
        <w:t>员</w:t>
      </w:r>
      <w:r>
        <w:rPr>
          <w:rFonts w:hint="eastAsia"/>
        </w:rPr>
        <w:t>。</w:t>
      </w:r>
      <w:r>
        <w:rPr>
          <w:rFonts w:hint="eastAsia" w:cs="TT1925A0o02"/>
        </w:rPr>
        <w:t>若</w:t>
      </w:r>
      <w:r>
        <w:rPr>
          <w:rFonts w:hint="eastAsia"/>
        </w:rPr>
        <w:t>监</w:t>
      </w:r>
      <w:r>
        <w:rPr>
          <w:rFonts w:hint="eastAsia" w:cs="TT1925A0o01"/>
        </w:rPr>
        <w:t>督</w:t>
      </w:r>
      <w:r>
        <w:rPr>
          <w:rFonts w:hint="eastAsia"/>
        </w:rPr>
        <w:t>人</w:t>
      </w:r>
      <w:r>
        <w:rPr>
          <w:rFonts w:hint="eastAsia" w:cs="TT1925A0o01"/>
        </w:rPr>
        <w:t>员</w:t>
      </w:r>
      <w:r>
        <w:rPr>
          <w:rFonts w:hint="eastAsia" w:cs="TT1925A0o03"/>
        </w:rPr>
        <w:t>彻</w:t>
      </w:r>
      <w:r>
        <w:rPr>
          <w:rFonts w:hint="eastAsia" w:cs="TT1925A0o02"/>
        </w:rPr>
        <w:t>离</w:t>
      </w:r>
      <w:r>
        <w:rPr>
          <w:rFonts w:hint="eastAsia"/>
        </w:rPr>
        <w:t>工地，施工单位需位</w:t>
      </w:r>
      <w:r>
        <w:rPr>
          <w:rFonts w:hint="eastAsia" w:cs="TT1925A0o02"/>
        </w:rPr>
        <w:t>预</w:t>
      </w:r>
      <w:r>
        <w:rPr>
          <w:rFonts w:hint="eastAsia" w:cs="TT1925A0o01"/>
        </w:rPr>
        <w:t>早</w:t>
      </w:r>
      <w:r>
        <w:rPr>
          <w:rFonts w:hint="eastAsia"/>
        </w:rPr>
        <w:t>一</w:t>
      </w:r>
      <w:r>
        <w:rPr>
          <w:rFonts w:hint="eastAsia" w:cs="TT1925A0o01"/>
        </w:rPr>
        <w:t>周通</w:t>
      </w:r>
      <w:r>
        <w:rPr>
          <w:rFonts w:hint="eastAsia"/>
        </w:rPr>
        <w:t>报建设单位。</w:t>
      </w:r>
    </w:p>
    <w:p w14:paraId="3BA48008">
      <w:pPr>
        <w:pStyle w:val="112"/>
      </w:pPr>
      <w:r>
        <w:rPr>
          <w:rFonts w:hint="eastAsia"/>
        </w:rPr>
        <w:t>施工单位需于基础工程开</w:t>
      </w:r>
      <w:r>
        <w:rPr>
          <w:rFonts w:hint="eastAsia" w:cs="TT1925A0o02"/>
        </w:rPr>
        <w:t>始</w:t>
      </w:r>
      <w:r>
        <w:rPr>
          <w:rFonts w:hint="eastAsia" w:cs="TT1925A0o01"/>
        </w:rPr>
        <w:t>前</w:t>
      </w:r>
      <w:r>
        <w:rPr>
          <w:rFonts w:hint="eastAsia"/>
        </w:rPr>
        <w:t>最</w:t>
      </w:r>
      <w:r>
        <w:rPr>
          <w:rFonts w:hint="eastAsia" w:cs="TT1925A0o02"/>
        </w:rPr>
        <w:t>少</w:t>
      </w:r>
      <w:r>
        <w:rPr>
          <w:rFonts w:hint="eastAsia"/>
        </w:rPr>
        <w:t>一</w:t>
      </w:r>
      <w:r>
        <w:rPr>
          <w:rFonts w:hint="eastAsia" w:cs="TT1925A0o01"/>
        </w:rPr>
        <w:t>周时间</w:t>
      </w:r>
      <w:r>
        <w:rPr>
          <w:rFonts w:hint="eastAsia"/>
        </w:rPr>
        <w:t>向建设单位提交监</w:t>
      </w:r>
      <w:r>
        <w:rPr>
          <w:rFonts w:hint="eastAsia" w:cs="TT1925A0o01"/>
        </w:rPr>
        <w:t>督</w:t>
      </w:r>
      <w:r>
        <w:rPr>
          <w:rFonts w:hint="eastAsia"/>
        </w:rPr>
        <w:t>人</w:t>
      </w:r>
      <w:r>
        <w:rPr>
          <w:rFonts w:hint="eastAsia" w:cs="TT1925A0o01"/>
        </w:rPr>
        <w:t>员</w:t>
      </w:r>
      <w:r>
        <w:rPr>
          <w:rFonts w:hint="eastAsia" w:cs="TT1925A0o03"/>
        </w:rPr>
        <w:t>名</w:t>
      </w:r>
      <w:r>
        <w:rPr>
          <w:rFonts w:hint="eastAsia"/>
        </w:rPr>
        <w:t>单及</w:t>
      </w:r>
      <w:r>
        <w:rPr>
          <w:rFonts w:hint="eastAsia" w:cs="TT1925A0o01"/>
        </w:rPr>
        <w:t>其</w:t>
      </w:r>
      <w:r>
        <w:rPr>
          <w:rFonts w:hint="eastAsia" w:cs="TT1925A0o03"/>
        </w:rPr>
        <w:t>担</w:t>
      </w:r>
      <w:r>
        <w:rPr>
          <w:rFonts w:hint="eastAsia"/>
        </w:rPr>
        <w:t>当的</w:t>
      </w:r>
      <w:r>
        <w:rPr>
          <w:rFonts w:hint="eastAsia" w:cs="TT1925A0o03"/>
        </w:rPr>
        <w:t>职</w:t>
      </w:r>
      <w:r>
        <w:rPr>
          <w:rFonts w:hint="eastAsia"/>
        </w:rPr>
        <w:t>位以供</w:t>
      </w:r>
      <w:r>
        <w:rPr>
          <w:rFonts w:hint="eastAsia" w:cs="TT1925A0o01"/>
        </w:rPr>
        <w:t>甲</w:t>
      </w:r>
      <w:r>
        <w:rPr>
          <w:rFonts w:hint="eastAsia"/>
        </w:rPr>
        <w:t>方</w:t>
      </w:r>
      <w:r>
        <w:rPr>
          <w:rFonts w:hint="eastAsia" w:cs="TT1925A0o01"/>
        </w:rPr>
        <w:t>参考</w:t>
      </w:r>
      <w:r>
        <w:rPr>
          <w:rFonts w:hint="eastAsia"/>
        </w:rPr>
        <w:t>批准。</w:t>
      </w:r>
      <w:r>
        <w:rPr>
          <w:rFonts w:hint="eastAsia" w:cs="TT1925A0o02"/>
        </w:rPr>
        <w:t>若</w:t>
      </w:r>
      <w:r>
        <w:rPr>
          <w:rFonts w:hint="eastAsia"/>
        </w:rPr>
        <w:t>施工进行</w:t>
      </w:r>
      <w:r>
        <w:rPr>
          <w:rFonts w:hint="eastAsia" w:cs="TT1925A0o01"/>
        </w:rPr>
        <w:t>间</w:t>
      </w:r>
      <w:r>
        <w:rPr>
          <w:rFonts w:hint="eastAsia"/>
        </w:rPr>
        <w:t>监</w:t>
      </w:r>
      <w:r>
        <w:rPr>
          <w:rFonts w:hint="eastAsia" w:cs="TT1925A0o01"/>
        </w:rPr>
        <w:t>督</w:t>
      </w:r>
      <w:r>
        <w:rPr>
          <w:rFonts w:hint="eastAsia"/>
        </w:rPr>
        <w:t>人</w:t>
      </w:r>
      <w:r>
        <w:rPr>
          <w:rFonts w:hint="eastAsia" w:cs="TT1925A0o01"/>
        </w:rPr>
        <w:t>员</w:t>
      </w:r>
      <w:r>
        <w:rPr>
          <w:rFonts w:hint="eastAsia" w:cs="TT1925A0o03"/>
        </w:rPr>
        <w:t>名</w:t>
      </w:r>
      <w:r>
        <w:rPr>
          <w:rFonts w:hint="eastAsia"/>
        </w:rPr>
        <w:t>单中有</w:t>
      </w:r>
      <w:r>
        <w:rPr>
          <w:rFonts w:hint="eastAsia" w:cs="TT1925A0o01"/>
        </w:rPr>
        <w:t>任何</w:t>
      </w:r>
      <w:r>
        <w:rPr>
          <w:rFonts w:hint="eastAsia" w:cs="TT1925A0o03"/>
        </w:rPr>
        <w:t>更改</w:t>
      </w:r>
      <w:r>
        <w:rPr>
          <w:rFonts w:hint="eastAsia"/>
        </w:rPr>
        <w:t>或</w:t>
      </w:r>
      <w:r>
        <w:rPr>
          <w:rFonts w:hint="eastAsia" w:cs="TT1925A0o02"/>
        </w:rPr>
        <w:t>增</w:t>
      </w:r>
      <w:r>
        <w:rPr>
          <w:rFonts w:hint="eastAsia" w:cs="TT1925A0o01"/>
        </w:rPr>
        <w:t>减</w:t>
      </w:r>
      <w:r>
        <w:rPr>
          <w:rFonts w:hint="eastAsia"/>
        </w:rPr>
        <w:t>，施工单位需于实施</w:t>
      </w:r>
      <w:r>
        <w:rPr>
          <w:rFonts w:hint="eastAsia" w:cs="TT1925A0o01"/>
        </w:rPr>
        <w:t>新</w:t>
      </w:r>
      <w:r>
        <w:rPr>
          <w:rFonts w:hint="eastAsia" w:cs="TT1925A0o03"/>
        </w:rPr>
        <w:t>名</w:t>
      </w:r>
      <w:r>
        <w:rPr>
          <w:rFonts w:hint="eastAsia"/>
        </w:rPr>
        <w:t>单</w:t>
      </w:r>
      <w:r>
        <w:rPr>
          <w:rFonts w:hint="eastAsia" w:cs="TT1925A0o01"/>
        </w:rPr>
        <w:t>前书</w:t>
      </w:r>
      <w:r>
        <w:rPr>
          <w:rFonts w:hint="eastAsia"/>
        </w:rPr>
        <w:t>面</w:t>
      </w:r>
      <w:r>
        <w:rPr>
          <w:rFonts w:hint="eastAsia" w:cs="TT1925A0o01"/>
        </w:rPr>
        <w:t>通</w:t>
      </w:r>
      <w:r>
        <w:rPr>
          <w:rFonts w:hint="eastAsia"/>
        </w:rPr>
        <w:t>报建设单位。最</w:t>
      </w:r>
      <w:r>
        <w:rPr>
          <w:rFonts w:hint="eastAsia" w:cs="TT1925A0o01"/>
        </w:rPr>
        <w:t>新</w:t>
      </w:r>
      <w:r>
        <w:rPr>
          <w:rFonts w:hint="eastAsia"/>
        </w:rPr>
        <w:t>的施工单位监</w:t>
      </w:r>
      <w:r>
        <w:rPr>
          <w:rFonts w:hint="eastAsia" w:cs="TT1925A0o01"/>
        </w:rPr>
        <w:t>督</w:t>
      </w:r>
      <w:r>
        <w:rPr>
          <w:rFonts w:hint="eastAsia"/>
        </w:rPr>
        <w:t>人</w:t>
      </w:r>
      <w:r>
        <w:rPr>
          <w:rFonts w:hint="eastAsia" w:cs="TT1925A0o01"/>
        </w:rPr>
        <w:t>员必须</w:t>
      </w:r>
      <w:r>
        <w:rPr>
          <w:rFonts w:hint="eastAsia" w:cs="TT1925A0o03"/>
        </w:rPr>
        <w:t>存</w:t>
      </w:r>
      <w:r>
        <w:rPr>
          <w:rFonts w:hint="eastAsia" w:cs="TT1925A0o01"/>
        </w:rPr>
        <w:t>放</w:t>
      </w:r>
      <w:r>
        <w:rPr>
          <w:rFonts w:hint="eastAsia"/>
        </w:rPr>
        <w:t>于工地以供建设单位</w:t>
      </w:r>
      <w:r>
        <w:rPr>
          <w:rFonts w:hint="eastAsia" w:cs="TT1925A0o01"/>
        </w:rPr>
        <w:t>检</w:t>
      </w:r>
      <w:r>
        <w:rPr>
          <w:rFonts w:hint="eastAsia" w:cs="TT1925A0o03"/>
        </w:rPr>
        <w:t>阅</w:t>
      </w:r>
      <w:r>
        <w:rPr>
          <w:rFonts w:hint="eastAsia"/>
        </w:rPr>
        <w:t>。</w:t>
      </w:r>
    </w:p>
    <w:p w14:paraId="237D0083">
      <w:pPr>
        <w:pStyle w:val="119"/>
      </w:pPr>
      <w:bookmarkStart w:id="25" w:name="_Toc136956818"/>
      <w:r>
        <w:rPr>
          <w:rFonts w:hint="eastAsia"/>
        </w:rPr>
        <w:t>降低地下水位</w:t>
      </w:r>
      <w:bookmarkEnd w:id="25"/>
    </w:p>
    <w:p w14:paraId="18062B92">
      <w:pPr>
        <w:pStyle w:val="112"/>
      </w:pPr>
      <w:r>
        <w:rPr>
          <w:rFonts w:hint="eastAsia" w:ascii="TT1925A0o01" w:cs="TT1925A0o01"/>
        </w:rPr>
        <w:t>现有</w:t>
      </w:r>
      <w:r>
        <w:rPr>
          <w:rFonts w:hint="eastAsia" w:eastAsia="TT1925A0o00"/>
        </w:rPr>
        <w:t>降</w:t>
      </w:r>
      <w:r>
        <w:rPr>
          <w:rFonts w:hint="eastAsia"/>
        </w:rPr>
        <w:t>水井</w:t>
      </w:r>
      <w:r>
        <w:rPr>
          <w:rFonts w:hint="eastAsia" w:eastAsia="TT1925A0o00"/>
        </w:rPr>
        <w:t>布置</w:t>
      </w:r>
      <w:r>
        <w:rPr>
          <w:rFonts w:hint="eastAsia"/>
        </w:rPr>
        <w:t>见附图。施工单位需与基坑开挖施工单位进行交底，确保所有</w:t>
      </w:r>
      <w:r>
        <w:rPr>
          <w:rFonts w:hint="eastAsia" w:ascii="TT1925A0o01" w:cs="TT1925A0o01"/>
        </w:rPr>
        <w:t>现有</w:t>
      </w:r>
      <w:r>
        <w:rPr>
          <w:rFonts w:hint="eastAsia" w:eastAsia="TT1925A0o00"/>
        </w:rPr>
        <w:t>降</w:t>
      </w:r>
      <w:r>
        <w:rPr>
          <w:rFonts w:hint="eastAsia"/>
        </w:rPr>
        <w:t>水井</w:t>
      </w:r>
      <w:r>
        <w:rPr>
          <w:rFonts w:hint="eastAsia" w:ascii="TT1925A0o01" w:cs="TT1925A0o01"/>
        </w:rPr>
        <w:t>并无损坏。交底后</w:t>
      </w:r>
      <w:r>
        <w:rPr>
          <w:rFonts w:hint="eastAsia"/>
        </w:rPr>
        <w:t>所有</w:t>
      </w:r>
      <w:r>
        <w:rPr>
          <w:rFonts w:hint="eastAsia" w:ascii="TT1925A0o01" w:cs="TT1925A0o01"/>
        </w:rPr>
        <w:t>现有</w:t>
      </w:r>
      <w:r>
        <w:rPr>
          <w:rFonts w:hint="eastAsia" w:eastAsia="TT1925A0o00"/>
        </w:rPr>
        <w:t>降</w:t>
      </w:r>
      <w:r>
        <w:rPr>
          <w:rFonts w:hint="eastAsia"/>
        </w:rPr>
        <w:t>水井</w:t>
      </w:r>
      <w:r>
        <w:rPr>
          <w:rFonts w:hint="eastAsia" w:ascii="TT1925A0o01" w:cs="TT1925A0o01"/>
        </w:rPr>
        <w:t>将由</w:t>
      </w:r>
      <w:r>
        <w:rPr>
          <w:rFonts w:hint="eastAsia"/>
        </w:rPr>
        <w:t>施工单位负责。</w:t>
      </w:r>
      <w:r>
        <w:rPr>
          <w:rFonts w:hint="eastAsia" w:ascii="宋体" w:hAnsi="宋体"/>
        </w:rPr>
        <w:t>施工单位</w:t>
      </w:r>
      <w:r>
        <w:rPr>
          <w:rFonts w:ascii="宋体" w:hAnsi="宋体"/>
        </w:rPr>
        <w:t>需负责</w:t>
      </w:r>
      <w:r>
        <w:rPr>
          <w:rFonts w:hint="eastAsia" w:ascii="宋体" w:hAnsi="宋体"/>
        </w:rPr>
        <w:t>承担</w:t>
      </w:r>
      <w:r>
        <w:rPr>
          <w:rFonts w:hint="eastAsia"/>
        </w:rPr>
        <w:t>所有机械、管理、维修</w:t>
      </w:r>
      <w:r>
        <w:rPr>
          <w:rFonts w:hint="eastAsia" w:ascii="宋体" w:hAnsi="宋体"/>
        </w:rPr>
        <w:t>所增加的一切费用及相应的工期。</w:t>
      </w:r>
    </w:p>
    <w:p w14:paraId="5DC26D31">
      <w:pPr>
        <w:pStyle w:val="112"/>
      </w:pPr>
      <w:r>
        <w:rPr>
          <w:rFonts w:hint="eastAsia"/>
        </w:rPr>
        <w:t>施工单位应按降水范</w:t>
      </w:r>
      <w:r>
        <w:rPr>
          <w:rFonts w:hint="eastAsia" w:cs="TT1925A0o01"/>
        </w:rPr>
        <w:t>围</w:t>
      </w:r>
      <w:r>
        <w:rPr>
          <w:rFonts w:hint="eastAsia" w:cs="TT1925A0o03"/>
        </w:rPr>
        <w:t>估</w:t>
      </w:r>
      <w:r>
        <w:rPr>
          <w:rFonts w:hint="eastAsia" w:cs="TT1925A0o01"/>
        </w:rPr>
        <w:t>算</w:t>
      </w:r>
      <w:r>
        <w:rPr>
          <w:rFonts w:hint="eastAsia"/>
        </w:rPr>
        <w:t>对</w:t>
      </w:r>
      <w:r>
        <w:rPr>
          <w:rFonts w:hint="eastAsia" w:cs="TT1925A0o01"/>
        </w:rPr>
        <w:t>环境</w:t>
      </w:r>
      <w:r>
        <w:rPr>
          <w:rFonts w:hint="eastAsia"/>
        </w:rPr>
        <w:t>的</w:t>
      </w:r>
      <w:r>
        <w:rPr>
          <w:rFonts w:hint="eastAsia" w:cs="TT1925A0o01"/>
        </w:rPr>
        <w:t>影响</w:t>
      </w:r>
      <w:r>
        <w:rPr>
          <w:rFonts w:hint="eastAsia"/>
        </w:rPr>
        <w:t>，</w:t>
      </w:r>
      <w:r>
        <w:rPr>
          <w:rFonts w:hint="eastAsia" w:cs="TT1925A0o01"/>
        </w:rPr>
        <w:t>必</w:t>
      </w:r>
      <w:r>
        <w:rPr>
          <w:rFonts w:hint="eastAsia"/>
        </w:rPr>
        <w:t>要</w:t>
      </w:r>
      <w:r>
        <w:rPr>
          <w:rFonts w:hint="eastAsia" w:cs="TT1925A0o01"/>
        </w:rPr>
        <w:t>时</w:t>
      </w:r>
      <w:r>
        <w:rPr>
          <w:rFonts w:hint="eastAsia"/>
        </w:rPr>
        <w:t>需有回</w:t>
      </w:r>
      <w:r>
        <w:rPr>
          <w:rFonts w:hint="eastAsia" w:cs="TT1925A0o03"/>
        </w:rPr>
        <w:t>灌</w:t>
      </w:r>
      <w:r>
        <w:rPr>
          <w:rFonts w:hint="eastAsia" w:cs="TT1925A0o01"/>
        </w:rPr>
        <w:t>措</w:t>
      </w:r>
      <w:r>
        <w:rPr>
          <w:rFonts w:hint="eastAsia"/>
        </w:rPr>
        <w:t>施，</w:t>
      </w:r>
      <w:r>
        <w:rPr>
          <w:rFonts w:hint="eastAsia" w:cs="TT1925A0o01"/>
        </w:rPr>
        <w:t>尽</w:t>
      </w:r>
      <w:r>
        <w:rPr>
          <w:rFonts w:hint="eastAsia"/>
        </w:rPr>
        <w:t>可</w:t>
      </w:r>
      <w:r>
        <w:rPr>
          <w:rFonts w:hint="eastAsia" w:cs="TT1925A0o01"/>
        </w:rPr>
        <w:t>能减</w:t>
      </w:r>
      <w:r>
        <w:rPr>
          <w:rFonts w:hint="eastAsia" w:cs="TT1925A0o02"/>
        </w:rPr>
        <w:t>少</w:t>
      </w:r>
      <w:r>
        <w:rPr>
          <w:rFonts w:hint="eastAsia"/>
        </w:rPr>
        <w:t>对</w:t>
      </w:r>
      <w:r>
        <w:rPr>
          <w:rFonts w:hint="eastAsia" w:cs="TT1925A0o01"/>
        </w:rPr>
        <w:t>周</w:t>
      </w:r>
      <w:r>
        <w:rPr>
          <w:rFonts w:hint="eastAsia"/>
        </w:rPr>
        <w:t>边</w:t>
      </w:r>
      <w:r>
        <w:rPr>
          <w:rFonts w:hint="eastAsia" w:cs="TT1925A0o01"/>
        </w:rPr>
        <w:t>环境</w:t>
      </w:r>
      <w:r>
        <w:rPr>
          <w:rFonts w:hint="eastAsia"/>
        </w:rPr>
        <w:t>的</w:t>
      </w:r>
      <w:r>
        <w:rPr>
          <w:rFonts w:hint="eastAsia" w:cs="TT1925A0o01"/>
        </w:rPr>
        <w:t>影响</w:t>
      </w:r>
      <w:r>
        <w:rPr>
          <w:rFonts w:hint="eastAsia"/>
        </w:rPr>
        <w:t>。降水</w:t>
      </w:r>
      <w:r>
        <w:rPr>
          <w:rFonts w:hint="eastAsia" w:cs="TT1925A0o02"/>
        </w:rPr>
        <w:t>运转</w:t>
      </w:r>
      <w:r>
        <w:rPr>
          <w:rFonts w:hint="eastAsia" w:cs="TT1925A0o01"/>
        </w:rPr>
        <w:t>过</w:t>
      </w:r>
      <w:r>
        <w:rPr>
          <w:rFonts w:hint="eastAsia"/>
        </w:rPr>
        <w:t>程中要设水位</w:t>
      </w:r>
      <w:r>
        <w:rPr>
          <w:rFonts w:hint="eastAsia" w:cs="TT1925A0o01"/>
        </w:rPr>
        <w:t>观</w:t>
      </w:r>
      <w:r>
        <w:rPr>
          <w:rFonts w:hint="eastAsia"/>
        </w:rPr>
        <w:t>测</w:t>
      </w:r>
      <w:r>
        <w:rPr>
          <w:rFonts w:hint="eastAsia" w:cs="TT1925A0o03"/>
        </w:rPr>
        <w:t>井</w:t>
      </w:r>
      <w:r>
        <w:rPr>
          <w:rFonts w:hint="eastAsia"/>
        </w:rPr>
        <w:t>及</w:t>
      </w:r>
      <w:r>
        <w:rPr>
          <w:rFonts w:hint="eastAsia" w:cs="TT1925A0o01"/>
        </w:rPr>
        <w:t>沉</w:t>
      </w:r>
      <w:r>
        <w:rPr>
          <w:rFonts w:hint="eastAsia"/>
        </w:rPr>
        <w:t>降</w:t>
      </w:r>
      <w:r>
        <w:rPr>
          <w:rFonts w:hint="eastAsia" w:cs="TT1925A0o01"/>
        </w:rPr>
        <w:t>观</w:t>
      </w:r>
      <w:r>
        <w:rPr>
          <w:rFonts w:hint="eastAsia"/>
        </w:rPr>
        <w:t>测</w:t>
      </w:r>
      <w:r>
        <w:rPr>
          <w:rFonts w:hint="eastAsia" w:cs="TT1925A0o01"/>
        </w:rPr>
        <w:t>点</w:t>
      </w:r>
      <w:r>
        <w:rPr>
          <w:rFonts w:hint="eastAsia"/>
        </w:rPr>
        <w:t>，以</w:t>
      </w:r>
      <w:r>
        <w:rPr>
          <w:rFonts w:hint="eastAsia" w:cs="TT1925A0o03"/>
        </w:rPr>
        <w:t>估</w:t>
      </w:r>
      <w:r>
        <w:rPr>
          <w:rFonts w:hint="eastAsia"/>
        </w:rPr>
        <w:t>计降水的</w:t>
      </w:r>
      <w:r>
        <w:rPr>
          <w:rFonts w:hint="eastAsia" w:cs="TT1925A0o01"/>
        </w:rPr>
        <w:t>影</w:t>
      </w:r>
      <w:r>
        <w:rPr>
          <w:rFonts w:hint="eastAsia"/>
        </w:rPr>
        <w:t>。</w:t>
      </w:r>
    </w:p>
    <w:p w14:paraId="768D96D5">
      <w:pPr>
        <w:pStyle w:val="112"/>
      </w:pPr>
      <w:r>
        <w:rPr>
          <w:rFonts w:hint="eastAsia"/>
        </w:rPr>
        <w:t>施工降水</w:t>
      </w:r>
      <w:r>
        <w:rPr>
          <w:rFonts w:hint="eastAsia" w:cs="TT1925A0o01"/>
        </w:rPr>
        <w:t>过</w:t>
      </w:r>
      <w:r>
        <w:rPr>
          <w:rFonts w:hint="eastAsia"/>
        </w:rPr>
        <w:t>程中应对地下水位</w:t>
      </w:r>
      <w:r>
        <w:rPr>
          <w:rFonts w:hint="eastAsia" w:cs="TT1925A0o01"/>
        </w:rPr>
        <w:t>变</w:t>
      </w:r>
      <w:r>
        <w:rPr>
          <w:rFonts w:hint="eastAsia"/>
        </w:rPr>
        <w:t>化、</w:t>
      </w:r>
      <w:r>
        <w:rPr>
          <w:rFonts w:hint="eastAsia" w:cs="TT1925A0o01"/>
        </w:rPr>
        <w:t>周</w:t>
      </w:r>
      <w:r>
        <w:rPr>
          <w:rFonts w:hint="eastAsia"/>
        </w:rPr>
        <w:t>边地形、建筑</w:t>
      </w:r>
      <w:r>
        <w:rPr>
          <w:rFonts w:hint="eastAsia" w:cs="TT1925A0o01"/>
        </w:rPr>
        <w:t>物</w:t>
      </w:r>
      <w:r>
        <w:rPr>
          <w:rFonts w:hint="eastAsia"/>
        </w:rPr>
        <w:t>的</w:t>
      </w:r>
      <w:r>
        <w:rPr>
          <w:rFonts w:hint="eastAsia" w:cs="TT1925A0o01"/>
        </w:rPr>
        <w:t>变</w:t>
      </w:r>
      <w:r>
        <w:rPr>
          <w:rFonts w:hint="eastAsia"/>
        </w:rPr>
        <w:t>形、</w:t>
      </w:r>
      <w:r>
        <w:rPr>
          <w:rFonts w:hint="eastAsia" w:cs="TT1925A0o01"/>
        </w:rPr>
        <w:t>沉</w:t>
      </w:r>
      <w:r>
        <w:rPr>
          <w:rFonts w:hint="eastAsia"/>
        </w:rPr>
        <w:t>降、</w:t>
      </w:r>
      <w:r>
        <w:rPr>
          <w:rFonts w:hint="eastAsia" w:cs="TT1925A0o02"/>
        </w:rPr>
        <w:t>倾斜</w:t>
      </w:r>
      <w:r>
        <w:rPr>
          <w:rFonts w:hint="eastAsia"/>
        </w:rPr>
        <w:t>、</w:t>
      </w:r>
      <w:r>
        <w:rPr>
          <w:rFonts w:hint="eastAsia" w:cs="TT1925A0o01"/>
        </w:rPr>
        <w:t>裂</w:t>
      </w:r>
      <w:r>
        <w:rPr>
          <w:rFonts w:hint="eastAsia" w:cs="TT1925A0o02"/>
        </w:rPr>
        <w:t>缝</w:t>
      </w:r>
      <w:r>
        <w:rPr>
          <w:rFonts w:hint="eastAsia"/>
        </w:rPr>
        <w:t>和水平位</w:t>
      </w:r>
      <w:r>
        <w:rPr>
          <w:rFonts w:hint="eastAsia" w:cs="TT1925A0o01"/>
        </w:rPr>
        <w:t>移</w:t>
      </w:r>
      <w:r>
        <w:rPr>
          <w:rFonts w:hint="eastAsia"/>
        </w:rPr>
        <w:t>等</w:t>
      </w:r>
      <w:r>
        <w:rPr>
          <w:rFonts w:hint="eastAsia" w:cs="TT1925A0o02"/>
        </w:rPr>
        <w:t>情</w:t>
      </w:r>
      <w:r>
        <w:rPr>
          <w:rFonts w:hint="eastAsia"/>
        </w:rPr>
        <w:t>况进行监测。</w:t>
      </w:r>
    </w:p>
    <w:p w14:paraId="4E59A733">
      <w:pPr>
        <w:pStyle w:val="112"/>
        <w:rPr>
          <w:rFonts w:hAnsi="Times New Roman"/>
        </w:rPr>
      </w:pPr>
      <w:r>
        <w:rPr>
          <w:rFonts w:hint="eastAsia" w:cs="TT1925A0o02"/>
        </w:rPr>
        <w:t>若</w:t>
      </w:r>
      <w:r>
        <w:rPr>
          <w:rFonts w:hint="eastAsia"/>
        </w:rPr>
        <w:t>发</w:t>
      </w:r>
      <w:r>
        <w:rPr>
          <w:rFonts w:hint="eastAsia" w:cs="TT1925A0o01"/>
        </w:rPr>
        <w:t>现</w:t>
      </w:r>
      <w:r>
        <w:rPr>
          <w:rFonts w:hint="eastAsia"/>
        </w:rPr>
        <w:t>降水</w:t>
      </w:r>
      <w:r>
        <w:rPr>
          <w:rFonts w:hint="eastAsia" w:cs="TT1925A0o01"/>
        </w:rPr>
        <w:t>系统失效</w:t>
      </w:r>
      <w:r>
        <w:rPr>
          <w:rFonts w:hint="eastAsia"/>
        </w:rPr>
        <w:t>，</w:t>
      </w:r>
      <w:r>
        <w:rPr>
          <w:rFonts w:hint="eastAsia" w:cs="TT1925A0o03"/>
        </w:rPr>
        <w:t>抽</w:t>
      </w:r>
      <w:r>
        <w:rPr>
          <w:rFonts w:hint="eastAsia"/>
        </w:rPr>
        <w:t>水的</w:t>
      </w:r>
      <w:r>
        <w:rPr>
          <w:rFonts w:hint="eastAsia" w:cs="TT1925A0o02"/>
        </w:rPr>
        <w:t>是</w:t>
      </w:r>
      <w:r>
        <w:rPr>
          <w:rFonts w:hint="eastAsia"/>
        </w:rPr>
        <w:t>混水或</w:t>
      </w:r>
      <w:r>
        <w:rPr>
          <w:rFonts w:hint="eastAsia" w:cs="TT1925A0o02"/>
        </w:rPr>
        <w:t>无</w:t>
      </w:r>
      <w:r>
        <w:rPr>
          <w:rFonts w:hint="eastAsia" w:cs="TT1925A0o03"/>
        </w:rPr>
        <w:t>抽</w:t>
      </w:r>
      <w:r>
        <w:rPr>
          <w:rFonts w:hint="eastAsia"/>
        </w:rPr>
        <w:t>水量的</w:t>
      </w:r>
      <w:r>
        <w:rPr>
          <w:rFonts w:hint="eastAsia" w:cs="TT1925A0o02"/>
        </w:rPr>
        <w:t>情</w:t>
      </w:r>
      <w:r>
        <w:rPr>
          <w:rFonts w:hint="eastAsia"/>
        </w:rPr>
        <w:t>况，应</w:t>
      </w:r>
      <w:r>
        <w:rPr>
          <w:rFonts w:hint="eastAsia" w:cs="TT1925A0o01"/>
        </w:rPr>
        <w:t>重新</w:t>
      </w:r>
      <w:r>
        <w:rPr>
          <w:rFonts w:hint="eastAsia"/>
        </w:rPr>
        <w:t>施工</w:t>
      </w:r>
      <w:r>
        <w:rPr>
          <w:rFonts w:hint="eastAsia" w:cs="TT1925A0o01"/>
        </w:rPr>
        <w:t>直</w:t>
      </w:r>
      <w:r>
        <w:rPr>
          <w:rFonts w:hint="eastAsia"/>
        </w:rPr>
        <w:t>至达至</w:t>
      </w:r>
      <w:r>
        <w:rPr>
          <w:rFonts w:hint="eastAsia" w:cs="TT1925A0o01"/>
        </w:rPr>
        <w:t>效</w:t>
      </w:r>
      <w:r>
        <w:rPr>
          <w:rFonts w:hint="eastAsia" w:cs="TT1925A0o02"/>
        </w:rPr>
        <w:t>果</w:t>
      </w:r>
      <w:r>
        <w:rPr>
          <w:rFonts w:hint="eastAsia"/>
        </w:rPr>
        <w:t>为止。</w:t>
      </w:r>
    </w:p>
    <w:p w14:paraId="3AF01282">
      <w:pPr>
        <w:pStyle w:val="119"/>
      </w:pPr>
      <w:bookmarkStart w:id="26" w:name="_Toc136956819"/>
      <w:r>
        <w:rPr>
          <w:rFonts w:hint="eastAsia"/>
        </w:rPr>
        <w:t>施工纪录</w:t>
      </w:r>
      <w:bookmarkEnd w:id="26"/>
    </w:p>
    <w:p w14:paraId="5E964D35">
      <w:pPr>
        <w:pStyle w:val="110"/>
      </w:pPr>
      <w:r>
        <w:rPr>
          <w:rFonts w:hint="eastAsia"/>
        </w:rPr>
        <w:t>记录</w:t>
      </w:r>
    </w:p>
    <w:p w14:paraId="387A61BD">
      <w:pPr>
        <w:pStyle w:val="112"/>
      </w:pPr>
      <w:r>
        <w:rPr>
          <w:rFonts w:hint="eastAsia"/>
        </w:rPr>
        <w:t>应保留准确明了的每支锚杆的下列数据记录﹐和由承包方、发包方及监理单位代表签署的每日记录表﹐监理单位应每星期提交给设计单位一份副本。</w:t>
      </w:r>
    </w:p>
    <w:p w14:paraId="588C04D1">
      <w:pPr>
        <w:pStyle w:val="114"/>
      </w:pPr>
      <w:r>
        <w:rPr>
          <w:rFonts w:hint="eastAsia"/>
        </w:rPr>
        <w:t>锚杆的总数目及其代码、已完成锚杆数目及其代码</w:t>
      </w:r>
    </w:p>
    <w:p w14:paraId="1232A7A0">
      <w:pPr>
        <w:pStyle w:val="114"/>
      </w:pPr>
      <w:r>
        <w:rPr>
          <w:rFonts w:hint="eastAsia"/>
        </w:rPr>
        <w:t>锚杆开始及完成的日期、时间</w:t>
      </w:r>
    </w:p>
    <w:p w14:paraId="57D02CB8">
      <w:pPr>
        <w:pStyle w:val="114"/>
      </w:pPr>
      <w:r>
        <w:rPr>
          <w:rFonts w:hint="eastAsia"/>
        </w:rPr>
        <w:t>锚杆位置地面的水平度</w:t>
      </w:r>
    </w:p>
    <w:p w14:paraId="03FE601B">
      <w:pPr>
        <w:pStyle w:val="114"/>
        <w:rPr>
          <w:lang w:eastAsia="zh-TW"/>
        </w:rPr>
      </w:pPr>
      <w:r>
        <w:rPr>
          <w:rFonts w:hint="eastAsia"/>
        </w:rPr>
        <w:t>井圈厚度、直径检测</w:t>
      </w:r>
    </w:p>
    <w:p w14:paraId="5E8AA35E">
      <w:pPr>
        <w:pStyle w:val="114"/>
      </w:pPr>
      <w:r>
        <w:rPr>
          <w:rFonts w:hint="eastAsia"/>
        </w:rPr>
        <w:t>钻孔锚杆混凝土浇筑前的沉碴检测</w:t>
      </w:r>
    </w:p>
    <w:p w14:paraId="3A27C01B">
      <w:pPr>
        <w:pStyle w:val="114"/>
      </w:pPr>
      <w:r>
        <w:rPr>
          <w:rFonts w:hint="eastAsia"/>
        </w:rPr>
        <w:t>捣制混凝土高度、充盈系数及使用混凝土的质量</w:t>
      </w:r>
    </w:p>
    <w:p w14:paraId="17683FC1">
      <w:pPr>
        <w:pStyle w:val="114"/>
      </w:pPr>
      <w:r>
        <w:rPr>
          <w:rFonts w:hint="eastAsia"/>
        </w:rPr>
        <w:t>工程阻碍或延迟的详细情况</w:t>
      </w:r>
    </w:p>
    <w:p w14:paraId="4C7CDE37">
      <w:pPr>
        <w:pStyle w:val="114"/>
      </w:pPr>
      <w:r>
        <w:rPr>
          <w:rFonts w:hint="eastAsia"/>
        </w:rPr>
        <w:t>在钻孔时倾斜或偏移的具体情况</w:t>
      </w:r>
    </w:p>
    <w:p w14:paraId="0BF18127">
      <w:pPr>
        <w:pStyle w:val="112"/>
      </w:pPr>
      <w:r>
        <w:rPr>
          <w:rFonts w:hint="eastAsia"/>
        </w:rPr>
        <w:t>试验锚杆荷载试验结果复印本应一式四份提交给监理单位、设计单位及发包方。</w:t>
      </w:r>
    </w:p>
    <w:p w14:paraId="03EAE51E">
      <w:pPr>
        <w:pStyle w:val="112"/>
      </w:pPr>
      <w:r>
        <w:rPr>
          <w:rFonts w:hint="eastAsia"/>
        </w:rPr>
        <w:t>每日地盘报告复印件应和已标上锚杆深度及各锚杆开始日期的锚杆布置图复印件一起保留。</w:t>
      </w:r>
    </w:p>
    <w:p w14:paraId="5FB78346">
      <w:pPr>
        <w:pStyle w:val="110"/>
      </w:pPr>
      <w:r>
        <w:rPr>
          <w:rFonts w:hint="eastAsia"/>
        </w:rPr>
        <w:t>记录表及报告的作用</w:t>
      </w:r>
    </w:p>
    <w:p w14:paraId="03D43113">
      <w:pPr>
        <w:pStyle w:val="112"/>
      </w:pPr>
      <w:r>
        <w:rPr>
          <w:rFonts w:hint="eastAsia"/>
        </w:rPr>
        <w:t>承包方应用图形（涂有深色颜料）的形式准备一个锚杆平面记录图，表示如下内容：</w:t>
      </w:r>
    </w:p>
    <w:p w14:paraId="317494D2">
      <w:pPr>
        <w:pStyle w:val="114"/>
      </w:pPr>
      <w:r>
        <w:rPr>
          <w:rFonts w:hint="eastAsia"/>
        </w:rPr>
        <w:t>锚杆的最后位置</w:t>
      </w:r>
      <w:r>
        <w:t>(</w:t>
      </w:r>
      <w:r>
        <w:rPr>
          <w:rFonts w:hint="eastAsia"/>
        </w:rPr>
        <w:t>锚杆偏差大于允许值等</w:t>
      </w:r>
      <w:r>
        <w:t>)</w:t>
      </w:r>
    </w:p>
    <w:p w14:paraId="0E7A7EC5">
      <w:pPr>
        <w:pStyle w:val="114"/>
      </w:pPr>
      <w:r>
        <w:rPr>
          <w:rFonts w:hint="eastAsia"/>
        </w:rPr>
        <w:t>参照锚杆基平面布置图的每根锚杆端平面实际标高</w:t>
      </w:r>
    </w:p>
    <w:p w14:paraId="43B5097B">
      <w:pPr>
        <w:pStyle w:val="114"/>
      </w:pPr>
      <w:r>
        <w:rPr>
          <w:rFonts w:hint="eastAsia"/>
        </w:rPr>
        <w:t>一系列等高线平面表示地盘的总地质平面</w:t>
      </w:r>
    </w:p>
    <w:p w14:paraId="27B70C9C">
      <w:pPr>
        <w:pStyle w:val="112"/>
      </w:pPr>
      <w:r>
        <w:rPr>
          <w:rFonts w:hint="eastAsia"/>
        </w:rPr>
        <w:t>当每部分工程完成时，这平面应在一定时间注上日期提交给质检站，在最后一条锚杆已完成，六份这样的记录复印件应提交给发包方、监理单位及设计单位。</w:t>
      </w:r>
    </w:p>
    <w:p w14:paraId="453563E4">
      <w:pPr>
        <w:pStyle w:val="112"/>
      </w:pPr>
      <w:r>
        <w:rPr>
          <w:rFonts w:hint="eastAsia"/>
        </w:rPr>
        <w:t>承包方也应按施工规范要求准备一份锚杆施工报告，此报告能获得全部施工内容。这报告应注上日期和时间，一部分接一部分提供，要求有四份复印件。</w:t>
      </w:r>
    </w:p>
    <w:p w14:paraId="0BD47A61">
      <w:pPr>
        <w:pStyle w:val="110"/>
      </w:pPr>
      <w:r>
        <w:rPr>
          <w:rFonts w:hint="eastAsia"/>
        </w:rPr>
        <w:t>竣工图</w:t>
      </w:r>
    </w:p>
    <w:p w14:paraId="0DF02023">
      <w:pPr>
        <w:pStyle w:val="112"/>
        <w:numPr>
          <w:ilvl w:val="0"/>
          <w:numId w:val="0"/>
        </w:numPr>
        <w:ind w:left="964"/>
        <w:rPr>
          <w:rFonts w:eastAsia="宋体"/>
          <w:szCs w:val="24"/>
        </w:rPr>
        <w:sectPr>
          <w:footerReference r:id="rId6" w:type="default"/>
          <w:type w:val="continuous"/>
          <w:pgSz w:w="11906" w:h="16838"/>
          <w:pgMar w:top="709" w:right="1133" w:bottom="720" w:left="1134" w:header="794" w:footer="490" w:gutter="0"/>
          <w:pgNumType w:fmt="decimal"/>
          <w:cols w:space="425" w:num="1"/>
          <w:docGrid w:type="lines" w:linePitch="312" w:charSpace="0"/>
        </w:sectPr>
      </w:pPr>
      <w:r>
        <w:rPr>
          <w:rFonts w:hint="eastAsia"/>
        </w:rPr>
        <w:t>工程完工后提供竣工图给业主</w:t>
      </w:r>
      <w:r>
        <w:rPr>
          <w:rFonts w:hint="eastAsia" w:eastAsia="宋体"/>
          <w:szCs w:val="24"/>
        </w:rPr>
        <w:t>。</w:t>
      </w:r>
    </w:p>
    <w:p w14:paraId="4D5FEEAE">
      <w:pPr>
        <w:pStyle w:val="112"/>
        <w:numPr>
          <w:ilvl w:val="0"/>
          <w:numId w:val="0"/>
        </w:numPr>
        <w:ind w:left="964"/>
        <w:rPr>
          <w:rFonts w:eastAsia="宋体"/>
          <w:szCs w:val="24"/>
        </w:rPr>
      </w:pPr>
    </w:p>
    <w:p w14:paraId="31BF8E72">
      <w:pPr>
        <w:pStyle w:val="112"/>
        <w:numPr>
          <w:ilvl w:val="0"/>
          <w:numId w:val="0"/>
        </w:numPr>
        <w:ind w:left="964"/>
        <w:rPr>
          <w:rFonts w:eastAsia="宋体"/>
          <w:szCs w:val="24"/>
        </w:rPr>
      </w:pPr>
    </w:p>
    <w:p w14:paraId="42743144">
      <w:pPr>
        <w:pStyle w:val="112"/>
        <w:numPr>
          <w:ilvl w:val="0"/>
          <w:numId w:val="0"/>
        </w:numPr>
        <w:ind w:left="964"/>
        <w:rPr>
          <w:rFonts w:eastAsia="宋体"/>
          <w:szCs w:val="24"/>
        </w:rPr>
      </w:pPr>
    </w:p>
    <w:p w14:paraId="1F505101">
      <w:pPr>
        <w:pStyle w:val="112"/>
        <w:numPr>
          <w:ilvl w:val="0"/>
          <w:numId w:val="0"/>
        </w:numPr>
        <w:ind w:left="964"/>
        <w:rPr>
          <w:rFonts w:eastAsia="宋体"/>
          <w:szCs w:val="24"/>
        </w:rPr>
      </w:pPr>
    </w:p>
    <w:p w14:paraId="6F44A903">
      <w:pPr>
        <w:pStyle w:val="112"/>
        <w:numPr>
          <w:ilvl w:val="0"/>
          <w:numId w:val="0"/>
        </w:numPr>
        <w:ind w:left="964"/>
        <w:rPr>
          <w:rFonts w:eastAsia="宋体"/>
          <w:szCs w:val="24"/>
        </w:rPr>
      </w:pPr>
    </w:p>
    <w:p w14:paraId="6585A9D3">
      <w:pPr>
        <w:pStyle w:val="112"/>
        <w:numPr>
          <w:ilvl w:val="0"/>
          <w:numId w:val="0"/>
        </w:numPr>
        <w:ind w:left="964"/>
        <w:rPr>
          <w:rFonts w:eastAsia="宋体"/>
          <w:szCs w:val="24"/>
        </w:rPr>
      </w:pPr>
    </w:p>
    <w:p w14:paraId="6F4B146C">
      <w:pPr>
        <w:pStyle w:val="112"/>
        <w:numPr>
          <w:ilvl w:val="0"/>
          <w:numId w:val="0"/>
        </w:numPr>
        <w:ind w:left="964"/>
        <w:rPr>
          <w:rFonts w:eastAsia="宋体"/>
          <w:szCs w:val="24"/>
        </w:rPr>
      </w:pPr>
    </w:p>
    <w:p w14:paraId="76A9A250">
      <w:pPr>
        <w:pStyle w:val="112"/>
        <w:numPr>
          <w:ilvl w:val="0"/>
          <w:numId w:val="0"/>
        </w:numPr>
        <w:ind w:left="964"/>
        <w:rPr>
          <w:rFonts w:eastAsia="宋体"/>
          <w:szCs w:val="24"/>
        </w:rPr>
      </w:pPr>
    </w:p>
    <w:p w14:paraId="05CC2158">
      <w:pPr>
        <w:pStyle w:val="112"/>
        <w:numPr>
          <w:ilvl w:val="0"/>
          <w:numId w:val="0"/>
        </w:numPr>
        <w:ind w:left="964"/>
        <w:rPr>
          <w:rFonts w:eastAsia="宋体"/>
          <w:szCs w:val="24"/>
        </w:rPr>
      </w:pPr>
    </w:p>
    <w:p w14:paraId="12F6231A">
      <w:pPr>
        <w:pStyle w:val="112"/>
        <w:numPr>
          <w:ilvl w:val="0"/>
          <w:numId w:val="0"/>
        </w:numPr>
        <w:ind w:left="964"/>
        <w:rPr>
          <w:rFonts w:eastAsia="宋体"/>
          <w:szCs w:val="24"/>
        </w:rPr>
      </w:pPr>
    </w:p>
    <w:p w14:paraId="39520D13">
      <w:pPr>
        <w:pStyle w:val="112"/>
        <w:numPr>
          <w:ilvl w:val="0"/>
          <w:numId w:val="0"/>
        </w:numPr>
        <w:ind w:left="964"/>
        <w:rPr>
          <w:rFonts w:eastAsia="宋体"/>
          <w:szCs w:val="24"/>
        </w:rPr>
      </w:pPr>
    </w:p>
    <w:p w14:paraId="017D92C9">
      <w:pPr>
        <w:pStyle w:val="112"/>
        <w:numPr>
          <w:ilvl w:val="0"/>
          <w:numId w:val="0"/>
        </w:numPr>
        <w:ind w:left="964"/>
        <w:rPr>
          <w:rFonts w:eastAsia="宋体"/>
          <w:szCs w:val="24"/>
        </w:rPr>
      </w:pPr>
    </w:p>
    <w:p w14:paraId="68F5418D">
      <w:pPr>
        <w:pStyle w:val="112"/>
        <w:numPr>
          <w:ilvl w:val="0"/>
          <w:numId w:val="0"/>
        </w:numPr>
        <w:ind w:left="964"/>
        <w:rPr>
          <w:rFonts w:eastAsia="宋体"/>
          <w:szCs w:val="24"/>
        </w:rPr>
      </w:pPr>
    </w:p>
    <w:p w14:paraId="39A3649E">
      <w:pPr>
        <w:pStyle w:val="112"/>
        <w:numPr>
          <w:ilvl w:val="0"/>
          <w:numId w:val="0"/>
        </w:numPr>
        <w:ind w:left="964"/>
        <w:rPr>
          <w:rFonts w:eastAsia="宋体"/>
          <w:szCs w:val="24"/>
        </w:rPr>
      </w:pPr>
    </w:p>
    <w:p w14:paraId="6F6B59D9">
      <w:pPr>
        <w:pStyle w:val="112"/>
        <w:numPr>
          <w:ilvl w:val="0"/>
          <w:numId w:val="0"/>
        </w:numPr>
        <w:ind w:left="964"/>
        <w:rPr>
          <w:rFonts w:eastAsia="宋体"/>
          <w:szCs w:val="24"/>
        </w:rPr>
      </w:pPr>
    </w:p>
    <w:p w14:paraId="66401D02">
      <w:pPr>
        <w:pStyle w:val="112"/>
        <w:numPr>
          <w:ilvl w:val="0"/>
          <w:numId w:val="0"/>
        </w:numPr>
        <w:ind w:left="964"/>
        <w:rPr>
          <w:rFonts w:eastAsia="宋体"/>
          <w:szCs w:val="24"/>
        </w:rPr>
      </w:pPr>
    </w:p>
    <w:p w14:paraId="6AB63CB4">
      <w:pPr>
        <w:pStyle w:val="112"/>
        <w:numPr>
          <w:ilvl w:val="0"/>
          <w:numId w:val="0"/>
        </w:numPr>
        <w:ind w:left="964"/>
        <w:rPr>
          <w:rFonts w:eastAsia="宋体"/>
          <w:szCs w:val="24"/>
        </w:rPr>
      </w:pPr>
    </w:p>
    <w:p w14:paraId="7B2A2EDB">
      <w:pPr>
        <w:pStyle w:val="112"/>
        <w:numPr>
          <w:ilvl w:val="0"/>
          <w:numId w:val="0"/>
        </w:numPr>
        <w:ind w:left="964"/>
        <w:rPr>
          <w:rFonts w:eastAsia="宋体"/>
          <w:szCs w:val="24"/>
        </w:rPr>
      </w:pPr>
    </w:p>
    <w:p w14:paraId="76D367F1">
      <w:pPr>
        <w:pStyle w:val="112"/>
        <w:numPr>
          <w:ilvl w:val="0"/>
          <w:numId w:val="0"/>
        </w:numPr>
        <w:ind w:left="964"/>
        <w:rPr>
          <w:rFonts w:eastAsia="宋体"/>
          <w:szCs w:val="24"/>
        </w:rPr>
      </w:pPr>
    </w:p>
    <w:p w14:paraId="1A688957">
      <w:pPr>
        <w:pStyle w:val="112"/>
        <w:numPr>
          <w:ilvl w:val="0"/>
          <w:numId w:val="0"/>
        </w:numPr>
        <w:ind w:left="964"/>
        <w:rPr>
          <w:rFonts w:eastAsia="宋体"/>
          <w:szCs w:val="24"/>
        </w:rPr>
      </w:pPr>
    </w:p>
    <w:p w14:paraId="6FF8C57B">
      <w:pPr>
        <w:pStyle w:val="112"/>
        <w:numPr>
          <w:ilvl w:val="0"/>
          <w:numId w:val="0"/>
        </w:numPr>
        <w:ind w:left="964"/>
        <w:rPr>
          <w:rFonts w:eastAsia="宋体"/>
          <w:szCs w:val="24"/>
        </w:rPr>
      </w:pPr>
    </w:p>
    <w:p w14:paraId="6672D845">
      <w:pPr>
        <w:pStyle w:val="112"/>
        <w:numPr>
          <w:ilvl w:val="0"/>
          <w:numId w:val="0"/>
        </w:numPr>
        <w:ind w:left="964"/>
        <w:rPr>
          <w:rFonts w:eastAsia="宋体"/>
          <w:szCs w:val="24"/>
        </w:rPr>
      </w:pPr>
    </w:p>
    <w:p w14:paraId="0E9730D3">
      <w:pPr>
        <w:pStyle w:val="112"/>
        <w:numPr>
          <w:ilvl w:val="0"/>
          <w:numId w:val="0"/>
        </w:numPr>
        <w:ind w:left="964"/>
        <w:rPr>
          <w:rFonts w:eastAsia="宋体"/>
          <w:szCs w:val="24"/>
        </w:rPr>
      </w:pPr>
    </w:p>
    <w:p w14:paraId="61879F1B">
      <w:pPr>
        <w:pStyle w:val="112"/>
        <w:numPr>
          <w:ilvl w:val="0"/>
          <w:numId w:val="0"/>
        </w:numPr>
        <w:ind w:left="964"/>
        <w:rPr>
          <w:rFonts w:eastAsia="宋体"/>
          <w:szCs w:val="24"/>
        </w:rPr>
      </w:pPr>
    </w:p>
    <w:p w14:paraId="61D15972">
      <w:pPr>
        <w:pStyle w:val="106"/>
      </w:pPr>
      <w:bookmarkStart w:id="27" w:name="_Toc136956820"/>
      <w:r>
        <w:rPr>
          <w:rFonts w:hint="eastAsia"/>
        </w:rPr>
        <w:t>桩基工程技术要求</w:t>
      </w:r>
      <w:bookmarkEnd w:id="27"/>
    </w:p>
    <w:p w14:paraId="14AF9B22">
      <w:pPr>
        <w:pStyle w:val="119"/>
      </w:pPr>
      <w:bookmarkStart w:id="28" w:name="_Toc136956821"/>
      <w:r>
        <w:rPr>
          <w:rFonts w:hint="eastAsia"/>
        </w:rPr>
        <w:t>总则</w:t>
      </w:r>
      <w:bookmarkEnd w:id="28"/>
    </w:p>
    <w:p w14:paraId="13BB5833">
      <w:pPr>
        <w:pStyle w:val="122"/>
        <w:rPr>
          <w:b w:val="0"/>
        </w:rPr>
      </w:pPr>
      <w:r>
        <w:rPr>
          <w:rFonts w:hint="eastAsia"/>
          <w:b w:val="0"/>
        </w:rPr>
        <w:t>承包方责任</w:t>
      </w:r>
    </w:p>
    <w:p w14:paraId="76388DD2">
      <w:pPr>
        <w:pStyle w:val="112"/>
        <w:numPr>
          <w:ilvl w:val="0"/>
          <w:numId w:val="0"/>
        </w:numPr>
        <w:ind w:left="964"/>
      </w:pPr>
      <w:r>
        <w:rPr>
          <w:rFonts w:hint="eastAsia"/>
        </w:rPr>
        <w:t>本技术要求适用于本项目中所有桩基础工程，包括桩的现场施工和试验的各个方面，还包括了物料的运输、吊运、堆放、截桩、检测等章节。</w:t>
      </w:r>
    </w:p>
    <w:p w14:paraId="4313CE6C">
      <w:pPr>
        <w:pStyle w:val="112"/>
        <w:numPr>
          <w:ilvl w:val="0"/>
          <w:numId w:val="0"/>
        </w:numPr>
        <w:ind w:left="964"/>
      </w:pPr>
      <w:r>
        <w:rPr>
          <w:rFonts w:hint="eastAsia"/>
        </w:rPr>
        <w:t>本章工程所依据的主要规范及图集：</w:t>
      </w:r>
    </w:p>
    <w:p w14:paraId="77A1C15D">
      <w:pPr>
        <w:pStyle w:val="112"/>
        <w:numPr>
          <w:ilvl w:val="0"/>
          <w:numId w:val="0"/>
        </w:numPr>
        <w:ind w:left="964"/>
      </w:pPr>
      <w:r>
        <w:t xml:space="preserve">A. </w:t>
      </w:r>
      <w:r>
        <w:rPr>
          <w:rFonts w:hint="eastAsia"/>
        </w:rPr>
        <w:t>建筑桩基技术规范</w:t>
      </w:r>
      <w:r>
        <w:t xml:space="preserve"> JGJ94-2008</w:t>
      </w:r>
    </w:p>
    <w:p w14:paraId="7A4B5B46">
      <w:pPr>
        <w:pStyle w:val="112"/>
        <w:numPr>
          <w:ilvl w:val="0"/>
          <w:numId w:val="0"/>
        </w:numPr>
        <w:ind w:left="964"/>
      </w:pPr>
      <w:r>
        <w:t xml:space="preserve">B. </w:t>
      </w:r>
      <w:r>
        <w:rPr>
          <w:rFonts w:hint="eastAsia"/>
        </w:rPr>
        <w:t>建筑地基基础设计规范</w:t>
      </w:r>
      <w:r>
        <w:t xml:space="preserve"> GB50007-2002</w:t>
      </w:r>
    </w:p>
    <w:p w14:paraId="19DDFA55">
      <w:pPr>
        <w:pStyle w:val="112"/>
        <w:numPr>
          <w:ilvl w:val="0"/>
          <w:numId w:val="0"/>
        </w:numPr>
        <w:ind w:left="964"/>
      </w:pPr>
      <w:r>
        <w:t xml:space="preserve">C. </w:t>
      </w:r>
      <w:r>
        <w:rPr>
          <w:rFonts w:hint="eastAsia"/>
        </w:rPr>
        <w:t>混凝土结构工程施工质量验收规范</w:t>
      </w:r>
      <w:r>
        <w:t xml:space="preserve"> GB0204-2002</w:t>
      </w:r>
    </w:p>
    <w:p w14:paraId="2DDDAC34">
      <w:pPr>
        <w:pStyle w:val="112"/>
        <w:numPr>
          <w:ilvl w:val="0"/>
          <w:numId w:val="0"/>
        </w:numPr>
        <w:ind w:left="964"/>
      </w:pPr>
      <w:r>
        <w:rPr>
          <w:rFonts w:hint="eastAsia"/>
        </w:rPr>
        <w:t>D</w:t>
      </w:r>
      <w:r>
        <w:t xml:space="preserve">. </w:t>
      </w:r>
      <w:r>
        <w:rPr>
          <w:rFonts w:hint="eastAsia"/>
        </w:rPr>
        <w:t>建筑基桩检测技术规范</w:t>
      </w:r>
      <w:r>
        <w:t xml:space="preserve"> JGJ106-2003</w:t>
      </w:r>
    </w:p>
    <w:p w14:paraId="1C095822">
      <w:pPr>
        <w:pStyle w:val="112"/>
        <w:numPr>
          <w:ilvl w:val="0"/>
          <w:numId w:val="0"/>
        </w:numPr>
        <w:ind w:left="964"/>
      </w:pPr>
      <w:r>
        <w:rPr>
          <w:rFonts w:hint="eastAsia"/>
        </w:rPr>
        <w:t>承包方需按照本技术要求及设计图纸（包括有关变更）完成合同要求工作，并应遵守包括上述规范图集在内的所有现行有关规范规程的要求。若各规范内容有互相抵触时应按较严格的条款执行。</w:t>
      </w:r>
    </w:p>
    <w:p w14:paraId="26970517">
      <w:pPr>
        <w:pStyle w:val="122"/>
        <w:rPr>
          <w:b w:val="0"/>
        </w:rPr>
      </w:pPr>
      <w:r>
        <w:rPr>
          <w:rFonts w:hint="eastAsia"/>
          <w:b w:val="0"/>
        </w:rPr>
        <w:t>对公共设施的损害</w:t>
      </w:r>
    </w:p>
    <w:p w14:paraId="64575371">
      <w:pPr>
        <w:pStyle w:val="112"/>
      </w:pPr>
      <w:r>
        <w:rPr>
          <w:rFonts w:hint="eastAsia"/>
        </w:rPr>
        <w:t>承包人应负责施工安全，并采取所有预防措施防止相邻道路及周围地面的沉降及损害。承包方应在一定的间隔时间内观察周围地面，有责任立即将可能</w:t>
      </w:r>
    </w:p>
    <w:p w14:paraId="39FB7B0B">
      <w:pPr>
        <w:pStyle w:val="112"/>
      </w:pPr>
      <w:r>
        <w:rPr>
          <w:rFonts w:hint="eastAsia"/>
        </w:rPr>
        <w:t>引起事故的损害迹象或裂缝汇报给发包方、设计单位及监理单位并迅速采取相应控制措施。应注意不要损坏地下水管、煤气管、地下电缆及其它地下设施。若损坏了公共设施﹐应立即报告发包方、监理单位及设计单位，所有处理损坏的费用由承包方承担。在图上注明的公共设施偏离了位置及发现有另外的公共设施，应尽快通知发包方、设计单位及监理单位。承包方应进行以上工程，并承担处理损害的费用。</w:t>
      </w:r>
    </w:p>
    <w:p w14:paraId="5FEA046B">
      <w:pPr>
        <w:pStyle w:val="122"/>
        <w:rPr>
          <w:b w:val="0"/>
        </w:rPr>
      </w:pPr>
      <w:r>
        <w:rPr>
          <w:rFonts w:hint="eastAsia"/>
          <w:b w:val="0"/>
        </w:rPr>
        <w:t>地质勘察报告</w:t>
      </w:r>
    </w:p>
    <w:p w14:paraId="120E0A6C">
      <w:pPr>
        <w:pStyle w:val="112"/>
        <w:numPr>
          <w:ilvl w:val="0"/>
          <w:numId w:val="0"/>
        </w:numPr>
        <w:ind w:left="964"/>
      </w:pPr>
      <w:r>
        <w:rPr>
          <w:rFonts w:hint="eastAsia"/>
        </w:rPr>
        <w:t>由发包方及勘察单位提供的地质勘察报告及钻孔记录已尽量反映可能遇到的地质情况，发包方应对整个场地的地质报告、钻孔资料、可能的地质变化作出自己的判断。</w:t>
      </w:r>
    </w:p>
    <w:p w14:paraId="6C908B9C">
      <w:pPr>
        <w:pStyle w:val="122"/>
        <w:rPr>
          <w:b w:val="0"/>
        </w:rPr>
      </w:pPr>
      <w:r>
        <w:rPr>
          <w:rFonts w:hint="eastAsia"/>
          <w:b w:val="0"/>
        </w:rPr>
        <w:t>承包方的现场考察</w:t>
      </w:r>
    </w:p>
    <w:p w14:paraId="011B8C59">
      <w:pPr>
        <w:pStyle w:val="112"/>
        <w:numPr>
          <w:ilvl w:val="0"/>
          <w:numId w:val="0"/>
        </w:numPr>
        <w:ind w:left="964"/>
      </w:pPr>
      <w:r>
        <w:rPr>
          <w:rFonts w:hint="eastAsia"/>
        </w:rPr>
        <w:t>建议承包方认真考察场地并且彻底了解场地的位置、场地环境、交通情况、拟建位置周围的限制及其它应引起注意的情况等等。</w:t>
      </w:r>
    </w:p>
    <w:p w14:paraId="456F255E">
      <w:pPr>
        <w:pStyle w:val="122"/>
        <w:rPr>
          <w:b w:val="0"/>
        </w:rPr>
      </w:pPr>
      <w:r>
        <w:rPr>
          <w:rFonts w:hint="eastAsia"/>
          <w:b w:val="0"/>
        </w:rPr>
        <w:t>桩的尺寸及承载力</w:t>
      </w:r>
    </w:p>
    <w:p w14:paraId="56417B7F">
      <w:pPr>
        <w:pStyle w:val="112"/>
        <w:numPr>
          <w:ilvl w:val="0"/>
          <w:numId w:val="0"/>
        </w:numPr>
        <w:ind w:left="964"/>
      </w:pPr>
      <w:r>
        <w:rPr>
          <w:rFonts w:hint="eastAsia"/>
        </w:rPr>
        <w:t>桩的尺寸已注在施工图上，桩应能达到设计所要求的承载能力且没有超过允许的沉降，同时按设计单位要求进行相应的荷载试验及其它检测。需能通过当地质监站及有关政府部门的质量验收要求。</w:t>
      </w:r>
    </w:p>
    <w:p w14:paraId="79F5A47A">
      <w:pPr>
        <w:pStyle w:val="112"/>
        <w:numPr>
          <w:ilvl w:val="0"/>
          <w:numId w:val="0"/>
        </w:numPr>
        <w:ind w:left="964"/>
      </w:pPr>
    </w:p>
    <w:p w14:paraId="42EC3C28">
      <w:pPr>
        <w:pStyle w:val="122"/>
        <w:rPr>
          <w:b w:val="0"/>
        </w:rPr>
      </w:pPr>
      <w:r>
        <w:rPr>
          <w:rFonts w:hint="eastAsia"/>
          <w:b w:val="0"/>
        </w:rPr>
        <w:t>材料</w:t>
      </w:r>
    </w:p>
    <w:p w14:paraId="3C664755">
      <w:pPr>
        <w:pStyle w:val="112"/>
        <w:numPr>
          <w:ilvl w:val="0"/>
          <w:numId w:val="0"/>
        </w:numPr>
        <w:ind w:left="964"/>
      </w:pPr>
      <w:r>
        <w:rPr>
          <w:rFonts w:hint="eastAsia"/>
        </w:rPr>
        <w:t>混凝土桩的材料应符合设计图纸及混凝土施工规范的要求。</w:t>
      </w:r>
    </w:p>
    <w:p w14:paraId="244A9039">
      <w:pPr>
        <w:pStyle w:val="122"/>
        <w:rPr>
          <w:b w:val="0"/>
        </w:rPr>
      </w:pPr>
      <w:r>
        <w:rPr>
          <w:rFonts w:hint="eastAsia"/>
          <w:b w:val="0"/>
        </w:rPr>
        <w:t>放线</w:t>
      </w:r>
    </w:p>
    <w:p w14:paraId="482B766A">
      <w:pPr>
        <w:pStyle w:val="112"/>
        <w:numPr>
          <w:ilvl w:val="0"/>
          <w:numId w:val="0"/>
        </w:numPr>
        <w:ind w:left="964"/>
      </w:pPr>
      <w:r>
        <w:rPr>
          <w:rFonts w:hint="eastAsia"/>
        </w:rPr>
        <w:t>承包方应提供所有必需工具、机器、钉，按桩位布置图及设计单位提供的更详细资料放线，虽然发包方、监理单位及设计单位可以验线，但保证桩的正确位置是承包方的责任。若发现施工图上标注尺寸与实际尺寸不符合，承包方应及时报告给设计单位，设计单位会迅速予以解决，在未得到设计单位的意见前不得自行处理。没有设计单位或其代表的同意，承包方不应改变桩位。当桩位偏差超过设计图纸或施工规范的允许值时，设计单位可能会要求补桩，承包方应承担该部分的补桩费用及所需工期。</w:t>
      </w:r>
    </w:p>
    <w:p w14:paraId="52F7CEB3">
      <w:pPr>
        <w:pStyle w:val="122"/>
        <w:rPr>
          <w:b w:val="0"/>
        </w:rPr>
      </w:pPr>
      <w:r>
        <w:rPr>
          <w:rFonts w:hint="eastAsia"/>
          <w:b w:val="0"/>
        </w:rPr>
        <w:t>成孔偏差</w:t>
      </w:r>
    </w:p>
    <w:p w14:paraId="37B1033D">
      <w:pPr>
        <w:pStyle w:val="112"/>
        <w:numPr>
          <w:ilvl w:val="0"/>
          <w:numId w:val="0"/>
        </w:numPr>
        <w:ind w:left="964"/>
      </w:pPr>
      <w:r>
        <w:rPr>
          <w:rFonts w:hint="eastAsia"/>
        </w:rPr>
        <w:t>尽可能准确地垂直向下或照设计要求的角度进行打桩或钻孔，除非另有误差注明在施工图上，桩设计的垂直度、桩心偏差、桩径偏差均应符合规范中相应要求。桩不应打在地下建筑物退缩线以外，除非设计单位注明在设计图上。</w:t>
      </w:r>
    </w:p>
    <w:p w14:paraId="791FD72A">
      <w:pPr>
        <w:pStyle w:val="122"/>
        <w:rPr>
          <w:b w:val="0"/>
        </w:rPr>
      </w:pPr>
      <w:r>
        <w:rPr>
          <w:rFonts w:hint="eastAsia"/>
          <w:b w:val="0"/>
        </w:rPr>
        <w:t>试桩</w:t>
      </w:r>
    </w:p>
    <w:p w14:paraId="624ED6F5">
      <w:pPr>
        <w:pStyle w:val="112"/>
        <w:numPr>
          <w:ilvl w:val="0"/>
          <w:numId w:val="0"/>
        </w:numPr>
        <w:ind w:left="964"/>
      </w:pPr>
      <w:r>
        <w:rPr>
          <w:rFonts w:hint="eastAsia"/>
        </w:rPr>
        <w:t>承包方应按设计图中要求进行试打桩或试钻成孔，桩位由有关政府部门或设计单位选定，试桩时设计单位或其代表须在场，应保存锤高度、锤击数、贯入度或实测孔径、垂直度、孔壁稳定性和回淤指标等的详细记录。</w:t>
      </w:r>
    </w:p>
    <w:p w14:paraId="15BED4AC">
      <w:pPr>
        <w:pStyle w:val="122"/>
        <w:rPr>
          <w:b w:val="0"/>
        </w:rPr>
      </w:pPr>
      <w:r>
        <w:rPr>
          <w:rFonts w:hint="eastAsia"/>
          <w:b w:val="0"/>
        </w:rPr>
        <w:t>开工时注意点</w:t>
      </w:r>
    </w:p>
    <w:p w14:paraId="1A576CE0">
      <w:pPr>
        <w:pStyle w:val="112"/>
        <w:numPr>
          <w:ilvl w:val="0"/>
          <w:numId w:val="0"/>
        </w:numPr>
        <w:ind w:left="964"/>
      </w:pPr>
      <w:r>
        <w:rPr>
          <w:rFonts w:hint="eastAsia"/>
        </w:rPr>
        <w:t>承包方在打或钻第一根桩时提前</w:t>
      </w:r>
      <w:r>
        <w:t>72</w:t>
      </w:r>
      <w:r>
        <w:rPr>
          <w:rFonts w:hint="eastAsia"/>
        </w:rPr>
        <w:t>小时通知发包方、监理单位及设计单位，以便有关工程师及其代表在场。</w:t>
      </w:r>
    </w:p>
    <w:p w14:paraId="4B2A2C04">
      <w:pPr>
        <w:pStyle w:val="122"/>
        <w:rPr>
          <w:b w:val="0"/>
        </w:rPr>
      </w:pPr>
      <w:r>
        <w:rPr>
          <w:rFonts w:hint="eastAsia"/>
          <w:b w:val="0"/>
        </w:rPr>
        <w:t>工程桩的荷载试验</w:t>
      </w:r>
    </w:p>
    <w:p w14:paraId="77D3EC48">
      <w:pPr>
        <w:pStyle w:val="112"/>
        <w:numPr>
          <w:ilvl w:val="0"/>
          <w:numId w:val="0"/>
        </w:numPr>
        <w:ind w:left="964"/>
      </w:pPr>
      <w:r>
        <w:rPr>
          <w:rFonts w:hint="eastAsia"/>
        </w:rPr>
        <w:t>由设计单位选定工程桩作荷载试验，数目按设计图及有关检测规程要求。承包方应承担任何因试验非正常终止破坏而须增加的桩及重新试验的费用。应保留时间、加载、卸荷的所有记录，试验报告应包括荷载、沉降</w:t>
      </w:r>
      <w:r>
        <w:t xml:space="preserve"> — </w:t>
      </w:r>
      <w:r>
        <w:rPr>
          <w:rFonts w:hint="eastAsia"/>
        </w:rPr>
        <w:t>时间曲线及荷载变化</w:t>
      </w:r>
      <w:r>
        <w:t xml:space="preserve"> — </w:t>
      </w:r>
      <w:r>
        <w:rPr>
          <w:rFonts w:hint="eastAsia"/>
        </w:rPr>
        <w:t>沉降曲线。</w:t>
      </w:r>
    </w:p>
    <w:p w14:paraId="6162DCCD">
      <w:pPr>
        <w:pStyle w:val="122"/>
        <w:rPr>
          <w:b w:val="0"/>
        </w:rPr>
      </w:pPr>
      <w:r>
        <w:rPr>
          <w:rFonts w:hint="eastAsia"/>
          <w:b w:val="0"/>
        </w:rPr>
        <w:t>单桩静载试验规程</w:t>
      </w:r>
    </w:p>
    <w:p w14:paraId="4BB3BC01">
      <w:pPr>
        <w:pStyle w:val="112"/>
      </w:pPr>
      <w:r>
        <w:rPr>
          <w:rFonts w:hint="eastAsia"/>
        </w:rPr>
        <w:t>加载重量块</w:t>
      </w:r>
    </w:p>
    <w:p w14:paraId="5264AFD2">
      <w:pPr>
        <w:pStyle w:val="112"/>
        <w:numPr>
          <w:ilvl w:val="0"/>
          <w:numId w:val="0"/>
        </w:numPr>
        <w:ind w:left="964"/>
      </w:pPr>
      <w:r>
        <w:rPr>
          <w:rFonts w:hint="eastAsia"/>
        </w:rPr>
        <w:t>加载重量块须固定建立在桩上，以免产生在试验前、中、后期的任何危险倾斜。由液压千斤顶和加载框加荷，若加荷设备中的应力计不动，应立即在实验室中处理。</w:t>
      </w:r>
    </w:p>
    <w:p w14:paraId="3963458E">
      <w:pPr>
        <w:pStyle w:val="112"/>
      </w:pPr>
      <w:r>
        <w:rPr>
          <w:rFonts w:hint="eastAsia"/>
        </w:rPr>
        <w:t>记录</w:t>
      </w:r>
    </w:p>
    <w:p w14:paraId="032A2F70">
      <w:pPr>
        <w:pStyle w:val="112"/>
        <w:numPr>
          <w:ilvl w:val="0"/>
          <w:numId w:val="0"/>
        </w:numPr>
        <w:ind w:left="964"/>
      </w:pPr>
      <w:r>
        <w:rPr>
          <w:rFonts w:hint="eastAsia"/>
        </w:rPr>
        <w:t>沉降读数仪依附点须不受于试验荷载引起的地面沉降的影响，读数精确至</w:t>
      </w:r>
      <w:r>
        <w:t>0.03mm</w:t>
      </w:r>
      <w:r>
        <w:rPr>
          <w:rFonts w:hint="eastAsia"/>
        </w:rPr>
        <w:t>。应保留时间、荷载及沉降的记录，并绘出这些记录的如下曲线图</w:t>
      </w:r>
      <w:r>
        <w:t>:</w:t>
      </w:r>
    </w:p>
    <w:p w14:paraId="72E6E1F0">
      <w:pPr>
        <w:pStyle w:val="114"/>
      </w:pPr>
      <w:r>
        <w:rPr>
          <w:rFonts w:hint="eastAsia"/>
        </w:rPr>
        <w:t>每级荷载表示在曲线右方，沉降画在时间基线下面。</w:t>
      </w:r>
    </w:p>
    <w:p w14:paraId="60D6E5E9">
      <w:pPr>
        <w:pStyle w:val="114"/>
      </w:pPr>
      <w:r>
        <w:t xml:space="preserve"> (</w:t>
      </w:r>
      <w:r>
        <w:rPr>
          <w:rFonts w:hint="eastAsia"/>
        </w:rPr>
        <w:t>等速贯入试验</w:t>
      </w:r>
      <w:r>
        <w:t>)</w:t>
      </w:r>
      <w:r>
        <w:rPr>
          <w:rFonts w:hint="eastAsia"/>
        </w:rPr>
        <w:t>沉降画在荷载基线下面。</w:t>
      </w:r>
    </w:p>
    <w:p w14:paraId="628FCBB7">
      <w:pPr>
        <w:pStyle w:val="114"/>
      </w:pPr>
      <w:r>
        <w:t xml:space="preserve"> (</w:t>
      </w:r>
      <w:r>
        <w:rPr>
          <w:rFonts w:hint="eastAsia"/>
        </w:rPr>
        <w:t>持续加荷载试验</w:t>
      </w:r>
      <w:r>
        <w:t>)</w:t>
      </w:r>
      <w:r>
        <w:rPr>
          <w:rFonts w:hint="eastAsia"/>
        </w:rPr>
        <w:t>每一级加荷的最后沉降画在加荷基线下。</w:t>
      </w:r>
    </w:p>
    <w:p w14:paraId="4AEFFE6D">
      <w:pPr>
        <w:pStyle w:val="114"/>
        <w:numPr>
          <w:ilvl w:val="0"/>
          <w:numId w:val="0"/>
        </w:numPr>
        <w:ind w:left="992"/>
      </w:pPr>
      <w:r>
        <w:rPr>
          <w:rFonts w:hint="eastAsia"/>
        </w:rPr>
        <w:t>应以类似方式记录桩在卸去试验荷载的回弹情况。</w:t>
      </w:r>
    </w:p>
    <w:p w14:paraId="170EA05A">
      <w:pPr>
        <w:pStyle w:val="112"/>
      </w:pPr>
      <w:r>
        <w:rPr>
          <w:rFonts w:hint="eastAsia"/>
        </w:rPr>
        <w:t>等速贯入试验</w:t>
      </w:r>
      <w:r>
        <w:t>(A</w:t>
      </w:r>
      <w:r>
        <w:rPr>
          <w:rFonts w:hint="eastAsia"/>
        </w:rPr>
        <w:t>类试验</w:t>
      </w:r>
      <w:r>
        <w:t>)</w:t>
      </w:r>
    </w:p>
    <w:p w14:paraId="6909A6E1">
      <w:pPr>
        <w:pStyle w:val="112"/>
        <w:numPr>
          <w:ilvl w:val="0"/>
          <w:numId w:val="0"/>
        </w:numPr>
        <w:ind w:left="964"/>
      </w:pPr>
      <w:r>
        <w:rPr>
          <w:rFonts w:hint="eastAsia"/>
        </w:rPr>
        <w:t>等速贯入试验是通过控制在桩上的加荷，使桩等速贯入地面，逐渐加荷，加荷到没有增加荷载情况但贯入速度增加时停止，然后卸荷至零。</w:t>
      </w:r>
    </w:p>
    <w:p w14:paraId="05BE1342">
      <w:pPr>
        <w:pStyle w:val="112"/>
        <w:numPr>
          <w:ilvl w:val="0"/>
          <w:numId w:val="0"/>
        </w:numPr>
        <w:ind w:left="964"/>
      </w:pPr>
      <w:r>
        <w:rPr>
          <w:rFonts w:hint="eastAsia"/>
        </w:rPr>
        <w:t>三次同样试验连续不断在每支桩上进行，第一次试验贯入速度应大约为每分钟</w:t>
      </w:r>
      <w:r>
        <w:t>0.5mm</w:t>
      </w:r>
      <w:r>
        <w:rPr>
          <w:rFonts w:hint="eastAsia"/>
        </w:rPr>
        <w:t>，第二次每分钟</w:t>
      </w:r>
      <w:r>
        <w:t>0.75mm</w:t>
      </w:r>
      <w:r>
        <w:rPr>
          <w:rFonts w:hint="eastAsia"/>
        </w:rPr>
        <w:t>，第三次每分钟</w:t>
      </w:r>
      <w:r>
        <w:t>1mm</w:t>
      </w:r>
      <w:r>
        <w:rPr>
          <w:rFonts w:hint="eastAsia"/>
        </w:rPr>
        <w:t>。在实验中应绘制沉降</w:t>
      </w:r>
      <w:r>
        <w:t xml:space="preserve"> — </w:t>
      </w:r>
      <w:r>
        <w:rPr>
          <w:rFonts w:hint="eastAsia"/>
        </w:rPr>
        <w:t>时间曲线，既可作为控制沉降率的指示，又可为获得实际速率与等速不同点的记录。</w:t>
      </w:r>
    </w:p>
    <w:p w14:paraId="388DAC21">
      <w:pPr>
        <w:pStyle w:val="112"/>
      </w:pPr>
      <w:r>
        <w:rPr>
          <w:rFonts w:hint="eastAsia"/>
        </w:rPr>
        <w:t>持续荷载试验</w:t>
      </w:r>
      <w:r>
        <w:t>(B</w:t>
      </w:r>
      <w:r>
        <w:rPr>
          <w:rFonts w:hint="eastAsia"/>
        </w:rPr>
        <w:t>类试验</w:t>
      </w:r>
      <w:r>
        <w:t>)</w:t>
      </w:r>
    </w:p>
    <w:p w14:paraId="6AF9F845">
      <w:pPr>
        <w:pStyle w:val="112"/>
        <w:numPr>
          <w:ilvl w:val="0"/>
          <w:numId w:val="0"/>
        </w:numPr>
        <w:ind w:left="964"/>
      </w:pPr>
      <w:r>
        <w:rPr>
          <w:rFonts w:hint="eastAsia"/>
        </w:rPr>
        <w:t>持续荷载试验是以相同等级的荷载加在桩上而观察稳定后每级荷载的沉降，然后再加下一级荷载，重复这样的程序。除非另有规定或指示，工程桩最大试验荷载应为估计的单桩承载力设计值的两倍，且应按不小于十个等级加荷。在每级荷载加荷前、后立即进行沉降读数，然后随沉降率减少在一段</w:t>
      </w:r>
    </w:p>
    <w:p w14:paraId="2FA2EC7D">
      <w:pPr>
        <w:pStyle w:val="112"/>
        <w:numPr>
          <w:ilvl w:val="0"/>
          <w:numId w:val="0"/>
        </w:numPr>
        <w:ind w:left="964"/>
      </w:pPr>
      <w:r>
        <w:rPr>
          <w:rFonts w:hint="eastAsia"/>
        </w:rPr>
        <w:t>短时间间隔内读数，当画在时间基线下面的沉降倾斜弧度减少而接近水平时，认为沉降稳定</w:t>
      </w:r>
      <w:r>
        <w:t>(</w:t>
      </w:r>
      <w:r>
        <w:rPr>
          <w:rFonts w:hint="eastAsia"/>
        </w:rPr>
        <w:t>每级沉降少于每小时</w:t>
      </w:r>
      <w:r>
        <w:t>0.1mm</w:t>
      </w:r>
      <w:r>
        <w:rPr>
          <w:rFonts w:hint="eastAsia"/>
        </w:rPr>
        <w:t>，并连续出现两次</w:t>
      </w:r>
      <w:r>
        <w:t>)</w:t>
      </w:r>
      <w:r>
        <w:rPr>
          <w:rFonts w:hint="eastAsia"/>
        </w:rPr>
        <w:t>。</w:t>
      </w:r>
    </w:p>
    <w:p w14:paraId="303F0283">
      <w:pPr>
        <w:pStyle w:val="112"/>
      </w:pPr>
      <w:r>
        <w:rPr>
          <w:rFonts w:hint="eastAsia"/>
        </w:rPr>
        <w:t>桩破坏</w:t>
      </w:r>
    </w:p>
    <w:p w14:paraId="3B7ACCC0">
      <w:pPr>
        <w:pStyle w:val="112"/>
        <w:numPr>
          <w:ilvl w:val="0"/>
          <w:numId w:val="0"/>
        </w:numPr>
        <w:ind w:left="964"/>
      </w:pPr>
      <w:r>
        <w:rPr>
          <w:rFonts w:hint="eastAsia"/>
        </w:rPr>
        <w:t>对等速贯入试验，没有加荷但沉降率增加或不需加荷但获得等速沉降，两者之一可视为桩破坏。对持续荷载试验，沉降速率连续不减少</w:t>
      </w:r>
      <w:r>
        <w:t>；</w:t>
      </w:r>
      <w:r>
        <w:rPr>
          <w:rFonts w:hint="eastAsia"/>
        </w:rPr>
        <w:t>或没有加荷但增加；或者荷载</w:t>
      </w:r>
      <w:r>
        <w:t xml:space="preserve">— </w:t>
      </w:r>
      <w:r>
        <w:rPr>
          <w:rFonts w:hint="eastAsia"/>
        </w:rPr>
        <w:t>沉降曲线接近垂直</w:t>
      </w:r>
      <w:r>
        <w:t>；</w:t>
      </w:r>
      <w:r>
        <w:rPr>
          <w:rFonts w:hint="eastAsia"/>
        </w:rPr>
        <w:t>某级荷载作用下的沉降量大于前一级荷载沉降量的</w:t>
      </w:r>
      <w:r>
        <w:t>5</w:t>
      </w:r>
      <w:r>
        <w:rPr>
          <w:rFonts w:hint="eastAsia"/>
        </w:rPr>
        <w:t>倍；某级荷载作用下的沉降量大于前一级的</w:t>
      </w:r>
      <w:r>
        <w:t>2</w:t>
      </w:r>
      <w:r>
        <w:rPr>
          <w:rFonts w:hint="eastAsia"/>
        </w:rPr>
        <w:t>倍，且经</w:t>
      </w:r>
      <w:r>
        <w:t>24</w:t>
      </w:r>
      <w:r>
        <w:rPr>
          <w:rFonts w:hint="eastAsia"/>
        </w:rPr>
        <w:t>小时尚未稳定；试桩桩顶出现明显的破坏现像</w:t>
      </w:r>
      <w:r>
        <w:t>；</w:t>
      </w:r>
      <w:r>
        <w:rPr>
          <w:rFonts w:hint="eastAsia"/>
        </w:rPr>
        <w:t>上述情况之一可视为桩破坏。</w:t>
      </w:r>
    </w:p>
    <w:p w14:paraId="2BBCF7C2">
      <w:pPr>
        <w:pStyle w:val="112"/>
      </w:pPr>
      <w:r>
        <w:rPr>
          <w:rFonts w:hint="eastAsia"/>
        </w:rPr>
        <w:t>工程桩荷载试验合格原则</w:t>
      </w:r>
    </w:p>
    <w:p w14:paraId="28E8B379">
      <w:pPr>
        <w:pStyle w:val="112"/>
        <w:numPr>
          <w:ilvl w:val="0"/>
          <w:numId w:val="0"/>
        </w:numPr>
        <w:ind w:left="964"/>
      </w:pPr>
      <w:r>
        <w:rPr>
          <w:rFonts w:hint="eastAsia"/>
        </w:rPr>
        <w:t>工程桩试验可接受的合格原则，应根据国家及地方的有关规程、规范要求确定，并应得到设计单位、质监站及有关政府部门的同意。</w:t>
      </w:r>
    </w:p>
    <w:p w14:paraId="08590E20">
      <w:pPr>
        <w:pStyle w:val="110"/>
      </w:pPr>
      <w:r>
        <w:rPr>
          <w:rFonts w:hint="eastAsia"/>
        </w:rPr>
        <w:t>凿桩头</w:t>
      </w:r>
    </w:p>
    <w:p w14:paraId="5C00ADE2">
      <w:pPr>
        <w:pStyle w:val="112"/>
        <w:numPr>
          <w:ilvl w:val="0"/>
          <w:numId w:val="0"/>
        </w:numPr>
        <w:ind w:left="964"/>
      </w:pPr>
      <w:r>
        <w:rPr>
          <w:rFonts w:hint="eastAsia"/>
        </w:rPr>
        <w:t>混凝土桩头应小心地不伤害钢筋及桩身而被凿成水平，以便将桩身与桩承台紧密结合。桩顶标高需按设计要求严格控制。</w:t>
      </w:r>
    </w:p>
    <w:p w14:paraId="4D359501">
      <w:pPr>
        <w:pStyle w:val="110"/>
      </w:pPr>
      <w:r>
        <w:rPr>
          <w:rFonts w:hint="eastAsia"/>
        </w:rPr>
        <w:t>记录</w:t>
      </w:r>
    </w:p>
    <w:p w14:paraId="217193BA">
      <w:pPr>
        <w:pStyle w:val="112"/>
        <w:numPr>
          <w:ilvl w:val="0"/>
          <w:numId w:val="0"/>
        </w:numPr>
        <w:ind w:left="964"/>
      </w:pPr>
      <w:r>
        <w:rPr>
          <w:rFonts w:hint="eastAsia"/>
        </w:rPr>
        <w:t>应保留准确明了的每根桩的下列数据记录﹐和由承包方、发包方及监理单位代表签署的每日记录表﹐监理单位应定期提交给设计单位一份副本。</w:t>
      </w:r>
    </w:p>
    <w:p w14:paraId="61D47798">
      <w:pPr>
        <w:pStyle w:val="114"/>
      </w:pPr>
      <w:r>
        <w:t xml:space="preserve"> </w:t>
      </w:r>
      <w:r>
        <w:rPr>
          <w:rFonts w:hint="eastAsia"/>
        </w:rPr>
        <w:t>桩的总数目及其代码、已完成桩数目及其代码</w:t>
      </w:r>
    </w:p>
    <w:p w14:paraId="2780FDF7">
      <w:pPr>
        <w:pStyle w:val="114"/>
      </w:pPr>
      <w:r>
        <w:rPr>
          <w:rFonts w:hint="eastAsia"/>
        </w:rPr>
        <w:t>桩开始及完成的日期、时间</w:t>
      </w:r>
    </w:p>
    <w:p w14:paraId="0D2FE920">
      <w:pPr>
        <w:pStyle w:val="114"/>
      </w:pPr>
      <w:r>
        <w:rPr>
          <w:rFonts w:hint="eastAsia"/>
        </w:rPr>
        <w:t>桩位置地面的水平度</w:t>
      </w:r>
    </w:p>
    <w:p w14:paraId="235436D5">
      <w:pPr>
        <w:pStyle w:val="114"/>
      </w:pPr>
      <w:r>
        <w:rPr>
          <w:rFonts w:hint="eastAsia"/>
        </w:rPr>
        <w:t>打进或钻进深度、孔径</w:t>
      </w:r>
    </w:p>
    <w:p w14:paraId="6597AB14">
      <w:pPr>
        <w:pStyle w:val="114"/>
      </w:pPr>
      <w:r>
        <w:rPr>
          <w:rFonts w:hint="eastAsia"/>
        </w:rPr>
        <w:t>钻孔桩混凝土浇筑前的沉渣检测</w:t>
      </w:r>
    </w:p>
    <w:p w14:paraId="5EED9E31">
      <w:pPr>
        <w:pStyle w:val="114"/>
      </w:pPr>
      <w:r>
        <w:rPr>
          <w:rFonts w:hint="eastAsia"/>
        </w:rPr>
        <w:t>捣制混凝土高度、充盈系数及使用混凝土的质量</w:t>
      </w:r>
    </w:p>
    <w:p w14:paraId="4F5A364C">
      <w:pPr>
        <w:pStyle w:val="114"/>
      </w:pPr>
      <w:r>
        <w:rPr>
          <w:rFonts w:hint="eastAsia"/>
        </w:rPr>
        <w:t>最后十击或三次贯入度</w:t>
      </w:r>
    </w:p>
    <w:p w14:paraId="75FA7CA4">
      <w:pPr>
        <w:pStyle w:val="114"/>
      </w:pPr>
      <w:r>
        <w:rPr>
          <w:rFonts w:hint="eastAsia"/>
        </w:rPr>
        <w:t>桩尖端下标高值</w:t>
      </w:r>
    </w:p>
    <w:p w14:paraId="01A39F4E">
      <w:pPr>
        <w:pStyle w:val="114"/>
      </w:pPr>
      <w:r>
        <w:rPr>
          <w:rFonts w:hint="eastAsia"/>
        </w:rPr>
        <w:t>贯入每米的扭动</w:t>
      </w:r>
    </w:p>
    <w:p w14:paraId="4DD2BC7C">
      <w:pPr>
        <w:pStyle w:val="114"/>
      </w:pPr>
      <w:r>
        <w:rPr>
          <w:rFonts w:hint="eastAsia"/>
        </w:rPr>
        <w:t>工程阻碍或延迟的详细情况</w:t>
      </w:r>
    </w:p>
    <w:p w14:paraId="7A604D7C">
      <w:pPr>
        <w:pStyle w:val="114"/>
      </w:pPr>
      <w:r>
        <w:rPr>
          <w:rFonts w:hint="eastAsia"/>
        </w:rPr>
        <w:t>在钻孔或打桩时倾斜或偏移的具体情况</w:t>
      </w:r>
    </w:p>
    <w:p w14:paraId="5C41D64B">
      <w:pPr>
        <w:pStyle w:val="112"/>
        <w:numPr>
          <w:ilvl w:val="0"/>
          <w:numId w:val="0"/>
        </w:numPr>
        <w:ind w:left="964"/>
      </w:pPr>
      <w:r>
        <w:rPr>
          <w:rFonts w:hint="eastAsia"/>
        </w:rPr>
        <w:t>试验桩锤击记录及桩荷载试验结果复印本应一式四份提交给监理单位、设计单位及发包方。每日地盘报告复印件应和已标上桩深度及各桩开始日期的桩布置图复印件一起保留。</w:t>
      </w:r>
    </w:p>
    <w:p w14:paraId="35C31C62">
      <w:pPr>
        <w:pStyle w:val="110"/>
      </w:pPr>
      <w:r>
        <w:rPr>
          <w:rFonts w:hint="eastAsia"/>
        </w:rPr>
        <w:t>记录表及报告的作用</w:t>
      </w:r>
    </w:p>
    <w:p w14:paraId="249B2E6F">
      <w:pPr>
        <w:pStyle w:val="112"/>
      </w:pPr>
      <w:r>
        <w:rPr>
          <w:rFonts w:hint="eastAsia"/>
        </w:rPr>
        <w:t>承包方应用图形（涂有深色颜料）的形式准备一个桩平面记录图，表示如下内容：</w:t>
      </w:r>
    </w:p>
    <w:p w14:paraId="4312961F">
      <w:pPr>
        <w:pStyle w:val="114"/>
      </w:pPr>
      <w:r>
        <w:rPr>
          <w:rFonts w:hint="eastAsia"/>
        </w:rPr>
        <w:t>桩的最后位置</w:t>
      </w:r>
      <w:r>
        <w:t>(</w:t>
      </w:r>
      <w:r>
        <w:rPr>
          <w:rFonts w:hint="eastAsia"/>
        </w:rPr>
        <w:t>桩偏差大于允许值等</w:t>
      </w:r>
      <w:r>
        <w:t>)</w:t>
      </w:r>
    </w:p>
    <w:p w14:paraId="1BBBC3BA">
      <w:pPr>
        <w:pStyle w:val="114"/>
      </w:pPr>
      <w:r>
        <w:rPr>
          <w:rFonts w:hint="eastAsia"/>
        </w:rPr>
        <w:t>参照桩基平面布置图的每根桩端平面实际标高</w:t>
      </w:r>
    </w:p>
    <w:p w14:paraId="19F73F5F">
      <w:pPr>
        <w:pStyle w:val="114"/>
      </w:pPr>
      <w:r>
        <w:rPr>
          <w:rFonts w:hint="eastAsia"/>
        </w:rPr>
        <w:t>一系列等高线平面表示场地的总地质平面</w:t>
      </w:r>
    </w:p>
    <w:p w14:paraId="1322C110">
      <w:pPr>
        <w:pStyle w:val="112"/>
      </w:pPr>
      <w:r>
        <w:rPr>
          <w:rFonts w:hint="eastAsia"/>
        </w:rPr>
        <w:t>当每部分工程完成时，这平面应在一定时间注上日期提交给质检站，在最后一根桩已完成，六份这样的记录复印件应提交给发包方、监理单位及设计单位。</w:t>
      </w:r>
    </w:p>
    <w:p w14:paraId="37FDCC24">
      <w:pPr>
        <w:pStyle w:val="112"/>
      </w:pPr>
      <w:r>
        <w:rPr>
          <w:rFonts w:hint="eastAsia"/>
        </w:rPr>
        <w:t>承包方也应按施工规范要求准备一份桩施工报告，此报告能获得全部施工内容。这报告应注上日期和时间，一部分接一部分提供，要求有四份复印件。</w:t>
      </w:r>
    </w:p>
    <w:p w14:paraId="35729436">
      <w:pPr>
        <w:pStyle w:val="110"/>
      </w:pPr>
      <w:r>
        <w:rPr>
          <w:rFonts w:hint="eastAsia"/>
        </w:rPr>
        <w:t>工地清除</w:t>
      </w:r>
    </w:p>
    <w:p w14:paraId="67E3EEC2">
      <w:pPr>
        <w:pStyle w:val="112"/>
        <w:numPr>
          <w:ilvl w:val="0"/>
          <w:numId w:val="0"/>
        </w:numPr>
        <w:ind w:left="964"/>
      </w:pPr>
      <w:r>
        <w:rPr>
          <w:rFonts w:hint="eastAsia"/>
        </w:rPr>
        <w:t>在桩工程完成后，承包方应使工地清洁、整齐，清除所有碎石、剩余材料等等。</w:t>
      </w:r>
    </w:p>
    <w:p w14:paraId="26632627">
      <w:pPr>
        <w:pStyle w:val="110"/>
      </w:pPr>
      <w:r>
        <w:rPr>
          <w:rFonts w:hint="eastAsia"/>
        </w:rPr>
        <w:t>工程阻碍及延迟</w:t>
      </w:r>
    </w:p>
    <w:p w14:paraId="1579F0F5">
      <w:pPr>
        <w:pStyle w:val="112"/>
        <w:numPr>
          <w:ilvl w:val="0"/>
          <w:numId w:val="0"/>
        </w:numPr>
        <w:ind w:left="964"/>
      </w:pPr>
      <w:r>
        <w:rPr>
          <w:rFonts w:hint="eastAsia"/>
        </w:rPr>
        <w:t>一般认为承包方打桩或钻孔桩工期已包括任何可能遇到的情况。若在施工中遇到外因引发的延误，如发包方及设计单位可能延缓了承包方的工作，承包方应服从发包方及设计单位的决定：是否打桩或钻孔要推迟，或是打桩或钻孔应在另一同意的位置进行。</w:t>
      </w:r>
    </w:p>
    <w:p w14:paraId="6E5A8DB8">
      <w:pPr>
        <w:pStyle w:val="110"/>
      </w:pPr>
      <w:r>
        <w:rPr>
          <w:rFonts w:hint="eastAsia"/>
        </w:rPr>
        <w:t>桩长</w:t>
      </w:r>
    </w:p>
    <w:p w14:paraId="76FFF68F">
      <w:pPr>
        <w:pStyle w:val="112"/>
      </w:pPr>
      <w:r>
        <w:rPr>
          <w:rFonts w:hint="eastAsia"/>
        </w:rPr>
        <w:t>桩应在无受损的情况下，具备图纸上标明的承载力设计值，且满足试验荷载下的沉降要求。承包方应在设计图纸基础上，及依据所提供的场地地质勘察报告和其它可进行的试验结果或承包方自己补充的地质资料，来决定打入或钻入的每根桩的长度。</w:t>
      </w:r>
    </w:p>
    <w:p w14:paraId="2A29C072">
      <w:pPr>
        <w:pStyle w:val="112"/>
      </w:pPr>
      <w:r>
        <w:rPr>
          <w:rFonts w:hint="eastAsia"/>
        </w:rPr>
        <w:t>在打桩或钻孔前，施工单位应报告估计的桩长详细数据及位置，并征求设计单位的同意及满足设计单位所提供的单桩承载力特征值，有关桩长是否合适的意见并不减轻承包方的责任，此类意见仅是为了控制工程进度为目的。</w:t>
      </w:r>
    </w:p>
    <w:p w14:paraId="7D20F750">
      <w:pPr>
        <w:pStyle w:val="110"/>
      </w:pPr>
      <w:r>
        <w:rPr>
          <w:rFonts w:hint="eastAsia"/>
        </w:rPr>
        <w:t>桩缺陷</w:t>
      </w:r>
    </w:p>
    <w:p w14:paraId="400375ED">
      <w:pPr>
        <w:pStyle w:val="112"/>
        <w:numPr>
          <w:ilvl w:val="0"/>
          <w:numId w:val="0"/>
        </w:numPr>
        <w:ind w:left="964"/>
      </w:pPr>
      <w:r>
        <w:rPr>
          <w:rFonts w:hint="eastAsia"/>
        </w:rPr>
        <w:t>若桩在允许偏差外或已打坏，或因相邻桩施工而损坏，或与设计要求不符等原因而造成不能永久支承荷载，即认为桩受到破坏。设计单位可采取措施，如补桩、改变结构等，以保证荷载能安全地移到增加的桩或其它的桩上。承包方应承担补桩、改变结构等措施所增加的一切费用及相应的工期。</w:t>
      </w:r>
    </w:p>
    <w:p w14:paraId="7D9DFCB5">
      <w:pPr>
        <w:pStyle w:val="110"/>
      </w:pPr>
      <w:r>
        <w:rPr>
          <w:rFonts w:hint="eastAsia"/>
        </w:rPr>
        <w:t>分包</w:t>
      </w:r>
    </w:p>
    <w:p w14:paraId="18DAF5CA">
      <w:pPr>
        <w:pStyle w:val="112"/>
        <w:numPr>
          <w:ilvl w:val="0"/>
          <w:numId w:val="0"/>
        </w:numPr>
        <w:ind w:left="964"/>
      </w:pPr>
      <w:r>
        <w:rPr>
          <w:rFonts w:hint="eastAsia"/>
        </w:rPr>
        <w:t>未经发包访批准，所有工程不得擅自分包。</w:t>
      </w:r>
    </w:p>
    <w:p w14:paraId="47FE236D">
      <w:pPr>
        <w:pStyle w:val="110"/>
      </w:pPr>
      <w:r>
        <w:rPr>
          <w:rFonts w:hint="eastAsia"/>
        </w:rPr>
        <w:t>与政府部门施工单位和独立专项承包单位合作</w:t>
      </w:r>
    </w:p>
    <w:p w14:paraId="2F5BE23C">
      <w:pPr>
        <w:pStyle w:val="112"/>
        <w:numPr>
          <w:ilvl w:val="0"/>
          <w:numId w:val="0"/>
        </w:numPr>
        <w:ind w:left="964"/>
      </w:pPr>
      <w:r>
        <w:rPr>
          <w:rFonts w:hint="eastAsia"/>
        </w:rPr>
        <w:t>发包方有权直接雇用独立专项承包单位于工地现场与承包方同步施工，承包方须为独立专项承包单位的施工提供方便。承包方应随时执行一切所需工作，以保证及促进所有独立专项承包单位有效的执行工作。承包方应允许政府部门施工单位在现场进行施工，并在编制工程进度计划表中包括政府部门施工单位工程施工的具体安排。</w:t>
      </w:r>
    </w:p>
    <w:p w14:paraId="716E41CC">
      <w:pPr>
        <w:pStyle w:val="110"/>
      </w:pPr>
      <w:r>
        <w:rPr>
          <w:rFonts w:hint="eastAsia"/>
        </w:rPr>
        <w:t>竣工图</w:t>
      </w:r>
    </w:p>
    <w:p w14:paraId="725A6BD5">
      <w:pPr>
        <w:pStyle w:val="112"/>
        <w:numPr>
          <w:ilvl w:val="0"/>
          <w:numId w:val="0"/>
        </w:numPr>
        <w:ind w:left="964"/>
      </w:pPr>
      <w:r>
        <w:rPr>
          <w:rFonts w:hint="eastAsia"/>
        </w:rPr>
        <w:t>工程完工后提供竣工图给业主，蓝图</w:t>
      </w:r>
      <w:r>
        <w:t>8</w:t>
      </w:r>
      <w:r>
        <w:rPr>
          <w:rFonts w:hint="eastAsia"/>
        </w:rPr>
        <w:t>份，电子版</w:t>
      </w:r>
      <w:r>
        <w:t>1</w:t>
      </w:r>
      <w:r>
        <w:rPr>
          <w:rFonts w:hint="eastAsia"/>
        </w:rPr>
        <w:t>份。电子版同时提供给设计单位。</w:t>
      </w:r>
    </w:p>
    <w:p w14:paraId="7AF423E1">
      <w:pPr>
        <w:pStyle w:val="119"/>
      </w:pPr>
      <w:bookmarkStart w:id="29" w:name="_Toc136956822"/>
      <w:r>
        <w:rPr>
          <w:rFonts w:hint="eastAsia"/>
        </w:rPr>
        <w:t>钻孔灌注桩</w:t>
      </w:r>
      <w:bookmarkEnd w:id="29"/>
    </w:p>
    <w:p w14:paraId="686DBDD1">
      <w:pPr>
        <w:pStyle w:val="122"/>
        <w:rPr>
          <w:b w:val="0"/>
        </w:rPr>
      </w:pPr>
      <w:r>
        <w:rPr>
          <w:rFonts w:hint="eastAsia"/>
          <w:b w:val="0"/>
        </w:rPr>
        <w:t>成孔方法</w:t>
      </w:r>
    </w:p>
    <w:p w14:paraId="7D49411E">
      <w:pPr>
        <w:pStyle w:val="112"/>
      </w:pPr>
      <w:r>
        <w:rPr>
          <w:rFonts w:hint="eastAsia"/>
        </w:rPr>
        <w:t>除非设计单位采用其它方法支承洞口侧壁，一般钢筒可用来钻孔及护壁。如采用泥浆护壁，承包方须在投标阶段送上机械及施工方案给设计单位同意方可使用。需采用反循环工艺成孔。</w:t>
      </w:r>
    </w:p>
    <w:p w14:paraId="4E33DE12">
      <w:pPr>
        <w:pStyle w:val="112"/>
      </w:pPr>
      <w:r>
        <w:rPr>
          <w:rFonts w:hint="eastAsia"/>
        </w:rPr>
        <w:t>在开挖土时，为避免塌孔，开挖工具必须远离已完成孔，以免土进入孔中，防止塌孔的形成及相邻地面的沉陷。承包方应尽所有可能的措施预防这点。在开挖时小心，防止由于土体挖取而引起地下水过份抽吸。</w:t>
      </w:r>
    </w:p>
    <w:p w14:paraId="7CEADD29">
      <w:pPr>
        <w:pStyle w:val="110"/>
      </w:pPr>
      <w:r>
        <w:rPr>
          <w:rFonts w:hint="eastAsia"/>
        </w:rPr>
        <w:t>验收持力层</w:t>
      </w:r>
    </w:p>
    <w:p w14:paraId="22FE0EC8">
      <w:pPr>
        <w:pStyle w:val="112"/>
        <w:numPr>
          <w:ilvl w:val="0"/>
          <w:numId w:val="0"/>
        </w:numPr>
        <w:ind w:left="964"/>
      </w:pPr>
      <w:r>
        <w:rPr>
          <w:rFonts w:hint="eastAsia"/>
        </w:rPr>
        <w:t>如混凝土桩支承在土层为主的持力层，除设计单位特别说明桩的长度外，在施钻前须先采用一系列标准贯入试验确定桩长。除非另有指明，承包方应承担验收费用。</w:t>
      </w:r>
    </w:p>
    <w:p w14:paraId="40ED9A9E">
      <w:pPr>
        <w:pStyle w:val="110"/>
      </w:pPr>
      <w:r>
        <w:rPr>
          <w:rFonts w:hint="eastAsia"/>
        </w:rPr>
        <w:t>钢筋笼</w:t>
      </w:r>
    </w:p>
    <w:p w14:paraId="5E8059EA">
      <w:pPr>
        <w:pStyle w:val="112"/>
        <w:numPr>
          <w:ilvl w:val="0"/>
          <w:numId w:val="0"/>
        </w:numPr>
        <w:ind w:left="964"/>
      </w:pPr>
      <w:r>
        <w:rPr>
          <w:rFonts w:hint="eastAsia"/>
        </w:rPr>
        <w:t>钢筋笼应符合混凝土施工规范中各条款的要求。钢筋笼应绑好，在起吊时没有损坏及变形。主筋与孔壁之间的混凝土保护层不应小于</w:t>
      </w:r>
      <w:r>
        <w:t>70mm</w:t>
      </w:r>
      <w:r>
        <w:rPr>
          <w:rFonts w:hint="eastAsia"/>
        </w:rPr>
        <w:t>，并应用软钢隔离杆件与箍筋焊接定位。</w:t>
      </w:r>
    </w:p>
    <w:p w14:paraId="4BE17FB2">
      <w:pPr>
        <w:pStyle w:val="110"/>
      </w:pPr>
      <w:r>
        <w:rPr>
          <w:rFonts w:hint="eastAsia"/>
        </w:rPr>
        <w:t>混凝土</w:t>
      </w:r>
    </w:p>
    <w:p w14:paraId="09F307B3">
      <w:pPr>
        <w:pStyle w:val="112"/>
        <w:numPr>
          <w:ilvl w:val="0"/>
          <w:numId w:val="0"/>
        </w:numPr>
        <w:ind w:left="964"/>
      </w:pPr>
      <w:r>
        <w:rPr>
          <w:rFonts w:hint="eastAsia"/>
        </w:rPr>
        <w:t>混凝土材料、成份，运输及试验应符合混凝土施工规范中各条款要求。</w:t>
      </w:r>
    </w:p>
    <w:p w14:paraId="419025BC">
      <w:pPr>
        <w:pStyle w:val="110"/>
      </w:pPr>
      <w:r>
        <w:rPr>
          <w:rFonts w:hint="eastAsia"/>
        </w:rPr>
        <w:t>捣制混凝土桩芯</w:t>
      </w:r>
    </w:p>
    <w:p w14:paraId="475051B8">
      <w:pPr>
        <w:pStyle w:val="112"/>
        <w:numPr>
          <w:ilvl w:val="0"/>
          <w:numId w:val="0"/>
        </w:numPr>
        <w:ind w:left="964"/>
      </w:pPr>
      <w:r>
        <w:rPr>
          <w:rFonts w:hint="eastAsia"/>
        </w:rPr>
        <w:t>钢筋笼已进行隐蔽工程验收，才能捣制混凝土桩芯。钻孔达到设计深度，灌注混凝土前，孔底沉渣厚度不应大于</w:t>
      </w:r>
      <w:r>
        <w:t>100mm</w:t>
      </w:r>
      <w:r>
        <w:rPr>
          <w:rFonts w:hint="eastAsia"/>
        </w:rPr>
        <w:t>。</w:t>
      </w:r>
      <w:r>
        <w:t xml:space="preserve"> </w:t>
      </w:r>
      <w:r>
        <w:rPr>
          <w:rFonts w:hint="eastAsia"/>
        </w:rPr>
        <w:t>检查成孔质量合格后应尽快灌注混凝土。每根桩的混凝土捣制必须连续施工。承包方应安排充足的、连续供应的混凝土以免捣制的中断。在桩孔没有水时，应用足够长的导管来捣制混凝土，以免混凝土被钢筋笼或护壁卡住。在有水时采用水下混凝土灌注。</w:t>
      </w:r>
    </w:p>
    <w:p w14:paraId="37782EDF">
      <w:pPr>
        <w:pStyle w:val="110"/>
      </w:pPr>
      <w:r>
        <w:rPr>
          <w:rFonts w:hint="eastAsia"/>
        </w:rPr>
        <w:t>水下浇筑混凝土</w:t>
      </w:r>
    </w:p>
    <w:p w14:paraId="7090E07F">
      <w:pPr>
        <w:pStyle w:val="112"/>
      </w:pPr>
      <w:r>
        <w:rPr>
          <w:rFonts w:hint="eastAsia"/>
        </w:rPr>
        <w:t>水下浇筑的混凝土每立方米混凝土中水泥用量不应少于</w:t>
      </w:r>
      <w:r>
        <w:t>360kg</w:t>
      </w:r>
      <w:r>
        <w:rPr>
          <w:rFonts w:hint="eastAsia"/>
        </w:rPr>
        <w:t>（掺入粉煤灰时可不受此限）。</w:t>
      </w:r>
    </w:p>
    <w:p w14:paraId="1B95DFFD">
      <w:pPr>
        <w:pStyle w:val="112"/>
      </w:pPr>
      <w:r>
        <w:rPr>
          <w:rFonts w:hint="eastAsia"/>
        </w:rPr>
        <w:t>承包方在设计水下混凝土配比时，必须保证其具有良好的和易性，配合比应通过试验确定，坍落度为</w:t>
      </w:r>
      <w:r>
        <w:t>180~220mm</w:t>
      </w:r>
      <w:r>
        <w:rPr>
          <w:rFonts w:hint="eastAsia"/>
        </w:rPr>
        <w:t>，含砂率为</w:t>
      </w:r>
      <w:r>
        <w:t>40~50%</w:t>
      </w:r>
      <w:r>
        <w:rPr>
          <w:rFonts w:hint="eastAsia"/>
        </w:rPr>
        <w:t>，尽量选用中粗砂，粗骨料的最大粒径应小于</w:t>
      </w:r>
      <w:r>
        <w:t>40mm</w:t>
      </w:r>
      <w:r>
        <w:rPr>
          <w:rFonts w:hint="eastAsia"/>
        </w:rPr>
        <w:t>。</w:t>
      </w:r>
    </w:p>
    <w:p w14:paraId="1FC1ED59">
      <w:pPr>
        <w:pStyle w:val="112"/>
      </w:pPr>
      <w:r>
        <w:rPr>
          <w:rFonts w:hint="eastAsia"/>
        </w:rPr>
        <w:t>水下导管对最大骨料为</w:t>
      </w:r>
      <w:r>
        <w:t>20mm</w:t>
      </w:r>
      <w:r>
        <w:rPr>
          <w:rFonts w:hint="eastAsia"/>
        </w:rPr>
        <w:t>的混凝土，应不少于</w:t>
      </w:r>
      <w:r>
        <w:t>200mm</w:t>
      </w:r>
      <w:r>
        <w:rPr>
          <w:rFonts w:hint="eastAsia"/>
        </w:rPr>
        <w:t>直径；对粗骨料为</w:t>
      </w:r>
      <w:r>
        <w:t>40mm</w:t>
      </w:r>
      <w:r>
        <w:rPr>
          <w:rFonts w:hint="eastAsia"/>
        </w:rPr>
        <w:t>的，不少于</w:t>
      </w:r>
      <w:r>
        <w:t>250mm</w:t>
      </w:r>
      <w:r>
        <w:rPr>
          <w:rFonts w:hint="eastAsia"/>
        </w:rPr>
        <w:t>直径。初始时导管应放至离桩底</w:t>
      </w:r>
      <w:r>
        <w:t>300~500mm</w:t>
      </w:r>
      <w:r>
        <w:rPr>
          <w:rFonts w:hint="eastAsia"/>
        </w:rPr>
        <w:t>处，导管由灵活的联接口相连，各部分能灵活移动，节点用防水型圈或其它有效方法处理。</w:t>
      </w:r>
    </w:p>
    <w:p w14:paraId="0569CB11">
      <w:pPr>
        <w:pStyle w:val="112"/>
      </w:pPr>
      <w:r>
        <w:rPr>
          <w:rFonts w:hint="eastAsia"/>
        </w:rPr>
        <w:t>导管上面应连接一个合适尺寸的漏斗，该漏斗能适合导管长度，提供混凝土速度，任何时候提升、降低漏斗及导管的移动都须满足要求。在第一次浇筑混凝土前，在管中吊住一个塞子，它由于浇混凝土时混凝土重量而向下滑动，以防止泥浆或水倒灌。导管口须置在桩底部且埋在混凝土中</w:t>
      </w:r>
      <w:r>
        <w:t>2m</w:t>
      </w:r>
      <w:r>
        <w:rPr>
          <w:rFonts w:hint="eastAsia"/>
        </w:rPr>
        <w:t>至</w:t>
      </w:r>
      <w:r>
        <w:t>6m</w:t>
      </w:r>
      <w:r>
        <w:rPr>
          <w:rFonts w:hint="eastAsia"/>
        </w:rPr>
        <w:t>，应提供一些测深装置测量混凝土面，从而使导管在混凝土中有足够深度。控制混凝土捣制，导管不断地拆换，以免阻碍混凝土捣制，边提升导管边捣制混凝土，若有控制导管出混凝土量的必要，必须小心以避免导管由于不断提升而离开混凝土面。</w:t>
      </w:r>
    </w:p>
    <w:p w14:paraId="055740C8">
      <w:pPr>
        <w:pStyle w:val="112"/>
      </w:pPr>
      <w:r>
        <w:rPr>
          <w:rFonts w:hint="eastAsia"/>
        </w:rPr>
        <w:t>若导管提出混凝土面，必须记录该位置，必须更换有活塞的导管，以免泥浆或水进入管中。</w:t>
      </w:r>
    </w:p>
    <w:p w14:paraId="573CE976">
      <w:pPr>
        <w:pStyle w:val="112"/>
      </w:pPr>
      <w:r>
        <w:rPr>
          <w:rFonts w:hint="eastAsia"/>
        </w:rPr>
        <w:t>水下混凝土捣制在凿桩头平面以上</w:t>
      </w:r>
      <w:r>
        <w:t>1m</w:t>
      </w:r>
      <w:r>
        <w:rPr>
          <w:rFonts w:hint="eastAsia"/>
        </w:rPr>
        <w:t>或桩长</w:t>
      </w:r>
      <w:r>
        <w:t>5%</w:t>
      </w:r>
      <w:r>
        <w:rPr>
          <w:rFonts w:hint="eastAsia"/>
        </w:rPr>
        <w:t>处停止，保证在凿去桩头混凝土浮浆后有比要求平面高</w:t>
      </w:r>
      <w:r>
        <w:t>100mm</w:t>
      </w:r>
      <w:r>
        <w:rPr>
          <w:rFonts w:hint="eastAsia"/>
        </w:rPr>
        <w:t>的坚固混凝土。</w:t>
      </w:r>
    </w:p>
    <w:p w14:paraId="4C61818A">
      <w:pPr>
        <w:pStyle w:val="110"/>
      </w:pPr>
      <w:r>
        <w:rPr>
          <w:rFonts w:hint="eastAsia"/>
        </w:rPr>
        <w:t>压力灌浆</w:t>
      </w:r>
    </w:p>
    <w:p w14:paraId="139CF8ED">
      <w:pPr>
        <w:pStyle w:val="112"/>
      </w:pPr>
      <w:r>
        <w:rPr>
          <w:rFonts w:hint="eastAsia"/>
        </w:rPr>
        <w:t>若在设计图上注明或按设计单位要求，桩下压力灌浆由承包方按以下要求进行。</w:t>
      </w:r>
    </w:p>
    <w:p w14:paraId="0564F8AA">
      <w:pPr>
        <w:pStyle w:val="112"/>
      </w:pPr>
      <w:r>
        <w:rPr>
          <w:rFonts w:hint="eastAsia"/>
        </w:rPr>
        <w:t>甲方法：</w:t>
      </w:r>
    </w:p>
    <w:p w14:paraId="0C57872F">
      <w:pPr>
        <w:pStyle w:val="112"/>
        <w:numPr>
          <w:ilvl w:val="0"/>
          <w:numId w:val="0"/>
        </w:numPr>
        <w:ind w:left="964"/>
      </w:pPr>
      <w:r>
        <w:rPr>
          <w:rFonts w:hint="eastAsia"/>
        </w:rPr>
        <w:t>应在桩底下钻一个</w:t>
      </w:r>
      <w:r>
        <w:t>100mm</w:t>
      </w:r>
      <w:r>
        <w:rPr>
          <w:rFonts w:hint="eastAsia"/>
        </w:rPr>
        <w:t>直径大小的孔，深度为</w:t>
      </w:r>
      <w:r>
        <w:t>5m</w:t>
      </w:r>
      <w:r>
        <w:rPr>
          <w:rFonts w:hint="eastAsia"/>
        </w:rPr>
        <w:t>，两条最小直径为</w:t>
      </w:r>
      <w:r>
        <w:t>25mm</w:t>
      </w:r>
      <w:r>
        <w:rPr>
          <w:rFonts w:hint="eastAsia"/>
        </w:rPr>
        <w:t>的灌浆管放置在孔底（一个在钻孔底，另一个在桩底平面</w:t>
      </w:r>
      <w:r>
        <w:t>)</w:t>
      </w:r>
      <w:r>
        <w:rPr>
          <w:rFonts w:hint="eastAsia"/>
        </w:rPr>
        <w:t>。在开始灌浆前，承包方应将使用的灌浆配合比提交给设计单位，并征求同意。搅拌机能提供连续的灌浆用水泥浆，且水泥浆能用要求的灌浆压力输送，在开始灌浆前，用干净的水冲洗灌浆系统，灌浆应持续压入钻孔内的导管中直到从回管中出现（到桩底平面处</w:t>
      </w:r>
      <w:r>
        <w:t>)</w:t>
      </w:r>
      <w:r>
        <w:rPr>
          <w:rFonts w:hint="eastAsia"/>
        </w:rPr>
        <w:t>。直至达到要求的压力，然后才抽出回流管。</w:t>
      </w:r>
    </w:p>
    <w:p w14:paraId="5C60A3C6">
      <w:pPr>
        <w:pStyle w:val="112"/>
      </w:pPr>
      <w:r>
        <w:rPr>
          <w:rFonts w:hint="eastAsia"/>
        </w:rPr>
        <w:t>乙方法：</w:t>
      </w:r>
    </w:p>
    <w:p w14:paraId="65B2F010">
      <w:pPr>
        <w:pStyle w:val="112"/>
        <w:numPr>
          <w:ilvl w:val="0"/>
          <w:numId w:val="0"/>
        </w:numPr>
        <w:ind w:left="964"/>
      </w:pPr>
      <w:r>
        <w:rPr>
          <w:rFonts w:hint="eastAsia"/>
        </w:rPr>
        <w:t>若由设计单位指导，在灌浆前，</w:t>
      </w:r>
      <w:r>
        <w:t>4</w:t>
      </w:r>
      <w:r>
        <w:rPr>
          <w:rFonts w:hint="eastAsia"/>
        </w:rPr>
        <w:t>条直径</w:t>
      </w:r>
      <w:r>
        <w:t>25mm</w:t>
      </w:r>
      <w:r>
        <w:rPr>
          <w:rFonts w:hint="eastAsia"/>
        </w:rPr>
        <w:t>的</w:t>
      </w:r>
      <w:r>
        <w:t>PVC</w:t>
      </w:r>
      <w:r>
        <w:rPr>
          <w:rFonts w:hint="eastAsia"/>
        </w:rPr>
        <w:t>导管应安装在桩中。这些导管从桩底平面延伸至比桩顶高</w:t>
      </w:r>
      <w:r>
        <w:t>1m</w:t>
      </w:r>
      <w:r>
        <w:rPr>
          <w:rFonts w:hint="eastAsia"/>
        </w:rPr>
        <w:t>的地方，而均匀分布在桩周。每根导管需安装一个活塞，可以随意开关，并能保持管内压力。在灌浆开始前，应提交预定的详细灌浆配比，并征得设计单位同意。浆应输入每个导管直至达到</w:t>
      </w:r>
      <w:r>
        <w:t>3Mpa</w:t>
      </w:r>
      <w:r>
        <w:rPr>
          <w:rFonts w:hint="eastAsia"/>
        </w:rPr>
        <w:t>的压力，这压力能保持数分钟或由发包方及设计单位指导的时间。</w:t>
      </w:r>
    </w:p>
    <w:p w14:paraId="0A559D09">
      <w:pPr>
        <w:pStyle w:val="112"/>
      </w:pPr>
      <w:r>
        <w:rPr>
          <w:rFonts w:hint="eastAsia"/>
        </w:rPr>
        <w:t>对甲法和乙法，承包方应保留灌浆详细记录：每条管灌浆日期、压力记录、中断的详细情况，使用的灌浆体积。在灌浆三天内将这些记录提交给设计单位。</w:t>
      </w:r>
    </w:p>
    <w:p w14:paraId="4FD0ECD4">
      <w:pPr>
        <w:pStyle w:val="110"/>
      </w:pPr>
      <w:r>
        <w:rPr>
          <w:rFonts w:hint="eastAsia"/>
        </w:rPr>
        <w:t>钻孔回填</w:t>
      </w:r>
    </w:p>
    <w:p w14:paraId="7F889747">
      <w:pPr>
        <w:pStyle w:val="112"/>
        <w:numPr>
          <w:ilvl w:val="0"/>
          <w:numId w:val="0"/>
        </w:numPr>
        <w:ind w:left="964"/>
      </w:pPr>
      <w:r>
        <w:rPr>
          <w:rFonts w:hint="eastAsia"/>
        </w:rPr>
        <w:t>钻孔灌注桩在实际灌注高度以上的钻孔须以粗砂回填至地面，以防止塌孔及影响相邻钻孔桩的施工。</w:t>
      </w:r>
    </w:p>
    <w:p w14:paraId="63D3D819">
      <w:pPr>
        <w:pStyle w:val="110"/>
      </w:pPr>
      <w:r>
        <w:rPr>
          <w:rFonts w:hint="eastAsia"/>
        </w:rPr>
        <w:t>桩芯试验</w:t>
      </w:r>
    </w:p>
    <w:p w14:paraId="28D598A5">
      <w:pPr>
        <w:pStyle w:val="112"/>
      </w:pPr>
      <w:r>
        <w:rPr>
          <w:rFonts w:hint="eastAsia"/>
        </w:rPr>
        <w:t>由监理单位、设计单位选定工程桩作钻孔抽芯检查，钻孔抽芯数目按设计图纸要求。低应变动测检测发现完整性不合格的桩，</w:t>
      </w:r>
      <w:r>
        <w:t xml:space="preserve"> </w:t>
      </w:r>
      <w:r>
        <w:rPr>
          <w:rFonts w:hint="eastAsia"/>
        </w:rPr>
        <w:t>应用钻孔抽芯法验证。承包方采用一个大于</w:t>
      </w:r>
      <w:r>
        <w:t>100mm</w:t>
      </w:r>
      <w:r>
        <w:rPr>
          <w:rFonts w:hint="eastAsia"/>
        </w:rPr>
        <w:t>直径的岩心钻，由发包方及设计单位选择的桩进行通长取芯。对支承在基岩上的桩，桩芯应取至桩底下</w:t>
      </w:r>
      <w:r>
        <w:t>600mm</w:t>
      </w:r>
      <w:r>
        <w:rPr>
          <w:rFonts w:hint="eastAsia"/>
        </w:rPr>
        <w:t>的物质。对于桩支承在土上，钻至桩底以下</w:t>
      </w:r>
      <w:r>
        <w:t>3</w:t>
      </w:r>
      <w:r>
        <w:rPr>
          <w:rFonts w:hint="eastAsia"/>
        </w:rPr>
        <w:t>倍桩径且不应少于</w:t>
      </w:r>
      <w:r>
        <w:t>3</w:t>
      </w:r>
      <w:r>
        <w:rPr>
          <w:rFonts w:hint="eastAsia"/>
        </w:rPr>
        <w:t>米时停止，钻至桩底时，应即在桩底下进行标准贯入试验。</w:t>
      </w:r>
    </w:p>
    <w:p w14:paraId="6264B672">
      <w:pPr>
        <w:pStyle w:val="112"/>
      </w:pPr>
      <w:r>
        <w:rPr>
          <w:rFonts w:hint="eastAsia"/>
        </w:rPr>
        <w:t>钻孔抽芯时混凝土龄期不得少于</w:t>
      </w:r>
      <w:r>
        <w:t>28</w:t>
      </w:r>
      <w:r>
        <w:rPr>
          <w:rFonts w:hint="eastAsia"/>
        </w:rPr>
        <w:t>天。</w:t>
      </w:r>
    </w:p>
    <w:p w14:paraId="41051907">
      <w:pPr>
        <w:pStyle w:val="112"/>
      </w:pPr>
      <w:r>
        <w:rPr>
          <w:rFonts w:hint="eastAsia"/>
        </w:rPr>
        <w:t>桩基钻孔数量应根据桩径</w:t>
      </w:r>
      <w:r>
        <w:t>D</w:t>
      </w:r>
      <w:r>
        <w:rPr>
          <w:rFonts w:hint="eastAsia"/>
        </w:rPr>
        <w:t>大小确定：</w:t>
      </w:r>
    </w:p>
    <w:p w14:paraId="6EB876BB">
      <w:pPr>
        <w:pStyle w:val="114"/>
      </w:pPr>
      <w:r>
        <w:t xml:space="preserve">D&lt;1.2m， </w:t>
      </w:r>
      <w:r>
        <w:rPr>
          <w:rFonts w:hint="eastAsia"/>
        </w:rPr>
        <w:t>每桩一孔；</w:t>
      </w:r>
    </w:p>
    <w:p w14:paraId="66B40E60">
      <w:pPr>
        <w:pStyle w:val="114"/>
      </w:pPr>
      <w:r>
        <w:t xml:space="preserve">1.2m &lt; D &lt; 1.6m， </w:t>
      </w:r>
      <w:r>
        <w:rPr>
          <w:rFonts w:hint="eastAsia"/>
        </w:rPr>
        <w:t>每桩宜钻二孔；</w:t>
      </w:r>
    </w:p>
    <w:p w14:paraId="49023A7C">
      <w:pPr>
        <w:pStyle w:val="114"/>
      </w:pPr>
      <w:r>
        <w:t xml:space="preserve">D&gt;1.6m， </w:t>
      </w:r>
      <w:r>
        <w:rPr>
          <w:rFonts w:hint="eastAsia"/>
        </w:rPr>
        <w:t>每桩宜钻三孔。</w:t>
      </w:r>
    </w:p>
    <w:p w14:paraId="11658271">
      <w:pPr>
        <w:pStyle w:val="112"/>
      </w:pPr>
      <w:r>
        <w:rPr>
          <w:rFonts w:hint="eastAsia"/>
        </w:rPr>
        <w:t>桩芯取样应准确放在芯样盒中，标上桩号及深度。设计单位或监理单位可要求从桩芯取得的一系列试样送到试验室验压。</w:t>
      </w:r>
    </w:p>
    <w:p w14:paraId="1BE1D208">
      <w:pPr>
        <w:pStyle w:val="112"/>
      </w:pPr>
      <w:r>
        <w:rPr>
          <w:rFonts w:hint="eastAsia"/>
        </w:rPr>
        <w:t>混凝土抗压芯样试件采取数量应符合以下规定：</w:t>
      </w:r>
    </w:p>
    <w:p w14:paraId="48187E03">
      <w:pPr>
        <w:pStyle w:val="114"/>
      </w:pPr>
      <w:r>
        <w:rPr>
          <w:rFonts w:hint="eastAsia"/>
        </w:rPr>
        <w:t>桩长小于</w:t>
      </w:r>
      <w:r>
        <w:t>10m</w:t>
      </w:r>
      <w:r>
        <w:rPr>
          <w:rFonts w:hint="eastAsia"/>
        </w:rPr>
        <w:t>时，每孔应在上半部和下半部取代表性芯样</w:t>
      </w:r>
      <w:r>
        <w:t>2</w:t>
      </w:r>
      <w:r>
        <w:rPr>
          <w:rFonts w:hint="eastAsia"/>
        </w:rPr>
        <w:t>组。</w:t>
      </w:r>
    </w:p>
    <w:p w14:paraId="0F4C9B2F">
      <w:pPr>
        <w:pStyle w:val="114"/>
      </w:pPr>
      <w:r>
        <w:rPr>
          <w:rFonts w:hint="eastAsia"/>
        </w:rPr>
        <w:t>桩长在</w:t>
      </w:r>
      <w:r>
        <w:t>10~30m</w:t>
      </w:r>
      <w:r>
        <w:rPr>
          <w:rFonts w:hint="eastAsia"/>
        </w:rPr>
        <w:t>时，每孔应在上、中、下三个部位分别选取有代表性芯样</w:t>
      </w:r>
      <w:r>
        <w:t>3</w:t>
      </w:r>
      <w:r>
        <w:rPr>
          <w:rFonts w:hint="eastAsia"/>
        </w:rPr>
        <w:t>组。</w:t>
      </w:r>
    </w:p>
    <w:p w14:paraId="351FD5F7">
      <w:pPr>
        <w:pStyle w:val="114"/>
      </w:pPr>
      <w:r>
        <w:rPr>
          <w:rFonts w:hint="eastAsia"/>
        </w:rPr>
        <w:t>桩长大于</w:t>
      </w:r>
      <w:r>
        <w:t>30m</w:t>
      </w:r>
      <w:r>
        <w:rPr>
          <w:rFonts w:hint="eastAsia"/>
        </w:rPr>
        <w:t>时，每孔选取不少于</w:t>
      </w:r>
      <w:r>
        <w:t>4</w:t>
      </w:r>
      <w:r>
        <w:rPr>
          <w:rFonts w:hint="eastAsia"/>
        </w:rPr>
        <w:t>组代表性芯样。</w:t>
      </w:r>
    </w:p>
    <w:p w14:paraId="24B8C678">
      <w:pPr>
        <w:pStyle w:val="112"/>
      </w:pPr>
      <w:r>
        <w:rPr>
          <w:rFonts w:hint="eastAsia"/>
        </w:rPr>
        <w:t>若桩芯或试验结果表明混凝土质量有问题，承包方应承担须增加的桩芯试验及由设计单位要求的加桩或其他处理的费用及相应的工期。</w:t>
      </w:r>
    </w:p>
    <w:p w14:paraId="51586DAE">
      <w:pPr>
        <w:pStyle w:val="110"/>
      </w:pPr>
      <w:r>
        <w:rPr>
          <w:rFonts w:hint="eastAsia"/>
        </w:rPr>
        <w:t>桩低应变动测检验</w:t>
      </w:r>
    </w:p>
    <w:p w14:paraId="72469567">
      <w:pPr>
        <w:pStyle w:val="112"/>
      </w:pPr>
      <w:r>
        <w:rPr>
          <w:rFonts w:hint="eastAsia"/>
        </w:rPr>
        <w:t>由设计单位、监理单位选定工程桩作低应变动测检验，检测桩数目按设计图纸及相应检测规范要求，且每根柱下单桩必须检验。</w:t>
      </w:r>
    </w:p>
    <w:p w14:paraId="1F1BBDF8">
      <w:pPr>
        <w:pStyle w:val="112"/>
      </w:pPr>
      <w:r>
        <w:rPr>
          <w:rFonts w:hint="eastAsia"/>
        </w:rPr>
        <w:t>若桩身存在明显缺陷，应采用钻孔抽芯进一步抽检确定其可用性。</w:t>
      </w:r>
    </w:p>
    <w:p w14:paraId="45482B6E">
      <w:pPr>
        <w:pStyle w:val="112"/>
      </w:pPr>
      <w:r>
        <w:rPr>
          <w:rFonts w:hint="eastAsia"/>
        </w:rPr>
        <w:t>若桩身存在严重缺陷或断桩，则视为桩破坏而不可应用。承包方应承担补桩及改变结构等措施所增加的一切费用及相应的工期。</w:t>
      </w:r>
    </w:p>
    <w:p w14:paraId="22307272">
      <w:pPr>
        <w:pStyle w:val="110"/>
      </w:pPr>
      <w:r>
        <w:rPr>
          <w:rFonts w:hint="eastAsia"/>
        </w:rPr>
        <w:t>冬季施工</w:t>
      </w:r>
    </w:p>
    <w:p w14:paraId="4EBA165E">
      <w:pPr>
        <w:pStyle w:val="112"/>
        <w:numPr>
          <w:ilvl w:val="0"/>
          <w:numId w:val="0"/>
        </w:numPr>
        <w:ind w:left="964"/>
      </w:pPr>
      <w:r>
        <w:rPr>
          <w:rFonts w:hint="eastAsia"/>
        </w:rPr>
        <w:t>如本工程全部或部分需于冬季进行施工，则应按《建筑工程冬季施工规程》的有关规定，根据地基的主要冻土性能指标，采取相应的措施。</w:t>
      </w:r>
    </w:p>
    <w:p w14:paraId="4A512001">
      <w:pPr>
        <w:pStyle w:val="110"/>
      </w:pPr>
      <w:r>
        <w:rPr>
          <w:rFonts w:hint="eastAsia"/>
        </w:rPr>
        <w:t>其它专业配合</w:t>
      </w:r>
    </w:p>
    <w:p w14:paraId="50A3E1C1">
      <w:pPr>
        <w:pStyle w:val="112"/>
        <w:numPr>
          <w:ilvl w:val="0"/>
          <w:numId w:val="0"/>
        </w:numPr>
        <w:ind w:left="964"/>
      </w:pPr>
      <w:r>
        <w:rPr>
          <w:rFonts w:hint="eastAsia"/>
        </w:rPr>
        <w:t>桩施工应配合电气专业防雷接地要求进行。</w:t>
      </w:r>
    </w:p>
    <w:p w14:paraId="29BADF2F">
      <w:pPr>
        <w:pStyle w:val="110"/>
      </w:pPr>
      <w:r>
        <w:rPr>
          <w:rFonts w:hint="eastAsia"/>
        </w:rPr>
        <w:t>试桩周期</w:t>
      </w:r>
    </w:p>
    <w:p w14:paraId="73912F32">
      <w:pPr>
        <w:pStyle w:val="112"/>
        <w:numPr>
          <w:ilvl w:val="0"/>
          <w:numId w:val="0"/>
        </w:numPr>
        <w:ind w:left="964"/>
      </w:pPr>
      <w:r>
        <w:rPr>
          <w:rFonts w:hint="eastAsia"/>
        </w:rPr>
        <w:t>进行试桩时间，不应少于保养期</w:t>
      </w:r>
      <w:r>
        <w:t>28</w:t>
      </w:r>
      <w:r>
        <w:rPr>
          <w:rFonts w:hint="eastAsia"/>
        </w:rPr>
        <w:t>天。</w:t>
      </w:r>
    </w:p>
    <w:p w14:paraId="23B5A0D0">
      <w:pPr>
        <w:pStyle w:val="110"/>
      </w:pPr>
      <w:r>
        <w:rPr>
          <w:rFonts w:hint="eastAsia"/>
        </w:rPr>
        <w:t>工程验收</w:t>
      </w:r>
    </w:p>
    <w:p w14:paraId="4ACFDC14">
      <w:pPr>
        <w:pStyle w:val="112"/>
        <w:numPr>
          <w:ilvl w:val="0"/>
          <w:numId w:val="0"/>
        </w:numPr>
        <w:ind w:left="964"/>
      </w:pPr>
      <w:r>
        <w:rPr>
          <w:rFonts w:hint="eastAsia"/>
        </w:rPr>
        <w:t>工程验收按《建筑地基基础工程施工质量验收规范》</w:t>
      </w:r>
      <w:r>
        <w:t xml:space="preserve"> (GB50202-2002)</w:t>
      </w:r>
      <w:r>
        <w:rPr>
          <w:rFonts w:hint="eastAsia"/>
        </w:rPr>
        <w:t>及有关标准进行。</w:t>
      </w:r>
    </w:p>
    <w:p w14:paraId="0F3CB937">
      <w:pPr>
        <w:pStyle w:val="119"/>
      </w:pPr>
      <w:bookmarkStart w:id="30" w:name="_Toc136956823"/>
      <w:r>
        <w:rPr>
          <w:rFonts w:hint="eastAsia"/>
        </w:rPr>
        <w:t>预应力管桩</w:t>
      </w:r>
      <w:bookmarkEnd w:id="30"/>
    </w:p>
    <w:p w14:paraId="27A58910">
      <w:pPr>
        <w:widowControl/>
        <w:spacing w:line="360" w:lineRule="auto"/>
        <w:ind w:left="853" w:hanging="853" w:hangingChars="472"/>
        <w:rPr>
          <w:rFonts w:ascii="黑体" w:hAnsi="黑体" w:eastAsia="黑体" w:cs="宋体"/>
          <w:color w:val="000000"/>
          <w:kern w:val="0"/>
          <w:sz w:val="18"/>
          <w:szCs w:val="18"/>
        </w:rPr>
      </w:pPr>
      <w:r>
        <w:rPr>
          <w:rStyle w:val="124"/>
        </w:rPr>
        <w:t xml:space="preserve">4.3.1  </w:t>
      </w:r>
      <w:r>
        <w:rPr>
          <w:rFonts w:ascii="黑体" w:hAnsi="黑体" w:eastAsia="黑体"/>
          <w:sz w:val="18"/>
          <w:szCs w:val="18"/>
        </w:rPr>
        <w:t xml:space="preserve">    </w:t>
      </w:r>
      <w:r>
        <w:rPr>
          <w:rFonts w:ascii="黑体" w:hAnsi="黑体" w:eastAsia="黑体" w:cs="宋体"/>
          <w:color w:val="000000"/>
          <w:kern w:val="0"/>
          <w:sz w:val="18"/>
          <w:szCs w:val="18"/>
        </w:rPr>
        <w:t>施工准备</w:t>
      </w:r>
    </w:p>
    <w:p w14:paraId="614DD508">
      <w:pPr>
        <w:widowControl/>
        <w:spacing w:line="360" w:lineRule="auto"/>
        <w:ind w:firstLine="360" w:firstLineChars="200"/>
        <w:rPr>
          <w:rFonts w:ascii="黑体" w:hAnsi="黑体" w:eastAsia="黑体" w:cs="宋体"/>
          <w:color w:val="000000"/>
          <w:kern w:val="0"/>
          <w:sz w:val="18"/>
          <w:szCs w:val="18"/>
        </w:rPr>
      </w:pPr>
      <w:r>
        <w:rPr>
          <w:rFonts w:ascii="黑体" w:hAnsi="黑体" w:eastAsia="黑体" w:cs="宋体"/>
          <w:color w:val="000000"/>
          <w:kern w:val="0"/>
          <w:sz w:val="18"/>
          <w:szCs w:val="18"/>
        </w:rPr>
        <w:t>1</w:t>
      </w:r>
      <w:r>
        <w:rPr>
          <w:rFonts w:hint="eastAsia" w:ascii="黑体" w:hAnsi="黑体" w:eastAsia="黑体" w:cs="宋体"/>
          <w:color w:val="000000"/>
          <w:kern w:val="0"/>
          <w:sz w:val="18"/>
          <w:szCs w:val="18"/>
        </w:rPr>
        <w:t xml:space="preserve">． </w:t>
      </w:r>
      <w:r>
        <w:rPr>
          <w:rFonts w:ascii="黑体" w:hAnsi="黑体" w:eastAsia="黑体" w:cs="宋体"/>
          <w:color w:val="000000"/>
          <w:kern w:val="0"/>
          <w:sz w:val="18"/>
          <w:szCs w:val="18"/>
        </w:rPr>
        <w:t xml:space="preserve">   材料及主要机具：</w:t>
      </w:r>
    </w:p>
    <w:p w14:paraId="56C86B77">
      <w:pPr>
        <w:pStyle w:val="51"/>
        <w:widowControl/>
        <w:numPr>
          <w:ilvl w:val="1"/>
          <w:numId w:val="14"/>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预制钢筋混凝土桩：规格质量必须符合设计要求和施工规范的规定，并有出厂合格证。</w:t>
      </w:r>
      <w:r>
        <w:rPr>
          <w:rFonts w:hint="eastAsia" w:ascii="黑体" w:hAnsi="黑体" w:eastAsia="黑体" w:cs="宋体"/>
          <w:color w:val="000000"/>
          <w:kern w:val="0"/>
          <w:sz w:val="18"/>
          <w:szCs w:val="18"/>
        </w:rPr>
        <w:t>桩进场后进行外观及尺寸检查。</w:t>
      </w:r>
    </w:p>
    <w:p w14:paraId="0363003A">
      <w:pPr>
        <w:pStyle w:val="51"/>
        <w:widowControl/>
        <w:numPr>
          <w:ilvl w:val="1"/>
          <w:numId w:val="14"/>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焊条(接桩用)：型号、性能必须符合设计要求和有关标准的规定，一般宜用E43牌号。</w:t>
      </w:r>
    </w:p>
    <w:p w14:paraId="71AEA594">
      <w:pPr>
        <w:pStyle w:val="51"/>
        <w:widowControl/>
        <w:numPr>
          <w:ilvl w:val="1"/>
          <w:numId w:val="14"/>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钢板(接桩用)：材质、规格符合设计要求，宜用低碳钢。</w:t>
      </w:r>
    </w:p>
    <w:p w14:paraId="1D1E0F43">
      <w:pPr>
        <w:pStyle w:val="51"/>
        <w:widowControl/>
        <w:numPr>
          <w:ilvl w:val="1"/>
          <w:numId w:val="14"/>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主要机具有：打</w:t>
      </w:r>
      <w:r>
        <w:rPr>
          <w:rFonts w:hint="eastAsia" w:ascii="黑体" w:hAnsi="黑体" w:eastAsia="黑体" w:cs="宋体"/>
          <w:color w:val="000000"/>
          <w:kern w:val="0"/>
          <w:sz w:val="18"/>
          <w:szCs w:val="18"/>
        </w:rPr>
        <w:t>（压）</w:t>
      </w:r>
      <w:r>
        <w:rPr>
          <w:rFonts w:ascii="黑体" w:hAnsi="黑体" w:eastAsia="黑体" w:cs="宋体"/>
          <w:color w:val="000000"/>
          <w:kern w:val="0"/>
          <w:sz w:val="18"/>
          <w:szCs w:val="18"/>
        </w:rPr>
        <w:t>桩机、电焊机、桩帽、运桩小车。索具、钢丝绳、钢垫板或槽钢，以及木折尺等。</w:t>
      </w:r>
    </w:p>
    <w:p w14:paraId="12D62B49">
      <w:pPr>
        <w:widowControl/>
        <w:spacing w:line="360" w:lineRule="auto"/>
        <w:ind w:firstLine="360" w:firstLineChars="200"/>
        <w:rPr>
          <w:rFonts w:ascii="黑体" w:hAnsi="黑体" w:eastAsia="黑体" w:cs="宋体"/>
          <w:color w:val="000000"/>
          <w:kern w:val="0"/>
          <w:sz w:val="18"/>
          <w:szCs w:val="18"/>
        </w:rPr>
      </w:pPr>
      <w:r>
        <w:rPr>
          <w:rFonts w:ascii="黑体" w:hAnsi="黑体" w:eastAsia="黑体" w:cs="宋体"/>
          <w:color w:val="000000"/>
          <w:kern w:val="0"/>
          <w:sz w:val="18"/>
          <w:szCs w:val="18"/>
        </w:rPr>
        <w:t>2</w:t>
      </w:r>
      <w:r>
        <w:rPr>
          <w:rFonts w:hint="eastAsia" w:ascii="黑体" w:hAnsi="黑体" w:eastAsia="黑体" w:cs="宋体"/>
          <w:color w:val="000000"/>
          <w:kern w:val="0"/>
          <w:sz w:val="18"/>
          <w:szCs w:val="18"/>
        </w:rPr>
        <w:t xml:space="preserve">． </w:t>
      </w:r>
      <w:r>
        <w:rPr>
          <w:rFonts w:ascii="黑体" w:hAnsi="黑体" w:eastAsia="黑体" w:cs="宋体"/>
          <w:color w:val="000000"/>
          <w:kern w:val="0"/>
          <w:sz w:val="18"/>
          <w:szCs w:val="18"/>
        </w:rPr>
        <w:t xml:space="preserve">   作业条件：</w:t>
      </w:r>
    </w:p>
    <w:p w14:paraId="1E7C832B">
      <w:pPr>
        <w:pStyle w:val="51"/>
        <w:widowControl/>
        <w:numPr>
          <w:ilvl w:val="1"/>
          <w:numId w:val="15"/>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桩基的轴线和标高均已测定完毕，并经过检查办了预检手续。桩基的轴线和高程的控制桩，应设置在不受打桩影响的地点，并应妥善加以保护。</w:t>
      </w:r>
    </w:p>
    <w:p w14:paraId="3F23E495">
      <w:pPr>
        <w:pStyle w:val="51"/>
        <w:widowControl/>
        <w:numPr>
          <w:ilvl w:val="1"/>
          <w:numId w:val="15"/>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处理完高空和地下的障碍物。如影响邻近建筑物或构筑物的使用或安全时，应会同有关单位采取有效措施，予以处理。</w:t>
      </w:r>
    </w:p>
    <w:p w14:paraId="5A89B56A">
      <w:pPr>
        <w:pStyle w:val="51"/>
        <w:widowControl/>
        <w:numPr>
          <w:ilvl w:val="1"/>
          <w:numId w:val="15"/>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根据轴线放出桩位线，用木橛或钢筋头钉好桩位，并用白灰作标志，以便于施打。</w:t>
      </w:r>
    </w:p>
    <w:p w14:paraId="1FBFA8CD">
      <w:pPr>
        <w:pStyle w:val="51"/>
        <w:widowControl/>
        <w:numPr>
          <w:ilvl w:val="1"/>
          <w:numId w:val="15"/>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场地应碾压平整，排水畅通，保证桩机的移动和稳定垂直。</w:t>
      </w:r>
    </w:p>
    <w:p w14:paraId="702ABEE3">
      <w:pPr>
        <w:pStyle w:val="51"/>
        <w:widowControl/>
        <w:numPr>
          <w:ilvl w:val="1"/>
          <w:numId w:val="15"/>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打试验桩。施工前必须打试验桩，其数量</w:t>
      </w:r>
      <w:r>
        <w:rPr>
          <w:rFonts w:hint="eastAsia" w:ascii="黑体" w:hAnsi="黑体" w:eastAsia="黑体" w:cs="宋体"/>
          <w:color w:val="000000"/>
          <w:kern w:val="0"/>
          <w:sz w:val="18"/>
          <w:szCs w:val="18"/>
        </w:rPr>
        <w:t>不</w:t>
      </w:r>
      <w:r>
        <w:rPr>
          <w:rFonts w:ascii="黑体" w:hAnsi="黑体" w:eastAsia="黑体" w:cs="宋体"/>
          <w:color w:val="000000"/>
          <w:kern w:val="0"/>
          <w:sz w:val="18"/>
          <w:szCs w:val="18"/>
        </w:rPr>
        <w:t>少于2根。确定贯入度并校验打桩设备、施工工艺以及技术措施是否适宜。</w:t>
      </w:r>
    </w:p>
    <w:p w14:paraId="03835D05">
      <w:pPr>
        <w:pStyle w:val="51"/>
        <w:widowControl/>
        <w:numPr>
          <w:ilvl w:val="1"/>
          <w:numId w:val="15"/>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要选择和确定打桩机进出路线和打桩顺序，制定施工方案，作好技术交底。</w:t>
      </w:r>
    </w:p>
    <w:p w14:paraId="34C0FC00">
      <w:pPr>
        <w:widowControl/>
        <w:spacing w:line="360" w:lineRule="auto"/>
        <w:rPr>
          <w:rFonts w:ascii="黑体" w:hAnsi="黑体" w:eastAsia="黑体" w:cs="宋体"/>
          <w:color w:val="000000"/>
          <w:kern w:val="0"/>
          <w:sz w:val="18"/>
          <w:szCs w:val="18"/>
        </w:rPr>
      </w:pPr>
      <w:r>
        <w:rPr>
          <w:rStyle w:val="124"/>
        </w:rPr>
        <w:t xml:space="preserve">4.3.2 </w:t>
      </w:r>
      <w:r>
        <w:rPr>
          <w:rFonts w:ascii="黑体" w:hAnsi="黑体" w:eastAsia="黑体" w:cs="宋体"/>
          <w:color w:val="000000"/>
          <w:kern w:val="0"/>
          <w:sz w:val="18"/>
          <w:szCs w:val="18"/>
        </w:rPr>
        <w:t xml:space="preserve">     操作工艺</w:t>
      </w:r>
    </w:p>
    <w:p w14:paraId="0EDFECC8">
      <w:pPr>
        <w:pStyle w:val="51"/>
        <w:widowControl/>
        <w:numPr>
          <w:ilvl w:val="1"/>
          <w:numId w:val="16"/>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工艺流程：就桩桩机 →起吊预制桩→稳桩 →打桩→接桩→送桩 →中间检查验收→移桩机至下一个桩位</w:t>
      </w:r>
    </w:p>
    <w:p w14:paraId="14E437F3">
      <w:pPr>
        <w:pStyle w:val="51"/>
        <w:widowControl/>
        <w:numPr>
          <w:ilvl w:val="1"/>
          <w:numId w:val="16"/>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就位桩机：打桩机就位时，应对准桩位，保证垂直稳定，在施工中不发生倾斜、移动。</w:t>
      </w:r>
    </w:p>
    <w:p w14:paraId="3CE8A903">
      <w:pPr>
        <w:pStyle w:val="51"/>
        <w:widowControl/>
        <w:numPr>
          <w:ilvl w:val="1"/>
          <w:numId w:val="16"/>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起吊预制桩：先拴好吊桩用的钢丝绳和索具，然后应用索具捆住桩上端吊环附近处，一般不宜超过30cm，再起动机器起吊预制桩，使桩尖垂直对准桩位中心，缓缓放下插入土中，位置要准确；再在桩顶扣好桩帽或桩箍，即可除去索具。</w:t>
      </w:r>
    </w:p>
    <w:p w14:paraId="67B1F496">
      <w:pPr>
        <w:pStyle w:val="51"/>
        <w:widowControl/>
        <w:numPr>
          <w:ilvl w:val="1"/>
          <w:numId w:val="16"/>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稳桩。桩尖插入桩位后，先用较小的落距冷锤1~2次，桩入上一定深度，再使桩垂直稳定。10m以内短桩可目测或用线坠双向校正；10m以上或打接桩必须用线坠或经纬仪双向校正，不得用目测。桩插入时垂直度偏差不得超过0.5%。桩在打入前，应在桩的侧面或桩架上设置标尺，以便在施工中观测、记录。</w:t>
      </w:r>
    </w:p>
    <w:p w14:paraId="3F2D3348">
      <w:pPr>
        <w:pStyle w:val="51"/>
        <w:widowControl/>
        <w:numPr>
          <w:ilvl w:val="1"/>
          <w:numId w:val="16"/>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打桩：用落锤或单动锤打桩时，锤的最大落距不宜超过1.0m。；用柴油锤打桩时，应使锤跳动正常。</w:t>
      </w:r>
    </w:p>
    <w:p w14:paraId="1CE8586B">
      <w:pPr>
        <w:pStyle w:val="51"/>
        <w:widowControl/>
        <w:numPr>
          <w:ilvl w:val="1"/>
          <w:numId w:val="1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打桩宜重锤低击，锤重的选择应根据工程地质条件、桩的类型、结构、密集程度及施工条件来选用。</w:t>
      </w:r>
    </w:p>
    <w:p w14:paraId="3F87FD45">
      <w:pPr>
        <w:pStyle w:val="51"/>
        <w:widowControl/>
        <w:numPr>
          <w:ilvl w:val="1"/>
          <w:numId w:val="17"/>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打桩顺序根据基础的设计标高，先深后浅；依桩的规格宜先大后小，先长后短。由于桩的密集程度不同，可自中间向两个心向对称进行或向四周进行；也可由一侧向单一方向进行。</w:t>
      </w:r>
    </w:p>
    <w:p w14:paraId="14F5F143">
      <w:pPr>
        <w:widowControl/>
        <w:spacing w:line="360" w:lineRule="auto"/>
        <w:ind w:firstLine="360" w:firstLineChars="200"/>
        <w:rPr>
          <w:rFonts w:ascii="黑体" w:hAnsi="黑体" w:eastAsia="黑体" w:cs="宋体"/>
          <w:color w:val="000000"/>
          <w:kern w:val="0"/>
          <w:sz w:val="18"/>
          <w:szCs w:val="18"/>
        </w:rPr>
      </w:pPr>
      <w:r>
        <w:rPr>
          <w:rFonts w:ascii="黑体" w:hAnsi="黑体" w:eastAsia="黑体" w:cs="宋体"/>
          <w:color w:val="000000"/>
          <w:kern w:val="0"/>
          <w:sz w:val="18"/>
          <w:szCs w:val="18"/>
        </w:rPr>
        <w:t>6.     接桩</w:t>
      </w:r>
    </w:p>
    <w:p w14:paraId="263A9E85">
      <w:pPr>
        <w:pStyle w:val="51"/>
        <w:widowControl/>
        <w:numPr>
          <w:ilvl w:val="1"/>
          <w:numId w:val="18"/>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在桩长不够的情况下，采用焊接接桩，其预制桩表面上的预埋件应清洁，上下节之间的间隙应用铁片垫实焊牢；焊接时，应采取措施，减少焊缝变形；焊缝应连续焊满。</w:t>
      </w:r>
    </w:p>
    <w:p w14:paraId="276C0BE3">
      <w:pPr>
        <w:pStyle w:val="51"/>
        <w:widowControl/>
        <w:numPr>
          <w:ilvl w:val="1"/>
          <w:numId w:val="18"/>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接桩时，一般在距地面lm左右时进行。上下节桩的中心线偏差不得大于10mm，节点折曲矢高不得大于l‰桩长。</w:t>
      </w:r>
    </w:p>
    <w:p w14:paraId="570C5248">
      <w:pPr>
        <w:pStyle w:val="51"/>
        <w:widowControl/>
        <w:numPr>
          <w:ilvl w:val="1"/>
          <w:numId w:val="18"/>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接桩处入土前，应对外露铁件，再次补刷防腐漆。</w:t>
      </w:r>
    </w:p>
    <w:p w14:paraId="6469981A">
      <w:pPr>
        <w:pStyle w:val="51"/>
        <w:widowControl/>
        <w:numPr>
          <w:ilvl w:val="1"/>
          <w:numId w:val="18"/>
        </w:numPr>
        <w:spacing w:line="360" w:lineRule="auto"/>
        <w:ind w:left="993" w:hanging="57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重要工程应做</w:t>
      </w:r>
      <w:r>
        <w:rPr>
          <w:rFonts w:ascii="黑体" w:hAnsi="黑体" w:eastAsia="黑体" w:cs="宋体"/>
          <w:color w:val="000000"/>
          <w:kern w:val="0"/>
          <w:sz w:val="18"/>
          <w:szCs w:val="18"/>
        </w:rPr>
        <w:t>10%的焊缝探伤检查。</w:t>
      </w:r>
    </w:p>
    <w:p w14:paraId="3E350047">
      <w:pPr>
        <w:pStyle w:val="51"/>
        <w:widowControl/>
        <w:numPr>
          <w:ilvl w:val="0"/>
          <w:numId w:val="19"/>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送桩：设计要求送桩时，则送桩的中心线应与桩身吻合一致，才能进行送桩。若桩顶不平，可用麻袋或厚纸垫平。 送桩留下的桩孔应立即回填密实。</w:t>
      </w:r>
    </w:p>
    <w:p w14:paraId="7DF26005">
      <w:pPr>
        <w:pStyle w:val="51"/>
        <w:widowControl/>
        <w:numPr>
          <w:ilvl w:val="0"/>
          <w:numId w:val="19"/>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检查验收：每根桩打到贯入度要求，桩尖标高进入持力层，接近设计标高时，或打至设计标高时，应进行中间验收。在控制时，一般要求最后三次十锤的平均贯入度，不大于规定的数值，或以桩尖打至设计标高来控制，符合设计要求后，填好施工记录。如发现桩位与要求相差较大时，应会同有关单位研究处理。然后移桩机到新桩位。</w:t>
      </w:r>
    </w:p>
    <w:p w14:paraId="7AA4D5EA">
      <w:pPr>
        <w:pStyle w:val="51"/>
        <w:widowControl/>
        <w:numPr>
          <w:ilvl w:val="0"/>
          <w:numId w:val="19"/>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打桩过程中，遇见下列情况应暂停，并及时与有关单位研究处理：</w:t>
      </w:r>
    </w:p>
    <w:p w14:paraId="1B9E1DBE">
      <w:pPr>
        <w:pStyle w:val="51"/>
        <w:widowControl/>
        <w:numPr>
          <w:ilvl w:val="0"/>
          <w:numId w:val="20"/>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贯入度剧变；</w:t>
      </w:r>
    </w:p>
    <w:p w14:paraId="4FF96FEE">
      <w:pPr>
        <w:pStyle w:val="51"/>
        <w:widowControl/>
        <w:numPr>
          <w:ilvl w:val="0"/>
          <w:numId w:val="20"/>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桩身突然发生倾斜、位移或有严重回弹；</w:t>
      </w:r>
    </w:p>
    <w:p w14:paraId="5A8674FE">
      <w:pPr>
        <w:pStyle w:val="51"/>
        <w:widowControl/>
        <w:numPr>
          <w:ilvl w:val="0"/>
          <w:numId w:val="20"/>
        </w:numPr>
        <w:spacing w:line="360" w:lineRule="auto"/>
        <w:ind w:left="993" w:hanging="567" w:firstLineChars="0"/>
        <w:rPr>
          <w:rFonts w:ascii="黑体" w:hAnsi="黑体" w:eastAsia="黑体" w:cs="宋体"/>
          <w:color w:val="000000"/>
          <w:kern w:val="0"/>
          <w:sz w:val="18"/>
          <w:szCs w:val="18"/>
        </w:rPr>
      </w:pPr>
      <w:r>
        <w:rPr>
          <w:rFonts w:ascii="黑体" w:hAnsi="黑体" w:eastAsia="黑体" w:cs="宋体"/>
          <w:color w:val="000000"/>
          <w:kern w:val="0"/>
          <w:sz w:val="18"/>
          <w:szCs w:val="18"/>
        </w:rPr>
        <w:t>桩项或桩身出现严重裂缝或破碎。</w:t>
      </w:r>
    </w:p>
    <w:p w14:paraId="0E77A57C">
      <w:pPr>
        <w:pStyle w:val="51"/>
        <w:widowControl/>
        <w:numPr>
          <w:ilvl w:val="0"/>
          <w:numId w:val="19"/>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待全部桩打完后，开挖至设计标高，</w:t>
      </w:r>
      <w:r>
        <w:rPr>
          <w:rFonts w:hint="eastAsia" w:ascii="黑体" w:hAnsi="黑体" w:eastAsia="黑体" w:cs="宋体"/>
          <w:color w:val="000000"/>
          <w:kern w:val="0"/>
          <w:sz w:val="18"/>
          <w:szCs w:val="18"/>
        </w:rPr>
        <w:t>应对承载力及桩体质量做检验</w:t>
      </w:r>
      <w:r>
        <w:rPr>
          <w:rFonts w:ascii="黑体" w:hAnsi="黑体" w:eastAsia="黑体" w:cs="宋体"/>
          <w:color w:val="000000"/>
          <w:kern w:val="0"/>
          <w:sz w:val="18"/>
          <w:szCs w:val="18"/>
        </w:rPr>
        <w:t>。并将技术资料提交总包。</w:t>
      </w:r>
    </w:p>
    <w:p w14:paraId="52762592">
      <w:pPr>
        <w:pStyle w:val="51"/>
        <w:widowControl/>
        <w:numPr>
          <w:ilvl w:val="0"/>
          <w:numId w:val="19"/>
        </w:numPr>
        <w:spacing w:line="360" w:lineRule="auto"/>
        <w:ind w:left="993" w:hanging="57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对长桩或总锤击数超过</w:t>
      </w:r>
      <w:r>
        <w:rPr>
          <w:rFonts w:ascii="黑体" w:hAnsi="黑体" w:eastAsia="黑体" w:cs="宋体"/>
          <w:color w:val="000000"/>
          <w:kern w:val="0"/>
          <w:sz w:val="18"/>
          <w:szCs w:val="18"/>
        </w:rPr>
        <w:t>500击的锤击数，应符合桩体长度及28d龄期的两项条件才能锤击数。</w:t>
      </w:r>
    </w:p>
    <w:p w14:paraId="1F30F442">
      <w:pPr>
        <w:pStyle w:val="51"/>
        <w:widowControl/>
        <w:numPr>
          <w:ilvl w:val="0"/>
          <w:numId w:val="19"/>
        </w:numPr>
        <w:spacing w:line="360" w:lineRule="auto"/>
        <w:ind w:left="993" w:hanging="573" w:firstLineChars="0"/>
        <w:rPr>
          <w:rFonts w:ascii="黑体" w:hAnsi="黑体" w:eastAsia="黑体" w:cs="宋体"/>
          <w:color w:val="000000"/>
          <w:kern w:val="0"/>
          <w:sz w:val="18"/>
          <w:szCs w:val="18"/>
        </w:rPr>
      </w:pPr>
      <w:r>
        <w:rPr>
          <w:rFonts w:ascii="黑体" w:hAnsi="黑体" w:eastAsia="黑体" w:cs="宋体"/>
          <w:color w:val="000000"/>
          <w:kern w:val="0"/>
          <w:sz w:val="18"/>
          <w:szCs w:val="18"/>
        </w:rPr>
        <w:t>冬期在冻土区打桩有困难时，应先将冻土挖除或解冻后进行。</w:t>
      </w:r>
    </w:p>
    <w:p w14:paraId="46594BD1">
      <w:pPr>
        <w:widowControl/>
        <w:spacing w:line="360" w:lineRule="auto"/>
        <w:rPr>
          <w:rFonts w:ascii="黑体" w:hAnsi="黑体" w:eastAsia="黑体" w:cs="宋体"/>
          <w:color w:val="000000"/>
          <w:kern w:val="0"/>
          <w:sz w:val="18"/>
          <w:szCs w:val="18"/>
        </w:rPr>
      </w:pPr>
      <w:r>
        <w:rPr>
          <w:rStyle w:val="124"/>
        </w:rPr>
        <w:t xml:space="preserve">4.3.3 </w:t>
      </w:r>
      <w:r>
        <w:rPr>
          <w:rFonts w:ascii="黑体" w:hAnsi="黑体" w:eastAsia="黑体" w:cs="宋体"/>
          <w:color w:val="000000"/>
          <w:kern w:val="0"/>
          <w:sz w:val="18"/>
          <w:szCs w:val="18"/>
        </w:rPr>
        <w:t xml:space="preserve">     质量标准</w:t>
      </w:r>
    </w:p>
    <w:p w14:paraId="60672D53">
      <w:pPr>
        <w:widowControl/>
        <w:spacing w:line="360" w:lineRule="auto"/>
        <w:ind w:firstLine="424" w:firstLineChars="236"/>
        <w:rPr>
          <w:rFonts w:ascii="黑体" w:hAnsi="黑体" w:eastAsia="黑体" w:cs="宋体"/>
          <w:color w:val="000000"/>
          <w:kern w:val="0"/>
          <w:sz w:val="18"/>
          <w:szCs w:val="18"/>
        </w:rPr>
      </w:pPr>
      <w:r>
        <w:rPr>
          <w:rFonts w:ascii="黑体" w:hAnsi="黑体" w:eastAsia="黑体" w:cs="宋体"/>
          <w:color w:val="000000"/>
          <w:kern w:val="0"/>
          <w:sz w:val="18"/>
          <w:szCs w:val="18"/>
        </w:rPr>
        <w:t>1</w:t>
      </w:r>
      <w:r>
        <w:rPr>
          <w:rFonts w:hint="eastAsia" w:ascii="黑体" w:hAnsi="黑体" w:eastAsia="黑体" w:cs="宋体"/>
          <w:color w:val="000000"/>
          <w:kern w:val="0"/>
          <w:sz w:val="18"/>
          <w:szCs w:val="18"/>
        </w:rPr>
        <w:t xml:space="preserve">． </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预制桩桩位的允许偏差</w:t>
      </w:r>
    </w:p>
    <w:p w14:paraId="177147F8">
      <w:pPr>
        <w:spacing w:line="360" w:lineRule="auto"/>
        <w:ind w:firstLine="1080" w:firstLineChars="600"/>
        <w:rPr>
          <w:rFonts w:ascii="黑体" w:hAnsi="黑体" w:eastAsia="黑体" w:cs="宋体"/>
          <w:color w:val="000000"/>
          <w:kern w:val="0"/>
          <w:sz w:val="18"/>
          <w:szCs w:val="18"/>
        </w:rPr>
      </w:pPr>
      <w:r>
        <w:rPr>
          <w:rFonts w:hint="eastAsia" w:ascii="黑体" w:hAnsi="黑体" w:eastAsia="黑体" w:cs="宋体"/>
          <w:color w:val="000000"/>
          <w:kern w:val="0"/>
          <w:sz w:val="18"/>
          <w:szCs w:val="18"/>
        </w:rPr>
        <w:t>预制桩桩位的允许偏差</w:t>
      </w:r>
      <w:r>
        <w:rPr>
          <w:rFonts w:ascii="黑体" w:hAnsi="黑体" w:eastAsia="黑体" w:cs="宋体"/>
          <w:color w:val="000000"/>
          <w:kern w:val="0"/>
          <w:sz w:val="18"/>
          <w:szCs w:val="18"/>
        </w:rPr>
        <w:t>(mm)</w:t>
      </w:r>
    </w:p>
    <w:tbl>
      <w:tblPr>
        <w:tblStyle w:val="37"/>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4967"/>
        <w:gridCol w:w="2971"/>
      </w:tblGrid>
      <w:tr w14:paraId="04B6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14:paraId="79156B02">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项</w:t>
            </w:r>
          </w:p>
        </w:tc>
        <w:tc>
          <w:tcPr>
            <w:tcW w:w="4967" w:type="dxa"/>
            <w:vAlign w:val="center"/>
          </w:tcPr>
          <w:p w14:paraId="2B560D7D">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项</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目</w:t>
            </w:r>
          </w:p>
        </w:tc>
        <w:tc>
          <w:tcPr>
            <w:tcW w:w="2971" w:type="dxa"/>
            <w:vAlign w:val="center"/>
          </w:tcPr>
          <w:p w14:paraId="0952997D">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允许偏差</w:t>
            </w:r>
          </w:p>
        </w:tc>
      </w:tr>
      <w:tr w14:paraId="05E2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14:paraId="3DE94C0C">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w:t>
            </w:r>
          </w:p>
        </w:tc>
        <w:tc>
          <w:tcPr>
            <w:tcW w:w="4967" w:type="dxa"/>
            <w:vAlign w:val="center"/>
          </w:tcPr>
          <w:p w14:paraId="4405239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盖有基础梁的桩：</w:t>
            </w:r>
          </w:p>
          <w:p w14:paraId="20A939C8">
            <w:pPr>
              <w:numPr>
                <w:ilvl w:val="0"/>
                <w:numId w:val="21"/>
              </w:num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垂直基础梁的中心线</w:t>
            </w:r>
          </w:p>
          <w:p w14:paraId="313DB237">
            <w:pPr>
              <w:numPr>
                <w:ilvl w:val="0"/>
                <w:numId w:val="21"/>
              </w:num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沿基础梁的中心线</w:t>
            </w:r>
          </w:p>
        </w:tc>
        <w:tc>
          <w:tcPr>
            <w:tcW w:w="2971" w:type="dxa"/>
            <w:vAlign w:val="center"/>
          </w:tcPr>
          <w:p w14:paraId="571442C1">
            <w:pPr>
              <w:spacing w:line="360" w:lineRule="auto"/>
              <w:rPr>
                <w:rFonts w:ascii="黑体" w:hAnsi="黑体" w:eastAsia="黑体" w:cs="宋体"/>
                <w:color w:val="000000"/>
                <w:kern w:val="0"/>
                <w:sz w:val="18"/>
                <w:szCs w:val="18"/>
              </w:rPr>
            </w:pPr>
          </w:p>
          <w:p w14:paraId="23521F48">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100+0.01H</w:t>
            </w:r>
          </w:p>
          <w:p w14:paraId="317AC18E">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150+0.01H</w:t>
            </w:r>
          </w:p>
        </w:tc>
      </w:tr>
      <w:tr w14:paraId="0CEA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14:paraId="26616B86">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w:t>
            </w:r>
          </w:p>
        </w:tc>
        <w:tc>
          <w:tcPr>
            <w:tcW w:w="4967" w:type="dxa"/>
            <w:vAlign w:val="center"/>
          </w:tcPr>
          <w:p w14:paraId="5AD3816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桩数为</w:t>
            </w:r>
            <w:r>
              <w:rPr>
                <w:rFonts w:ascii="黑体" w:hAnsi="黑体" w:eastAsia="黑体" w:cs="宋体"/>
                <w:color w:val="000000"/>
                <w:kern w:val="0"/>
                <w:sz w:val="18"/>
                <w:szCs w:val="18"/>
              </w:rPr>
              <w:t>1-3根桩基中的桩</w:t>
            </w:r>
          </w:p>
        </w:tc>
        <w:tc>
          <w:tcPr>
            <w:tcW w:w="2971" w:type="dxa"/>
            <w:vAlign w:val="center"/>
          </w:tcPr>
          <w:p w14:paraId="45F0D502">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100</w:t>
            </w:r>
          </w:p>
        </w:tc>
      </w:tr>
      <w:tr w14:paraId="644E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14:paraId="6E5A40E7">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3</w:t>
            </w:r>
          </w:p>
        </w:tc>
        <w:tc>
          <w:tcPr>
            <w:tcW w:w="4967" w:type="dxa"/>
            <w:vAlign w:val="center"/>
          </w:tcPr>
          <w:p w14:paraId="028A7E07">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桩数为</w:t>
            </w:r>
            <w:r>
              <w:rPr>
                <w:rFonts w:ascii="黑体" w:hAnsi="黑体" w:eastAsia="黑体" w:cs="宋体"/>
                <w:color w:val="000000"/>
                <w:kern w:val="0"/>
                <w:sz w:val="18"/>
                <w:szCs w:val="18"/>
              </w:rPr>
              <w:t>1-3根桩基中的桩</w:t>
            </w:r>
          </w:p>
        </w:tc>
        <w:tc>
          <w:tcPr>
            <w:tcW w:w="2971" w:type="dxa"/>
            <w:vAlign w:val="center"/>
          </w:tcPr>
          <w:p w14:paraId="7BE64731">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1/2桩径或边长</w:t>
            </w:r>
          </w:p>
        </w:tc>
      </w:tr>
      <w:tr w14:paraId="4F19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14:paraId="62301A9D">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4</w:t>
            </w:r>
          </w:p>
        </w:tc>
        <w:tc>
          <w:tcPr>
            <w:tcW w:w="4967" w:type="dxa"/>
            <w:vAlign w:val="center"/>
          </w:tcPr>
          <w:p w14:paraId="08E6A03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桩数大于</w:t>
            </w:r>
            <w:r>
              <w:rPr>
                <w:rFonts w:ascii="黑体" w:hAnsi="黑体" w:eastAsia="黑体" w:cs="宋体"/>
                <w:color w:val="000000"/>
                <w:kern w:val="0"/>
                <w:sz w:val="18"/>
                <w:szCs w:val="18"/>
              </w:rPr>
              <w:t>16根桩基中的桩：</w:t>
            </w:r>
          </w:p>
          <w:p w14:paraId="316F4FD2">
            <w:pPr>
              <w:numPr>
                <w:ilvl w:val="0"/>
                <w:numId w:val="22"/>
              </w:num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最小边的桩</w:t>
            </w:r>
          </w:p>
          <w:p w14:paraId="53F49B3F">
            <w:pPr>
              <w:numPr>
                <w:ilvl w:val="0"/>
                <w:numId w:val="22"/>
              </w:num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中间桩</w:t>
            </w:r>
          </w:p>
        </w:tc>
        <w:tc>
          <w:tcPr>
            <w:tcW w:w="2971" w:type="dxa"/>
            <w:vAlign w:val="center"/>
          </w:tcPr>
          <w:p w14:paraId="45760461">
            <w:pPr>
              <w:spacing w:line="360" w:lineRule="auto"/>
              <w:rPr>
                <w:rFonts w:ascii="黑体" w:hAnsi="黑体" w:eastAsia="黑体" w:cs="宋体"/>
                <w:color w:val="000000"/>
                <w:kern w:val="0"/>
                <w:sz w:val="18"/>
                <w:szCs w:val="18"/>
              </w:rPr>
            </w:pPr>
          </w:p>
          <w:p w14:paraId="07805658">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1/3桩径或边长</w:t>
            </w:r>
          </w:p>
          <w:p w14:paraId="2B9BA699">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1/2桩径或边长</w:t>
            </w:r>
          </w:p>
        </w:tc>
      </w:tr>
      <w:tr w14:paraId="2AEA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30" w:type="dxa"/>
            <w:gridSpan w:val="3"/>
            <w:vAlign w:val="center"/>
          </w:tcPr>
          <w:p w14:paraId="713816A0">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注：</w:t>
            </w:r>
            <w:r>
              <w:rPr>
                <w:rFonts w:ascii="黑体" w:hAnsi="黑体" w:eastAsia="黑体" w:cs="宋体"/>
                <w:color w:val="000000"/>
                <w:kern w:val="0"/>
                <w:sz w:val="18"/>
                <w:szCs w:val="18"/>
              </w:rPr>
              <w:t>H为施工现场地面标高与桩顶设计标高的距离。</w:t>
            </w:r>
          </w:p>
        </w:tc>
      </w:tr>
    </w:tbl>
    <w:p w14:paraId="383F6377">
      <w:pPr>
        <w:spacing w:line="360" w:lineRule="auto"/>
        <w:ind w:left="989" w:leftChars="203" w:hanging="563" w:hangingChars="313"/>
        <w:rPr>
          <w:rFonts w:ascii="黑体" w:hAnsi="黑体" w:eastAsia="黑体" w:cs="宋体"/>
          <w:color w:val="000000"/>
          <w:kern w:val="0"/>
          <w:sz w:val="18"/>
          <w:szCs w:val="18"/>
        </w:rPr>
      </w:pPr>
      <w:r>
        <w:rPr>
          <w:rFonts w:ascii="黑体" w:hAnsi="黑体" w:eastAsia="黑体" w:cs="宋体"/>
          <w:color w:val="000000"/>
          <w:kern w:val="0"/>
          <w:sz w:val="18"/>
          <w:szCs w:val="18"/>
        </w:rPr>
        <w:t>2</w:t>
      </w:r>
      <w:r>
        <w:rPr>
          <w:rFonts w:hint="eastAsia" w:ascii="黑体" w:hAnsi="黑体" w:eastAsia="黑体" w:cs="宋体"/>
          <w:color w:val="000000"/>
          <w:kern w:val="0"/>
          <w:sz w:val="18"/>
          <w:szCs w:val="18"/>
        </w:rPr>
        <w:t xml:space="preserve">． </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预制桩的质量检验标准</w:t>
      </w:r>
    </w:p>
    <w:p w14:paraId="6B0BF9D0">
      <w:pPr>
        <w:spacing w:line="360" w:lineRule="auto"/>
        <w:ind w:firstLine="1080" w:firstLineChars="600"/>
        <w:rPr>
          <w:rFonts w:ascii="黑体" w:hAnsi="黑体" w:eastAsia="黑体" w:cs="宋体"/>
          <w:color w:val="000000"/>
          <w:kern w:val="0"/>
          <w:sz w:val="18"/>
          <w:szCs w:val="18"/>
        </w:rPr>
      </w:pPr>
      <w:r>
        <w:rPr>
          <w:rFonts w:hint="eastAsia" w:ascii="黑体" w:hAnsi="黑体" w:eastAsia="黑体" w:cs="宋体"/>
          <w:color w:val="000000"/>
          <w:kern w:val="0"/>
          <w:sz w:val="18"/>
          <w:szCs w:val="18"/>
        </w:rPr>
        <w:t>钢筋砼预制桩的质量检验标准</w:t>
      </w:r>
    </w:p>
    <w:tbl>
      <w:tblPr>
        <w:tblStyle w:val="37"/>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9"/>
        <w:gridCol w:w="2523"/>
        <w:gridCol w:w="709"/>
        <w:gridCol w:w="283"/>
        <w:gridCol w:w="284"/>
        <w:gridCol w:w="1134"/>
        <w:gridCol w:w="2580"/>
      </w:tblGrid>
      <w:tr w14:paraId="27A7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708" w:type="dxa"/>
            <w:vMerge w:val="restart"/>
            <w:vAlign w:val="center"/>
          </w:tcPr>
          <w:p w14:paraId="3AD357E0">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项</w:t>
            </w:r>
          </w:p>
        </w:tc>
        <w:tc>
          <w:tcPr>
            <w:tcW w:w="709" w:type="dxa"/>
            <w:vMerge w:val="restart"/>
            <w:vAlign w:val="center"/>
          </w:tcPr>
          <w:p w14:paraId="168187E4">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序</w:t>
            </w:r>
          </w:p>
        </w:tc>
        <w:tc>
          <w:tcPr>
            <w:tcW w:w="2523" w:type="dxa"/>
            <w:vMerge w:val="restart"/>
            <w:vAlign w:val="center"/>
          </w:tcPr>
          <w:p w14:paraId="37619E53">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检查项目</w:t>
            </w:r>
          </w:p>
        </w:tc>
        <w:tc>
          <w:tcPr>
            <w:tcW w:w="2410" w:type="dxa"/>
            <w:gridSpan w:val="4"/>
            <w:vAlign w:val="center"/>
          </w:tcPr>
          <w:p w14:paraId="53EEBB0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允许偏差</w:t>
            </w:r>
          </w:p>
        </w:tc>
        <w:tc>
          <w:tcPr>
            <w:tcW w:w="2580" w:type="dxa"/>
            <w:vMerge w:val="restart"/>
            <w:vAlign w:val="center"/>
          </w:tcPr>
          <w:p w14:paraId="26AEB5BD">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检查方法</w:t>
            </w:r>
          </w:p>
        </w:tc>
      </w:tr>
      <w:tr w14:paraId="2A10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708" w:type="dxa"/>
            <w:vMerge w:val="continue"/>
            <w:vAlign w:val="center"/>
          </w:tcPr>
          <w:p w14:paraId="3AFBAE33">
            <w:pPr>
              <w:spacing w:line="360" w:lineRule="auto"/>
              <w:rPr>
                <w:rFonts w:ascii="黑体" w:hAnsi="黑体" w:eastAsia="黑体" w:cs="宋体"/>
                <w:color w:val="000000"/>
                <w:kern w:val="0"/>
                <w:sz w:val="18"/>
                <w:szCs w:val="18"/>
              </w:rPr>
            </w:pPr>
          </w:p>
        </w:tc>
        <w:tc>
          <w:tcPr>
            <w:tcW w:w="709" w:type="dxa"/>
            <w:vMerge w:val="continue"/>
            <w:vAlign w:val="center"/>
          </w:tcPr>
          <w:p w14:paraId="7841DE94">
            <w:pPr>
              <w:spacing w:line="360" w:lineRule="auto"/>
              <w:rPr>
                <w:rFonts w:ascii="黑体" w:hAnsi="黑体" w:eastAsia="黑体" w:cs="宋体"/>
                <w:color w:val="000000"/>
                <w:kern w:val="0"/>
                <w:sz w:val="18"/>
                <w:szCs w:val="18"/>
              </w:rPr>
            </w:pPr>
          </w:p>
        </w:tc>
        <w:tc>
          <w:tcPr>
            <w:tcW w:w="2523" w:type="dxa"/>
            <w:vMerge w:val="continue"/>
            <w:vAlign w:val="center"/>
          </w:tcPr>
          <w:p w14:paraId="6786AB8E">
            <w:pPr>
              <w:spacing w:line="360" w:lineRule="auto"/>
              <w:rPr>
                <w:rFonts w:ascii="黑体" w:hAnsi="黑体" w:eastAsia="黑体" w:cs="宋体"/>
                <w:color w:val="000000"/>
                <w:kern w:val="0"/>
                <w:sz w:val="18"/>
                <w:szCs w:val="18"/>
              </w:rPr>
            </w:pPr>
          </w:p>
        </w:tc>
        <w:tc>
          <w:tcPr>
            <w:tcW w:w="1276" w:type="dxa"/>
            <w:gridSpan w:val="3"/>
            <w:vAlign w:val="center"/>
          </w:tcPr>
          <w:p w14:paraId="181E24C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单位</w:t>
            </w:r>
          </w:p>
        </w:tc>
        <w:tc>
          <w:tcPr>
            <w:tcW w:w="1134" w:type="dxa"/>
            <w:vAlign w:val="center"/>
          </w:tcPr>
          <w:p w14:paraId="2DBE67B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数值</w:t>
            </w:r>
          </w:p>
        </w:tc>
        <w:tc>
          <w:tcPr>
            <w:tcW w:w="2580" w:type="dxa"/>
            <w:vMerge w:val="continue"/>
            <w:vAlign w:val="center"/>
          </w:tcPr>
          <w:p w14:paraId="115F4620">
            <w:pPr>
              <w:spacing w:line="360" w:lineRule="auto"/>
              <w:rPr>
                <w:rFonts w:ascii="黑体" w:hAnsi="黑体" w:eastAsia="黑体" w:cs="宋体"/>
                <w:color w:val="000000"/>
                <w:kern w:val="0"/>
                <w:sz w:val="18"/>
                <w:szCs w:val="18"/>
              </w:rPr>
            </w:pPr>
          </w:p>
        </w:tc>
      </w:tr>
      <w:tr w14:paraId="76E8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708" w:type="dxa"/>
            <w:vMerge w:val="restart"/>
            <w:vAlign w:val="center"/>
          </w:tcPr>
          <w:p w14:paraId="3C912D1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主控项目</w:t>
            </w:r>
          </w:p>
        </w:tc>
        <w:tc>
          <w:tcPr>
            <w:tcW w:w="709" w:type="dxa"/>
            <w:vAlign w:val="center"/>
          </w:tcPr>
          <w:p w14:paraId="19ABF57B">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w:t>
            </w:r>
          </w:p>
        </w:tc>
        <w:tc>
          <w:tcPr>
            <w:tcW w:w="2523" w:type="dxa"/>
            <w:vAlign w:val="center"/>
          </w:tcPr>
          <w:p w14:paraId="4DABA551">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桩体质量检查</w:t>
            </w:r>
          </w:p>
        </w:tc>
        <w:tc>
          <w:tcPr>
            <w:tcW w:w="2410" w:type="dxa"/>
            <w:gridSpan w:val="4"/>
            <w:vAlign w:val="center"/>
          </w:tcPr>
          <w:p w14:paraId="21E0C2C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按桩基检测技术规程</w:t>
            </w:r>
          </w:p>
        </w:tc>
        <w:tc>
          <w:tcPr>
            <w:tcW w:w="2580" w:type="dxa"/>
            <w:vAlign w:val="center"/>
          </w:tcPr>
          <w:p w14:paraId="385D035D">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按桩基检测技术规程</w:t>
            </w:r>
          </w:p>
        </w:tc>
      </w:tr>
      <w:tr w14:paraId="7884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708" w:type="dxa"/>
            <w:vMerge w:val="continue"/>
            <w:vAlign w:val="center"/>
          </w:tcPr>
          <w:p w14:paraId="2CBFA7EC">
            <w:pPr>
              <w:spacing w:line="360" w:lineRule="auto"/>
              <w:rPr>
                <w:rFonts w:ascii="黑体" w:hAnsi="黑体" w:eastAsia="黑体" w:cs="宋体"/>
                <w:color w:val="000000"/>
                <w:kern w:val="0"/>
                <w:sz w:val="18"/>
                <w:szCs w:val="18"/>
              </w:rPr>
            </w:pPr>
          </w:p>
        </w:tc>
        <w:tc>
          <w:tcPr>
            <w:tcW w:w="709" w:type="dxa"/>
            <w:vAlign w:val="center"/>
          </w:tcPr>
          <w:p w14:paraId="14A04D81">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w:t>
            </w:r>
          </w:p>
        </w:tc>
        <w:tc>
          <w:tcPr>
            <w:tcW w:w="2523" w:type="dxa"/>
            <w:vAlign w:val="center"/>
          </w:tcPr>
          <w:p w14:paraId="22917A41">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桩位偏差</w:t>
            </w:r>
          </w:p>
        </w:tc>
        <w:tc>
          <w:tcPr>
            <w:tcW w:w="2410" w:type="dxa"/>
            <w:gridSpan w:val="4"/>
            <w:vAlign w:val="center"/>
          </w:tcPr>
          <w:p w14:paraId="33277299">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见上表</w:t>
            </w:r>
          </w:p>
        </w:tc>
        <w:tc>
          <w:tcPr>
            <w:tcW w:w="2580" w:type="dxa"/>
            <w:vAlign w:val="center"/>
          </w:tcPr>
          <w:p w14:paraId="1687EA39">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p>
        </w:tc>
      </w:tr>
      <w:tr w14:paraId="6228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708" w:type="dxa"/>
            <w:vMerge w:val="continue"/>
            <w:vAlign w:val="center"/>
          </w:tcPr>
          <w:p w14:paraId="61475F12">
            <w:pPr>
              <w:spacing w:line="360" w:lineRule="auto"/>
              <w:rPr>
                <w:rFonts w:ascii="黑体" w:hAnsi="黑体" w:eastAsia="黑体" w:cs="宋体"/>
                <w:color w:val="000000"/>
                <w:kern w:val="0"/>
                <w:sz w:val="18"/>
                <w:szCs w:val="18"/>
              </w:rPr>
            </w:pPr>
          </w:p>
        </w:tc>
        <w:tc>
          <w:tcPr>
            <w:tcW w:w="709" w:type="dxa"/>
            <w:vAlign w:val="center"/>
          </w:tcPr>
          <w:p w14:paraId="542B0058">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3</w:t>
            </w:r>
          </w:p>
        </w:tc>
        <w:tc>
          <w:tcPr>
            <w:tcW w:w="2523" w:type="dxa"/>
            <w:vAlign w:val="center"/>
          </w:tcPr>
          <w:p w14:paraId="15405D23">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承载力</w:t>
            </w:r>
          </w:p>
        </w:tc>
        <w:tc>
          <w:tcPr>
            <w:tcW w:w="2410" w:type="dxa"/>
            <w:gridSpan w:val="4"/>
            <w:vAlign w:val="center"/>
          </w:tcPr>
          <w:p w14:paraId="0B383DA9">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按桩基检测技术规程</w:t>
            </w:r>
          </w:p>
        </w:tc>
        <w:tc>
          <w:tcPr>
            <w:tcW w:w="2580" w:type="dxa"/>
            <w:vAlign w:val="center"/>
          </w:tcPr>
          <w:p w14:paraId="74D96EE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按桩基检测技术规程</w:t>
            </w:r>
          </w:p>
        </w:tc>
      </w:tr>
      <w:tr w14:paraId="4A00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8" w:type="dxa"/>
            <w:vMerge w:val="restart"/>
            <w:vAlign w:val="center"/>
          </w:tcPr>
          <w:p w14:paraId="000D55DC">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一般项目</w:t>
            </w:r>
          </w:p>
        </w:tc>
        <w:tc>
          <w:tcPr>
            <w:tcW w:w="709" w:type="dxa"/>
            <w:vAlign w:val="center"/>
          </w:tcPr>
          <w:p w14:paraId="0C0F1AC9">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1</w:t>
            </w:r>
          </w:p>
        </w:tc>
        <w:tc>
          <w:tcPr>
            <w:tcW w:w="2523" w:type="dxa"/>
            <w:vAlign w:val="center"/>
          </w:tcPr>
          <w:p w14:paraId="54BE247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成品桩外形</w:t>
            </w:r>
          </w:p>
          <w:p w14:paraId="08A244C5">
            <w:pPr>
              <w:spacing w:line="360" w:lineRule="auto"/>
              <w:rPr>
                <w:rFonts w:ascii="黑体" w:hAnsi="黑体" w:eastAsia="黑体" w:cs="宋体"/>
                <w:color w:val="000000"/>
                <w:kern w:val="0"/>
                <w:sz w:val="18"/>
                <w:szCs w:val="18"/>
              </w:rPr>
            </w:pPr>
          </w:p>
        </w:tc>
        <w:tc>
          <w:tcPr>
            <w:tcW w:w="2410" w:type="dxa"/>
            <w:gridSpan w:val="4"/>
            <w:vAlign w:val="center"/>
          </w:tcPr>
          <w:p w14:paraId="68D55CBC">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表面平整，颜色均匀，掉角深度＜</w:t>
            </w:r>
            <w:r>
              <w:rPr>
                <w:rFonts w:ascii="黑体" w:hAnsi="黑体" w:eastAsia="黑体" w:cs="宋体"/>
                <w:color w:val="000000"/>
                <w:kern w:val="0"/>
                <w:sz w:val="18"/>
                <w:szCs w:val="18"/>
              </w:rPr>
              <w:t>10mm，蜂窝面积小于总面积0.5%</w:t>
            </w:r>
          </w:p>
        </w:tc>
        <w:tc>
          <w:tcPr>
            <w:tcW w:w="2580" w:type="dxa"/>
            <w:vAlign w:val="center"/>
          </w:tcPr>
          <w:p w14:paraId="102F0DB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直观</w:t>
            </w:r>
          </w:p>
        </w:tc>
      </w:tr>
      <w:tr w14:paraId="1A63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trPr>
        <w:tc>
          <w:tcPr>
            <w:tcW w:w="708" w:type="dxa"/>
            <w:vMerge w:val="continue"/>
            <w:vAlign w:val="center"/>
          </w:tcPr>
          <w:p w14:paraId="1834E72B">
            <w:pPr>
              <w:spacing w:line="360" w:lineRule="auto"/>
              <w:rPr>
                <w:rFonts w:ascii="黑体" w:hAnsi="黑体" w:eastAsia="黑体" w:cs="宋体"/>
                <w:color w:val="000000"/>
                <w:kern w:val="0"/>
                <w:sz w:val="18"/>
                <w:szCs w:val="18"/>
              </w:rPr>
            </w:pPr>
          </w:p>
        </w:tc>
        <w:tc>
          <w:tcPr>
            <w:tcW w:w="709" w:type="dxa"/>
            <w:vAlign w:val="center"/>
          </w:tcPr>
          <w:p w14:paraId="5B8CE9A0">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2</w:t>
            </w:r>
          </w:p>
        </w:tc>
        <w:tc>
          <w:tcPr>
            <w:tcW w:w="2523" w:type="dxa"/>
            <w:vAlign w:val="center"/>
          </w:tcPr>
          <w:p w14:paraId="38C0A37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成品桩裂缝</w:t>
            </w:r>
            <w:r>
              <w:rPr>
                <w:rFonts w:ascii="黑体" w:hAnsi="黑体" w:eastAsia="黑体" w:cs="宋体"/>
                <w:color w:val="000000"/>
                <w:kern w:val="0"/>
                <w:sz w:val="18"/>
                <w:szCs w:val="18"/>
              </w:rPr>
              <w:t>(收缩裂缝或吊装裂缝、装运、堆放引起的裂缝)</w:t>
            </w:r>
          </w:p>
        </w:tc>
        <w:tc>
          <w:tcPr>
            <w:tcW w:w="2410" w:type="dxa"/>
            <w:gridSpan w:val="4"/>
            <w:vAlign w:val="center"/>
          </w:tcPr>
          <w:p w14:paraId="66E29FC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深度＜</w:t>
            </w:r>
            <w:r>
              <w:rPr>
                <w:rFonts w:ascii="黑体" w:hAnsi="黑体" w:eastAsia="黑体" w:cs="宋体"/>
                <w:color w:val="000000"/>
                <w:kern w:val="0"/>
                <w:sz w:val="18"/>
                <w:szCs w:val="18"/>
              </w:rPr>
              <w:t>20mm，宽度</w:t>
            </w:r>
          </w:p>
          <w:p w14:paraId="7CB0B05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0．25mm，横向裂缝不超过边长的一半</w:t>
            </w:r>
          </w:p>
        </w:tc>
        <w:tc>
          <w:tcPr>
            <w:tcW w:w="2580" w:type="dxa"/>
            <w:vAlign w:val="center"/>
          </w:tcPr>
          <w:p w14:paraId="27F08BCA">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裂缝测定仪，该项在地下水有侵蚀性地区及锤击数超过</w:t>
            </w:r>
            <w:r>
              <w:rPr>
                <w:rFonts w:ascii="黑体" w:hAnsi="黑体" w:eastAsia="黑体" w:cs="宋体"/>
                <w:color w:val="000000"/>
                <w:kern w:val="0"/>
                <w:sz w:val="18"/>
                <w:szCs w:val="18"/>
              </w:rPr>
              <w:t>500击的长桩不适合用</w:t>
            </w:r>
          </w:p>
          <w:p w14:paraId="7F62280C">
            <w:pPr>
              <w:spacing w:line="360" w:lineRule="auto"/>
              <w:rPr>
                <w:rFonts w:ascii="黑体" w:hAnsi="黑体" w:eastAsia="黑体" w:cs="宋体"/>
                <w:color w:val="000000"/>
                <w:kern w:val="0"/>
                <w:sz w:val="18"/>
                <w:szCs w:val="18"/>
              </w:rPr>
            </w:pPr>
          </w:p>
        </w:tc>
      </w:tr>
      <w:tr w14:paraId="3A44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8" w:type="dxa"/>
            <w:vMerge w:val="continue"/>
            <w:vAlign w:val="center"/>
          </w:tcPr>
          <w:p w14:paraId="2435CCA2">
            <w:pPr>
              <w:spacing w:line="360" w:lineRule="auto"/>
              <w:rPr>
                <w:rFonts w:ascii="黑体" w:hAnsi="黑体" w:eastAsia="黑体" w:cs="宋体"/>
                <w:color w:val="000000"/>
                <w:kern w:val="0"/>
                <w:sz w:val="18"/>
                <w:szCs w:val="18"/>
              </w:rPr>
            </w:pPr>
          </w:p>
        </w:tc>
        <w:tc>
          <w:tcPr>
            <w:tcW w:w="709" w:type="dxa"/>
            <w:vAlign w:val="center"/>
          </w:tcPr>
          <w:p w14:paraId="3EF35CE0">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3</w:t>
            </w:r>
          </w:p>
        </w:tc>
        <w:tc>
          <w:tcPr>
            <w:tcW w:w="2523" w:type="dxa"/>
            <w:vAlign w:val="center"/>
          </w:tcPr>
          <w:p w14:paraId="295792A7">
            <w:pPr>
              <w:spacing w:line="360" w:lineRule="auto"/>
              <w:ind w:left="1260" w:hanging="1260" w:hangingChars="700"/>
              <w:rPr>
                <w:rFonts w:ascii="黑体" w:hAnsi="黑体" w:eastAsia="黑体" w:cs="宋体"/>
                <w:color w:val="000000"/>
                <w:kern w:val="0"/>
                <w:sz w:val="18"/>
                <w:szCs w:val="18"/>
              </w:rPr>
            </w:pPr>
            <w:r>
              <w:rPr>
                <w:rFonts w:hint="eastAsia" w:ascii="黑体" w:hAnsi="黑体" w:eastAsia="黑体" w:cs="宋体"/>
                <w:color w:val="000000"/>
                <w:kern w:val="0"/>
                <w:sz w:val="18"/>
                <w:szCs w:val="18"/>
              </w:rPr>
              <w:t>成品桩尺寸：横截面边长</w:t>
            </w:r>
            <w:r>
              <w:rPr>
                <w:rFonts w:ascii="黑体" w:hAnsi="黑体" w:eastAsia="黑体" w:cs="宋体"/>
                <w:color w:val="000000"/>
                <w:kern w:val="0"/>
                <w:sz w:val="18"/>
                <w:szCs w:val="18"/>
              </w:rPr>
              <w:t xml:space="preserve">   </w:t>
            </w:r>
            <w:r>
              <w:rPr>
                <w:rFonts w:hint="eastAsia" w:ascii="黑体" w:hAnsi="黑体" w:eastAsia="黑体" w:cs="宋体"/>
                <w:color w:val="000000"/>
                <w:kern w:val="0"/>
                <w:sz w:val="18"/>
                <w:szCs w:val="18"/>
              </w:rPr>
              <w:t>桩顶对角线差</w:t>
            </w:r>
          </w:p>
          <w:p w14:paraId="3E330595">
            <w:pPr>
              <w:spacing w:line="360" w:lineRule="auto"/>
              <w:ind w:firstLine="1260" w:firstLineChars="700"/>
              <w:rPr>
                <w:rFonts w:ascii="黑体" w:hAnsi="黑体" w:eastAsia="黑体" w:cs="宋体"/>
                <w:color w:val="000000"/>
                <w:kern w:val="0"/>
                <w:sz w:val="18"/>
                <w:szCs w:val="18"/>
              </w:rPr>
            </w:pPr>
            <w:r>
              <w:rPr>
                <w:rFonts w:hint="eastAsia" w:ascii="黑体" w:hAnsi="黑体" w:eastAsia="黑体" w:cs="宋体"/>
                <w:color w:val="000000"/>
                <w:kern w:val="0"/>
                <w:sz w:val="18"/>
                <w:szCs w:val="18"/>
              </w:rPr>
              <w:t>桩尖中心线</w:t>
            </w:r>
          </w:p>
          <w:p w14:paraId="41E48B36">
            <w:pPr>
              <w:spacing w:line="360" w:lineRule="auto"/>
              <w:ind w:firstLine="1080" w:firstLineChars="600"/>
              <w:rPr>
                <w:rFonts w:ascii="黑体" w:hAnsi="黑体" w:eastAsia="黑体" w:cs="宋体"/>
                <w:color w:val="000000"/>
                <w:kern w:val="0"/>
                <w:sz w:val="18"/>
                <w:szCs w:val="18"/>
              </w:rPr>
            </w:pPr>
            <w:r>
              <w:rPr>
                <w:rFonts w:hint="eastAsia" w:ascii="黑体" w:hAnsi="黑体" w:eastAsia="黑体" w:cs="宋体"/>
                <w:color w:val="000000"/>
                <w:kern w:val="0"/>
                <w:sz w:val="18"/>
                <w:szCs w:val="18"/>
              </w:rPr>
              <w:t>桩身弯曲矢高</w:t>
            </w:r>
          </w:p>
          <w:p w14:paraId="3B88A81D">
            <w:pPr>
              <w:spacing w:line="360" w:lineRule="auto"/>
              <w:ind w:firstLine="1260" w:firstLineChars="700"/>
              <w:rPr>
                <w:rFonts w:ascii="黑体" w:hAnsi="黑体" w:eastAsia="黑体" w:cs="宋体"/>
                <w:color w:val="000000"/>
                <w:kern w:val="0"/>
                <w:sz w:val="18"/>
                <w:szCs w:val="18"/>
              </w:rPr>
            </w:pPr>
            <w:r>
              <w:rPr>
                <w:rFonts w:hint="eastAsia" w:ascii="黑体" w:hAnsi="黑体" w:eastAsia="黑体" w:cs="宋体"/>
                <w:color w:val="000000"/>
                <w:kern w:val="0"/>
                <w:sz w:val="18"/>
                <w:szCs w:val="18"/>
              </w:rPr>
              <w:t>桩顶平整度</w:t>
            </w:r>
          </w:p>
        </w:tc>
        <w:tc>
          <w:tcPr>
            <w:tcW w:w="709" w:type="dxa"/>
            <w:vAlign w:val="center"/>
          </w:tcPr>
          <w:p w14:paraId="622A9A7D">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mm</w:t>
            </w:r>
          </w:p>
          <w:p w14:paraId="3F996D60">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mm</w:t>
            </w:r>
          </w:p>
          <w:p w14:paraId="39EEB1B8">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mm</w:t>
            </w:r>
          </w:p>
          <w:p w14:paraId="4CED163E">
            <w:pPr>
              <w:spacing w:line="360" w:lineRule="auto"/>
              <w:rPr>
                <w:rFonts w:ascii="黑体" w:hAnsi="黑体" w:eastAsia="黑体" w:cs="宋体"/>
                <w:color w:val="000000"/>
                <w:kern w:val="0"/>
                <w:sz w:val="18"/>
                <w:szCs w:val="18"/>
              </w:rPr>
            </w:pPr>
          </w:p>
          <w:p w14:paraId="309674D5">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mm</w:t>
            </w:r>
          </w:p>
        </w:tc>
        <w:tc>
          <w:tcPr>
            <w:tcW w:w="1701" w:type="dxa"/>
            <w:gridSpan w:val="3"/>
            <w:vAlign w:val="center"/>
          </w:tcPr>
          <w:p w14:paraId="69353A80">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5</w:t>
            </w:r>
          </w:p>
          <w:p w14:paraId="04B2942C">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10</w:t>
            </w:r>
          </w:p>
          <w:p w14:paraId="6C12E7DA">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10</w:t>
            </w:r>
          </w:p>
          <w:p w14:paraId="372326B9">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1/1000L</w:t>
            </w:r>
          </w:p>
          <w:p w14:paraId="7176837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2</w:t>
            </w:r>
          </w:p>
        </w:tc>
        <w:tc>
          <w:tcPr>
            <w:tcW w:w="2580" w:type="dxa"/>
            <w:vAlign w:val="center"/>
          </w:tcPr>
          <w:p w14:paraId="6325668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p>
          <w:p w14:paraId="19799BE0">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p>
          <w:p w14:paraId="56D74DD9">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p>
          <w:p w14:paraId="50536FB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r>
              <w:rPr>
                <w:rFonts w:ascii="黑体" w:hAnsi="黑体" w:eastAsia="黑体" w:cs="宋体"/>
                <w:color w:val="000000"/>
                <w:kern w:val="0"/>
                <w:sz w:val="18"/>
                <w:szCs w:val="18"/>
              </w:rPr>
              <w:t>L为桩长</w:t>
            </w:r>
          </w:p>
          <w:p w14:paraId="59E5F91B">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用水平尺量</w:t>
            </w:r>
          </w:p>
        </w:tc>
      </w:tr>
      <w:tr w14:paraId="36A9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708" w:type="dxa"/>
            <w:vMerge w:val="continue"/>
            <w:vAlign w:val="center"/>
          </w:tcPr>
          <w:p w14:paraId="38379F07">
            <w:pPr>
              <w:spacing w:line="360" w:lineRule="auto"/>
              <w:rPr>
                <w:rFonts w:ascii="黑体" w:hAnsi="黑体" w:eastAsia="黑体" w:cs="宋体"/>
                <w:color w:val="000000"/>
                <w:kern w:val="0"/>
                <w:sz w:val="18"/>
                <w:szCs w:val="18"/>
              </w:rPr>
            </w:pPr>
          </w:p>
        </w:tc>
        <w:tc>
          <w:tcPr>
            <w:tcW w:w="709" w:type="dxa"/>
            <w:vMerge w:val="restart"/>
            <w:vAlign w:val="center"/>
          </w:tcPr>
          <w:p w14:paraId="2732F84F">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4</w:t>
            </w:r>
          </w:p>
        </w:tc>
        <w:tc>
          <w:tcPr>
            <w:tcW w:w="2523" w:type="dxa"/>
            <w:vMerge w:val="restart"/>
            <w:vAlign w:val="center"/>
          </w:tcPr>
          <w:p w14:paraId="453EB97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电焊接桩：焊缝质量</w:t>
            </w:r>
          </w:p>
          <w:p w14:paraId="07A1329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电焊结束后停歇时间</w:t>
            </w:r>
          </w:p>
          <w:p w14:paraId="05BF4B29">
            <w:pPr>
              <w:spacing w:line="360" w:lineRule="auto"/>
              <w:ind w:firstLine="720" w:firstLineChars="400"/>
              <w:rPr>
                <w:rFonts w:ascii="黑体" w:hAnsi="黑体" w:eastAsia="黑体" w:cs="宋体"/>
                <w:color w:val="000000"/>
                <w:kern w:val="0"/>
                <w:sz w:val="18"/>
                <w:szCs w:val="18"/>
              </w:rPr>
            </w:pPr>
            <w:r>
              <w:rPr>
                <w:rFonts w:hint="eastAsia" w:ascii="黑体" w:hAnsi="黑体" w:eastAsia="黑体" w:cs="宋体"/>
                <w:color w:val="000000"/>
                <w:kern w:val="0"/>
                <w:sz w:val="18"/>
                <w:szCs w:val="18"/>
              </w:rPr>
              <w:t>上下节面偏差</w:t>
            </w:r>
          </w:p>
          <w:p w14:paraId="323CA64B">
            <w:pPr>
              <w:spacing w:line="360" w:lineRule="auto"/>
              <w:ind w:firstLine="720" w:firstLineChars="400"/>
              <w:rPr>
                <w:rFonts w:ascii="黑体" w:hAnsi="黑体" w:eastAsia="黑体" w:cs="宋体"/>
                <w:color w:val="000000"/>
                <w:kern w:val="0"/>
                <w:sz w:val="18"/>
                <w:szCs w:val="18"/>
              </w:rPr>
            </w:pPr>
            <w:r>
              <w:rPr>
                <w:rFonts w:hint="eastAsia" w:ascii="黑体" w:hAnsi="黑体" w:eastAsia="黑体" w:cs="宋体"/>
                <w:color w:val="000000"/>
                <w:kern w:val="0"/>
                <w:sz w:val="18"/>
                <w:szCs w:val="18"/>
              </w:rPr>
              <w:t>节点弯曲矢高</w:t>
            </w:r>
          </w:p>
        </w:tc>
        <w:tc>
          <w:tcPr>
            <w:tcW w:w="2410" w:type="dxa"/>
            <w:gridSpan w:val="4"/>
            <w:vAlign w:val="center"/>
          </w:tcPr>
          <w:p w14:paraId="0B02C5AB">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符合规范规定</w:t>
            </w:r>
          </w:p>
        </w:tc>
        <w:tc>
          <w:tcPr>
            <w:tcW w:w="2580" w:type="dxa"/>
            <w:vMerge w:val="restart"/>
            <w:vAlign w:val="center"/>
          </w:tcPr>
          <w:p w14:paraId="1E786294">
            <w:pPr>
              <w:spacing w:line="360" w:lineRule="auto"/>
              <w:rPr>
                <w:rFonts w:ascii="黑体" w:hAnsi="黑体" w:eastAsia="黑体" w:cs="宋体"/>
                <w:color w:val="000000"/>
                <w:kern w:val="0"/>
                <w:sz w:val="18"/>
                <w:szCs w:val="18"/>
              </w:rPr>
            </w:pPr>
          </w:p>
          <w:p w14:paraId="75B9A3D7">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秒表测定</w:t>
            </w:r>
          </w:p>
          <w:p w14:paraId="49C5A6B3">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p>
          <w:p w14:paraId="153BE202">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用钢尺量，</w:t>
            </w:r>
            <w:r>
              <w:rPr>
                <w:rFonts w:ascii="黑体" w:hAnsi="黑体" w:eastAsia="黑体" w:cs="宋体"/>
                <w:color w:val="000000"/>
                <w:kern w:val="0"/>
                <w:sz w:val="18"/>
                <w:szCs w:val="18"/>
              </w:rPr>
              <w:t>L为桩长</w:t>
            </w:r>
          </w:p>
        </w:tc>
      </w:tr>
      <w:tr w14:paraId="4A06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trPr>
        <w:tc>
          <w:tcPr>
            <w:tcW w:w="708" w:type="dxa"/>
            <w:vMerge w:val="continue"/>
            <w:vAlign w:val="center"/>
          </w:tcPr>
          <w:p w14:paraId="7EA8EBA6">
            <w:pPr>
              <w:spacing w:line="360" w:lineRule="auto"/>
              <w:rPr>
                <w:rFonts w:ascii="黑体" w:hAnsi="黑体" w:eastAsia="黑体" w:cs="宋体"/>
                <w:color w:val="000000"/>
                <w:kern w:val="0"/>
                <w:sz w:val="18"/>
                <w:szCs w:val="18"/>
              </w:rPr>
            </w:pPr>
          </w:p>
        </w:tc>
        <w:tc>
          <w:tcPr>
            <w:tcW w:w="709" w:type="dxa"/>
            <w:vMerge w:val="continue"/>
            <w:vAlign w:val="center"/>
          </w:tcPr>
          <w:p w14:paraId="3AA9DB34">
            <w:pPr>
              <w:spacing w:line="360" w:lineRule="auto"/>
              <w:rPr>
                <w:rFonts w:ascii="黑体" w:hAnsi="黑体" w:eastAsia="黑体" w:cs="宋体"/>
                <w:color w:val="000000"/>
                <w:kern w:val="0"/>
                <w:sz w:val="18"/>
                <w:szCs w:val="18"/>
              </w:rPr>
            </w:pPr>
          </w:p>
        </w:tc>
        <w:tc>
          <w:tcPr>
            <w:tcW w:w="2523" w:type="dxa"/>
            <w:vMerge w:val="continue"/>
            <w:vAlign w:val="center"/>
          </w:tcPr>
          <w:p w14:paraId="508E5A92">
            <w:pPr>
              <w:spacing w:line="360" w:lineRule="auto"/>
              <w:rPr>
                <w:rFonts w:ascii="黑体" w:hAnsi="黑体" w:eastAsia="黑体" w:cs="宋体"/>
                <w:color w:val="000000"/>
                <w:kern w:val="0"/>
                <w:sz w:val="18"/>
                <w:szCs w:val="18"/>
              </w:rPr>
            </w:pPr>
          </w:p>
        </w:tc>
        <w:tc>
          <w:tcPr>
            <w:tcW w:w="992" w:type="dxa"/>
            <w:gridSpan w:val="2"/>
            <w:vAlign w:val="center"/>
          </w:tcPr>
          <w:p w14:paraId="38613D5B">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min</w:t>
            </w:r>
          </w:p>
          <w:p w14:paraId="58F4A740">
            <w:pPr>
              <w:spacing w:line="360" w:lineRule="auto"/>
              <w:rPr>
                <w:rFonts w:ascii="黑体" w:hAnsi="黑体" w:eastAsia="黑体" w:cs="宋体"/>
                <w:color w:val="000000"/>
                <w:kern w:val="0"/>
                <w:sz w:val="18"/>
                <w:szCs w:val="18"/>
              </w:rPr>
            </w:pPr>
          </w:p>
          <w:p w14:paraId="125CB172">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min</w:t>
            </w:r>
          </w:p>
        </w:tc>
        <w:tc>
          <w:tcPr>
            <w:tcW w:w="1418" w:type="dxa"/>
            <w:gridSpan w:val="2"/>
            <w:vAlign w:val="center"/>
          </w:tcPr>
          <w:p w14:paraId="274241AC">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1.0</w:t>
            </w:r>
          </w:p>
          <w:p w14:paraId="177053AE">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10</w:t>
            </w:r>
          </w:p>
          <w:p w14:paraId="42F8DF7F">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1/1000L</w:t>
            </w:r>
          </w:p>
        </w:tc>
        <w:tc>
          <w:tcPr>
            <w:tcW w:w="2580" w:type="dxa"/>
            <w:vMerge w:val="continue"/>
            <w:vAlign w:val="center"/>
          </w:tcPr>
          <w:p w14:paraId="06501458">
            <w:pPr>
              <w:spacing w:line="360" w:lineRule="auto"/>
              <w:rPr>
                <w:rFonts w:ascii="黑体" w:hAnsi="黑体" w:eastAsia="黑体" w:cs="宋体"/>
                <w:color w:val="000000"/>
                <w:kern w:val="0"/>
                <w:sz w:val="18"/>
                <w:szCs w:val="18"/>
              </w:rPr>
            </w:pPr>
          </w:p>
        </w:tc>
      </w:tr>
      <w:tr w14:paraId="03C4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8" w:type="dxa"/>
            <w:vMerge w:val="continue"/>
            <w:vAlign w:val="center"/>
          </w:tcPr>
          <w:p w14:paraId="29DEE131">
            <w:pPr>
              <w:spacing w:line="360" w:lineRule="auto"/>
              <w:rPr>
                <w:rFonts w:ascii="黑体" w:hAnsi="黑体" w:eastAsia="黑体" w:cs="宋体"/>
                <w:color w:val="000000"/>
                <w:kern w:val="0"/>
                <w:sz w:val="18"/>
                <w:szCs w:val="18"/>
              </w:rPr>
            </w:pPr>
          </w:p>
        </w:tc>
        <w:tc>
          <w:tcPr>
            <w:tcW w:w="709" w:type="dxa"/>
            <w:vAlign w:val="center"/>
          </w:tcPr>
          <w:p w14:paraId="0C7CD142">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5</w:t>
            </w:r>
          </w:p>
        </w:tc>
        <w:tc>
          <w:tcPr>
            <w:tcW w:w="2523" w:type="dxa"/>
            <w:vAlign w:val="center"/>
          </w:tcPr>
          <w:p w14:paraId="5E594FD0">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硫磺胶泥接桩：胶泥浇注时间</w:t>
            </w:r>
          </w:p>
          <w:p w14:paraId="0B8BBA9A">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浇注后停歇时间</w:t>
            </w:r>
          </w:p>
        </w:tc>
        <w:tc>
          <w:tcPr>
            <w:tcW w:w="992" w:type="dxa"/>
            <w:gridSpan w:val="2"/>
            <w:vAlign w:val="center"/>
          </w:tcPr>
          <w:p w14:paraId="466787D6">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min</w:t>
            </w:r>
          </w:p>
          <w:p w14:paraId="3CDD8AF1">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min</w:t>
            </w:r>
          </w:p>
        </w:tc>
        <w:tc>
          <w:tcPr>
            <w:tcW w:w="1418" w:type="dxa"/>
            <w:gridSpan w:val="2"/>
            <w:vAlign w:val="center"/>
          </w:tcPr>
          <w:p w14:paraId="7EC28A2D">
            <w:pPr>
              <w:widowControl/>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2</w:t>
            </w:r>
          </w:p>
          <w:p w14:paraId="0E664B68">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7</w:t>
            </w:r>
          </w:p>
        </w:tc>
        <w:tc>
          <w:tcPr>
            <w:tcW w:w="2580" w:type="dxa"/>
            <w:vAlign w:val="center"/>
          </w:tcPr>
          <w:p w14:paraId="656BEF71">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秒表测定</w:t>
            </w:r>
          </w:p>
          <w:p w14:paraId="0A5422F5">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秒表测定</w:t>
            </w:r>
          </w:p>
        </w:tc>
      </w:tr>
      <w:tr w14:paraId="5140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8" w:type="dxa"/>
            <w:vMerge w:val="continue"/>
            <w:vAlign w:val="center"/>
          </w:tcPr>
          <w:p w14:paraId="39F646F3">
            <w:pPr>
              <w:spacing w:line="360" w:lineRule="auto"/>
              <w:rPr>
                <w:rFonts w:ascii="黑体" w:hAnsi="黑体" w:eastAsia="黑体" w:cs="宋体"/>
                <w:color w:val="000000"/>
                <w:kern w:val="0"/>
                <w:sz w:val="18"/>
                <w:szCs w:val="18"/>
              </w:rPr>
            </w:pPr>
          </w:p>
        </w:tc>
        <w:tc>
          <w:tcPr>
            <w:tcW w:w="709" w:type="dxa"/>
            <w:vAlign w:val="center"/>
          </w:tcPr>
          <w:p w14:paraId="5A280554">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6</w:t>
            </w:r>
          </w:p>
        </w:tc>
        <w:tc>
          <w:tcPr>
            <w:tcW w:w="2523" w:type="dxa"/>
            <w:vAlign w:val="center"/>
          </w:tcPr>
          <w:p w14:paraId="590C6D6C">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桩顶标高</w:t>
            </w:r>
          </w:p>
        </w:tc>
        <w:tc>
          <w:tcPr>
            <w:tcW w:w="992" w:type="dxa"/>
            <w:gridSpan w:val="2"/>
            <w:vAlign w:val="center"/>
          </w:tcPr>
          <w:p w14:paraId="1365ACC0">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min</w:t>
            </w:r>
          </w:p>
        </w:tc>
        <w:tc>
          <w:tcPr>
            <w:tcW w:w="1418" w:type="dxa"/>
            <w:gridSpan w:val="2"/>
            <w:vAlign w:val="center"/>
          </w:tcPr>
          <w:p w14:paraId="1C982E61">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w:t>
            </w:r>
            <w:r>
              <w:rPr>
                <w:rFonts w:ascii="黑体" w:hAnsi="黑体" w:eastAsia="黑体" w:cs="宋体"/>
                <w:color w:val="000000"/>
                <w:kern w:val="0"/>
                <w:sz w:val="18"/>
                <w:szCs w:val="18"/>
              </w:rPr>
              <w:t>50</w:t>
            </w:r>
          </w:p>
        </w:tc>
        <w:tc>
          <w:tcPr>
            <w:tcW w:w="2580" w:type="dxa"/>
            <w:vAlign w:val="center"/>
          </w:tcPr>
          <w:p w14:paraId="749A17EB">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水准仪</w:t>
            </w:r>
          </w:p>
        </w:tc>
      </w:tr>
      <w:tr w14:paraId="079E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8" w:type="dxa"/>
            <w:vMerge w:val="continue"/>
            <w:vAlign w:val="center"/>
          </w:tcPr>
          <w:p w14:paraId="6E4ACFF0">
            <w:pPr>
              <w:spacing w:line="360" w:lineRule="auto"/>
              <w:rPr>
                <w:rFonts w:ascii="黑体" w:hAnsi="黑体" w:eastAsia="黑体" w:cs="宋体"/>
                <w:color w:val="000000"/>
                <w:kern w:val="0"/>
                <w:sz w:val="18"/>
                <w:szCs w:val="18"/>
              </w:rPr>
            </w:pPr>
          </w:p>
        </w:tc>
        <w:tc>
          <w:tcPr>
            <w:tcW w:w="709" w:type="dxa"/>
            <w:vAlign w:val="center"/>
          </w:tcPr>
          <w:p w14:paraId="418AD48C">
            <w:pPr>
              <w:spacing w:line="360" w:lineRule="auto"/>
              <w:rPr>
                <w:rFonts w:ascii="黑体" w:hAnsi="黑体" w:eastAsia="黑体" w:cs="宋体"/>
                <w:color w:val="000000"/>
                <w:kern w:val="0"/>
                <w:sz w:val="18"/>
                <w:szCs w:val="18"/>
              </w:rPr>
            </w:pPr>
            <w:r>
              <w:rPr>
                <w:rFonts w:ascii="黑体" w:hAnsi="黑体" w:eastAsia="黑体" w:cs="宋体"/>
                <w:color w:val="000000"/>
                <w:kern w:val="0"/>
                <w:sz w:val="18"/>
                <w:szCs w:val="18"/>
              </w:rPr>
              <w:t>7</w:t>
            </w:r>
          </w:p>
        </w:tc>
        <w:tc>
          <w:tcPr>
            <w:tcW w:w="2523" w:type="dxa"/>
            <w:vAlign w:val="center"/>
          </w:tcPr>
          <w:p w14:paraId="301E4C46">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停锤标准</w:t>
            </w:r>
          </w:p>
        </w:tc>
        <w:tc>
          <w:tcPr>
            <w:tcW w:w="2410" w:type="dxa"/>
            <w:gridSpan w:val="4"/>
            <w:vAlign w:val="center"/>
          </w:tcPr>
          <w:p w14:paraId="6F16ED88">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设计要求</w:t>
            </w:r>
          </w:p>
        </w:tc>
        <w:tc>
          <w:tcPr>
            <w:tcW w:w="2580" w:type="dxa"/>
            <w:vAlign w:val="center"/>
          </w:tcPr>
          <w:p w14:paraId="0B7B3CCB">
            <w:pPr>
              <w:spacing w:line="360" w:lineRule="auto"/>
              <w:rPr>
                <w:rFonts w:ascii="黑体" w:hAnsi="黑体" w:eastAsia="黑体" w:cs="宋体"/>
                <w:color w:val="000000"/>
                <w:kern w:val="0"/>
                <w:sz w:val="18"/>
                <w:szCs w:val="18"/>
              </w:rPr>
            </w:pPr>
            <w:r>
              <w:rPr>
                <w:rFonts w:hint="eastAsia" w:ascii="黑体" w:hAnsi="黑体" w:eastAsia="黑体" w:cs="宋体"/>
                <w:color w:val="000000"/>
                <w:kern w:val="0"/>
                <w:sz w:val="18"/>
                <w:szCs w:val="18"/>
              </w:rPr>
              <w:t>现场实测或查沉管记录</w:t>
            </w:r>
          </w:p>
        </w:tc>
      </w:tr>
    </w:tbl>
    <w:p w14:paraId="3599CD21">
      <w:pPr>
        <w:widowControl/>
        <w:spacing w:line="360" w:lineRule="auto"/>
        <w:ind w:left="996" w:leftChars="1" w:hanging="994" w:hangingChars="550"/>
        <w:rPr>
          <w:rFonts w:ascii="黑体" w:hAnsi="黑体" w:eastAsia="黑体" w:cs="宋体"/>
          <w:color w:val="000000"/>
          <w:kern w:val="0"/>
          <w:sz w:val="18"/>
          <w:szCs w:val="18"/>
        </w:rPr>
      </w:pPr>
      <w:r>
        <w:rPr>
          <w:rStyle w:val="124"/>
        </w:rPr>
        <w:t xml:space="preserve">4.3.4  </w:t>
      </w:r>
      <w:r>
        <w:rPr>
          <w:rFonts w:ascii="黑体" w:hAnsi="黑体" w:eastAsia="黑体" w:cs="宋体"/>
          <w:color w:val="000000"/>
          <w:kern w:val="0"/>
          <w:sz w:val="18"/>
          <w:szCs w:val="18"/>
        </w:rPr>
        <w:t xml:space="preserve">    成品保护</w:t>
      </w:r>
    </w:p>
    <w:p w14:paraId="3ED08916">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桩应达到设计强度的70%方可起吊，达到100%才能运输。</w:t>
      </w:r>
    </w:p>
    <w:p w14:paraId="5AB3A3BF">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桩在起吊和搬运时，必须做到吊点符合设计要求，应平稳并不得损坏。</w:t>
      </w:r>
    </w:p>
    <w:p w14:paraId="7125C5DB">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桩的堆放应符合下列要求：</w:t>
      </w:r>
    </w:p>
    <w:p w14:paraId="4D32075C">
      <w:pPr>
        <w:pStyle w:val="51"/>
        <w:widowControl/>
        <w:numPr>
          <w:ilvl w:val="0"/>
          <w:numId w:val="24"/>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场地应平整、坚实，不得产生不均匀下沉。</w:t>
      </w:r>
    </w:p>
    <w:p w14:paraId="75059762">
      <w:pPr>
        <w:pStyle w:val="51"/>
        <w:widowControl/>
        <w:numPr>
          <w:ilvl w:val="0"/>
          <w:numId w:val="24"/>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垫木与吊点的位置应相同，并应保持在同一平面内。</w:t>
      </w:r>
    </w:p>
    <w:p w14:paraId="08E715DB">
      <w:pPr>
        <w:pStyle w:val="51"/>
        <w:widowControl/>
        <w:numPr>
          <w:ilvl w:val="0"/>
          <w:numId w:val="24"/>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同桩号的桩应堆放在一起，而桩尖应向一端。</w:t>
      </w:r>
    </w:p>
    <w:p w14:paraId="0ED7FA7D">
      <w:pPr>
        <w:pStyle w:val="51"/>
        <w:widowControl/>
        <w:numPr>
          <w:ilvl w:val="0"/>
          <w:numId w:val="24"/>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多层垫木应上下对齐，最下层的垫木应适当加宽。堆放层数一般不宜超过4层。</w:t>
      </w:r>
    </w:p>
    <w:p w14:paraId="708EC17A">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妥善保护好桩基的轴线和标高控制桩。不得由于碰撞和振动而位移。</w:t>
      </w:r>
    </w:p>
    <w:p w14:paraId="6BB349EF">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打桩时如发现地质资料与提供的数据不符时，应停止施工，并与有关单位共同研究处理。</w:t>
      </w:r>
    </w:p>
    <w:p w14:paraId="15D367EE">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在邻近有建筑物或岸边、斜坡上打桩时，应会同有关单位采取有效的加固措施。施工时应随时进行观测，确保避免因打桩振动而发生安全事故。</w:t>
      </w:r>
    </w:p>
    <w:p w14:paraId="38457503">
      <w:pPr>
        <w:pStyle w:val="51"/>
        <w:widowControl/>
        <w:numPr>
          <w:ilvl w:val="0"/>
          <w:numId w:val="23"/>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打桩完毕进行基坑开挖时，应制定合理的施工顺序和技术措施，防止桩的位移和倾斜。</w:t>
      </w:r>
    </w:p>
    <w:p w14:paraId="7CF012A5">
      <w:pPr>
        <w:widowControl/>
        <w:spacing w:line="360" w:lineRule="auto"/>
        <w:rPr>
          <w:rFonts w:ascii="黑体" w:hAnsi="黑体" w:eastAsia="黑体" w:cs="宋体"/>
          <w:color w:val="000000"/>
          <w:kern w:val="0"/>
          <w:sz w:val="18"/>
          <w:szCs w:val="18"/>
        </w:rPr>
      </w:pPr>
      <w:r>
        <w:rPr>
          <w:rStyle w:val="124"/>
        </w:rPr>
        <w:t xml:space="preserve">4.3.5   </w:t>
      </w:r>
      <w:r>
        <w:rPr>
          <w:rFonts w:ascii="黑体" w:hAnsi="黑体" w:eastAsia="黑体" w:cs="宋体"/>
          <w:color w:val="000000"/>
          <w:kern w:val="0"/>
          <w:sz w:val="18"/>
          <w:szCs w:val="18"/>
        </w:rPr>
        <w:t xml:space="preserve">   应注意的质量问题</w:t>
      </w:r>
    </w:p>
    <w:p w14:paraId="20872116">
      <w:pPr>
        <w:pStyle w:val="51"/>
        <w:widowControl/>
        <w:numPr>
          <w:ilvl w:val="0"/>
          <w:numId w:val="25"/>
        </w:numPr>
        <w:spacing w:line="360" w:lineRule="auto"/>
        <w:ind w:left="993" w:hanging="709" w:firstLineChars="0"/>
        <w:rPr>
          <w:rFonts w:ascii="黑体" w:hAnsi="黑体" w:eastAsia="黑体" w:cs="宋体"/>
          <w:color w:val="000000"/>
          <w:kern w:val="0"/>
          <w:sz w:val="18"/>
          <w:szCs w:val="18"/>
        </w:rPr>
      </w:pPr>
      <w:r>
        <w:rPr>
          <w:rFonts w:ascii="黑体" w:hAnsi="黑体" w:eastAsia="黑体" w:cs="宋体"/>
          <w:color w:val="000000"/>
          <w:kern w:val="0"/>
          <w:sz w:val="18"/>
          <w:szCs w:val="18"/>
        </w:rPr>
        <w:t>预制桩必须提前定货加工，打桩时预制桩强度必须达到设计强度的100%，</w:t>
      </w:r>
      <w:r>
        <w:rPr>
          <w:rFonts w:hint="eastAsia" w:ascii="黑体" w:hAnsi="黑体" w:eastAsia="黑体" w:cs="宋体"/>
          <w:color w:val="000000"/>
          <w:kern w:val="0"/>
          <w:sz w:val="18"/>
          <w:szCs w:val="18"/>
        </w:rPr>
        <w:t>对长桩或总锤击数超过</w:t>
      </w:r>
      <w:r>
        <w:rPr>
          <w:rFonts w:ascii="黑体" w:hAnsi="黑体" w:eastAsia="黑体" w:cs="宋体"/>
          <w:color w:val="000000"/>
          <w:kern w:val="0"/>
          <w:sz w:val="18"/>
          <w:szCs w:val="18"/>
        </w:rPr>
        <w:t>500击的锤击桩，应符合桩体长度及28d龄期的两项条件。</w:t>
      </w:r>
    </w:p>
    <w:p w14:paraId="1BBCFED3">
      <w:pPr>
        <w:pStyle w:val="51"/>
        <w:widowControl/>
        <w:numPr>
          <w:ilvl w:val="0"/>
          <w:numId w:val="25"/>
        </w:numPr>
        <w:spacing w:line="360" w:lineRule="auto"/>
        <w:ind w:left="993" w:hanging="709" w:firstLineChars="0"/>
        <w:rPr>
          <w:rFonts w:ascii="黑体" w:hAnsi="黑体" w:eastAsia="黑体" w:cs="宋体"/>
          <w:color w:val="000000"/>
          <w:kern w:val="0"/>
          <w:sz w:val="18"/>
          <w:szCs w:val="18"/>
        </w:rPr>
      </w:pPr>
      <w:r>
        <w:rPr>
          <w:rFonts w:ascii="黑体" w:hAnsi="黑体" w:eastAsia="黑体" w:cs="宋体"/>
          <w:color w:val="000000"/>
          <w:kern w:val="0"/>
          <w:sz w:val="18"/>
          <w:szCs w:val="18"/>
        </w:rPr>
        <w:t>桩身断裂。由于桩身弯曲过大、强度不足及地下有障碍物等原因造成，或桩在堆放、起吊、运输过程中产生断裂，没有发现而致。应及时检查。</w:t>
      </w:r>
    </w:p>
    <w:p w14:paraId="73567660">
      <w:pPr>
        <w:pStyle w:val="51"/>
        <w:widowControl/>
        <w:numPr>
          <w:ilvl w:val="0"/>
          <w:numId w:val="25"/>
        </w:numPr>
        <w:spacing w:line="360" w:lineRule="auto"/>
        <w:ind w:left="993" w:hanging="709" w:firstLineChars="0"/>
        <w:rPr>
          <w:rFonts w:ascii="黑体" w:hAnsi="黑体" w:eastAsia="黑体" w:cs="宋体"/>
          <w:color w:val="000000"/>
          <w:kern w:val="0"/>
          <w:sz w:val="18"/>
          <w:szCs w:val="18"/>
        </w:rPr>
      </w:pPr>
      <w:r>
        <w:rPr>
          <w:rFonts w:ascii="黑体" w:hAnsi="黑体" w:eastAsia="黑体" w:cs="宋体"/>
          <w:color w:val="000000"/>
          <w:kern w:val="0"/>
          <w:sz w:val="18"/>
          <w:szCs w:val="18"/>
        </w:rPr>
        <w:t>桩顶碎裂、由于桩顶强度不够及钢筋网片不足、主筋距桩顶面大小，或桩顶不平、施工机具选择不当等原因所造成。应加强施工准备时的检查。</w:t>
      </w:r>
    </w:p>
    <w:p w14:paraId="4E08A4BE">
      <w:pPr>
        <w:pStyle w:val="51"/>
        <w:widowControl/>
        <w:numPr>
          <w:ilvl w:val="0"/>
          <w:numId w:val="25"/>
        </w:numPr>
        <w:spacing w:line="360" w:lineRule="auto"/>
        <w:ind w:left="993" w:hanging="709" w:firstLineChars="0"/>
        <w:rPr>
          <w:rFonts w:ascii="黑体" w:hAnsi="黑体" w:eastAsia="黑体" w:cs="宋体"/>
          <w:color w:val="000000"/>
          <w:kern w:val="0"/>
          <w:sz w:val="18"/>
          <w:szCs w:val="18"/>
        </w:rPr>
      </w:pPr>
      <w:r>
        <w:rPr>
          <w:rFonts w:ascii="黑体" w:hAnsi="黑体" w:eastAsia="黑体" w:cs="宋体"/>
          <w:color w:val="000000"/>
          <w:kern w:val="0"/>
          <w:sz w:val="18"/>
          <w:szCs w:val="18"/>
        </w:rPr>
        <w:t>桩身倾斜。由于场地不平、打桩机底盘不水平或稳桩不垂直、桩尖在地下遇见硬物等原因所造成。应严格按工艺操作规定执行。</w:t>
      </w:r>
    </w:p>
    <w:p w14:paraId="13544C02">
      <w:pPr>
        <w:pStyle w:val="51"/>
        <w:widowControl/>
        <w:numPr>
          <w:ilvl w:val="0"/>
          <w:numId w:val="25"/>
        </w:numPr>
        <w:spacing w:line="360" w:lineRule="auto"/>
        <w:ind w:left="993" w:hanging="709" w:firstLineChars="0"/>
        <w:rPr>
          <w:rFonts w:ascii="黑体" w:hAnsi="黑体" w:eastAsia="黑体" w:cs="宋体"/>
          <w:color w:val="000000"/>
          <w:kern w:val="0"/>
          <w:sz w:val="18"/>
          <w:szCs w:val="18"/>
        </w:rPr>
      </w:pPr>
      <w:r>
        <w:rPr>
          <w:rFonts w:ascii="黑体" w:hAnsi="黑体" w:eastAsia="黑体" w:cs="宋体"/>
          <w:color w:val="000000"/>
          <w:kern w:val="0"/>
          <w:sz w:val="18"/>
          <w:szCs w:val="18"/>
        </w:rPr>
        <w:t>接桩处拉脱开裂。连接处表面不干净、连接铁件不平、焊接质量不符合要求、接桩上下中心线不在同一条线上等原因所造成。应保证接桩的质量。</w:t>
      </w:r>
    </w:p>
    <w:p w14:paraId="0631D30D">
      <w:pPr>
        <w:widowControl/>
        <w:spacing w:line="360" w:lineRule="auto"/>
        <w:rPr>
          <w:rFonts w:ascii="黑体" w:hAnsi="黑体" w:eastAsia="黑体" w:cs="宋体"/>
          <w:color w:val="000000"/>
          <w:kern w:val="0"/>
          <w:sz w:val="18"/>
          <w:szCs w:val="18"/>
        </w:rPr>
      </w:pPr>
      <w:r>
        <w:rPr>
          <w:rStyle w:val="124"/>
        </w:rPr>
        <w:t xml:space="preserve">4.3.6  </w:t>
      </w:r>
      <w:r>
        <w:rPr>
          <w:rFonts w:ascii="黑体" w:hAnsi="黑体" w:eastAsia="黑体" w:cs="宋体"/>
          <w:color w:val="000000"/>
          <w:kern w:val="0"/>
          <w:sz w:val="18"/>
          <w:szCs w:val="18"/>
        </w:rPr>
        <w:t xml:space="preserve">    质量记录</w:t>
      </w:r>
    </w:p>
    <w:p w14:paraId="0920C93A">
      <w:pPr>
        <w:widowControl/>
        <w:spacing w:line="360" w:lineRule="auto"/>
        <w:ind w:firstLine="1080" w:firstLineChars="600"/>
        <w:rPr>
          <w:rFonts w:ascii="黑体" w:hAnsi="黑体" w:eastAsia="黑体" w:cs="宋体"/>
          <w:color w:val="000000"/>
          <w:kern w:val="0"/>
          <w:sz w:val="18"/>
          <w:szCs w:val="18"/>
        </w:rPr>
      </w:pPr>
      <w:r>
        <w:rPr>
          <w:rFonts w:ascii="黑体" w:hAnsi="黑体" w:eastAsia="黑体" w:cs="宋体"/>
          <w:color w:val="000000"/>
          <w:kern w:val="0"/>
          <w:sz w:val="18"/>
          <w:szCs w:val="18"/>
        </w:rPr>
        <w:t>本工艺标准应具备以下质量记录：</w:t>
      </w:r>
    </w:p>
    <w:p w14:paraId="5FB9BF7B">
      <w:pPr>
        <w:pStyle w:val="51"/>
        <w:widowControl/>
        <w:numPr>
          <w:ilvl w:val="0"/>
          <w:numId w:val="26"/>
        </w:numPr>
        <w:spacing w:line="360" w:lineRule="auto"/>
        <w:ind w:left="993" w:hanging="633" w:firstLineChars="0"/>
        <w:rPr>
          <w:rFonts w:ascii="黑体" w:hAnsi="黑体" w:eastAsia="黑体" w:cs="宋体"/>
          <w:color w:val="000000"/>
          <w:kern w:val="0"/>
          <w:sz w:val="18"/>
          <w:szCs w:val="18"/>
        </w:rPr>
      </w:pPr>
      <w:r>
        <w:rPr>
          <w:rFonts w:ascii="黑体" w:hAnsi="黑体" w:eastAsia="黑体" w:cs="宋体"/>
          <w:color w:val="000000"/>
          <w:kern w:val="0"/>
          <w:sz w:val="18"/>
          <w:szCs w:val="18"/>
        </w:rPr>
        <w:t>钢筋混凝土预制桩的出厂合格证。</w:t>
      </w:r>
    </w:p>
    <w:p w14:paraId="08E285A0">
      <w:pPr>
        <w:pStyle w:val="51"/>
        <w:widowControl/>
        <w:numPr>
          <w:ilvl w:val="0"/>
          <w:numId w:val="26"/>
        </w:numPr>
        <w:spacing w:line="360" w:lineRule="auto"/>
        <w:ind w:left="993" w:hanging="63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施工记录及隐蔽工程验收文件</w:t>
      </w:r>
      <w:r>
        <w:rPr>
          <w:rFonts w:ascii="黑体" w:hAnsi="黑体" w:eastAsia="黑体" w:cs="宋体"/>
          <w:color w:val="000000"/>
          <w:kern w:val="0"/>
          <w:sz w:val="18"/>
          <w:szCs w:val="18"/>
        </w:rPr>
        <w:t>。</w:t>
      </w:r>
    </w:p>
    <w:p w14:paraId="7413DC7D">
      <w:pPr>
        <w:pStyle w:val="51"/>
        <w:widowControl/>
        <w:numPr>
          <w:ilvl w:val="0"/>
          <w:numId w:val="26"/>
        </w:numPr>
        <w:spacing w:line="360" w:lineRule="auto"/>
        <w:ind w:left="993" w:hanging="63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桩检测试验</w:t>
      </w:r>
      <w:r>
        <w:rPr>
          <w:rFonts w:ascii="黑体" w:hAnsi="黑体" w:eastAsia="黑体" w:cs="宋体"/>
          <w:color w:val="000000"/>
          <w:kern w:val="0"/>
          <w:sz w:val="18"/>
          <w:szCs w:val="18"/>
        </w:rPr>
        <w:t>。</w:t>
      </w:r>
    </w:p>
    <w:p w14:paraId="21DD8BA9">
      <w:pPr>
        <w:pStyle w:val="51"/>
        <w:widowControl/>
        <w:numPr>
          <w:ilvl w:val="0"/>
          <w:numId w:val="26"/>
        </w:numPr>
        <w:spacing w:line="360" w:lineRule="auto"/>
        <w:ind w:left="993" w:hanging="63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桩基竣工平面图。</w:t>
      </w:r>
    </w:p>
    <w:p w14:paraId="69984625">
      <w:pPr>
        <w:pStyle w:val="51"/>
        <w:widowControl/>
        <w:numPr>
          <w:ilvl w:val="0"/>
          <w:numId w:val="26"/>
        </w:numPr>
        <w:spacing w:line="360" w:lineRule="auto"/>
        <w:ind w:left="993" w:hanging="63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预制桩体现场检查记录。</w:t>
      </w:r>
    </w:p>
    <w:p w14:paraId="467B39A3">
      <w:pPr>
        <w:pStyle w:val="51"/>
        <w:widowControl/>
        <w:numPr>
          <w:ilvl w:val="0"/>
          <w:numId w:val="26"/>
        </w:numPr>
        <w:spacing w:line="360" w:lineRule="auto"/>
        <w:ind w:left="993" w:hanging="633" w:firstLineChars="0"/>
        <w:rPr>
          <w:rFonts w:ascii="黑体" w:hAnsi="黑体" w:eastAsia="黑体" w:cs="宋体"/>
          <w:color w:val="000000"/>
          <w:kern w:val="0"/>
          <w:sz w:val="18"/>
          <w:szCs w:val="18"/>
        </w:rPr>
      </w:pPr>
      <w:r>
        <w:rPr>
          <w:rFonts w:hint="eastAsia" w:ascii="黑体" w:hAnsi="黑体" w:eastAsia="黑体" w:cs="宋体"/>
          <w:color w:val="000000"/>
          <w:kern w:val="0"/>
          <w:sz w:val="18"/>
          <w:szCs w:val="18"/>
        </w:rPr>
        <w:t>其它必须提供的文件记录。</w:t>
      </w:r>
    </w:p>
    <w:p w14:paraId="2734D9E3">
      <w:pPr>
        <w:pStyle w:val="119"/>
      </w:pPr>
      <w:bookmarkStart w:id="31" w:name="_Toc136956824"/>
      <w:r>
        <w:rPr>
          <w:rFonts w:hint="eastAsia"/>
        </w:rPr>
        <w:t>其它</w:t>
      </w:r>
      <w:bookmarkEnd w:id="31"/>
    </w:p>
    <w:p w14:paraId="37918729">
      <w:pPr>
        <w:pStyle w:val="112"/>
        <w:numPr>
          <w:ilvl w:val="0"/>
          <w:numId w:val="0"/>
        </w:numPr>
        <w:ind w:left="964"/>
      </w:pPr>
      <w:r>
        <w:rPr>
          <w:rFonts w:hint="eastAsia"/>
        </w:rPr>
        <w:t>未详之处，按有关规范执行。</w:t>
      </w:r>
    </w:p>
    <w:p w14:paraId="206CA138">
      <w:pPr>
        <w:keepNext w:val="0"/>
        <w:keepLines w:val="0"/>
        <w:pageBreakBefore w:val="0"/>
        <w:widowControl/>
        <w:kinsoku/>
        <w:wordWrap/>
        <w:overflowPunct/>
        <w:topLinePunct w:val="0"/>
        <w:autoSpaceDE/>
        <w:autoSpaceDN/>
        <w:bidi w:val="0"/>
        <w:adjustRightInd/>
        <w:snapToGrid/>
        <w:jc w:val="both"/>
        <w:textAlignment w:val="auto"/>
        <w:rPr>
          <w:rFonts w:ascii="黑体" w:hAnsi="黑体" w:eastAsia="黑体"/>
          <w:kern w:val="0"/>
          <w:sz w:val="18"/>
          <w:szCs w:val="18"/>
        </w:rPr>
      </w:pPr>
    </w:p>
    <w:p w14:paraId="1167077B">
      <w:pPr>
        <w:widowControl/>
        <w:jc w:val="left"/>
        <w:sectPr>
          <w:footerReference r:id="rId7" w:type="default"/>
          <w:type w:val="continuous"/>
          <w:pgSz w:w="11906" w:h="16838"/>
          <w:pgMar w:top="709" w:right="1133" w:bottom="720" w:left="1134" w:header="794" w:footer="490" w:gutter="0"/>
          <w:pgNumType w:fmt="decimal"/>
          <w:cols w:space="425" w:num="1"/>
          <w:docGrid w:type="lines" w:linePitch="312" w:charSpace="0"/>
        </w:sectPr>
      </w:pPr>
      <w:r>
        <w:br w:type="page"/>
      </w:r>
    </w:p>
    <w:p w14:paraId="526C1E53">
      <w:pPr>
        <w:pStyle w:val="120"/>
        <w:spacing w:before="0" w:after="0"/>
        <w:ind w:left="0" w:firstLine="0"/>
        <w:jc w:val="center"/>
      </w:pPr>
      <w:bookmarkStart w:id="32" w:name="_Toc136956825"/>
      <w:r>
        <w:rPr>
          <w:rFonts w:hint="eastAsia"/>
        </w:rPr>
        <w:t>钢筋混凝土工程技术要求</w:t>
      </w:r>
      <w:bookmarkEnd w:id="32"/>
    </w:p>
    <w:p w14:paraId="283CF28A">
      <w:pPr>
        <w:pStyle w:val="119"/>
      </w:pPr>
      <w:bookmarkStart w:id="33" w:name="_Toc136956826"/>
      <w:r>
        <w:rPr>
          <w:rFonts w:hint="eastAsia"/>
        </w:rPr>
        <w:t>总论</w:t>
      </w:r>
      <w:bookmarkEnd w:id="33"/>
    </w:p>
    <w:p w14:paraId="56CF6DBB">
      <w:pPr>
        <w:pStyle w:val="122"/>
        <w:rPr>
          <w:b w:val="0"/>
        </w:rPr>
      </w:pPr>
      <w:r>
        <w:rPr>
          <w:rFonts w:hint="eastAsia"/>
          <w:b w:val="0"/>
        </w:rPr>
        <w:t>内容范围</w:t>
      </w:r>
    </w:p>
    <w:p w14:paraId="420C5D76">
      <w:pPr>
        <w:pStyle w:val="112"/>
      </w:pPr>
      <w:r>
        <w:rPr>
          <w:rFonts w:hint="eastAsia"/>
        </w:rPr>
        <w:t>本设计要求适用于本项目中所有钢筋混凝土工程及钢结构工程，包括混凝土的供应、制造、浇灌和试验的各个方面，还包括了钢筋、钢筋制作、检测，模板和铺面等章节。也包括钢构件的图纸深化、工厂加工、现场安装和试验的各个方面，还包括了物料的运输、吊运、堆放、拼装、检测等章节。</w:t>
      </w:r>
    </w:p>
    <w:p w14:paraId="340F2EC2">
      <w:pPr>
        <w:pStyle w:val="112"/>
      </w:pPr>
      <w:r>
        <w:rPr>
          <w:rFonts w:hint="eastAsia"/>
        </w:rPr>
        <w:t>承包人需按照本设计技术要求及设计图纸完成合同要求工作。</w:t>
      </w:r>
    </w:p>
    <w:p w14:paraId="1C2F735C">
      <w:pPr>
        <w:pStyle w:val="110"/>
      </w:pPr>
      <w:r>
        <w:rPr>
          <w:rFonts w:hint="eastAsia"/>
        </w:rPr>
        <w:t>更改</w:t>
      </w:r>
    </w:p>
    <w:p w14:paraId="69C13B9D">
      <w:pPr>
        <w:pStyle w:val="112"/>
        <w:numPr>
          <w:ilvl w:val="0"/>
          <w:numId w:val="0"/>
        </w:numPr>
        <w:ind w:left="964"/>
      </w:pPr>
      <w:r>
        <w:rPr>
          <w:rFonts w:hint="eastAsia"/>
        </w:rPr>
        <w:t>如果承包人建议更改本设计要求的一些部份，应将建议书面提交给设计师，并留有充分时间给建筑师进行考虑，在需要时还应作试验或模拟（演示）。若未经设计师批准，不得更改本设计要求。</w:t>
      </w:r>
    </w:p>
    <w:p w14:paraId="138B65B2">
      <w:pPr>
        <w:pStyle w:val="110"/>
      </w:pPr>
      <w:r>
        <w:rPr>
          <w:rFonts w:hint="eastAsia"/>
        </w:rPr>
        <w:t>其它规范</w:t>
      </w:r>
    </w:p>
    <w:p w14:paraId="53857015">
      <w:pPr>
        <w:pStyle w:val="112"/>
      </w:pPr>
      <w:r>
        <w:rPr>
          <w:rFonts w:hint="eastAsia"/>
        </w:rPr>
        <w:t>钢筋混凝土及钢结构工程除须符合本技术要求外，亦必须符合中华人民共和国国家标准，包括（按最新颁定版本为准）：</w:t>
      </w:r>
    </w:p>
    <w:p w14:paraId="70FC8D9A">
      <w:pPr>
        <w:pStyle w:val="114"/>
      </w:pPr>
      <w:r>
        <w:rPr>
          <w:rStyle w:val="165"/>
          <w:color w:val="333333"/>
        </w:rPr>
        <w:t>钢筋混凝土工程施工及验收规范</w:t>
      </w:r>
      <w:r>
        <w:rPr>
          <w:rStyle w:val="166"/>
          <w:color w:val="333333"/>
        </w:rPr>
        <w:t xml:space="preserve">GBJ </w:t>
      </w:r>
      <w:r>
        <w:rPr>
          <w:rStyle w:val="166"/>
          <w:rFonts w:hint="eastAsia"/>
          <w:color w:val="333333"/>
        </w:rPr>
        <w:t>50204</w:t>
      </w:r>
    </w:p>
    <w:p w14:paraId="0F14E8FF">
      <w:pPr>
        <w:pStyle w:val="114"/>
      </w:pPr>
      <w:r>
        <w:rPr>
          <w:rFonts w:hint="eastAsia"/>
        </w:rPr>
        <w:t xml:space="preserve">硅酸盐水泥、普通硅酸盐水泥 </w:t>
      </w:r>
      <w:r>
        <w:t>GB175</w:t>
      </w:r>
    </w:p>
    <w:p w14:paraId="76C1452E">
      <w:pPr>
        <w:pStyle w:val="114"/>
      </w:pPr>
      <w:r>
        <w:rPr>
          <w:rFonts w:hint="eastAsia"/>
        </w:rPr>
        <w:t xml:space="preserve">建筑用砂 </w:t>
      </w:r>
      <w:r>
        <w:fldChar w:fldCharType="begin"/>
      </w:r>
      <w:r>
        <w:instrText xml:space="preserve"> HYPERLINK "http://www.spsp.gov.cn/page/CN/2011/GBT%2014684-2011.shtml" \t "_blank" </w:instrText>
      </w:r>
      <w:r>
        <w:fldChar w:fldCharType="separate"/>
      </w:r>
      <w:r>
        <w:t>GB/T 14684</w:t>
      </w:r>
      <w:r>
        <w:fldChar w:fldCharType="end"/>
      </w:r>
    </w:p>
    <w:p w14:paraId="34229C17">
      <w:pPr>
        <w:pStyle w:val="114"/>
      </w:pPr>
      <w:r>
        <w:rPr>
          <w:rFonts w:hint="eastAsia"/>
        </w:rPr>
        <w:t xml:space="preserve">建筑用卵石、碎石 </w:t>
      </w:r>
      <w:r>
        <w:t>GB</w:t>
      </w:r>
      <w:r>
        <w:rPr>
          <w:rFonts w:hint="eastAsia"/>
        </w:rPr>
        <w:t>／</w:t>
      </w:r>
      <w:r>
        <w:t>T14685</w:t>
      </w:r>
    </w:p>
    <w:p w14:paraId="74AD6547">
      <w:pPr>
        <w:pStyle w:val="114"/>
      </w:pPr>
      <w:r>
        <w:rPr>
          <w:rFonts w:hint="eastAsia"/>
        </w:rPr>
        <w:t>普通混凝土配合比设计规程 JG</w:t>
      </w:r>
      <w:r>
        <w:t>J</w:t>
      </w:r>
      <w:r>
        <w:rPr>
          <w:rFonts w:hint="eastAsia"/>
        </w:rPr>
        <w:t>／</w:t>
      </w:r>
      <w:r>
        <w:t>55</w:t>
      </w:r>
    </w:p>
    <w:p w14:paraId="198E8E3E">
      <w:pPr>
        <w:pStyle w:val="114"/>
      </w:pPr>
      <w:r>
        <w:rPr>
          <w:rFonts w:hint="eastAsia"/>
        </w:rPr>
        <w:t xml:space="preserve">轻集料混凝土技术规程 </w:t>
      </w:r>
      <w:r>
        <w:t>JGJ51</w:t>
      </w:r>
    </w:p>
    <w:p w14:paraId="7FC53EC8">
      <w:pPr>
        <w:pStyle w:val="114"/>
      </w:pPr>
      <w:r>
        <w:fldChar w:fldCharType="begin"/>
      </w:r>
      <w:r>
        <w:instrText xml:space="preserve"> HYPERLINK "http://www.spsp.gov.cn/page/CN/2002/GBT%2050081-2002.shtml" \t "_blank" </w:instrText>
      </w:r>
      <w:r>
        <w:fldChar w:fldCharType="separate"/>
      </w:r>
      <w:r>
        <w:t>普通混凝土力学性能试验方法标准</w:t>
      </w:r>
      <w:r>
        <w:fldChar w:fldCharType="end"/>
      </w:r>
      <w:r>
        <w:t xml:space="preserve"> </w:t>
      </w:r>
      <w:r>
        <w:fldChar w:fldCharType="begin"/>
      </w:r>
      <w:r>
        <w:instrText xml:space="preserve"> HYPERLINK "http://www.spsp.gov.cn/page/CN/2002/GBT%2050081-2002.shtml" \t "_blank" </w:instrText>
      </w:r>
      <w:r>
        <w:fldChar w:fldCharType="separate"/>
      </w:r>
      <w:r>
        <w:t>GB/T 50081</w:t>
      </w:r>
      <w:r>
        <w:fldChar w:fldCharType="end"/>
      </w:r>
    </w:p>
    <w:p w14:paraId="21DD18BF">
      <w:pPr>
        <w:pStyle w:val="114"/>
      </w:pPr>
      <w:r>
        <w:rPr>
          <w:rFonts w:hint="eastAsia"/>
        </w:rPr>
        <w:t xml:space="preserve">混凝土强度检验评定标准 </w:t>
      </w:r>
      <w:r>
        <w:fldChar w:fldCharType="begin"/>
      </w:r>
      <w:r>
        <w:instrText xml:space="preserve"> HYPERLINK "http://www.spsp.gov.cn/page/CN/2010/GBT%2050107-2010.shtml" \t "_blank" </w:instrText>
      </w:r>
      <w:r>
        <w:fldChar w:fldCharType="separate"/>
      </w:r>
      <w:r>
        <w:t>GB/T 50107</w:t>
      </w:r>
      <w:r>
        <w:fldChar w:fldCharType="end"/>
      </w:r>
    </w:p>
    <w:p w14:paraId="745A09F1">
      <w:pPr>
        <w:pStyle w:val="114"/>
      </w:pPr>
      <w:r>
        <w:rPr>
          <w:rFonts w:hint="eastAsia"/>
        </w:rPr>
        <w:t xml:space="preserve">碳素结构钢 </w:t>
      </w:r>
      <w:r>
        <w:fldChar w:fldCharType="begin"/>
      </w:r>
      <w:r>
        <w:instrText xml:space="preserve"> HYPERLINK "http://www.spsp.gov.cn/page/CN/2006/GBT%20700-2006.shtml" \t "_blank" </w:instrText>
      </w:r>
      <w:r>
        <w:fldChar w:fldCharType="separate"/>
      </w:r>
      <w:r>
        <w:t>GB/T 700</w:t>
      </w:r>
      <w:r>
        <w:fldChar w:fldCharType="end"/>
      </w:r>
    </w:p>
    <w:p w14:paraId="5F40FD2A">
      <w:pPr>
        <w:pStyle w:val="114"/>
      </w:pPr>
      <w:r>
        <w:fldChar w:fldCharType="begin"/>
      </w:r>
      <w:r>
        <w:instrText xml:space="preserve"> HYPERLINK "http://www.spsp.gov.cn/page/CN/2008/GB%201499.1-2008.shtml" \t "_blank" </w:instrText>
      </w:r>
      <w:r>
        <w:fldChar w:fldCharType="separate"/>
      </w:r>
      <w:r>
        <w:t>钢筋混凝土用钢 第1部分:热轧光圆钢筋</w:t>
      </w:r>
      <w:r>
        <w:fldChar w:fldCharType="end"/>
      </w:r>
      <w:r>
        <w:t xml:space="preserve"> </w:t>
      </w:r>
      <w:r>
        <w:fldChar w:fldCharType="begin"/>
      </w:r>
      <w:r>
        <w:instrText xml:space="preserve"> HYPERLINK "http://www.spsp.gov.cn/page/CN/2008/GB%201499.1-2008.shtml" \t "_blank" </w:instrText>
      </w:r>
      <w:r>
        <w:fldChar w:fldCharType="separate"/>
      </w:r>
      <w:r>
        <w:t>GB 1499.1</w:t>
      </w:r>
      <w:r>
        <w:fldChar w:fldCharType="end"/>
      </w:r>
    </w:p>
    <w:p w14:paraId="2DBB809D">
      <w:pPr>
        <w:pStyle w:val="114"/>
      </w:pPr>
      <w:r>
        <w:fldChar w:fldCharType="begin"/>
      </w:r>
      <w:r>
        <w:instrText xml:space="preserve"> HYPERLINK "http://www.spsp.gov.cn/page/CN/2007/GB%201499.2-2007.shtml" \t "_blank" </w:instrText>
      </w:r>
      <w:r>
        <w:fldChar w:fldCharType="separate"/>
      </w:r>
      <w:r>
        <w:t>钢筋混凝土用钢 第2部分:热轧带肋钢筋</w:t>
      </w:r>
      <w:r>
        <w:fldChar w:fldCharType="end"/>
      </w:r>
      <w:r>
        <w:t xml:space="preserve"> </w:t>
      </w:r>
      <w:r>
        <w:fldChar w:fldCharType="begin"/>
      </w:r>
      <w:r>
        <w:instrText xml:space="preserve"> HYPERLINK "http://www.spsp.gov.cn/page/CN/2008/GB%201499.1-2008.shtml" \t "_blank" </w:instrText>
      </w:r>
      <w:r>
        <w:fldChar w:fldCharType="separate"/>
      </w:r>
      <w:r>
        <w:t>GB 1499.</w:t>
      </w:r>
      <w:r>
        <w:rPr>
          <w:rFonts w:hint="eastAsia"/>
        </w:rPr>
        <w:t>2</w:t>
      </w:r>
      <w:r>
        <w:rPr>
          <w:rFonts w:hint="eastAsia"/>
        </w:rPr>
        <w:fldChar w:fldCharType="end"/>
      </w:r>
    </w:p>
    <w:p w14:paraId="37D4D856">
      <w:pPr>
        <w:pStyle w:val="114"/>
      </w:pPr>
      <w:r>
        <w:rPr>
          <w:rFonts w:hint="eastAsia"/>
        </w:rPr>
        <w:t xml:space="preserve">建筑结构制图标准 </w:t>
      </w:r>
      <w:r>
        <w:t>GB/T50105</w:t>
      </w:r>
    </w:p>
    <w:p w14:paraId="75F97E15">
      <w:pPr>
        <w:pStyle w:val="114"/>
      </w:pPr>
      <w:r>
        <w:rPr>
          <w:rFonts w:hint="eastAsia"/>
        </w:rPr>
        <w:t>工程建设标准强制性条文（房屋建筑部分）</w:t>
      </w:r>
    </w:p>
    <w:p w14:paraId="5A25C950">
      <w:pPr>
        <w:pStyle w:val="114"/>
      </w:pPr>
      <w:r>
        <w:rPr>
          <w:rFonts w:hint="eastAsia"/>
        </w:rPr>
        <w:t xml:space="preserve">建筑结构可靠度设计统一标准 </w:t>
      </w:r>
      <w:r>
        <w:t>GB50068</w:t>
      </w:r>
    </w:p>
    <w:p w14:paraId="09F8AE64">
      <w:pPr>
        <w:pStyle w:val="114"/>
      </w:pPr>
      <w:r>
        <w:rPr>
          <w:rFonts w:hint="eastAsia"/>
        </w:rPr>
        <w:t xml:space="preserve">建筑工程抗震设防分类标准 </w:t>
      </w:r>
      <w:r>
        <w:t>GB50223</w:t>
      </w:r>
    </w:p>
    <w:p w14:paraId="5819735B">
      <w:pPr>
        <w:pStyle w:val="114"/>
      </w:pPr>
      <w:r>
        <w:rPr>
          <w:rFonts w:hint="eastAsia"/>
        </w:rPr>
        <w:t xml:space="preserve">建筑结构荷载规范 </w:t>
      </w:r>
      <w:r>
        <w:t>GB50009</w:t>
      </w:r>
    </w:p>
    <w:p w14:paraId="6540E8DE">
      <w:pPr>
        <w:pStyle w:val="114"/>
      </w:pPr>
      <w:r>
        <w:rPr>
          <w:rFonts w:hint="eastAsia"/>
        </w:rPr>
        <w:t xml:space="preserve">建筑地基基础设计规范 </w:t>
      </w:r>
      <w:r>
        <w:t>GB50007</w:t>
      </w:r>
    </w:p>
    <w:p w14:paraId="7ED64163">
      <w:pPr>
        <w:pStyle w:val="114"/>
      </w:pPr>
      <w:r>
        <w:rPr>
          <w:rFonts w:hint="eastAsia"/>
        </w:rPr>
        <w:t xml:space="preserve">混凝土结构设计规范 </w:t>
      </w:r>
      <w:r>
        <w:t>GB50010</w:t>
      </w:r>
    </w:p>
    <w:p w14:paraId="2085CAA2">
      <w:pPr>
        <w:pStyle w:val="114"/>
      </w:pPr>
      <w:r>
        <w:rPr>
          <w:rFonts w:hint="eastAsia"/>
        </w:rPr>
        <w:t xml:space="preserve">建筑抗震设计规范 </w:t>
      </w:r>
      <w:r>
        <w:t>GB50011</w:t>
      </w:r>
    </w:p>
    <w:p w14:paraId="566AE01E">
      <w:pPr>
        <w:pStyle w:val="114"/>
      </w:pPr>
      <w:r>
        <w:rPr>
          <w:rFonts w:hint="eastAsia"/>
        </w:rPr>
        <w:t xml:space="preserve">地下工程防水技术规范 </w:t>
      </w:r>
      <w:r>
        <w:t>GB50108</w:t>
      </w:r>
    </w:p>
    <w:p w14:paraId="225D0D77">
      <w:pPr>
        <w:pStyle w:val="114"/>
      </w:pPr>
      <w:r>
        <w:rPr>
          <w:rFonts w:hint="eastAsia"/>
        </w:rPr>
        <w:t xml:space="preserve">钢结构设计规范 </w:t>
      </w:r>
      <w:r>
        <w:t>GB50017</w:t>
      </w:r>
    </w:p>
    <w:p w14:paraId="4435C73D">
      <w:pPr>
        <w:pStyle w:val="114"/>
      </w:pPr>
      <w:r>
        <w:rPr>
          <w:rFonts w:hint="eastAsia"/>
        </w:rPr>
        <w:t xml:space="preserve">型钢混凝土组合结构技术规程 </w:t>
      </w:r>
      <w:r>
        <w:t>JGJ138</w:t>
      </w:r>
    </w:p>
    <w:p w14:paraId="5946ABE2">
      <w:pPr>
        <w:pStyle w:val="114"/>
      </w:pPr>
      <w:r>
        <w:rPr>
          <w:rFonts w:hint="eastAsia"/>
        </w:rPr>
        <w:t>混凝土结构施工图平面整体表示方法制图规则和制造详图</w:t>
      </w:r>
      <w:r>
        <w:t>[</w:t>
      </w:r>
      <w:r>
        <w:rPr>
          <w:rFonts w:hint="eastAsia"/>
        </w:rPr>
        <w:t>11</w:t>
      </w:r>
      <w:r>
        <w:t>G101-1(</w:t>
      </w:r>
      <w:r>
        <w:rPr>
          <w:rFonts w:hint="eastAsia"/>
        </w:rPr>
        <w:t>包括修正内容</w:t>
      </w:r>
      <w:r>
        <w:t>)</w:t>
      </w:r>
      <w:r>
        <w:rPr>
          <w:rFonts w:hint="eastAsia"/>
        </w:rPr>
        <w:t>、</w:t>
      </w:r>
      <w:r>
        <w:t>2，</w:t>
      </w:r>
      <w:r>
        <w:rPr>
          <w:rFonts w:hint="eastAsia"/>
        </w:rPr>
        <w:t>11</w:t>
      </w:r>
      <w:r>
        <w:t>G101-3]</w:t>
      </w:r>
    </w:p>
    <w:p w14:paraId="04708C55">
      <w:pPr>
        <w:pStyle w:val="114"/>
      </w:pPr>
      <w:r>
        <w:rPr>
          <w:rFonts w:hint="eastAsia"/>
        </w:rPr>
        <w:t xml:space="preserve">框架结构填充小型空心砌块墙体结构构造 </w:t>
      </w:r>
      <w:r>
        <w:t>02SG614</w:t>
      </w:r>
    </w:p>
    <w:p w14:paraId="5387E443">
      <w:pPr>
        <w:pStyle w:val="114"/>
      </w:pPr>
      <w:r>
        <w:rPr>
          <w:rFonts w:hint="eastAsia"/>
        </w:rPr>
        <w:t xml:space="preserve">钢筋混凝土结构预埋件 </w:t>
      </w:r>
      <w:r>
        <w:t>04G362</w:t>
      </w:r>
    </w:p>
    <w:p w14:paraId="5C24B9F8">
      <w:pPr>
        <w:pStyle w:val="114"/>
      </w:pPr>
      <w:r>
        <w:rPr>
          <w:rFonts w:hint="eastAsia"/>
        </w:rPr>
        <w:t xml:space="preserve">玻璃幕墙工程技术规范 </w:t>
      </w:r>
      <w:r>
        <w:t>JGJ102</w:t>
      </w:r>
    </w:p>
    <w:p w14:paraId="24DE16D2">
      <w:pPr>
        <w:pStyle w:val="114"/>
      </w:pPr>
      <w:r>
        <w:rPr>
          <w:rFonts w:hint="eastAsia"/>
        </w:rPr>
        <w:t>钢结构设计规范</w:t>
      </w:r>
      <w:r>
        <w:t xml:space="preserve"> GB50017</w:t>
      </w:r>
    </w:p>
    <w:p w14:paraId="14F93F4E">
      <w:pPr>
        <w:pStyle w:val="114"/>
      </w:pPr>
      <w:r>
        <w:rPr>
          <w:rFonts w:hint="eastAsia"/>
        </w:rPr>
        <w:t xml:space="preserve">冷弯薄壁型钢结构技术规程 </w:t>
      </w:r>
      <w:r>
        <w:t>GB50018</w:t>
      </w:r>
    </w:p>
    <w:p w14:paraId="1FD5332A">
      <w:pPr>
        <w:pStyle w:val="114"/>
      </w:pPr>
      <w:r>
        <w:rPr>
          <w:rFonts w:hint="eastAsia"/>
        </w:rPr>
        <w:t xml:space="preserve">钢骨混凝土结构设计规程 </w:t>
      </w:r>
      <w:r>
        <w:t>YB9082</w:t>
      </w:r>
    </w:p>
    <w:p w14:paraId="555E8291">
      <w:pPr>
        <w:pStyle w:val="114"/>
      </w:pPr>
      <w:r>
        <w:rPr>
          <w:rFonts w:hint="eastAsia"/>
        </w:rPr>
        <w:t xml:space="preserve">钢管混凝土结构设计与施工规程 </w:t>
      </w:r>
      <w:r>
        <w:t>CECS28</w:t>
      </w:r>
    </w:p>
    <w:p w14:paraId="6C4E2EC6">
      <w:pPr>
        <w:pStyle w:val="114"/>
      </w:pPr>
      <w:r>
        <w:rPr>
          <w:rFonts w:hint="eastAsia"/>
        </w:rPr>
        <w:t>钢结构工程施工质量验收规范</w:t>
      </w:r>
      <w:r>
        <w:t xml:space="preserve"> GB50205</w:t>
      </w:r>
    </w:p>
    <w:p w14:paraId="16EA9364">
      <w:pPr>
        <w:pStyle w:val="114"/>
      </w:pPr>
      <w:r>
        <w:t>钢结构焊接规范</w:t>
      </w:r>
      <w:r>
        <w:rPr>
          <w:rFonts w:hint="eastAsia"/>
        </w:rPr>
        <w:t xml:space="preserve"> </w:t>
      </w:r>
      <w:r>
        <w:t>GB50661</w:t>
      </w:r>
    </w:p>
    <w:p w14:paraId="410BFFB0">
      <w:pPr>
        <w:pStyle w:val="112"/>
      </w:pPr>
      <w:r>
        <w:rPr>
          <w:rFonts w:hint="eastAsia"/>
        </w:rPr>
        <w:t>若有中国规范或本设计要求没有指明的事项，则可采用其它公认的国际工程标准，但必须事先得到设计师的批准。若本设计要求与其它现行中国规范不一致时，则取较严格之规定。</w:t>
      </w:r>
    </w:p>
    <w:p w14:paraId="72110FAB">
      <w:pPr>
        <w:pStyle w:val="119"/>
      </w:pPr>
      <w:bookmarkStart w:id="34" w:name="_Toc136956827"/>
      <w:r>
        <w:rPr>
          <w:rFonts w:hint="eastAsia"/>
        </w:rPr>
        <w:t>材料</w:t>
      </w:r>
      <w:bookmarkEnd w:id="34"/>
    </w:p>
    <w:p w14:paraId="1F115354">
      <w:pPr>
        <w:pStyle w:val="110"/>
      </w:pPr>
      <w:r>
        <w:rPr>
          <w:rFonts w:hint="eastAsia"/>
        </w:rPr>
        <w:t>总则</w:t>
      </w:r>
    </w:p>
    <w:p w14:paraId="105950A0">
      <w:pPr>
        <w:pStyle w:val="112"/>
      </w:pPr>
      <w:r>
        <w:rPr>
          <w:rFonts w:hint="eastAsia"/>
        </w:rPr>
        <w:t>混凝土必须用水泥、骨料及水制成。未经批准，不得加入其它成分。</w:t>
      </w:r>
    </w:p>
    <w:p w14:paraId="60B2AAAC">
      <w:pPr>
        <w:pStyle w:val="112"/>
      </w:pPr>
      <w:r>
        <w:rPr>
          <w:rFonts w:hint="eastAsia"/>
        </w:rPr>
        <w:t>若本设计要求，则承包人必须向设计师提供其所选择材料的详细资料和供应来源，并获得批准后才能正式使用。</w:t>
      </w:r>
    </w:p>
    <w:p w14:paraId="513DAB6C">
      <w:pPr>
        <w:pStyle w:val="112"/>
      </w:pPr>
      <w:r>
        <w:rPr>
          <w:rFonts w:hint="eastAsia"/>
        </w:rPr>
        <w:t>呈交材料供应的来源以供审批时，承包人必须向建筑师</w:t>
      </w:r>
      <w:r>
        <w:t>/</w:t>
      </w:r>
      <w:r>
        <w:rPr>
          <w:rFonts w:hint="eastAsia"/>
        </w:rPr>
        <w:t>结构师提供该材料的来源和品质证明，包括出厂证书、试验报告等。</w:t>
      </w:r>
    </w:p>
    <w:p w14:paraId="07E41621">
      <w:pPr>
        <w:pStyle w:val="112"/>
      </w:pPr>
      <w:r>
        <w:rPr>
          <w:rFonts w:hint="eastAsia"/>
        </w:rPr>
        <w:t>要更改本设计要求所规定的或图纸上所示出的材料，必须在开工前获得建筑师</w:t>
      </w:r>
      <w:r>
        <w:t>/</w:t>
      </w:r>
      <w:r>
        <w:rPr>
          <w:rFonts w:hint="eastAsia"/>
        </w:rPr>
        <w:t>设计师的批准，而且承包人必须呈交建议的全部细节，以供审批。</w:t>
      </w:r>
    </w:p>
    <w:p w14:paraId="0E5613ED">
      <w:pPr>
        <w:pStyle w:val="110"/>
      </w:pPr>
      <w:r>
        <w:rPr>
          <w:rFonts w:hint="eastAsia"/>
        </w:rPr>
        <w:t>水泥</w:t>
      </w:r>
    </w:p>
    <w:p w14:paraId="5C3D9385">
      <w:pPr>
        <w:pStyle w:val="112"/>
      </w:pPr>
      <w:r>
        <w:rPr>
          <w:rFonts w:hint="eastAsia"/>
        </w:rPr>
        <w:t>水泥应为普通硅酸盐水泥并符合国标的规定。</w:t>
      </w:r>
    </w:p>
    <w:p w14:paraId="15DCA35A">
      <w:pPr>
        <w:pStyle w:val="112"/>
      </w:pPr>
      <w:r>
        <w:rPr>
          <w:rFonts w:hint="eastAsia"/>
        </w:rPr>
        <w:t>所有水泥必须由一个来源供应，运送至工地时须采用密封容器，或适当类型的散装水泥卡车。</w:t>
      </w:r>
    </w:p>
    <w:p w14:paraId="566CCF4E">
      <w:pPr>
        <w:pStyle w:val="110"/>
      </w:pPr>
      <w:r>
        <w:rPr>
          <w:rFonts w:hint="eastAsia"/>
        </w:rPr>
        <w:t>骨料</w:t>
      </w:r>
    </w:p>
    <w:p w14:paraId="3B881613">
      <w:pPr>
        <w:pStyle w:val="112"/>
      </w:pPr>
      <w:r>
        <w:rPr>
          <w:rFonts w:hint="eastAsia"/>
        </w:rPr>
        <w:t>总则</w:t>
      </w:r>
    </w:p>
    <w:p w14:paraId="1BC2B45E">
      <w:pPr>
        <w:pStyle w:val="114"/>
      </w:pPr>
      <w:r>
        <w:rPr>
          <w:rFonts w:hint="eastAsia"/>
        </w:rPr>
        <w:t>除非本设计要求另有规定，骨料须符合现行中国规范</w:t>
      </w:r>
      <w:r>
        <w:t xml:space="preserve">GB50204 </w:t>
      </w:r>
      <w:r>
        <w:rPr>
          <w:rFonts w:hint="eastAsia"/>
        </w:rPr>
        <w:t>及中国国家标准</w:t>
      </w:r>
      <w:r>
        <w:t>GB</w:t>
      </w:r>
      <w:r>
        <w:rPr>
          <w:rFonts w:hint="eastAsia"/>
        </w:rPr>
        <w:t>／</w:t>
      </w:r>
      <w:r>
        <w:t>T14684</w:t>
      </w:r>
      <w:r>
        <w:rPr>
          <w:rFonts w:hint="eastAsia"/>
        </w:rPr>
        <w:t>和</w:t>
      </w:r>
      <w:r>
        <w:t>GB</w:t>
      </w:r>
      <w:r>
        <w:rPr>
          <w:rFonts w:hint="eastAsia"/>
        </w:rPr>
        <w:t>／</w:t>
      </w:r>
      <w:r>
        <w:t>T14685</w:t>
      </w:r>
      <w:r>
        <w:rPr>
          <w:rFonts w:hint="eastAsia"/>
        </w:rPr>
        <w:t>的规定。</w:t>
      </w:r>
    </w:p>
    <w:p w14:paraId="09DF25B1">
      <w:pPr>
        <w:pStyle w:val="114"/>
      </w:pPr>
      <w:r>
        <w:rPr>
          <w:rFonts w:hint="eastAsia"/>
        </w:rPr>
        <w:t>骨料的级配方式应当使按规定比例配制的混凝土能够容易地浇入所定位置，而不会离析以及不必使用过量的水。在整个施工过程中都要一直检查级配情况，使之符合最初试拌时的情况。</w:t>
      </w:r>
    </w:p>
    <w:p w14:paraId="0A9B36CE">
      <w:pPr>
        <w:pStyle w:val="112"/>
      </w:pPr>
      <w:r>
        <w:rPr>
          <w:rFonts w:hint="eastAsia"/>
        </w:rPr>
        <w:t>形状与孔隙率</w:t>
      </w:r>
    </w:p>
    <w:p w14:paraId="1311B604">
      <w:pPr>
        <w:pStyle w:val="114"/>
      </w:pPr>
      <w:r>
        <w:rPr>
          <w:rFonts w:hint="eastAsia"/>
        </w:rPr>
        <w:t>在防水建筑物中不得使用吸水率大于</w:t>
      </w:r>
      <w:r>
        <w:t>2</w:t>
      </w:r>
      <w:r>
        <w:rPr>
          <w:rFonts w:hint="eastAsia"/>
        </w:rPr>
        <w:t>％的骨料。</w:t>
      </w:r>
    </w:p>
    <w:p w14:paraId="3C172823">
      <w:pPr>
        <w:pStyle w:val="112"/>
      </w:pPr>
      <w:r>
        <w:rPr>
          <w:rFonts w:hint="eastAsia"/>
        </w:rPr>
        <w:t>盐份</w:t>
      </w:r>
    </w:p>
    <w:p w14:paraId="08D52665">
      <w:pPr>
        <w:pStyle w:val="114"/>
      </w:pPr>
      <w:r>
        <w:rPr>
          <w:rFonts w:hint="eastAsia"/>
        </w:rPr>
        <w:t>骨料所含可溶性盐份的总量不得超过下列数值：</w:t>
      </w:r>
    </w:p>
    <w:p w14:paraId="694A3DA9">
      <w:pPr>
        <w:pStyle w:val="114"/>
        <w:numPr>
          <w:ilvl w:val="0"/>
          <w:numId w:val="0"/>
        </w:numPr>
        <w:ind w:left="992"/>
      </w:pPr>
      <w:r>
        <w:rPr>
          <w:rFonts w:hint="eastAsia"/>
        </w:rPr>
        <w:t>骨料种类</w:t>
      </w:r>
      <w:r>
        <w:t xml:space="preserve"> </w:t>
      </w:r>
      <w:r>
        <w:rPr>
          <w:rFonts w:hint="eastAsia"/>
        </w:rPr>
        <w:t>含盐量（以骨料重量</w:t>
      </w:r>
      <w:r>
        <w:t>(</w:t>
      </w:r>
      <w:r>
        <w:rPr>
          <w:rFonts w:hint="eastAsia"/>
        </w:rPr>
        <w:t>无水</w:t>
      </w:r>
      <w:r>
        <w:t>)</w:t>
      </w:r>
      <w:r>
        <w:rPr>
          <w:rFonts w:hint="eastAsia"/>
        </w:rPr>
        <w:t>的百分数计）</w:t>
      </w:r>
    </w:p>
    <w:p w14:paraId="5A1CFD4A">
      <w:pPr>
        <w:pStyle w:val="114"/>
        <w:numPr>
          <w:ilvl w:val="0"/>
          <w:numId w:val="0"/>
        </w:numPr>
        <w:ind w:left="992"/>
      </w:pPr>
      <w:r>
        <w:rPr>
          <w:rFonts w:hint="eastAsia"/>
        </w:rPr>
        <w:t>细骨料</w:t>
      </w:r>
      <w:r>
        <w:t xml:space="preserve"> </w:t>
      </w:r>
      <w:r>
        <w:rPr>
          <w:rFonts w:hint="eastAsia"/>
        </w:rPr>
        <w:t xml:space="preserve">           </w:t>
      </w:r>
      <w:r>
        <w:t>0.08</w:t>
      </w:r>
      <w:r>
        <w:rPr>
          <w:rFonts w:hint="eastAsia"/>
        </w:rPr>
        <w:t>％</w:t>
      </w:r>
    </w:p>
    <w:p w14:paraId="304A840C">
      <w:pPr>
        <w:pStyle w:val="114"/>
        <w:numPr>
          <w:ilvl w:val="0"/>
          <w:numId w:val="0"/>
        </w:numPr>
        <w:ind w:left="992"/>
      </w:pPr>
      <w:r>
        <w:rPr>
          <w:rFonts w:hint="eastAsia"/>
        </w:rPr>
        <w:t>粗骨料</w:t>
      </w:r>
      <w:r>
        <w:t xml:space="preserve"> </w:t>
      </w:r>
      <w:r>
        <w:rPr>
          <w:rFonts w:hint="eastAsia"/>
        </w:rPr>
        <w:t xml:space="preserve">           </w:t>
      </w:r>
      <w:r>
        <w:t>0.04</w:t>
      </w:r>
      <w:r>
        <w:rPr>
          <w:rFonts w:hint="eastAsia"/>
        </w:rPr>
        <w:t>％</w:t>
      </w:r>
    </w:p>
    <w:p w14:paraId="7BA6547A">
      <w:pPr>
        <w:pStyle w:val="110"/>
      </w:pPr>
      <w:r>
        <w:rPr>
          <w:rFonts w:hint="eastAsia"/>
        </w:rPr>
        <w:t>水</w:t>
      </w:r>
    </w:p>
    <w:p w14:paraId="1B64AA21">
      <w:pPr>
        <w:pStyle w:val="112"/>
      </w:pPr>
      <w:r>
        <w:rPr>
          <w:rFonts w:hint="eastAsia"/>
        </w:rPr>
        <w:t>水必须干净而不受到污染。如果没有自来水而必须使用其它水源，须呈交审批。承包人若得到指示后就必须安排进行水质化验，其化验结果须呈交给监理工程师审批后，方可使用。</w:t>
      </w:r>
    </w:p>
    <w:p w14:paraId="08C8F77B">
      <w:pPr>
        <w:pStyle w:val="112"/>
      </w:pPr>
      <w:r>
        <w:rPr>
          <w:rFonts w:hint="eastAsia"/>
        </w:rPr>
        <w:t>水质必须符合中国现行标准“混凝土拌合用水标准”</w:t>
      </w:r>
      <w:r>
        <w:t xml:space="preserve">JGJ63 </w:t>
      </w:r>
      <w:r>
        <w:rPr>
          <w:rFonts w:hint="eastAsia"/>
        </w:rPr>
        <w:t>的规定。</w:t>
      </w:r>
    </w:p>
    <w:p w14:paraId="2C23D3B2">
      <w:pPr>
        <w:pStyle w:val="110"/>
      </w:pPr>
      <w:r>
        <w:rPr>
          <w:rFonts w:hint="eastAsia"/>
        </w:rPr>
        <w:t>外加剂</w:t>
      </w:r>
    </w:p>
    <w:p w14:paraId="41201516">
      <w:pPr>
        <w:pStyle w:val="112"/>
        <w:numPr>
          <w:ilvl w:val="0"/>
          <w:numId w:val="0"/>
        </w:numPr>
        <w:ind w:left="964"/>
      </w:pPr>
      <w:r>
        <w:rPr>
          <w:rFonts w:hint="eastAsia"/>
        </w:rPr>
        <w:t>若承包人提出建议井获得设计师的同意时，承包人可以在设计配料中使用外加剂，但外加剂和相应配料设计方案的细节和试拌结果需预先获得批准。不许使用含氯化钙的外加剂。</w:t>
      </w:r>
    </w:p>
    <w:p w14:paraId="5366038F">
      <w:pPr>
        <w:pStyle w:val="110"/>
      </w:pPr>
      <w:r>
        <w:rPr>
          <w:rFonts w:hint="eastAsia"/>
        </w:rPr>
        <w:t>混凝土</w:t>
      </w:r>
    </w:p>
    <w:p w14:paraId="3124D09B">
      <w:pPr>
        <w:pStyle w:val="112"/>
      </w:pPr>
      <w:r>
        <w:rPr>
          <w:rFonts w:hint="eastAsia"/>
        </w:rPr>
        <w:t>混凝土强度等级定义</w:t>
      </w:r>
    </w:p>
    <w:p w14:paraId="2C48B57F">
      <w:pPr>
        <w:pStyle w:val="112"/>
        <w:numPr>
          <w:ilvl w:val="0"/>
          <w:numId w:val="0"/>
        </w:numPr>
        <w:ind w:left="964"/>
      </w:pPr>
      <w:r>
        <w:rPr>
          <w:rFonts w:hint="eastAsia"/>
        </w:rPr>
        <w:t>混凝土强度等级定义为按照标准方法制作和养护的边长为</w:t>
      </w:r>
      <w:r>
        <w:t xml:space="preserve">150mm </w:t>
      </w:r>
      <w:r>
        <w:rPr>
          <w:rFonts w:hint="eastAsia"/>
        </w:rPr>
        <w:t>的立方体试件，在</w:t>
      </w:r>
      <w:r>
        <w:t xml:space="preserve">28 </w:t>
      </w:r>
      <w:r>
        <w:rPr>
          <w:rFonts w:hint="eastAsia"/>
        </w:rPr>
        <w:t>天龄期，用标准试验方法所得的具有保证率为</w:t>
      </w:r>
      <w:r>
        <w:t>95</w:t>
      </w:r>
      <w:r>
        <w:rPr>
          <w:rFonts w:hint="eastAsia"/>
        </w:rPr>
        <w:t>％的立方体抗压强度。混凝土强度的检测，应按现行中国国家标准的规定进行。</w:t>
      </w:r>
    </w:p>
    <w:p w14:paraId="4D1D4368">
      <w:pPr>
        <w:pStyle w:val="112"/>
      </w:pPr>
      <w:r>
        <w:rPr>
          <w:rFonts w:hint="eastAsia"/>
        </w:rPr>
        <w:t>混凝土配合比</w:t>
      </w:r>
    </w:p>
    <w:p w14:paraId="63433D65">
      <w:pPr>
        <w:pStyle w:val="114"/>
      </w:pPr>
      <w:r>
        <w:rPr>
          <w:rFonts w:hint="eastAsia"/>
        </w:rPr>
        <w:t>承包人须按中国现行标准《普通混凝土配合比设计技术规程》（</w:t>
      </w:r>
      <w:r>
        <w:t>GBJ55</w:t>
      </w:r>
      <w:r>
        <w:rPr>
          <w:rFonts w:hint="eastAsia"/>
        </w:rPr>
        <w:t>）进行每一强度等级的混凝土配合比设计。承包人须提交拟采用混凝土之配料成份的详细资料给施工监理作审批。</w:t>
      </w:r>
    </w:p>
    <w:p w14:paraId="092DE9D3">
      <w:pPr>
        <w:pStyle w:val="114"/>
      </w:pPr>
      <w:r>
        <w:rPr>
          <w:rFonts w:hint="eastAsia"/>
        </w:rPr>
        <w:t>承包人须根据其施工方法和结构种类决定混凝土应有之和易性。</w:t>
      </w:r>
    </w:p>
    <w:p w14:paraId="41D1CC02">
      <w:pPr>
        <w:pStyle w:val="112"/>
      </w:pPr>
      <w:r>
        <w:rPr>
          <w:rFonts w:hint="eastAsia"/>
        </w:rPr>
        <w:t>试拌</w:t>
      </w:r>
    </w:p>
    <w:p w14:paraId="2F62C1A5">
      <w:pPr>
        <w:pStyle w:val="114"/>
      </w:pPr>
      <w:r>
        <w:rPr>
          <w:rFonts w:hint="eastAsia"/>
        </w:rPr>
        <w:t>承包人所建议的设备和配料成份得到批准之后，承包人必须为每一级别的混凝土进行试验。所有试拌结果必须在工地开始进行混凝土工程之前送交施工监理审核及获得施工监理的认可。</w:t>
      </w:r>
    </w:p>
    <w:p w14:paraId="0D126AC4">
      <w:pPr>
        <w:pStyle w:val="114"/>
      </w:pPr>
      <w:r>
        <w:rPr>
          <w:rFonts w:hint="eastAsia"/>
        </w:rPr>
        <w:t>如果对试拌的结果不满意，或认为它们不能代表为工程所生产的混凝土之质量，则施工监理会不接纳那些试拌结果，承包人须再进行试拌。</w:t>
      </w:r>
    </w:p>
    <w:p w14:paraId="2850BE7A">
      <w:pPr>
        <w:pStyle w:val="110"/>
      </w:pPr>
      <w:r>
        <w:rPr>
          <w:rFonts w:hint="eastAsia"/>
        </w:rPr>
        <w:t>钢筋</w:t>
      </w:r>
    </w:p>
    <w:p w14:paraId="29D50A11">
      <w:pPr>
        <w:pStyle w:val="112"/>
      </w:pPr>
      <w:r>
        <w:rPr>
          <w:rFonts w:hint="eastAsia"/>
        </w:rPr>
        <w:t>钢筋图</w:t>
      </w:r>
    </w:p>
    <w:p w14:paraId="36A4EBC8">
      <w:pPr>
        <w:pStyle w:val="114"/>
      </w:pPr>
      <w:r>
        <w:rPr>
          <w:rFonts w:hint="eastAsia"/>
        </w:rPr>
        <w:t>承包人需按设计师发出指示的有效施工图纸施工。施工单位必须按有单的施工图纸放样，并制作放样图。施工单位的放样图之制作必须符合现行中国国家标准及有关规程。承包人并对其所制作的图纸负最终的责任。</w:t>
      </w:r>
    </w:p>
    <w:p w14:paraId="06773D68">
      <w:pPr>
        <w:pStyle w:val="114"/>
      </w:pPr>
      <w:r>
        <w:rPr>
          <w:rFonts w:hint="eastAsia"/>
        </w:rPr>
        <w:t>与外墙预制件连接之主体结构构件</w:t>
      </w:r>
      <w:r>
        <w:t>，</w:t>
      </w:r>
      <w:r>
        <w:rPr>
          <w:rFonts w:hint="eastAsia"/>
        </w:rPr>
        <w:t>如梁、柱和墙上的钢筋，包括主筋和箍筋须有详细放样图，其钢筋布置应满足预制件在吊装时预制件的锚筋能顺利穿入，并需要符合各自规范规定要求。</w:t>
      </w:r>
    </w:p>
    <w:p w14:paraId="10AAC8A1">
      <w:pPr>
        <w:pStyle w:val="112"/>
      </w:pPr>
      <w:r>
        <w:rPr>
          <w:rFonts w:hint="eastAsia"/>
        </w:rPr>
        <w:t>总则</w:t>
      </w:r>
    </w:p>
    <w:p w14:paraId="41DB379B">
      <w:pPr>
        <w:pStyle w:val="114"/>
      </w:pPr>
      <w:r>
        <w:rPr>
          <w:rFonts w:hint="eastAsia"/>
        </w:rPr>
        <w:t>每一捆弯好的钢筋都必须清楚地箍好标签和识别标志。</w:t>
      </w:r>
    </w:p>
    <w:p w14:paraId="0C65EFBD">
      <w:pPr>
        <w:pStyle w:val="114"/>
      </w:pPr>
      <w:r>
        <w:rPr>
          <w:rFonts w:hint="eastAsia"/>
        </w:rPr>
        <w:t>钢筋网送来时必须是一片片平置。</w:t>
      </w:r>
    </w:p>
    <w:p w14:paraId="6294ACF2">
      <w:pPr>
        <w:pStyle w:val="114"/>
      </w:pPr>
      <w:r>
        <w:rPr>
          <w:rFonts w:hint="eastAsia"/>
        </w:rPr>
        <w:t>工程所用全部钢筋的出厂证书（包括化学成份和拉力／弯曲试验结果）应呈交施工监理审批。钢筋的所有试验都必须遵照有关的标准进行。</w:t>
      </w:r>
    </w:p>
    <w:p w14:paraId="0786DEB7">
      <w:pPr>
        <w:pStyle w:val="112"/>
      </w:pPr>
      <w:r>
        <w:rPr>
          <w:rFonts w:hint="eastAsia"/>
        </w:rPr>
        <w:t>钢筋种类</w:t>
      </w:r>
    </w:p>
    <w:p w14:paraId="4B3F2AD0">
      <w:pPr>
        <w:pStyle w:val="114"/>
      </w:pPr>
      <w:r>
        <w:rPr>
          <w:rFonts w:hint="eastAsia"/>
        </w:rPr>
        <w:t>钢筋的种类将以下列前缀符号来识别：</w:t>
      </w:r>
    </w:p>
    <w:p w14:paraId="6A17A516">
      <w:pPr>
        <w:pStyle w:val="114"/>
        <w:numPr>
          <w:ilvl w:val="0"/>
          <w:numId w:val="0"/>
        </w:numPr>
        <w:ind w:left="992"/>
      </w:pPr>
      <w:r>
        <w:rPr>
          <w:rFonts w:hint="eastAsia"/>
        </w:rPr>
        <w:t>φ：</w:t>
      </w:r>
      <w:r>
        <w:t xml:space="preserve">HRB235 </w:t>
      </w:r>
      <w:r>
        <w:rPr>
          <w:rFonts w:hint="eastAsia"/>
        </w:rPr>
        <w:t>钢筋，须符合中国国家标准《钢筋混凝土热轧光圆钢筋》（</w:t>
      </w:r>
      <w:r>
        <w:t>GBl3013</w:t>
      </w:r>
      <w:r>
        <w:rPr>
          <w:rFonts w:hint="eastAsia"/>
        </w:rPr>
        <w:t>）的规定，屈服强度标准值为</w:t>
      </w:r>
      <w:r>
        <w:t>235N</w:t>
      </w:r>
      <w:r>
        <w:rPr>
          <w:rFonts w:hint="eastAsia"/>
        </w:rPr>
        <w:t>／</w:t>
      </w:r>
      <w:r>
        <w:t>mm2</w:t>
      </w:r>
      <w:r>
        <w:rPr>
          <w:rFonts w:hint="eastAsia"/>
        </w:rPr>
        <w:t>。</w:t>
      </w:r>
    </w:p>
    <w:p w14:paraId="7E501F5B">
      <w:pPr>
        <w:pStyle w:val="114"/>
        <w:numPr>
          <w:ilvl w:val="0"/>
          <w:numId w:val="0"/>
        </w:numPr>
        <w:ind w:left="992"/>
      </w:pPr>
      <w:r>
        <w:rPr>
          <w:rFonts w:hint="eastAsia"/>
        </w:rPr>
        <w:t>φ：</w:t>
      </w:r>
      <w:r>
        <w:t xml:space="preserve">HRB335 </w:t>
      </w:r>
      <w:r>
        <w:rPr>
          <w:rFonts w:hint="eastAsia"/>
        </w:rPr>
        <w:t>钢筋，须符合中国国家标准《钢筋混凝土热轧带肋钢筋》（</w:t>
      </w:r>
      <w:r>
        <w:t>GB1499</w:t>
      </w:r>
      <w:r>
        <w:rPr>
          <w:rFonts w:hint="eastAsia"/>
        </w:rPr>
        <w:t>）的规定，钢筋屈服强度标准值为</w:t>
      </w:r>
      <w:r>
        <w:t>335N</w:t>
      </w:r>
      <w:r>
        <w:rPr>
          <w:rFonts w:hint="eastAsia"/>
        </w:rPr>
        <w:t>／</w:t>
      </w:r>
      <w:r>
        <w:t>mm2</w:t>
      </w:r>
      <w:r>
        <w:rPr>
          <w:rFonts w:hint="eastAsia"/>
        </w:rPr>
        <w:t>。</w:t>
      </w:r>
    </w:p>
    <w:p w14:paraId="33D643A0">
      <w:pPr>
        <w:pStyle w:val="114"/>
        <w:numPr>
          <w:ilvl w:val="0"/>
          <w:numId w:val="0"/>
        </w:numPr>
        <w:ind w:left="992"/>
      </w:pPr>
      <w:r>
        <w:t xml:space="preserve">HRB400 </w:t>
      </w:r>
      <w:r>
        <w:rPr>
          <w:rFonts w:hint="eastAsia"/>
        </w:rPr>
        <w:t>钢筋，须符合中国国家标准《钢筋混凝土热轧带肋钢筋》（</w:t>
      </w:r>
      <w:r>
        <w:t>GBl499</w:t>
      </w:r>
      <w:r>
        <w:rPr>
          <w:rFonts w:hint="eastAsia"/>
        </w:rPr>
        <w:t>）的规定，钢筋屈服强度标准值为</w:t>
      </w:r>
      <w:r>
        <w:t>400N</w:t>
      </w:r>
      <w:r>
        <w:rPr>
          <w:rFonts w:hint="eastAsia"/>
        </w:rPr>
        <w:t>／</w:t>
      </w:r>
      <w:r>
        <w:t>mm2</w:t>
      </w:r>
      <w:r>
        <w:rPr>
          <w:rFonts w:hint="eastAsia"/>
        </w:rPr>
        <w:t>。</w:t>
      </w:r>
    </w:p>
    <w:p w14:paraId="70333F72">
      <w:pPr>
        <w:pStyle w:val="114"/>
      </w:pPr>
      <w:r>
        <w:rPr>
          <w:rFonts w:hint="eastAsia"/>
        </w:rPr>
        <w:t>钢筋的符号表示如下：</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196"/>
        <w:gridCol w:w="1196"/>
        <w:gridCol w:w="1196"/>
        <w:gridCol w:w="1197"/>
        <w:gridCol w:w="1184"/>
        <w:gridCol w:w="1189"/>
      </w:tblGrid>
      <w:tr w14:paraId="32FA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Merge w:val="restart"/>
          </w:tcPr>
          <w:p w14:paraId="7BAE0FF6">
            <w:pPr>
              <w:pStyle w:val="164"/>
              <w:spacing w:before="156" w:after="156"/>
              <w:rPr>
                <w:rFonts w:ascii="黑体"/>
                <w:szCs w:val="18"/>
              </w:rPr>
            </w:pPr>
            <w:r>
              <w:rPr>
                <w:rFonts w:hint="eastAsia" w:ascii="黑体"/>
                <w:szCs w:val="18"/>
              </w:rPr>
              <w:t>钢筋总类</w:t>
            </w:r>
          </w:p>
        </w:tc>
        <w:tc>
          <w:tcPr>
            <w:tcW w:w="4869" w:type="dxa"/>
            <w:gridSpan w:val="4"/>
          </w:tcPr>
          <w:p w14:paraId="4125D367">
            <w:pPr>
              <w:pStyle w:val="164"/>
              <w:spacing w:before="156" w:after="156"/>
              <w:rPr>
                <w:rFonts w:ascii="黑体"/>
                <w:szCs w:val="18"/>
              </w:rPr>
            </w:pPr>
            <w:r>
              <w:rPr>
                <w:rFonts w:hint="eastAsia" w:ascii="黑体"/>
                <w:szCs w:val="18"/>
              </w:rPr>
              <w:t>普通热轧钢筋</w:t>
            </w:r>
          </w:p>
        </w:tc>
        <w:tc>
          <w:tcPr>
            <w:tcW w:w="1218" w:type="dxa"/>
            <w:vMerge w:val="restart"/>
          </w:tcPr>
          <w:p w14:paraId="037C9F1B">
            <w:pPr>
              <w:pStyle w:val="164"/>
              <w:spacing w:before="156" w:after="156"/>
              <w:rPr>
                <w:rFonts w:ascii="黑体"/>
                <w:szCs w:val="18"/>
              </w:rPr>
            </w:pPr>
            <w:r>
              <w:rPr>
                <w:rFonts w:hint="eastAsia" w:ascii="黑体"/>
                <w:szCs w:val="18"/>
              </w:rPr>
              <w:t>冷轧带肋钢筋</w:t>
            </w:r>
          </w:p>
        </w:tc>
        <w:tc>
          <w:tcPr>
            <w:tcW w:w="1218" w:type="dxa"/>
            <w:vMerge w:val="restart"/>
          </w:tcPr>
          <w:p w14:paraId="1DE36DC9">
            <w:pPr>
              <w:pStyle w:val="164"/>
              <w:spacing w:before="156" w:after="156"/>
              <w:rPr>
                <w:rFonts w:ascii="黑体"/>
                <w:szCs w:val="18"/>
              </w:rPr>
            </w:pPr>
            <w:r>
              <w:rPr>
                <w:rFonts w:hint="eastAsia" w:ascii="黑体"/>
                <w:szCs w:val="18"/>
              </w:rPr>
              <w:t>冷拔光面钢筋</w:t>
            </w:r>
          </w:p>
        </w:tc>
      </w:tr>
      <w:tr w14:paraId="277B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Merge w:val="continue"/>
          </w:tcPr>
          <w:p w14:paraId="3735E586">
            <w:pPr>
              <w:pStyle w:val="164"/>
              <w:spacing w:before="156" w:after="156"/>
              <w:rPr>
                <w:rFonts w:ascii="黑体"/>
                <w:szCs w:val="18"/>
              </w:rPr>
            </w:pPr>
          </w:p>
        </w:tc>
        <w:tc>
          <w:tcPr>
            <w:tcW w:w="1217" w:type="dxa"/>
          </w:tcPr>
          <w:p w14:paraId="773D42D4">
            <w:pPr>
              <w:pStyle w:val="164"/>
              <w:spacing w:before="156" w:after="156"/>
              <w:rPr>
                <w:rFonts w:ascii="黑体"/>
                <w:szCs w:val="18"/>
              </w:rPr>
            </w:pPr>
            <w:r>
              <w:rPr>
                <w:rFonts w:hint="eastAsia" w:ascii="黑体"/>
                <w:szCs w:val="18"/>
              </w:rPr>
              <w:t>HPB235</w:t>
            </w:r>
          </w:p>
        </w:tc>
        <w:tc>
          <w:tcPr>
            <w:tcW w:w="1217" w:type="dxa"/>
          </w:tcPr>
          <w:p w14:paraId="0CFD1946">
            <w:pPr>
              <w:pStyle w:val="164"/>
              <w:spacing w:before="156" w:after="156"/>
              <w:rPr>
                <w:rFonts w:ascii="黑体"/>
                <w:szCs w:val="18"/>
              </w:rPr>
            </w:pPr>
            <w:r>
              <w:rPr>
                <w:rFonts w:hint="eastAsia" w:ascii="黑体"/>
                <w:szCs w:val="18"/>
              </w:rPr>
              <w:t>HRB335</w:t>
            </w:r>
          </w:p>
        </w:tc>
        <w:tc>
          <w:tcPr>
            <w:tcW w:w="1217" w:type="dxa"/>
          </w:tcPr>
          <w:p w14:paraId="34F12741">
            <w:pPr>
              <w:pStyle w:val="164"/>
              <w:spacing w:before="156" w:after="156"/>
              <w:rPr>
                <w:rFonts w:ascii="黑体"/>
                <w:szCs w:val="18"/>
              </w:rPr>
            </w:pPr>
            <w:r>
              <w:rPr>
                <w:rFonts w:hint="eastAsia" w:ascii="黑体"/>
                <w:szCs w:val="18"/>
              </w:rPr>
              <w:t>HRB400</w:t>
            </w:r>
          </w:p>
        </w:tc>
        <w:tc>
          <w:tcPr>
            <w:tcW w:w="1218" w:type="dxa"/>
          </w:tcPr>
          <w:p w14:paraId="10A243E5">
            <w:pPr>
              <w:pStyle w:val="164"/>
              <w:spacing w:before="156" w:after="156"/>
              <w:rPr>
                <w:rFonts w:ascii="黑体"/>
                <w:szCs w:val="18"/>
              </w:rPr>
            </w:pPr>
            <w:r>
              <w:rPr>
                <w:rFonts w:hint="eastAsia" w:ascii="黑体"/>
                <w:szCs w:val="18"/>
              </w:rPr>
              <w:t>RRB400</w:t>
            </w:r>
          </w:p>
        </w:tc>
        <w:tc>
          <w:tcPr>
            <w:tcW w:w="1218" w:type="dxa"/>
            <w:vMerge w:val="continue"/>
          </w:tcPr>
          <w:p w14:paraId="78A67AC1">
            <w:pPr>
              <w:pStyle w:val="164"/>
              <w:spacing w:before="156" w:after="156"/>
              <w:rPr>
                <w:rFonts w:ascii="黑体"/>
                <w:szCs w:val="18"/>
              </w:rPr>
            </w:pPr>
          </w:p>
        </w:tc>
        <w:tc>
          <w:tcPr>
            <w:tcW w:w="1218" w:type="dxa"/>
            <w:vMerge w:val="continue"/>
          </w:tcPr>
          <w:p w14:paraId="0F193395">
            <w:pPr>
              <w:pStyle w:val="164"/>
              <w:spacing w:before="156" w:after="156"/>
              <w:rPr>
                <w:rFonts w:ascii="黑体"/>
                <w:szCs w:val="18"/>
              </w:rPr>
            </w:pPr>
          </w:p>
        </w:tc>
      </w:tr>
      <w:tr w14:paraId="5C92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tcPr>
          <w:p w14:paraId="2D749597">
            <w:pPr>
              <w:pStyle w:val="164"/>
              <w:spacing w:before="156" w:after="156"/>
              <w:rPr>
                <w:rFonts w:ascii="黑体"/>
                <w:szCs w:val="18"/>
              </w:rPr>
            </w:pPr>
            <w:r>
              <w:rPr>
                <w:rFonts w:hint="eastAsia" w:ascii="黑体"/>
                <w:szCs w:val="18"/>
              </w:rPr>
              <w:t>符号</w:t>
            </w:r>
          </w:p>
        </w:tc>
        <w:tc>
          <w:tcPr>
            <w:tcW w:w="1217" w:type="dxa"/>
          </w:tcPr>
          <w:p w14:paraId="1DEFADEC">
            <w:pPr>
              <w:pStyle w:val="164"/>
              <w:spacing w:before="156" w:after="156"/>
              <w:rPr>
                <w:rFonts w:ascii="黑体"/>
                <w:szCs w:val="18"/>
              </w:rPr>
            </w:pPr>
            <w:r>
              <w:rPr>
                <w:rFonts w:hint="eastAsia" w:ascii="黑体"/>
                <w:szCs w:val="18"/>
              </w:rPr>
              <w:t>φ</w:t>
            </w:r>
          </w:p>
        </w:tc>
        <w:tc>
          <w:tcPr>
            <w:tcW w:w="1217" w:type="dxa"/>
          </w:tcPr>
          <w:p w14:paraId="53BDAADB">
            <w:pPr>
              <w:pStyle w:val="164"/>
              <w:spacing w:before="156" w:after="156"/>
              <w:rPr>
                <w:rFonts w:ascii="黑体"/>
                <w:szCs w:val="18"/>
              </w:rPr>
            </w:pPr>
            <w:r>
              <w:rPr>
                <w:rFonts w:hint="eastAsia" w:ascii="黑体"/>
                <w:szCs w:val="18"/>
              </w:rPr>
              <w:t></w:t>
            </w:r>
          </w:p>
        </w:tc>
        <w:tc>
          <w:tcPr>
            <w:tcW w:w="1217" w:type="dxa"/>
          </w:tcPr>
          <w:p w14:paraId="7B94742F">
            <w:pPr>
              <w:pStyle w:val="164"/>
              <w:spacing w:before="156" w:after="156"/>
              <w:rPr>
                <w:rFonts w:ascii="黑体"/>
                <w:szCs w:val="18"/>
              </w:rPr>
            </w:pPr>
            <w:r>
              <w:rPr>
                <w:rFonts w:hint="eastAsia" w:ascii="黑体"/>
                <w:szCs w:val="18"/>
              </w:rPr>
              <w:t></w:t>
            </w:r>
          </w:p>
        </w:tc>
        <w:tc>
          <w:tcPr>
            <w:tcW w:w="1218" w:type="dxa"/>
          </w:tcPr>
          <w:p w14:paraId="351CD3AB">
            <w:pPr>
              <w:pStyle w:val="164"/>
              <w:spacing w:before="156" w:after="156"/>
              <w:rPr>
                <w:rFonts w:ascii="黑体"/>
                <w:szCs w:val="18"/>
              </w:rPr>
            </w:pPr>
            <w:r>
              <w:rPr>
                <w:rFonts w:hint="eastAsia" w:ascii="黑体"/>
                <w:szCs w:val="18"/>
              </w:rPr>
              <w:t>R</w:t>
            </w:r>
          </w:p>
        </w:tc>
        <w:tc>
          <w:tcPr>
            <w:tcW w:w="1218" w:type="dxa"/>
          </w:tcPr>
          <w:p w14:paraId="05949680">
            <w:pPr>
              <w:pStyle w:val="164"/>
              <w:spacing w:before="156" w:after="156"/>
              <w:rPr>
                <w:rFonts w:ascii="黑体"/>
                <w:szCs w:val="18"/>
              </w:rPr>
            </w:pPr>
            <w:r>
              <w:rPr>
                <w:rFonts w:hint="eastAsia" w:ascii="黑体"/>
                <w:szCs w:val="18"/>
              </w:rPr>
              <w:t>R</w:t>
            </w:r>
          </w:p>
        </w:tc>
        <w:tc>
          <w:tcPr>
            <w:tcW w:w="1218" w:type="dxa"/>
          </w:tcPr>
          <w:p w14:paraId="200569C0">
            <w:pPr>
              <w:pStyle w:val="164"/>
              <w:spacing w:before="156" w:after="156"/>
              <w:rPr>
                <w:rFonts w:ascii="黑体"/>
                <w:szCs w:val="18"/>
              </w:rPr>
            </w:pPr>
            <w:r>
              <w:rPr>
                <w:rFonts w:hint="eastAsia" w:ascii="黑体"/>
                <w:szCs w:val="18"/>
              </w:rPr>
              <w:t>CP</w:t>
            </w:r>
          </w:p>
        </w:tc>
      </w:tr>
    </w:tbl>
    <w:p w14:paraId="16EF8501">
      <w:pPr>
        <w:pStyle w:val="114"/>
        <w:numPr>
          <w:ilvl w:val="0"/>
          <w:numId w:val="0"/>
        </w:numPr>
        <w:ind w:left="992"/>
      </w:pPr>
      <w:r>
        <w:rPr>
          <w:rFonts w:hint="eastAsia"/>
        </w:rPr>
        <w:t>钢筋及钢材强度标准值的保证率、力学性能、化学成分等均应符合国家现行相关标准的规定。</w:t>
      </w:r>
    </w:p>
    <w:p w14:paraId="2B6D8CDF">
      <w:pPr>
        <w:pStyle w:val="112"/>
      </w:pPr>
      <w:r>
        <w:rPr>
          <w:rFonts w:hint="eastAsia"/>
        </w:rPr>
        <w:t>钢材种类</w:t>
      </w:r>
    </w:p>
    <w:p w14:paraId="4A5EEA5D">
      <w:pPr>
        <w:pStyle w:val="114"/>
      </w:pPr>
      <w:r>
        <w:rPr>
          <w:rFonts w:hint="eastAsia"/>
        </w:rPr>
        <w:t>钢构件选材按设计图纸要求。</w:t>
      </w:r>
    </w:p>
    <w:p w14:paraId="0DB08FB8">
      <w:pPr>
        <w:pStyle w:val="114"/>
      </w:pPr>
      <w:r>
        <w:rPr>
          <w:rFonts w:hint="eastAsia"/>
        </w:rPr>
        <w:t>全部钢材应按现行国家标准和规范保证抗拉强度，伸长率、屈服强度、冷弯试验和碳、硫、磷含量符合限值。钢材的屈服强度实测值与抗拉强度实测值的比值不应大于</w:t>
      </w:r>
      <w:r>
        <w:t>0.85</w:t>
      </w:r>
      <w:r>
        <w:rPr>
          <w:rFonts w:hint="eastAsia"/>
        </w:rPr>
        <w:t>；应有明显的屈服台阶，且伸长率应大于</w:t>
      </w:r>
      <w:r>
        <w:t>20%，</w:t>
      </w:r>
      <w:r>
        <w:rPr>
          <w:rFonts w:hint="eastAsia"/>
        </w:rPr>
        <w:t>钢材应有良好的可焊性和合格的冲击韧性。</w:t>
      </w:r>
    </w:p>
    <w:p w14:paraId="7A85ECE7">
      <w:pPr>
        <w:pStyle w:val="110"/>
      </w:pPr>
      <w:r>
        <w:rPr>
          <w:rFonts w:hint="eastAsia"/>
        </w:rPr>
        <w:t>其它材料</w:t>
      </w:r>
    </w:p>
    <w:p w14:paraId="2169DAE5">
      <w:pPr>
        <w:pStyle w:val="112"/>
      </w:pPr>
      <w:r>
        <w:rPr>
          <w:rFonts w:hint="eastAsia"/>
        </w:rPr>
        <w:t>总则</w:t>
      </w:r>
    </w:p>
    <w:p w14:paraId="67DBC8D7">
      <w:pPr>
        <w:pStyle w:val="114"/>
        <w:numPr>
          <w:ilvl w:val="0"/>
          <w:numId w:val="0"/>
        </w:numPr>
        <w:ind w:left="992"/>
      </w:pPr>
      <w:r>
        <w:rPr>
          <w:rFonts w:hint="eastAsia"/>
        </w:rPr>
        <w:t>承包人可以要求批准更改设计图纸上所示之下列材料，但必须以书面呈交有关建议的全部细节。</w:t>
      </w:r>
    </w:p>
    <w:p w14:paraId="48A71A1C">
      <w:pPr>
        <w:pStyle w:val="112"/>
      </w:pPr>
      <w:r>
        <w:rPr>
          <w:rFonts w:hint="eastAsia"/>
        </w:rPr>
        <w:t>填缝料</w:t>
      </w:r>
    </w:p>
    <w:p w14:paraId="476E0475">
      <w:pPr>
        <w:pStyle w:val="114"/>
        <w:numPr>
          <w:ilvl w:val="0"/>
          <w:numId w:val="0"/>
        </w:numPr>
        <w:ind w:left="992"/>
      </w:pPr>
      <w:r>
        <w:rPr>
          <w:rFonts w:hint="eastAsia"/>
        </w:rPr>
        <w:t>填缝料必须是如设计图纸上所示的或者是获建筑师批准的类似等质材料。</w:t>
      </w:r>
    </w:p>
    <w:p w14:paraId="55955129">
      <w:pPr>
        <w:pStyle w:val="112"/>
      </w:pPr>
      <w:r>
        <w:rPr>
          <w:rFonts w:hint="eastAsia"/>
        </w:rPr>
        <w:t>接缝密封料</w:t>
      </w:r>
    </w:p>
    <w:p w14:paraId="718C9E0D">
      <w:pPr>
        <w:pStyle w:val="114"/>
        <w:numPr>
          <w:ilvl w:val="0"/>
          <w:numId w:val="0"/>
        </w:numPr>
        <w:ind w:left="992"/>
      </w:pPr>
      <w:r>
        <w:rPr>
          <w:rFonts w:hint="eastAsia"/>
        </w:rPr>
        <w:t>接缝密封料必须是如设计图纸上所示的或者是获建筑师批准的类似等质材料。</w:t>
      </w:r>
    </w:p>
    <w:p w14:paraId="7714EE67">
      <w:pPr>
        <w:pStyle w:val="112"/>
      </w:pPr>
      <w:r>
        <w:rPr>
          <w:rFonts w:hint="eastAsia"/>
        </w:rPr>
        <w:t>止水带</w:t>
      </w:r>
    </w:p>
    <w:p w14:paraId="561C4AA2">
      <w:pPr>
        <w:pStyle w:val="114"/>
      </w:pPr>
      <w:r>
        <w:rPr>
          <w:rFonts w:hint="eastAsia"/>
        </w:rPr>
        <w:t>板、墙接缝以及活动和收缩缝中的止水带必须是如设计图纸上所示的或者是获建筑师</w:t>
      </w:r>
      <w:r>
        <w:t>/</w:t>
      </w:r>
      <w:r>
        <w:rPr>
          <w:rFonts w:hint="eastAsia"/>
        </w:rPr>
        <w:t>工程师批准的类似等质材料。</w:t>
      </w:r>
    </w:p>
    <w:p w14:paraId="6664E0C6">
      <w:pPr>
        <w:pStyle w:val="114"/>
      </w:pPr>
      <w:r>
        <w:rPr>
          <w:rFonts w:hint="eastAsia"/>
        </w:rPr>
        <w:t>止水带必须用专门的接合件来接合，井遵照原制造商说明书的指示。</w:t>
      </w:r>
    </w:p>
    <w:p w14:paraId="76FF558B">
      <w:pPr>
        <w:pStyle w:val="112"/>
      </w:pPr>
      <w:r>
        <w:rPr>
          <w:rFonts w:hint="eastAsia"/>
        </w:rPr>
        <w:t>支承</w:t>
      </w:r>
    </w:p>
    <w:p w14:paraId="781A7085">
      <w:pPr>
        <w:pStyle w:val="114"/>
        <w:numPr>
          <w:ilvl w:val="0"/>
          <w:numId w:val="0"/>
        </w:numPr>
        <w:ind w:left="992"/>
      </w:pPr>
      <w:r>
        <w:rPr>
          <w:rFonts w:hint="eastAsia"/>
        </w:rPr>
        <w:t>支座和承板必须是如设计图纸上所规定的或者是经建筑师批准的类似等质材料。</w:t>
      </w:r>
    </w:p>
    <w:p w14:paraId="322BF9C0">
      <w:pPr>
        <w:pStyle w:val="112"/>
      </w:pPr>
      <w:r>
        <w:rPr>
          <w:rFonts w:hint="eastAsia"/>
        </w:rPr>
        <w:t>钢筋连结器</w:t>
      </w:r>
    </w:p>
    <w:p w14:paraId="34CB21AE">
      <w:pPr>
        <w:pStyle w:val="114"/>
        <w:numPr>
          <w:ilvl w:val="0"/>
          <w:numId w:val="0"/>
        </w:numPr>
        <w:ind w:left="992"/>
      </w:pPr>
      <w:r>
        <w:rPr>
          <w:rFonts w:hint="eastAsia"/>
        </w:rPr>
        <w:t>钢筋连结器必须是直螺纹连结器或者经建筑师</w:t>
      </w:r>
      <w:r>
        <w:t>/</w:t>
      </w:r>
      <w:r>
        <w:rPr>
          <w:rFonts w:hint="eastAsia"/>
        </w:rPr>
        <w:t>工程师批准的类似等质材料。连结器的使用必须遵照制造商说明书的指示。各种类型的钢筋连结器必须按相关规范、规程要求进行型式试验及现场抽样试验，试验合格后方可使用。</w:t>
      </w:r>
    </w:p>
    <w:p w14:paraId="0D6F7770">
      <w:pPr>
        <w:pStyle w:val="112"/>
      </w:pPr>
      <w:r>
        <w:rPr>
          <w:rFonts w:hint="eastAsia"/>
        </w:rPr>
        <w:t>表面硬化剂</w:t>
      </w:r>
    </w:p>
    <w:p w14:paraId="01E532D0">
      <w:pPr>
        <w:pStyle w:val="114"/>
        <w:numPr>
          <w:ilvl w:val="0"/>
          <w:numId w:val="0"/>
        </w:numPr>
        <w:ind w:left="992"/>
      </w:pPr>
      <w:r>
        <w:rPr>
          <w:rFonts w:hint="eastAsia"/>
        </w:rPr>
        <w:t>表面硬化剂必须是如设计图纸上或本设计要求内所规定的或者是经建筑师批准的类似等质材料。使用时必须严格遵照制造商的指示。</w:t>
      </w:r>
    </w:p>
    <w:p w14:paraId="4D690AD2">
      <w:pPr>
        <w:pStyle w:val="112"/>
      </w:pPr>
      <w:r>
        <w:rPr>
          <w:rFonts w:hint="eastAsia"/>
        </w:rPr>
        <w:t>外加剂</w:t>
      </w:r>
    </w:p>
    <w:p w14:paraId="794E033D">
      <w:pPr>
        <w:pStyle w:val="114"/>
        <w:numPr>
          <w:ilvl w:val="0"/>
          <w:numId w:val="0"/>
        </w:numPr>
        <w:ind w:left="992"/>
      </w:pPr>
      <w:r>
        <w:rPr>
          <w:rFonts w:hint="eastAsia"/>
        </w:rPr>
        <w:t>除得建筑师</w:t>
      </w:r>
      <w:r>
        <w:t>/</w:t>
      </w:r>
      <w:r>
        <w:rPr>
          <w:rFonts w:hint="eastAsia"/>
        </w:rPr>
        <w:t>工程师同意外</w:t>
      </w:r>
      <w:r>
        <w:t xml:space="preserve">， </w:t>
      </w:r>
      <w:r>
        <w:rPr>
          <w:rFonts w:hint="eastAsia"/>
        </w:rPr>
        <w:t>不得使用任何外加剂。如需使用</w:t>
      </w:r>
      <w:r>
        <w:t xml:space="preserve">， </w:t>
      </w:r>
      <w:r>
        <w:rPr>
          <w:rFonts w:hint="eastAsia"/>
        </w:rPr>
        <w:t>外加剂和相应配料设计方案的细节和试拌结果须预先得批准。不可使用含氯化钙的外加剂。</w:t>
      </w:r>
    </w:p>
    <w:p w14:paraId="3E05FAE4">
      <w:pPr>
        <w:pStyle w:val="110"/>
      </w:pPr>
      <w:r>
        <w:rPr>
          <w:rFonts w:hint="eastAsia"/>
        </w:rPr>
        <w:t>材料的贮存</w:t>
      </w:r>
    </w:p>
    <w:p w14:paraId="2D4358EE">
      <w:pPr>
        <w:pStyle w:val="112"/>
      </w:pPr>
      <w:r>
        <w:rPr>
          <w:rFonts w:hint="eastAsia"/>
        </w:rPr>
        <w:t>总则</w:t>
      </w:r>
    </w:p>
    <w:p w14:paraId="0FC74378">
      <w:pPr>
        <w:pStyle w:val="114"/>
        <w:numPr>
          <w:ilvl w:val="0"/>
          <w:numId w:val="0"/>
        </w:numPr>
        <w:ind w:left="992"/>
      </w:pPr>
      <w:r>
        <w:rPr>
          <w:rFonts w:hint="eastAsia"/>
        </w:rPr>
        <w:t>所有材料的贮存方式必须无损于它们在工程中的使用。</w:t>
      </w:r>
    </w:p>
    <w:p w14:paraId="3EAD66AD">
      <w:pPr>
        <w:pStyle w:val="112"/>
      </w:pPr>
      <w:r>
        <w:rPr>
          <w:rFonts w:hint="eastAsia"/>
        </w:rPr>
        <w:t>水泥</w:t>
      </w:r>
    </w:p>
    <w:p w14:paraId="753B84B5">
      <w:pPr>
        <w:pStyle w:val="114"/>
      </w:pPr>
      <w:r>
        <w:rPr>
          <w:rFonts w:hint="eastAsia"/>
        </w:rPr>
        <w:t>全部水泥必须贮存于有架高于地板的防风雨建筑物内或贮存于合适的筒仓中。</w:t>
      </w:r>
    </w:p>
    <w:p w14:paraId="6BAFB0C8">
      <w:pPr>
        <w:pStyle w:val="114"/>
      </w:pPr>
      <w:r>
        <w:rPr>
          <w:rFonts w:hint="eastAsia"/>
        </w:rPr>
        <w:t>贮存时间超过两个月（快硬硅酸盐水泥超过一个月）或者显示出变劣迹象的水泥，必须先经过试验，合格后方可使用。</w:t>
      </w:r>
    </w:p>
    <w:p w14:paraId="78D87D71">
      <w:pPr>
        <w:pStyle w:val="114"/>
      </w:pPr>
      <w:r>
        <w:rPr>
          <w:rFonts w:hint="eastAsia"/>
        </w:rPr>
        <w:t>水泥必须依照工地收货的先后次序来使用。</w:t>
      </w:r>
    </w:p>
    <w:p w14:paraId="15814811">
      <w:pPr>
        <w:pStyle w:val="114"/>
      </w:pPr>
      <w:r>
        <w:rPr>
          <w:rFonts w:hint="eastAsia"/>
        </w:rPr>
        <w:t>不同种类的水泥不得混合在一起。</w:t>
      </w:r>
    </w:p>
    <w:p w14:paraId="35F6834D">
      <w:pPr>
        <w:pStyle w:val="112"/>
      </w:pPr>
      <w:r>
        <w:rPr>
          <w:rFonts w:hint="eastAsia"/>
        </w:rPr>
        <w:t>骨料</w:t>
      </w:r>
    </w:p>
    <w:p w14:paraId="60E1B754">
      <w:pPr>
        <w:pStyle w:val="114"/>
        <w:numPr>
          <w:ilvl w:val="0"/>
          <w:numId w:val="0"/>
        </w:numPr>
        <w:ind w:left="992"/>
      </w:pPr>
      <w:r>
        <w:rPr>
          <w:rFonts w:hint="eastAsia"/>
        </w:rPr>
        <w:t>骨料必须贮存于能自动排水的硬铺面地区或者贮存于经批准的料斗或容器中。不同骨料必须分开存放。</w:t>
      </w:r>
    </w:p>
    <w:p w14:paraId="5581CE8B">
      <w:pPr>
        <w:pStyle w:val="112"/>
      </w:pPr>
      <w:r>
        <w:rPr>
          <w:rFonts w:hint="eastAsia"/>
        </w:rPr>
        <w:t>钢筋</w:t>
      </w:r>
    </w:p>
    <w:p w14:paraId="583B8972">
      <w:pPr>
        <w:pStyle w:val="114"/>
        <w:numPr>
          <w:ilvl w:val="0"/>
          <w:numId w:val="0"/>
        </w:numPr>
        <w:ind w:left="992"/>
      </w:pPr>
      <w:r>
        <w:rPr>
          <w:rFonts w:hint="eastAsia"/>
        </w:rPr>
        <w:t>钢筋存放时，不得直接接触地面。</w:t>
      </w:r>
    </w:p>
    <w:p w14:paraId="3112A94A">
      <w:pPr>
        <w:pStyle w:val="112"/>
      </w:pPr>
      <w:r>
        <w:rPr>
          <w:rFonts w:hint="eastAsia"/>
        </w:rPr>
        <w:t>钢筋网</w:t>
      </w:r>
    </w:p>
    <w:p w14:paraId="7402F142">
      <w:pPr>
        <w:pStyle w:val="114"/>
        <w:numPr>
          <w:ilvl w:val="0"/>
          <w:numId w:val="0"/>
        </w:numPr>
        <w:ind w:left="992"/>
      </w:pPr>
      <w:r>
        <w:rPr>
          <w:rFonts w:hint="eastAsia"/>
        </w:rPr>
        <w:t>钢筋网运送和贮存时都必须一片片平放。</w:t>
      </w:r>
    </w:p>
    <w:p w14:paraId="4CF95C72">
      <w:pPr>
        <w:pStyle w:val="110"/>
      </w:pPr>
      <w:r>
        <w:rPr>
          <w:rFonts w:hint="eastAsia"/>
        </w:rPr>
        <w:t>合格材料</w:t>
      </w:r>
    </w:p>
    <w:p w14:paraId="0295DBAE">
      <w:pPr>
        <w:pStyle w:val="112"/>
        <w:numPr>
          <w:ilvl w:val="0"/>
          <w:numId w:val="0"/>
        </w:numPr>
        <w:ind w:left="964"/>
      </w:pPr>
      <w:r>
        <w:rPr>
          <w:rFonts w:hint="eastAsia"/>
        </w:rPr>
        <w:t>确认不符合本规程规定的一切材料必须立即搬离工地。</w:t>
      </w:r>
    </w:p>
    <w:p w14:paraId="5E89563D">
      <w:pPr>
        <w:pStyle w:val="119"/>
        <w:jc w:val="left"/>
      </w:pPr>
      <w:bookmarkStart w:id="35" w:name="_Toc136956828"/>
      <w:r>
        <w:rPr>
          <w:rFonts w:hint="eastAsia"/>
        </w:rPr>
        <w:t>施工与施工质量</w:t>
      </w:r>
      <w:bookmarkEnd w:id="35"/>
    </w:p>
    <w:p w14:paraId="49593257">
      <w:pPr>
        <w:pStyle w:val="122"/>
        <w:rPr>
          <w:b w:val="0"/>
        </w:rPr>
      </w:pPr>
      <w:r>
        <w:rPr>
          <w:rFonts w:hint="eastAsia"/>
          <w:b w:val="0"/>
        </w:rPr>
        <w:t>施工与制模</w:t>
      </w:r>
    </w:p>
    <w:p w14:paraId="2137D972">
      <w:pPr>
        <w:pStyle w:val="112"/>
      </w:pPr>
      <w:r>
        <w:rPr>
          <w:rFonts w:hint="eastAsia"/>
        </w:rPr>
        <w:t>总则</w:t>
      </w:r>
    </w:p>
    <w:p w14:paraId="52350352">
      <w:pPr>
        <w:pStyle w:val="114"/>
      </w:pPr>
      <w:r>
        <w:rPr>
          <w:rFonts w:hint="eastAsia"/>
        </w:rPr>
        <w:t>承包人必须负责模板的设计、建造和维护。在建造模板之前承包人必须呈交有关它所建议采用的所有主要结构构件的制模方案细节以供施工监理审批。</w:t>
      </w:r>
    </w:p>
    <w:p w14:paraId="686B60D8">
      <w:pPr>
        <w:pStyle w:val="114"/>
      </w:pPr>
      <w:r>
        <w:rPr>
          <w:rFonts w:hint="eastAsia"/>
        </w:rPr>
        <w:t>模板应当紧密到可以防止混凝土中薄浆或砂浆之漏失。</w:t>
      </w:r>
    </w:p>
    <w:p w14:paraId="6759402D">
      <w:pPr>
        <w:pStyle w:val="114"/>
      </w:pPr>
      <w:r>
        <w:rPr>
          <w:rFonts w:hint="eastAsia"/>
        </w:rPr>
        <w:t>用来保持模板位置正确的任何金属件装置，都不得永久遗留在规定的钢筋混凝土保护层之中。</w:t>
      </w:r>
    </w:p>
    <w:p w14:paraId="76877E11">
      <w:pPr>
        <w:pStyle w:val="114"/>
      </w:pPr>
      <w:r>
        <w:rPr>
          <w:rFonts w:hint="eastAsia"/>
        </w:rPr>
        <w:t>主体结构构件</w:t>
      </w:r>
      <w:r>
        <w:t>，</w:t>
      </w:r>
      <w:r>
        <w:rPr>
          <w:rFonts w:hint="eastAsia"/>
        </w:rPr>
        <w:t>如梁、柱和墙应采用钢模板，以保证其施工精确度。</w:t>
      </w:r>
    </w:p>
    <w:p w14:paraId="592B5026">
      <w:pPr>
        <w:pStyle w:val="112"/>
      </w:pPr>
      <w:r>
        <w:rPr>
          <w:rFonts w:hint="eastAsia"/>
        </w:rPr>
        <w:t>开孔、埋入件和固定件</w:t>
      </w:r>
    </w:p>
    <w:p w14:paraId="0EC52DD5">
      <w:pPr>
        <w:pStyle w:val="114"/>
      </w:pPr>
      <w:r>
        <w:rPr>
          <w:rFonts w:hint="eastAsia"/>
        </w:rPr>
        <w:t>关于承包人或其它单位所要求的任何开孔、埋入件或固定件的大小、类型和位置都必须在施工前先获得批准。包括钢结构及幕墙系统所需要之开孔、埋入件施工，由承包人协调完成。</w:t>
      </w:r>
    </w:p>
    <w:p w14:paraId="011420E1">
      <w:pPr>
        <w:pStyle w:val="114"/>
      </w:pPr>
      <w:r>
        <w:rPr>
          <w:rFonts w:hint="eastAsia"/>
        </w:rPr>
        <w:t>除非另行规定或经过批准，否则所有留孔和埋入件都必须在浇灌混凝土之前完成。</w:t>
      </w:r>
    </w:p>
    <w:p w14:paraId="05065D30">
      <w:pPr>
        <w:pStyle w:val="114"/>
      </w:pPr>
      <w:r>
        <w:rPr>
          <w:rFonts w:hint="eastAsia"/>
        </w:rPr>
        <w:t>如没有经过设计师的批准，不得钻孔或切去混凝土建筑物的任何部分。</w:t>
      </w:r>
    </w:p>
    <w:p w14:paraId="3D1C2F03">
      <w:pPr>
        <w:pStyle w:val="112"/>
      </w:pPr>
      <w:r>
        <w:rPr>
          <w:rFonts w:hint="eastAsia"/>
        </w:rPr>
        <w:t>脱模剂</w:t>
      </w:r>
    </w:p>
    <w:p w14:paraId="13031155">
      <w:pPr>
        <w:pStyle w:val="114"/>
        <w:numPr>
          <w:ilvl w:val="0"/>
          <w:numId w:val="0"/>
        </w:numPr>
        <w:ind w:left="992"/>
      </w:pPr>
      <w:r>
        <w:rPr>
          <w:rFonts w:hint="eastAsia"/>
        </w:rPr>
        <w:t>脱模剂必须是专用于脱模的产品，并且是下列三种之一：</w:t>
      </w:r>
    </w:p>
    <w:p w14:paraId="60C05373">
      <w:pPr>
        <w:pStyle w:val="114"/>
      </w:pPr>
      <w:r>
        <w:rPr>
          <w:rFonts w:hint="eastAsia"/>
        </w:rPr>
        <w:t>乳化膏</w:t>
      </w:r>
    </w:p>
    <w:p w14:paraId="6C789F3C">
      <w:pPr>
        <w:pStyle w:val="114"/>
      </w:pPr>
      <w:r>
        <w:rPr>
          <w:rFonts w:hint="eastAsia"/>
        </w:rPr>
        <w:t>加入表面活化剂的纯油</w:t>
      </w:r>
    </w:p>
    <w:p w14:paraId="7E55CBEF">
      <w:pPr>
        <w:pStyle w:val="114"/>
      </w:pPr>
      <w:r>
        <w:rPr>
          <w:rFonts w:hint="eastAsia"/>
        </w:rPr>
        <w:t>化学脱模剂。</w:t>
      </w:r>
    </w:p>
    <w:p w14:paraId="44F65373">
      <w:pPr>
        <w:pStyle w:val="114"/>
        <w:numPr>
          <w:ilvl w:val="0"/>
          <w:numId w:val="0"/>
        </w:numPr>
        <w:ind w:left="992"/>
      </w:pPr>
      <w:r>
        <w:rPr>
          <w:rFonts w:hint="eastAsia"/>
        </w:rPr>
        <w:t>脱模剂的储存与使用必须严格遵照制造商的指示。</w:t>
      </w:r>
    </w:p>
    <w:p w14:paraId="535A73BA">
      <w:pPr>
        <w:pStyle w:val="112"/>
      </w:pPr>
      <w:r>
        <w:rPr>
          <w:rFonts w:hint="eastAsia"/>
        </w:rPr>
        <w:t>模板的清理</w:t>
      </w:r>
    </w:p>
    <w:p w14:paraId="61CC952B">
      <w:pPr>
        <w:pStyle w:val="114"/>
        <w:numPr>
          <w:ilvl w:val="0"/>
          <w:numId w:val="0"/>
        </w:numPr>
        <w:ind w:left="992"/>
      </w:pPr>
      <w:r>
        <w:rPr>
          <w:rFonts w:hint="eastAsia"/>
        </w:rPr>
        <w:t>所有模板都必须是干净的，在浇灌混凝土之前必须清除模板内部的一切杂物。需要在随后拆除的模板，以及要和混凝土接触的模板，必须弄干净并用获准的脱模剂彻底浸润或处理后方可使用。</w:t>
      </w:r>
    </w:p>
    <w:p w14:paraId="3379DD05">
      <w:pPr>
        <w:pStyle w:val="112"/>
      </w:pPr>
      <w:r>
        <w:rPr>
          <w:rFonts w:hint="eastAsia"/>
        </w:rPr>
        <w:t>上拱度</w:t>
      </w:r>
    </w:p>
    <w:p w14:paraId="7770B164">
      <w:pPr>
        <w:pStyle w:val="114"/>
        <w:numPr>
          <w:ilvl w:val="0"/>
          <w:numId w:val="0"/>
        </w:numPr>
        <w:ind w:left="992"/>
      </w:pPr>
      <w:r>
        <w:rPr>
          <w:rFonts w:hint="eastAsia"/>
        </w:rPr>
        <w:t>如设计无另行规定，则所有梁和板的模板都必须按施工规定考虑起拱。在开始制模板之前，承包人应和建筑师</w:t>
      </w:r>
      <w:r>
        <w:t>/</w:t>
      </w:r>
      <w:r>
        <w:rPr>
          <w:rFonts w:hint="eastAsia"/>
        </w:rPr>
        <w:t>工程师议定平板上拱度的细节。</w:t>
      </w:r>
    </w:p>
    <w:p w14:paraId="2764DA18">
      <w:pPr>
        <w:pStyle w:val="112"/>
      </w:pPr>
      <w:r>
        <w:rPr>
          <w:rFonts w:hint="eastAsia"/>
        </w:rPr>
        <w:t>模板刚度</w:t>
      </w:r>
    </w:p>
    <w:p w14:paraId="4ED24138">
      <w:pPr>
        <w:pStyle w:val="114"/>
        <w:numPr>
          <w:ilvl w:val="0"/>
          <w:numId w:val="0"/>
        </w:numPr>
        <w:ind w:left="992"/>
      </w:pPr>
      <w:r>
        <w:rPr>
          <w:rFonts w:hint="eastAsia"/>
        </w:rPr>
        <w:t>模板必须具有足够的承载力，刚度和稳定性，能可靠地承受新浇钢筋混凝土的重量和侧压力以及在施工过程中所产生的荷载。</w:t>
      </w:r>
    </w:p>
    <w:p w14:paraId="320A39E2">
      <w:pPr>
        <w:pStyle w:val="112"/>
      </w:pPr>
      <w:r>
        <w:rPr>
          <w:rFonts w:hint="eastAsia"/>
        </w:rPr>
        <w:t>模板的修理</w:t>
      </w:r>
    </w:p>
    <w:p w14:paraId="27A37970">
      <w:pPr>
        <w:pStyle w:val="114"/>
        <w:numPr>
          <w:ilvl w:val="0"/>
          <w:numId w:val="0"/>
        </w:numPr>
        <w:ind w:left="992"/>
      </w:pPr>
      <w:r>
        <w:rPr>
          <w:rFonts w:hint="eastAsia"/>
        </w:rPr>
        <w:t>损坏之模板得经修理妥善后，方可再使用。但设计师如认为它会影响混凝土表面外观，则不得再使用。</w:t>
      </w:r>
    </w:p>
    <w:p w14:paraId="58F30F3F">
      <w:pPr>
        <w:pStyle w:val="112"/>
      </w:pPr>
      <w:r>
        <w:rPr>
          <w:rFonts w:hint="eastAsia"/>
        </w:rPr>
        <w:t>木料表面封闭剂</w:t>
      </w:r>
    </w:p>
    <w:p w14:paraId="080681FC">
      <w:pPr>
        <w:pStyle w:val="114"/>
      </w:pPr>
      <w:r>
        <w:rPr>
          <w:rFonts w:hint="eastAsia"/>
        </w:rPr>
        <w:t>若按照规定或经批准后使用封闭剂时，施工用之木料的表面必须是干燥并且没有污物、油脂或其它杂物。在模板封闭之前表面必须用砂纸打磨，以除去凸起的部份或使粗糙表面光滑。孔或凹痕必须用防水填料填塞好。必须严格遵照制造商关于使用封闭剂的指示，并且工作必须由熟练油漆工来处理。</w:t>
      </w:r>
    </w:p>
    <w:p w14:paraId="6D2CF6DB">
      <w:pPr>
        <w:pStyle w:val="114"/>
      </w:pPr>
      <w:r>
        <w:rPr>
          <w:rFonts w:hint="eastAsia"/>
        </w:rPr>
        <w:t>不论与混凝土接触的模板表面是否施用了封闭剂，所有边缘以及同夹板或其它木料的接缝，包括透孔的边缘在内，都必须将之封闭。</w:t>
      </w:r>
    </w:p>
    <w:p w14:paraId="4B1C2C4A">
      <w:pPr>
        <w:pStyle w:val="110"/>
      </w:pPr>
      <w:r>
        <w:rPr>
          <w:rFonts w:hint="eastAsia"/>
        </w:rPr>
        <w:t>脚手架</w:t>
      </w:r>
    </w:p>
    <w:p w14:paraId="25185AA4">
      <w:pPr>
        <w:pStyle w:val="112"/>
      </w:pPr>
      <w:r>
        <w:rPr>
          <w:rFonts w:hint="eastAsia"/>
        </w:rPr>
        <w:t>模板支撑</w:t>
      </w:r>
    </w:p>
    <w:p w14:paraId="3DA7801F">
      <w:pPr>
        <w:pStyle w:val="114"/>
        <w:numPr>
          <w:ilvl w:val="0"/>
          <w:numId w:val="0"/>
        </w:numPr>
        <w:ind w:left="992"/>
      </w:pPr>
      <w:r>
        <w:rPr>
          <w:rFonts w:hint="eastAsia"/>
        </w:rPr>
        <w:t>模板支撑是指作为模板装置一部分的支撑，它的功用是支撑住新浇筑的构件，直到其强度足以支持住自己的重量为止。</w:t>
      </w:r>
    </w:p>
    <w:p w14:paraId="19811A11">
      <w:pPr>
        <w:pStyle w:val="112"/>
      </w:pPr>
      <w:r>
        <w:rPr>
          <w:rFonts w:hint="eastAsia"/>
        </w:rPr>
        <w:t>施工时稳定性</w:t>
      </w:r>
    </w:p>
    <w:p w14:paraId="5093212B">
      <w:pPr>
        <w:pStyle w:val="114"/>
        <w:numPr>
          <w:ilvl w:val="0"/>
          <w:numId w:val="0"/>
        </w:numPr>
        <w:ind w:left="992"/>
      </w:pPr>
      <w:r>
        <w:rPr>
          <w:rFonts w:hint="eastAsia"/>
        </w:rPr>
        <w:t>承包人须负责提供和安装所需的临时性支承，来协助结构抵抗施工时的荷载。</w:t>
      </w:r>
    </w:p>
    <w:p w14:paraId="3845142A">
      <w:pPr>
        <w:pStyle w:val="112"/>
      </w:pPr>
      <w:r>
        <w:rPr>
          <w:rFonts w:hint="eastAsia"/>
        </w:rPr>
        <w:t>支撑细节</w:t>
      </w:r>
    </w:p>
    <w:p w14:paraId="58DABA34">
      <w:pPr>
        <w:pStyle w:val="114"/>
        <w:numPr>
          <w:ilvl w:val="0"/>
          <w:numId w:val="0"/>
        </w:numPr>
        <w:ind w:left="992"/>
      </w:pPr>
      <w:r>
        <w:rPr>
          <w:rFonts w:hint="eastAsia"/>
        </w:rPr>
        <w:t>在支撑施工前不少于两个星期，承包人必须呈交图纸标示出所要采用的支撑方案供监理审批，并且要呈交工作的详细进度表，和可能受到的荷载估计值。</w:t>
      </w:r>
    </w:p>
    <w:p w14:paraId="3D23D9B6">
      <w:pPr>
        <w:pStyle w:val="112"/>
      </w:pPr>
      <w:r>
        <w:rPr>
          <w:rFonts w:hint="eastAsia"/>
        </w:rPr>
        <w:t>脚手架的拆除</w:t>
      </w:r>
    </w:p>
    <w:p w14:paraId="09AAA915">
      <w:pPr>
        <w:pStyle w:val="114"/>
        <w:numPr>
          <w:ilvl w:val="0"/>
          <w:numId w:val="0"/>
        </w:numPr>
        <w:ind w:left="992"/>
      </w:pPr>
      <w:r>
        <w:rPr>
          <w:rFonts w:hint="eastAsia"/>
        </w:rPr>
        <w:t>承包人必须负责安全地拆除使用后的全部脚手架。</w:t>
      </w:r>
    </w:p>
    <w:p w14:paraId="7D12A3AA">
      <w:pPr>
        <w:pStyle w:val="110"/>
      </w:pPr>
      <w:r>
        <w:rPr>
          <w:rFonts w:hint="eastAsia"/>
        </w:rPr>
        <w:t>施工缝</w:t>
      </w:r>
    </w:p>
    <w:p w14:paraId="56DB0B2F">
      <w:pPr>
        <w:pStyle w:val="112"/>
      </w:pPr>
      <w:r>
        <w:rPr>
          <w:rFonts w:hint="eastAsia"/>
        </w:rPr>
        <w:t>总则</w:t>
      </w:r>
    </w:p>
    <w:p w14:paraId="4D03EAB8">
      <w:pPr>
        <w:pStyle w:val="114"/>
        <w:numPr>
          <w:ilvl w:val="0"/>
          <w:numId w:val="0"/>
        </w:numPr>
        <w:ind w:left="992"/>
      </w:pPr>
      <w:r>
        <w:rPr>
          <w:rFonts w:hint="eastAsia"/>
        </w:rPr>
        <w:t>有关混凝土构件截面厚度超过</w:t>
      </w:r>
      <w:r>
        <w:t xml:space="preserve">1.5 </w:t>
      </w:r>
      <w:r>
        <w:rPr>
          <w:rFonts w:hint="eastAsia"/>
        </w:rPr>
        <w:t>米的大体积混凝土浇灌的施工缝见本设计要求</w:t>
      </w:r>
      <w:r>
        <w:t xml:space="preserve">3.3.8 </w:t>
      </w:r>
      <w:r>
        <w:rPr>
          <w:rFonts w:hint="eastAsia"/>
        </w:rPr>
        <w:t>部份。</w:t>
      </w:r>
    </w:p>
    <w:p w14:paraId="5ECF3B78">
      <w:pPr>
        <w:pStyle w:val="112"/>
      </w:pPr>
      <w:r>
        <w:rPr>
          <w:rFonts w:hint="eastAsia"/>
        </w:rPr>
        <w:t>施工缝</w:t>
      </w:r>
    </w:p>
    <w:p w14:paraId="364AB9FE">
      <w:pPr>
        <w:pStyle w:val="114"/>
        <w:numPr>
          <w:ilvl w:val="0"/>
          <w:numId w:val="0"/>
        </w:numPr>
        <w:ind w:left="992"/>
      </w:pPr>
      <w:r>
        <w:rPr>
          <w:rFonts w:hint="eastAsia"/>
        </w:rPr>
        <w:t>若设计图纸上没有表示施工缝位置，则承包人须按规范设缝，施工缝所设位置必须得到建筑师</w:t>
      </w:r>
      <w:r>
        <w:t>/</w:t>
      </w:r>
      <w:r>
        <w:rPr>
          <w:rFonts w:hint="eastAsia"/>
        </w:rPr>
        <w:t>工程师批准。</w:t>
      </w:r>
    </w:p>
    <w:p w14:paraId="722E5DF9">
      <w:pPr>
        <w:pStyle w:val="112"/>
      </w:pPr>
      <w:r>
        <w:rPr>
          <w:rFonts w:hint="eastAsia"/>
        </w:rPr>
        <w:t>施工缝的制备</w:t>
      </w:r>
    </w:p>
    <w:p w14:paraId="10196D52">
      <w:pPr>
        <w:pStyle w:val="114"/>
      </w:pPr>
      <w:r>
        <w:rPr>
          <w:rFonts w:hint="eastAsia"/>
        </w:rPr>
        <w:t>在开始施工之前，承包人必须呈交施工缝的形式与制备方案并须获得建筑师</w:t>
      </w:r>
      <w:r>
        <w:t>/</w:t>
      </w:r>
      <w:r>
        <w:rPr>
          <w:rFonts w:hint="eastAsia"/>
        </w:rPr>
        <w:t>工程师的批准。</w:t>
      </w:r>
    </w:p>
    <w:p w14:paraId="4DE0BD1B">
      <w:pPr>
        <w:pStyle w:val="114"/>
      </w:pPr>
      <w:r>
        <w:rPr>
          <w:rFonts w:hint="eastAsia"/>
        </w:rPr>
        <w:t>除了水平接缝外，所有施工缝都必须用适当的挡板来形成。除非由建筑师</w:t>
      </w:r>
      <w:r>
        <w:t>/</w:t>
      </w:r>
      <w:r>
        <w:rPr>
          <w:rFonts w:hint="eastAsia"/>
        </w:rPr>
        <w:t>工程师另行指示，施工缝挡板都必须垂直固定。</w:t>
      </w:r>
    </w:p>
    <w:p w14:paraId="79225F9C">
      <w:pPr>
        <w:pStyle w:val="114"/>
      </w:pPr>
      <w:r>
        <w:rPr>
          <w:rFonts w:hint="eastAsia"/>
        </w:rPr>
        <w:t>在施工缝处，必须从接合面上除去所有浮浆皮和蜂窝状混凝土，直到在密实混凝土中暴露出粗骨料为止，然后才能浇灌相邻的另一段。如果因工地环境的障碍而不能除去浮浆皮，必须经建筑师</w:t>
      </w:r>
      <w:r>
        <w:t>/</w:t>
      </w:r>
      <w:r>
        <w:rPr>
          <w:rFonts w:hint="eastAsia"/>
        </w:rPr>
        <w:t>工程师批准后采用能够在混凝土上形成粗糙接合面的方法。</w:t>
      </w:r>
    </w:p>
    <w:p w14:paraId="6B5BD2EB">
      <w:pPr>
        <w:pStyle w:val="114"/>
      </w:pPr>
      <w:r>
        <w:rPr>
          <w:rFonts w:hint="eastAsia"/>
        </w:rPr>
        <w:t>当需要在接缝处再继续施工时，接合面必须是干净的。</w:t>
      </w:r>
    </w:p>
    <w:p w14:paraId="5EAFC5E5">
      <w:pPr>
        <w:pStyle w:val="114"/>
      </w:pPr>
      <w:r>
        <w:rPr>
          <w:rFonts w:hint="eastAsia"/>
        </w:rPr>
        <w:t>在防水的建筑物中，所有施工缝和活动接缝都必须采用止水带，并遵照其制造商的书面指示来使用。承包人必须提出在浇灌混凝土时及在拆除模板期间或之后如何保持止水带于正确位置的方法并须获得建筑师的批准。</w:t>
      </w:r>
    </w:p>
    <w:p w14:paraId="038587F5">
      <w:pPr>
        <w:pStyle w:val="114"/>
      </w:pPr>
      <w:r>
        <w:rPr>
          <w:rFonts w:hint="eastAsia"/>
        </w:rPr>
        <w:t>若要使用混凝土缓凝剂，必须事先得到建筑师</w:t>
      </w:r>
      <w:r>
        <w:t>/</w:t>
      </w:r>
      <w:r>
        <w:rPr>
          <w:rFonts w:hint="eastAsia"/>
        </w:rPr>
        <w:t>工程师的批准。</w:t>
      </w:r>
    </w:p>
    <w:p w14:paraId="09160117">
      <w:pPr>
        <w:pStyle w:val="112"/>
      </w:pPr>
      <w:r>
        <w:rPr>
          <w:rFonts w:hint="eastAsia"/>
        </w:rPr>
        <w:t>施工缝的位置</w:t>
      </w:r>
    </w:p>
    <w:p w14:paraId="4B0D31DD">
      <w:pPr>
        <w:pStyle w:val="114"/>
        <w:numPr>
          <w:ilvl w:val="0"/>
          <w:numId w:val="0"/>
        </w:numPr>
        <w:ind w:left="992"/>
      </w:pPr>
      <w:r>
        <w:rPr>
          <w:rFonts w:hint="eastAsia"/>
        </w:rPr>
        <w:t>施工缝之位置、放置及施工细节，须获得建筑师</w:t>
      </w:r>
      <w:r>
        <w:t>/</w:t>
      </w:r>
      <w:r>
        <w:rPr>
          <w:rFonts w:hint="eastAsia"/>
        </w:rPr>
        <w:t>工程师的同意。承包人并须提供能够令人信服的证明，确保建成后的混凝土将不会因收缩效应而受损。对于防水建筑物施工缝规定，请参阅本规程4</w:t>
      </w:r>
      <w:r>
        <w:t xml:space="preserve">.3.13 </w:t>
      </w:r>
      <w:r>
        <w:rPr>
          <w:rFonts w:hint="eastAsia"/>
        </w:rPr>
        <w:t>章关于防水建筑物的要求。</w:t>
      </w:r>
    </w:p>
    <w:p w14:paraId="53CC2AA4">
      <w:pPr>
        <w:pStyle w:val="110"/>
      </w:pPr>
      <w:r>
        <w:rPr>
          <w:rFonts w:hint="eastAsia"/>
        </w:rPr>
        <w:t>变形缝</w:t>
      </w:r>
    </w:p>
    <w:p w14:paraId="5339057E">
      <w:pPr>
        <w:pStyle w:val="114"/>
        <w:numPr>
          <w:ilvl w:val="0"/>
          <w:numId w:val="0"/>
        </w:numPr>
        <w:ind w:left="992"/>
      </w:pPr>
      <w:r>
        <w:rPr>
          <w:rFonts w:hint="eastAsia"/>
        </w:rPr>
        <w:t>除非获得批准，混凝土不得同时浇灌于变形缝的两侧，关于形成变形缝的方法必须符合设计图纸上所示的细节。</w:t>
      </w:r>
    </w:p>
    <w:p w14:paraId="02843A8A">
      <w:pPr>
        <w:pStyle w:val="110"/>
      </w:pPr>
      <w:r>
        <w:rPr>
          <w:rFonts w:hint="eastAsia"/>
        </w:rPr>
        <w:t>钢筋</w:t>
      </w:r>
    </w:p>
    <w:p w14:paraId="5CAE7DD9">
      <w:pPr>
        <w:pStyle w:val="112"/>
      </w:pPr>
      <w:r>
        <w:rPr>
          <w:rFonts w:hint="eastAsia"/>
        </w:rPr>
        <w:t>裁切与弯曲</w:t>
      </w:r>
    </w:p>
    <w:p w14:paraId="7D5B9955">
      <w:pPr>
        <w:pStyle w:val="114"/>
      </w:pPr>
      <w:r>
        <w:rPr>
          <w:rFonts w:hint="eastAsia"/>
        </w:rPr>
        <w:t>所有钢筋必须遵照</w:t>
      </w:r>
      <w:r>
        <w:t xml:space="preserve">GB50204 </w:t>
      </w:r>
      <w:r>
        <w:rPr>
          <w:rFonts w:hint="eastAsia"/>
        </w:rPr>
        <w:t>来弯曲。</w:t>
      </w:r>
    </w:p>
    <w:p w14:paraId="3F4CFAA0">
      <w:pPr>
        <w:pStyle w:val="114"/>
      </w:pPr>
      <w:r>
        <w:rPr>
          <w:rFonts w:hint="eastAsia"/>
        </w:rPr>
        <w:t>每一捆钢筋都必须箍以标牌。</w:t>
      </w:r>
    </w:p>
    <w:p w14:paraId="7EDACF14">
      <w:pPr>
        <w:pStyle w:val="114"/>
      </w:pPr>
      <w:r>
        <w:rPr>
          <w:rFonts w:hint="eastAsia"/>
        </w:rPr>
        <w:t>钢筋在加工过程中如弯曲或整直不得损伤钢材。钢筋不许加热到摄氏</w:t>
      </w:r>
      <w:r>
        <w:t xml:space="preserve">100 </w:t>
      </w:r>
      <w:r>
        <w:rPr>
          <w:rFonts w:hint="eastAsia"/>
        </w:rPr>
        <w:t>度以上。</w:t>
      </w:r>
    </w:p>
    <w:p w14:paraId="6B62BA6B">
      <w:pPr>
        <w:pStyle w:val="112"/>
      </w:pPr>
      <w:r>
        <w:rPr>
          <w:rFonts w:hint="eastAsia"/>
        </w:rPr>
        <w:t>固定</w:t>
      </w:r>
    </w:p>
    <w:p w14:paraId="141F7217">
      <w:pPr>
        <w:pStyle w:val="114"/>
      </w:pPr>
      <w:r>
        <w:rPr>
          <w:rFonts w:hint="eastAsia"/>
        </w:rPr>
        <w:t>在固定钢筋位置与灌筑混凝土时，钢筋必须干净而无凹坑、油漆、油、混凝土或薄浆溅污、油脂、泥、松锈、锈垢和松轧层等。</w:t>
      </w:r>
    </w:p>
    <w:p w14:paraId="5F4FF3AD">
      <w:pPr>
        <w:pStyle w:val="114"/>
      </w:pPr>
      <w:r>
        <w:rPr>
          <w:rFonts w:hint="eastAsia"/>
        </w:rPr>
        <w:t>钢筋网的搭接处和钢筋交叉处都必须用适当粗细的韧性铁丝扎紧，或用其它获准方法连接妥当。除非设计图纸所示或经建筑师同意，钢筋不得焊接。钢筋焊接的接头形式，焊接工艺和质量验收，应符合有关中国规范之规定。</w:t>
      </w:r>
    </w:p>
    <w:p w14:paraId="297E1B03">
      <w:pPr>
        <w:pStyle w:val="114"/>
      </w:pPr>
      <w:r>
        <w:rPr>
          <w:rFonts w:hint="eastAsia"/>
        </w:rPr>
        <w:t>如果需要使用间隔件来保持钢筋上混凝土的保护层厚度，则这些间隔件必须是密实混凝土制作。密实混凝土所用的材料应和相应的构件相同，可采用</w:t>
      </w:r>
      <w:r>
        <w:t xml:space="preserve">10 </w:t>
      </w:r>
      <w:r>
        <w:rPr>
          <w:rFonts w:hint="eastAsia"/>
        </w:rPr>
        <w:t>毫米骨料。如果间隔件需要承受重荷载，则承包人不可使用塑料间隔件。如果间隔件需要用金属丝绑扎而金属丝处于混凝土保护层中，则必须用不锈钢丝。除此之外，用来保持钢筋上保护层的任何器件都不许有金属件遗留于所规定的钢筋最低限度保护层之内。</w:t>
      </w:r>
    </w:p>
    <w:p w14:paraId="52194F6D">
      <w:pPr>
        <w:pStyle w:val="114"/>
      </w:pPr>
      <w:r>
        <w:rPr>
          <w:rFonts w:hint="eastAsia"/>
        </w:rPr>
        <w:t>承包人必须供应和固定好用来保持钢筋正确位置的钢筋座。</w:t>
      </w:r>
    </w:p>
    <w:p w14:paraId="2BC0A41E">
      <w:pPr>
        <w:pStyle w:val="114"/>
      </w:pPr>
      <w:r>
        <w:rPr>
          <w:rFonts w:hint="eastAsia"/>
        </w:rPr>
        <w:t>预埋件钢板一般采用</w:t>
      </w:r>
      <w:r>
        <w:t xml:space="preserve">Q235B </w:t>
      </w:r>
      <w:r>
        <w:rPr>
          <w:rFonts w:hint="eastAsia"/>
        </w:rPr>
        <w:t>钢，锚筋应采用</w:t>
      </w:r>
      <w:r>
        <w:t>HPB235</w:t>
      </w:r>
      <w:r>
        <w:rPr>
          <w:rFonts w:hint="eastAsia"/>
        </w:rPr>
        <w:t>、</w:t>
      </w:r>
      <w:r>
        <w:t>HRB335</w:t>
      </w:r>
      <w:r>
        <w:rPr>
          <w:rFonts w:hint="eastAsia"/>
        </w:rPr>
        <w:t>、</w:t>
      </w:r>
      <w:r>
        <w:t>HRB400</w:t>
      </w:r>
      <w:r>
        <w:rPr>
          <w:rFonts w:hint="eastAsia"/>
        </w:rPr>
        <w:t>级钢筋，严禁采用冷加工钢筋；吊钩必须采用未经冷加工的</w:t>
      </w:r>
      <w:r>
        <w:t xml:space="preserve">HPB235 </w:t>
      </w:r>
      <w:r>
        <w:rPr>
          <w:rFonts w:hint="eastAsia"/>
        </w:rPr>
        <w:t>级钢筋；所有外露铁件要求刷红丹二度、调合漆二道。</w:t>
      </w:r>
    </w:p>
    <w:p w14:paraId="0725C8B2">
      <w:pPr>
        <w:pStyle w:val="114"/>
      </w:pPr>
      <w:r>
        <w:rPr>
          <w:rFonts w:hint="eastAsia"/>
        </w:rPr>
        <w:t>钢筋及钢材电弧焊接所采用的焊条，应符合现行国家标准《碳钢焊条</w:t>
      </w:r>
      <w:r>
        <w:t>GB/5117</w:t>
      </w:r>
      <w:r>
        <w:rPr>
          <w:rFonts w:hint="eastAsia"/>
        </w:rPr>
        <w:t>》或《低合金钢焊条</w:t>
      </w:r>
      <w:r>
        <w:t>GB/5118</w:t>
      </w:r>
      <w:r>
        <w:rPr>
          <w:rFonts w:hint="eastAsia"/>
        </w:rPr>
        <w:t>》的规定，其型号可根据下表选用：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667"/>
        <w:gridCol w:w="1667"/>
        <w:gridCol w:w="1668"/>
        <w:gridCol w:w="1668"/>
      </w:tblGrid>
      <w:tr w14:paraId="0F4D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000" w:type="pct"/>
            <w:vAlign w:val="center"/>
          </w:tcPr>
          <w:p w14:paraId="5D3D6565">
            <w:pPr>
              <w:pStyle w:val="164"/>
              <w:spacing w:before="156" w:after="156"/>
            </w:pPr>
            <w:r>
              <w:rPr>
                <w:rFonts w:hint="eastAsia"/>
              </w:rPr>
              <w:t>钢筋等级</w:t>
            </w:r>
          </w:p>
        </w:tc>
        <w:tc>
          <w:tcPr>
            <w:tcW w:w="1000" w:type="pct"/>
            <w:vAlign w:val="center"/>
          </w:tcPr>
          <w:p w14:paraId="35D5B8DF">
            <w:pPr>
              <w:pStyle w:val="164"/>
              <w:spacing w:before="156" w:after="156"/>
            </w:pPr>
            <w:r>
              <w:rPr>
                <w:rFonts w:hint="eastAsia"/>
              </w:rPr>
              <w:t>帮条焊</w:t>
            </w:r>
          </w:p>
          <w:p w14:paraId="5C5FE4CC">
            <w:pPr>
              <w:pStyle w:val="164"/>
              <w:spacing w:before="156" w:after="156"/>
            </w:pPr>
            <w:r>
              <w:rPr>
                <w:rFonts w:hint="eastAsia"/>
              </w:rPr>
              <w:t>搭接焊</w:t>
            </w:r>
          </w:p>
        </w:tc>
        <w:tc>
          <w:tcPr>
            <w:tcW w:w="1000" w:type="pct"/>
            <w:vAlign w:val="center"/>
          </w:tcPr>
          <w:p w14:paraId="527AF794">
            <w:pPr>
              <w:pStyle w:val="164"/>
              <w:spacing w:before="156" w:after="156"/>
            </w:pPr>
            <w:r>
              <w:rPr>
                <w:rFonts w:hint="eastAsia"/>
              </w:rPr>
              <w:t>破口焊</w:t>
            </w:r>
            <w:r>
              <w:t xml:space="preserve"> </w:t>
            </w:r>
            <w:r>
              <w:rPr>
                <w:rFonts w:hint="eastAsia"/>
              </w:rPr>
              <w:t>熔槽帮条焊</w:t>
            </w:r>
          </w:p>
          <w:p w14:paraId="4397D90B">
            <w:pPr>
              <w:pStyle w:val="164"/>
              <w:spacing w:before="156" w:after="156"/>
            </w:pPr>
            <w:r>
              <w:rPr>
                <w:rFonts w:hint="eastAsia"/>
              </w:rPr>
              <w:t>预埋件穿孔塞焊</w:t>
            </w:r>
          </w:p>
          <w:p w14:paraId="0AAF0380">
            <w:pPr>
              <w:pStyle w:val="164"/>
              <w:spacing w:before="156" w:after="156"/>
            </w:pPr>
          </w:p>
        </w:tc>
        <w:tc>
          <w:tcPr>
            <w:tcW w:w="1000" w:type="pct"/>
            <w:vAlign w:val="center"/>
          </w:tcPr>
          <w:p w14:paraId="038BD648">
            <w:pPr>
              <w:pStyle w:val="164"/>
              <w:spacing w:before="156" w:after="156"/>
            </w:pPr>
            <w:r>
              <w:rPr>
                <w:rFonts w:hint="eastAsia"/>
              </w:rPr>
              <w:t>窄间隙焊</w:t>
            </w:r>
          </w:p>
        </w:tc>
        <w:tc>
          <w:tcPr>
            <w:tcW w:w="1000" w:type="pct"/>
            <w:vAlign w:val="center"/>
          </w:tcPr>
          <w:p w14:paraId="181138C5">
            <w:pPr>
              <w:pStyle w:val="164"/>
              <w:spacing w:before="156" w:after="156"/>
            </w:pPr>
            <w:r>
              <w:rPr>
                <w:rFonts w:hint="eastAsia"/>
              </w:rPr>
              <w:t>钢筋与钢板搭接焊</w:t>
            </w:r>
          </w:p>
          <w:p w14:paraId="09FBB009">
            <w:pPr>
              <w:pStyle w:val="164"/>
              <w:spacing w:before="156" w:after="156"/>
            </w:pPr>
            <w:r>
              <w:rPr>
                <w:rFonts w:hint="eastAsia"/>
              </w:rPr>
              <w:t>预埋件</w:t>
            </w:r>
            <w:r>
              <w:t xml:space="preserve">T </w:t>
            </w:r>
            <w:r>
              <w:rPr>
                <w:rFonts w:hint="eastAsia"/>
              </w:rPr>
              <w:t>型角焊</w:t>
            </w:r>
          </w:p>
          <w:p w14:paraId="313BE2C6">
            <w:pPr>
              <w:pStyle w:val="164"/>
              <w:spacing w:before="156" w:after="156"/>
            </w:pPr>
          </w:p>
        </w:tc>
      </w:tr>
      <w:tr w14:paraId="15A2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00" w:type="pct"/>
            <w:vAlign w:val="center"/>
          </w:tcPr>
          <w:p w14:paraId="4455563F">
            <w:pPr>
              <w:pStyle w:val="164"/>
              <w:spacing w:before="156" w:after="156"/>
            </w:pPr>
            <w:r>
              <w:t>HPB235</w:t>
            </w:r>
          </w:p>
        </w:tc>
        <w:tc>
          <w:tcPr>
            <w:tcW w:w="1000" w:type="pct"/>
            <w:vAlign w:val="center"/>
          </w:tcPr>
          <w:p w14:paraId="29B3F686">
            <w:pPr>
              <w:pStyle w:val="164"/>
              <w:spacing w:before="156" w:after="156"/>
            </w:pPr>
            <w:r>
              <w:t>E4303</w:t>
            </w:r>
          </w:p>
        </w:tc>
        <w:tc>
          <w:tcPr>
            <w:tcW w:w="1000" w:type="pct"/>
            <w:vAlign w:val="center"/>
          </w:tcPr>
          <w:p w14:paraId="23197EF8">
            <w:pPr>
              <w:pStyle w:val="164"/>
              <w:spacing w:before="156" w:after="156"/>
            </w:pPr>
            <w:r>
              <w:t>E4303</w:t>
            </w:r>
          </w:p>
        </w:tc>
        <w:tc>
          <w:tcPr>
            <w:tcW w:w="1000" w:type="pct"/>
            <w:vAlign w:val="center"/>
          </w:tcPr>
          <w:p w14:paraId="0BDFE5C5">
            <w:pPr>
              <w:pStyle w:val="164"/>
              <w:spacing w:before="156" w:after="156"/>
            </w:pPr>
            <w:r>
              <w:t>E4316</w:t>
            </w:r>
          </w:p>
          <w:p w14:paraId="1FB99220">
            <w:pPr>
              <w:pStyle w:val="164"/>
              <w:spacing w:before="156" w:after="156"/>
            </w:pPr>
            <w:r>
              <w:t>E4315</w:t>
            </w:r>
          </w:p>
        </w:tc>
        <w:tc>
          <w:tcPr>
            <w:tcW w:w="1000" w:type="pct"/>
            <w:vAlign w:val="center"/>
          </w:tcPr>
          <w:p w14:paraId="5E7EFAFA">
            <w:pPr>
              <w:pStyle w:val="164"/>
              <w:spacing w:before="156" w:after="156"/>
            </w:pPr>
            <w:r>
              <w:t>E4303</w:t>
            </w:r>
          </w:p>
          <w:p w14:paraId="10B8E097">
            <w:pPr>
              <w:pStyle w:val="164"/>
              <w:spacing w:before="156" w:after="156"/>
            </w:pPr>
          </w:p>
        </w:tc>
      </w:tr>
      <w:tr w14:paraId="0F2C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000" w:type="pct"/>
            <w:vAlign w:val="center"/>
          </w:tcPr>
          <w:p w14:paraId="25F128EE">
            <w:pPr>
              <w:pStyle w:val="164"/>
              <w:spacing w:before="156" w:after="156"/>
            </w:pPr>
            <w:r>
              <w:t>HRB335</w:t>
            </w:r>
          </w:p>
        </w:tc>
        <w:tc>
          <w:tcPr>
            <w:tcW w:w="1000" w:type="pct"/>
            <w:vAlign w:val="center"/>
          </w:tcPr>
          <w:p w14:paraId="14709AD5">
            <w:pPr>
              <w:pStyle w:val="164"/>
              <w:spacing w:before="156" w:after="156"/>
            </w:pPr>
            <w:r>
              <w:t>E4303</w:t>
            </w:r>
          </w:p>
        </w:tc>
        <w:tc>
          <w:tcPr>
            <w:tcW w:w="1000" w:type="pct"/>
            <w:vAlign w:val="center"/>
          </w:tcPr>
          <w:p w14:paraId="00C718EC">
            <w:pPr>
              <w:pStyle w:val="164"/>
              <w:spacing w:before="156" w:after="156"/>
            </w:pPr>
            <w:r>
              <w:t>E5003</w:t>
            </w:r>
          </w:p>
        </w:tc>
        <w:tc>
          <w:tcPr>
            <w:tcW w:w="1000" w:type="pct"/>
            <w:vAlign w:val="center"/>
          </w:tcPr>
          <w:p w14:paraId="26545769">
            <w:pPr>
              <w:pStyle w:val="164"/>
              <w:spacing w:before="156" w:after="156"/>
            </w:pPr>
            <w:r>
              <w:t>E5016</w:t>
            </w:r>
          </w:p>
          <w:p w14:paraId="322B7031">
            <w:pPr>
              <w:pStyle w:val="164"/>
              <w:spacing w:before="156" w:after="156"/>
            </w:pPr>
            <w:r>
              <w:t>E5015</w:t>
            </w:r>
          </w:p>
        </w:tc>
        <w:tc>
          <w:tcPr>
            <w:tcW w:w="1000" w:type="pct"/>
            <w:vAlign w:val="center"/>
          </w:tcPr>
          <w:p w14:paraId="374CE07B">
            <w:pPr>
              <w:pStyle w:val="164"/>
              <w:spacing w:before="156" w:after="156"/>
            </w:pPr>
            <w:r>
              <w:t>E4303</w:t>
            </w:r>
          </w:p>
        </w:tc>
      </w:tr>
      <w:tr w14:paraId="7FEF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000" w:type="pct"/>
            <w:vAlign w:val="center"/>
          </w:tcPr>
          <w:p w14:paraId="17C41DF9">
            <w:pPr>
              <w:pStyle w:val="164"/>
              <w:spacing w:before="156" w:after="156"/>
            </w:pPr>
            <w:r>
              <w:t>HRB400</w:t>
            </w:r>
          </w:p>
        </w:tc>
        <w:tc>
          <w:tcPr>
            <w:tcW w:w="1000" w:type="pct"/>
            <w:vAlign w:val="center"/>
          </w:tcPr>
          <w:p w14:paraId="77448299">
            <w:pPr>
              <w:pStyle w:val="164"/>
              <w:spacing w:before="156" w:after="156"/>
            </w:pPr>
            <w:r>
              <w:t>E5003</w:t>
            </w:r>
          </w:p>
        </w:tc>
        <w:tc>
          <w:tcPr>
            <w:tcW w:w="1000" w:type="pct"/>
            <w:vAlign w:val="center"/>
          </w:tcPr>
          <w:p w14:paraId="68DABBD5">
            <w:pPr>
              <w:pStyle w:val="164"/>
              <w:spacing w:before="156" w:after="156"/>
            </w:pPr>
            <w:r>
              <w:t>E5503</w:t>
            </w:r>
          </w:p>
        </w:tc>
        <w:tc>
          <w:tcPr>
            <w:tcW w:w="1000" w:type="pct"/>
            <w:vAlign w:val="center"/>
          </w:tcPr>
          <w:p w14:paraId="030ADCE0">
            <w:pPr>
              <w:pStyle w:val="164"/>
              <w:spacing w:before="156" w:after="156"/>
            </w:pPr>
            <w:r>
              <w:t>E6016</w:t>
            </w:r>
          </w:p>
          <w:p w14:paraId="5E9EDD87">
            <w:pPr>
              <w:pStyle w:val="164"/>
              <w:spacing w:before="156" w:after="156"/>
            </w:pPr>
            <w:r>
              <w:t>E6015</w:t>
            </w:r>
          </w:p>
        </w:tc>
        <w:tc>
          <w:tcPr>
            <w:tcW w:w="1000" w:type="pct"/>
            <w:vAlign w:val="center"/>
          </w:tcPr>
          <w:p w14:paraId="0B308314">
            <w:pPr>
              <w:pStyle w:val="164"/>
              <w:spacing w:before="156" w:after="156"/>
            </w:pPr>
            <w:r>
              <w:t>E5003</w:t>
            </w:r>
          </w:p>
          <w:p w14:paraId="12A7114A">
            <w:pPr>
              <w:pStyle w:val="164"/>
              <w:spacing w:before="156" w:after="156"/>
            </w:pPr>
          </w:p>
        </w:tc>
      </w:tr>
    </w:tbl>
    <w:p w14:paraId="586FC502">
      <w:pPr>
        <w:pStyle w:val="112"/>
      </w:pPr>
      <w:r>
        <w:rPr>
          <w:rFonts w:hint="eastAsia"/>
        </w:rPr>
        <w:t>铁锈沾污</w:t>
      </w:r>
    </w:p>
    <w:p w14:paraId="12EA5B94">
      <w:pPr>
        <w:pStyle w:val="114"/>
        <w:numPr>
          <w:ilvl w:val="0"/>
          <w:numId w:val="0"/>
        </w:numPr>
        <w:ind w:left="992"/>
      </w:pPr>
      <w:r>
        <w:rPr>
          <w:rFonts w:hint="eastAsia"/>
        </w:rPr>
        <w:t>当竣工之后需要外露的混凝土面必须加以保护时，承包人可用水泥浆来涂敷钢件，或采用其它获准的方法，使之不受突出钢筋生锈所沾污。</w:t>
      </w:r>
    </w:p>
    <w:p w14:paraId="1C095B6A">
      <w:pPr>
        <w:pStyle w:val="110"/>
      </w:pPr>
      <w:r>
        <w:rPr>
          <w:rFonts w:hint="eastAsia"/>
        </w:rPr>
        <w:t>混凝土的灌筑</w:t>
      </w:r>
    </w:p>
    <w:p w14:paraId="72B51AE1">
      <w:pPr>
        <w:pStyle w:val="112"/>
      </w:pPr>
      <w:r>
        <w:rPr>
          <w:rFonts w:hint="eastAsia"/>
        </w:rPr>
        <w:t>最后准备与检查</w:t>
      </w:r>
    </w:p>
    <w:p w14:paraId="4B36EE93">
      <w:pPr>
        <w:pStyle w:val="114"/>
        <w:numPr>
          <w:ilvl w:val="0"/>
          <w:numId w:val="0"/>
        </w:numPr>
        <w:ind w:left="992"/>
      </w:pPr>
      <w:r>
        <w:rPr>
          <w:rFonts w:hint="eastAsia"/>
        </w:rPr>
        <w:t>每一次浇灌之前，承包人必须按规定通知监理在浇灌之前进行检查。没有监理的批准书不得灌筑混凝土。</w:t>
      </w:r>
    </w:p>
    <w:p w14:paraId="42962B2C">
      <w:pPr>
        <w:pStyle w:val="112"/>
      </w:pPr>
      <w:r>
        <w:rPr>
          <w:rFonts w:hint="eastAsia"/>
        </w:rPr>
        <w:t>搅拌</w:t>
      </w:r>
    </w:p>
    <w:p w14:paraId="32283EA7">
      <w:pPr>
        <w:pStyle w:val="114"/>
      </w:pPr>
      <w:r>
        <w:rPr>
          <w:rFonts w:hint="eastAsia"/>
        </w:rPr>
        <w:t>混凝土必须在已批准之机械搅拌器内搅拌。同一配合比混凝土的搅拌时间应保持不变。每批混凝土应在搅拌机鼓内完全卸空后方可再装料。</w:t>
      </w:r>
    </w:p>
    <w:p w14:paraId="6D848CF8">
      <w:pPr>
        <w:pStyle w:val="114"/>
      </w:pPr>
      <w:r>
        <w:rPr>
          <w:rFonts w:hint="eastAsia"/>
        </w:rPr>
        <w:t>水泥、细及粗骨料之份量均以重量计算。水泥应分开用不同之称重器。细骨料及各种大小之粗骨料应分开个别称重。</w:t>
      </w:r>
    </w:p>
    <w:p w14:paraId="387FA7EC">
      <w:pPr>
        <w:pStyle w:val="114"/>
      </w:pPr>
      <w:r>
        <w:rPr>
          <w:rFonts w:hint="eastAsia"/>
        </w:rPr>
        <w:t>在量度应加水的份量时应同时考虑骨料本身的含水量。</w:t>
      </w:r>
    </w:p>
    <w:p w14:paraId="2736088F">
      <w:pPr>
        <w:pStyle w:val="112"/>
      </w:pPr>
      <w:r>
        <w:rPr>
          <w:rFonts w:hint="eastAsia"/>
        </w:rPr>
        <w:t>运输</w:t>
      </w:r>
    </w:p>
    <w:p w14:paraId="1E4D3921">
      <w:pPr>
        <w:pStyle w:val="114"/>
      </w:pPr>
      <w:r>
        <w:rPr>
          <w:rFonts w:hint="eastAsia"/>
        </w:rPr>
        <w:t>混凝土运输车工作走道和人行走道都不得支承在固定好的钢筋上。</w:t>
      </w:r>
    </w:p>
    <w:p w14:paraId="6BECC397">
      <w:pPr>
        <w:pStyle w:val="114"/>
      </w:pPr>
      <w:r>
        <w:rPr>
          <w:rFonts w:hint="eastAsia"/>
        </w:rPr>
        <w:t>混凝土必从搅拌处尽快运送到最终灌处，运送方式必须是能防止各成份的离析或损耗。在终点处应当尽可能就近灌筑，以避免再次搬运或流送。</w:t>
      </w:r>
    </w:p>
    <w:p w14:paraId="6D76EE3B">
      <w:pPr>
        <w:pStyle w:val="112"/>
      </w:pPr>
      <w:r>
        <w:rPr>
          <w:rFonts w:hint="eastAsia"/>
        </w:rPr>
        <w:t>浇灌</w:t>
      </w:r>
    </w:p>
    <w:p w14:paraId="27A26CB9">
      <w:pPr>
        <w:pStyle w:val="114"/>
      </w:pPr>
      <w:r>
        <w:rPr>
          <w:rFonts w:hint="eastAsia"/>
        </w:rPr>
        <w:t>混凝土必须在仍然有足够塑性而可以适当压实时连续地浇灌到施工接缝为止。</w:t>
      </w:r>
    </w:p>
    <w:p w14:paraId="3E54800F">
      <w:pPr>
        <w:pStyle w:val="114"/>
      </w:pPr>
      <w:r>
        <w:rPr>
          <w:rFonts w:hint="eastAsia"/>
        </w:rPr>
        <w:t>在浇灌混凝土的整个时间内，都必须有一个合格钢筋工不断监察浇灌过程，对移位变形的钢筋要及时修复。</w:t>
      </w:r>
    </w:p>
    <w:p w14:paraId="59CCD8D8">
      <w:pPr>
        <w:pStyle w:val="112"/>
      </w:pPr>
      <w:r>
        <w:rPr>
          <w:rFonts w:hint="eastAsia"/>
        </w:rPr>
        <w:t>模板面的浇灌</w:t>
      </w:r>
    </w:p>
    <w:p w14:paraId="028E7305">
      <w:pPr>
        <w:pStyle w:val="114"/>
      </w:pPr>
      <w:r>
        <w:rPr>
          <w:rFonts w:hint="eastAsia"/>
        </w:rPr>
        <w:t>混凝土必须一次连续浇灌，并在模板中以不少于每小时</w:t>
      </w:r>
      <w:r>
        <w:t xml:space="preserve">2 </w:t>
      </w:r>
      <w:r>
        <w:rPr>
          <w:rFonts w:hint="eastAsia"/>
        </w:rPr>
        <w:t>米的速率均匀升起。混凝土的输送不得引起离析。</w:t>
      </w:r>
    </w:p>
    <w:p w14:paraId="44C7E1FD">
      <w:pPr>
        <w:pStyle w:val="114"/>
      </w:pPr>
      <w:r>
        <w:rPr>
          <w:rFonts w:hint="eastAsia"/>
        </w:rPr>
        <w:t>混凝土不许直接对准竖直模板面浇灌，而必须是在捣实过程中使混凝土流向模板面。在浇灌过程中必须留意不使砂浆溅到模板面上。</w:t>
      </w:r>
    </w:p>
    <w:p w14:paraId="057CEE34">
      <w:pPr>
        <w:pStyle w:val="112"/>
      </w:pPr>
      <w:r>
        <w:rPr>
          <w:rFonts w:hint="eastAsia"/>
        </w:rPr>
        <w:t>捣实</w:t>
      </w:r>
    </w:p>
    <w:p w14:paraId="00E32646">
      <w:pPr>
        <w:pStyle w:val="114"/>
      </w:pPr>
      <w:r>
        <w:rPr>
          <w:rFonts w:hint="eastAsia"/>
        </w:rPr>
        <w:t>除非另外规定，所有结构混凝土必须用恰当的机械振捣器捣实。</w:t>
      </w:r>
    </w:p>
    <w:p w14:paraId="57E9A0CC">
      <w:pPr>
        <w:pStyle w:val="114"/>
      </w:pPr>
      <w:r>
        <w:rPr>
          <w:rFonts w:hint="eastAsia"/>
        </w:rPr>
        <w:t>承包人必须呈交有关施工所用振捣器的类型、大小和数目的细节以供审批。在振捣混凝土时所用的每一类型振捣器，都必须至少有一个同类型的备用振捣器，以应付机件发生故障时，可供备用。</w:t>
      </w:r>
    </w:p>
    <w:p w14:paraId="58889C84">
      <w:pPr>
        <w:pStyle w:val="114"/>
      </w:pPr>
      <w:r>
        <w:rPr>
          <w:rFonts w:hint="eastAsia"/>
        </w:rPr>
        <w:t>模板内有足够混凝土可浸没振捣器时，便必须尽快开始捣实，而在浇灌过程中，混凝土的振捣必须是连续不断的，以确保在模板内没有过量未经捣实的混凝土。</w:t>
      </w:r>
    </w:p>
    <w:p w14:paraId="114FF5F6">
      <w:pPr>
        <w:pStyle w:val="114"/>
      </w:pPr>
      <w:r>
        <w:rPr>
          <w:rFonts w:hint="eastAsia"/>
        </w:rPr>
        <w:t>墙、柱等的起始段落的浇灌和捣实，应保证使得其强度和其它特性不低于整个构件的规定指标。</w:t>
      </w:r>
    </w:p>
    <w:p w14:paraId="4A5CCDAB">
      <w:pPr>
        <w:pStyle w:val="112"/>
      </w:pPr>
      <w:r>
        <w:rPr>
          <w:rFonts w:hint="eastAsia"/>
        </w:rPr>
        <w:t>外用振捣器</w:t>
      </w:r>
    </w:p>
    <w:p w14:paraId="6D021DCB">
      <w:pPr>
        <w:pStyle w:val="114"/>
        <w:numPr>
          <w:ilvl w:val="0"/>
          <w:numId w:val="0"/>
        </w:numPr>
        <w:ind w:left="992"/>
      </w:pPr>
      <w:r>
        <w:rPr>
          <w:rFonts w:hint="eastAsia"/>
        </w:rPr>
        <w:t>若使用外部振动器的批准，必须事先获得监理的批准。</w:t>
      </w:r>
    </w:p>
    <w:p w14:paraId="250C87BE">
      <w:pPr>
        <w:pStyle w:val="112"/>
      </w:pPr>
      <w:r>
        <w:rPr>
          <w:rFonts w:hint="eastAsia"/>
        </w:rPr>
        <w:t>清理</w:t>
      </w:r>
    </w:p>
    <w:p w14:paraId="553A3D3D">
      <w:pPr>
        <w:pStyle w:val="114"/>
        <w:numPr>
          <w:ilvl w:val="0"/>
          <w:numId w:val="0"/>
        </w:numPr>
        <w:ind w:left="992"/>
      </w:pPr>
      <w:r>
        <w:rPr>
          <w:rFonts w:hint="eastAsia"/>
        </w:rPr>
        <w:t>在改变骨料或水泥种类之前，或者搅拌工作停止时，所有搅拌、运输、浇灌和捣实等设备都必须彻底清洗干净。</w:t>
      </w:r>
    </w:p>
    <w:p w14:paraId="5243D8C0">
      <w:pPr>
        <w:pStyle w:val="112"/>
      </w:pPr>
      <w:r>
        <w:rPr>
          <w:rFonts w:hint="eastAsia"/>
        </w:rPr>
        <w:t>浇灌记录</w:t>
      </w:r>
    </w:p>
    <w:p w14:paraId="4AFE9F63">
      <w:pPr>
        <w:pStyle w:val="114"/>
        <w:numPr>
          <w:ilvl w:val="0"/>
          <w:numId w:val="0"/>
        </w:numPr>
        <w:ind w:left="992"/>
      </w:pPr>
      <w:r>
        <w:rPr>
          <w:rFonts w:hint="eastAsia"/>
        </w:rPr>
        <w:t>承包人每周必须呈交一份混凝工工程纪录的全面报告，说明浇灌混凝土的日期，时间与位置。</w:t>
      </w:r>
    </w:p>
    <w:p w14:paraId="119B186E">
      <w:pPr>
        <w:pStyle w:val="112"/>
      </w:pPr>
      <w:r>
        <w:rPr>
          <w:rFonts w:hint="eastAsia"/>
        </w:rPr>
        <w:t>养护</w:t>
      </w:r>
    </w:p>
    <w:p w14:paraId="581D3AC0">
      <w:pPr>
        <w:pStyle w:val="114"/>
      </w:pPr>
      <w:r>
        <w:rPr>
          <w:rFonts w:hint="eastAsia"/>
        </w:rPr>
        <w:t>在养护期间必须保护结构混凝土的所有表面，以防止其表面脱水，对普通硅酸盐水泥来说，浇水养护期不得少于</w:t>
      </w:r>
      <w:r>
        <w:t xml:space="preserve">7 </w:t>
      </w:r>
      <w:r>
        <w:rPr>
          <w:rFonts w:hint="eastAsia"/>
        </w:rPr>
        <w:t>天，对有抗渗性要求的混凝土不得少于</w:t>
      </w:r>
      <w:r>
        <w:t xml:space="preserve">14 </w:t>
      </w:r>
      <w:r>
        <w:rPr>
          <w:rFonts w:hint="eastAsia"/>
        </w:rPr>
        <w:t>天。</w:t>
      </w:r>
    </w:p>
    <w:p w14:paraId="4CD506BA">
      <w:pPr>
        <w:pStyle w:val="114"/>
      </w:pPr>
      <w:r>
        <w:rPr>
          <w:rFonts w:hint="eastAsia"/>
        </w:rPr>
        <w:t>在开始灌筑混凝土之前，承包人应提出混凝土养护方法，获得监理工程师的批准后方可实施。</w:t>
      </w:r>
    </w:p>
    <w:p w14:paraId="3CE9FA63">
      <w:pPr>
        <w:pStyle w:val="110"/>
      </w:pPr>
      <w:r>
        <w:rPr>
          <w:rFonts w:hint="eastAsia"/>
        </w:rPr>
        <w:t>混凝土温度</w:t>
      </w:r>
    </w:p>
    <w:p w14:paraId="343E8665">
      <w:pPr>
        <w:pStyle w:val="112"/>
      </w:pPr>
      <w:r>
        <w:rPr>
          <w:rFonts w:hint="eastAsia"/>
        </w:rPr>
        <w:t>热天下灌筑</w:t>
      </w:r>
    </w:p>
    <w:p w14:paraId="244E33D3">
      <w:pPr>
        <w:pStyle w:val="114"/>
      </w:pPr>
      <w:r>
        <w:rPr>
          <w:rFonts w:hint="eastAsia"/>
        </w:rPr>
        <w:t>若混凝土表面暴露于太阳高温或干燥强风的条件下，则承包人所采用的养护方法必须能够完全遮盖混凝土表面，而且在最后捣实之后不超过半小时就必须将混凝土遮盖。如果混凝土仍未硬化时候表面就已出现了裂缝，则就必须再次捣实以便使裂缝闭合。</w:t>
      </w:r>
    </w:p>
    <w:p w14:paraId="0953E1DA">
      <w:pPr>
        <w:pStyle w:val="114"/>
      </w:pPr>
      <w:r>
        <w:rPr>
          <w:rFonts w:hint="eastAsia"/>
        </w:rPr>
        <w:t>由金属、混凝土或其它热容量大的材料制成的模板，在浇灌混凝土之前必须先用水将之冷却。</w:t>
      </w:r>
    </w:p>
    <w:p w14:paraId="5977B540">
      <w:pPr>
        <w:pStyle w:val="114"/>
      </w:pPr>
      <w:r>
        <w:rPr>
          <w:rFonts w:hint="eastAsia"/>
        </w:rPr>
        <w:t>混凝土在浇入模中时的温度不得超过摄氏</w:t>
      </w:r>
      <w:r>
        <w:t xml:space="preserve">40 </w:t>
      </w:r>
      <w:r>
        <w:rPr>
          <w:rFonts w:hint="eastAsia"/>
        </w:rPr>
        <w:t>度。承包人必须采取有效措施，例如在必要时将骨料和配料用水预先冷却等，以便使浇灌之前的混凝土温度保持在摄氏</w:t>
      </w:r>
      <w:r>
        <w:t xml:space="preserve">40 </w:t>
      </w:r>
      <w:r>
        <w:rPr>
          <w:rFonts w:hint="eastAsia"/>
        </w:rPr>
        <w:t>度以下。</w:t>
      </w:r>
    </w:p>
    <w:p w14:paraId="1C617A54">
      <w:pPr>
        <w:pStyle w:val="112"/>
      </w:pPr>
      <w:r>
        <w:rPr>
          <w:rFonts w:hint="eastAsia"/>
        </w:rPr>
        <w:t>水化热</w:t>
      </w:r>
    </w:p>
    <w:p w14:paraId="3F338DE4">
      <w:pPr>
        <w:pStyle w:val="114"/>
        <w:numPr>
          <w:ilvl w:val="0"/>
          <w:numId w:val="0"/>
        </w:numPr>
        <w:ind w:left="992"/>
      </w:pPr>
      <w:r>
        <w:rPr>
          <w:rFonts w:hint="eastAsia"/>
        </w:rPr>
        <w:t>在混凝土的初凝和养护期间，混凝土的最高温度必须维持在摄氏</w:t>
      </w:r>
      <w:r>
        <w:t xml:space="preserve">85 </w:t>
      </w:r>
      <w:r>
        <w:rPr>
          <w:rFonts w:hint="eastAsia"/>
        </w:rPr>
        <w:t>度以下，而在混凝土内任何两点的温度差值不能超过摄氏</w:t>
      </w:r>
      <w:r>
        <w:t xml:space="preserve">25 </w:t>
      </w:r>
      <w:r>
        <w:rPr>
          <w:rFonts w:hint="eastAsia"/>
        </w:rPr>
        <w:t>度。在有需要时，承包人须对混凝土进行冷却或保温工作以达到上述要求。</w:t>
      </w:r>
    </w:p>
    <w:p w14:paraId="271E8B25">
      <w:pPr>
        <w:pStyle w:val="112"/>
      </w:pPr>
      <w:r>
        <w:rPr>
          <w:rFonts w:hint="eastAsia"/>
        </w:rPr>
        <w:t>冬季施工</w:t>
      </w:r>
    </w:p>
    <w:p w14:paraId="7A97B4CA">
      <w:pPr>
        <w:pStyle w:val="114"/>
      </w:pPr>
      <w:r>
        <w:rPr>
          <w:rFonts w:hint="eastAsia"/>
        </w:rPr>
        <w:t>当温度在摄氏</w:t>
      </w:r>
      <w:r>
        <w:t xml:space="preserve">5 </w:t>
      </w:r>
      <w:r>
        <w:rPr>
          <w:rFonts w:hint="eastAsia"/>
        </w:rPr>
        <w:t>度以下时，混凝土浇筑工作应全部停止。</w:t>
      </w:r>
    </w:p>
    <w:p w14:paraId="6A40BA08">
      <w:pPr>
        <w:pStyle w:val="114"/>
      </w:pPr>
      <w:r>
        <w:rPr>
          <w:rFonts w:hint="eastAsia"/>
        </w:rPr>
        <w:t>当承包人需要在冬季期间施工时，应事先提交施工方案供监理工程师审核，获得批准后方可实施。在混凝土未硬化前，承包人应采取适当之措施以防止混凝土中之水份凝结。承包人应确保在混凝土尚未获得足够强度之前，不会进行任何拆除模板或支撑的工作。</w:t>
      </w:r>
    </w:p>
    <w:p w14:paraId="7ABA8E70">
      <w:pPr>
        <w:pStyle w:val="110"/>
      </w:pPr>
      <w:r>
        <w:rPr>
          <w:rFonts w:hint="eastAsia"/>
        </w:rPr>
        <w:t>大体积混凝土浇筑</w:t>
      </w:r>
    </w:p>
    <w:p w14:paraId="2940ACC5">
      <w:pPr>
        <w:pStyle w:val="112"/>
      </w:pPr>
      <w:r>
        <w:rPr>
          <w:rFonts w:hint="eastAsia"/>
        </w:rPr>
        <w:t>总则</w:t>
      </w:r>
    </w:p>
    <w:p w14:paraId="12A6B580">
      <w:pPr>
        <w:pStyle w:val="114"/>
      </w:pPr>
      <w:r>
        <w:rPr>
          <w:rFonts w:hint="eastAsia"/>
        </w:rPr>
        <w:t>对本规程来说，大体积混凝土浇筑是指厚度大于</w:t>
      </w:r>
      <w:r>
        <w:t xml:space="preserve">1.5 </w:t>
      </w:r>
      <w:r>
        <w:rPr>
          <w:rFonts w:hint="eastAsia"/>
        </w:rPr>
        <w:t>米的混凝土，采用一次连续浇筑的技术。</w:t>
      </w:r>
    </w:p>
    <w:p w14:paraId="754E8F43">
      <w:pPr>
        <w:pStyle w:val="114"/>
      </w:pPr>
      <w:r>
        <w:rPr>
          <w:rFonts w:hint="eastAsia"/>
        </w:rPr>
        <w:t>在大体积混凝土施工中应尽量减少水化热的影响，和有效地控制混凝土内的温差。</w:t>
      </w:r>
    </w:p>
    <w:p w14:paraId="0E2E3350">
      <w:pPr>
        <w:pStyle w:val="114"/>
      </w:pPr>
      <w:r>
        <w:rPr>
          <w:rFonts w:hint="eastAsia"/>
        </w:rPr>
        <w:t>承包人应采取有效措施以防止混凝土在初凝期和养护期间产生开裂。</w:t>
      </w:r>
    </w:p>
    <w:p w14:paraId="0A691927">
      <w:pPr>
        <w:pStyle w:val="114"/>
      </w:pPr>
      <w:r>
        <w:rPr>
          <w:rFonts w:hint="eastAsia"/>
        </w:rPr>
        <w:t>承包人须在施工前四个星期之前向监理工程师提交一份详细的大体积混凝上浇筑方案，获得批准后方可实施。该方案应包括以下基本资料：</w:t>
      </w:r>
    </w:p>
    <w:p w14:paraId="45E02C6C">
      <w:pPr>
        <w:pStyle w:val="114"/>
        <w:numPr>
          <w:ilvl w:val="0"/>
          <w:numId w:val="0"/>
        </w:numPr>
        <w:ind w:left="992"/>
      </w:pPr>
      <w:r>
        <w:t xml:space="preserve">a) </w:t>
      </w:r>
      <w:r>
        <w:rPr>
          <w:rFonts w:hint="eastAsia"/>
        </w:rPr>
        <w:t>施工设备表，详列出工地中所用设备，包括混凝土搅拌机、混凝土泵和振捣器等。</w:t>
      </w:r>
    </w:p>
    <w:p w14:paraId="2D9C499D">
      <w:pPr>
        <w:pStyle w:val="114"/>
        <w:numPr>
          <w:ilvl w:val="0"/>
          <w:numId w:val="0"/>
        </w:numPr>
        <w:ind w:left="992"/>
      </w:pPr>
      <w:r>
        <w:t xml:space="preserve">b) </w:t>
      </w:r>
      <w:r>
        <w:rPr>
          <w:rFonts w:hint="eastAsia"/>
        </w:rPr>
        <w:t>混凝土供应站的位置和供应量。</w:t>
      </w:r>
    </w:p>
    <w:p w14:paraId="7A20937A">
      <w:pPr>
        <w:pStyle w:val="114"/>
        <w:numPr>
          <w:ilvl w:val="0"/>
          <w:numId w:val="0"/>
        </w:numPr>
        <w:ind w:left="992"/>
      </w:pPr>
      <w:r>
        <w:t xml:space="preserve">c) </w:t>
      </w:r>
      <w:r>
        <w:rPr>
          <w:rFonts w:hint="eastAsia"/>
        </w:rPr>
        <w:t>混凝土运输设备，包括运输车的数量和容量。</w:t>
      </w:r>
    </w:p>
    <w:p w14:paraId="55342F23">
      <w:pPr>
        <w:pStyle w:val="114"/>
        <w:numPr>
          <w:ilvl w:val="0"/>
          <w:numId w:val="0"/>
        </w:numPr>
        <w:ind w:left="992"/>
      </w:pPr>
      <w:r>
        <w:t xml:space="preserve">d) </w:t>
      </w:r>
      <w:r>
        <w:rPr>
          <w:rFonts w:hint="eastAsia"/>
        </w:rPr>
        <w:t>场地布置图，以表示运输车出入口和停泊位置，其它设备的位置和混凝土浇筑的流程。</w:t>
      </w:r>
    </w:p>
    <w:p w14:paraId="63ABBA47">
      <w:pPr>
        <w:pStyle w:val="114"/>
        <w:numPr>
          <w:ilvl w:val="0"/>
          <w:numId w:val="0"/>
        </w:numPr>
        <w:ind w:left="992"/>
      </w:pPr>
      <w:r>
        <w:t xml:space="preserve">e) </w:t>
      </w:r>
      <w:r>
        <w:rPr>
          <w:rFonts w:hint="eastAsia"/>
        </w:rPr>
        <w:t>所用混凝土的配合比和有关的试拌结果。</w:t>
      </w:r>
    </w:p>
    <w:p w14:paraId="18176F93">
      <w:pPr>
        <w:pStyle w:val="114"/>
        <w:numPr>
          <w:ilvl w:val="0"/>
          <w:numId w:val="0"/>
        </w:numPr>
        <w:ind w:left="992"/>
      </w:pPr>
      <w:r>
        <w:t xml:space="preserve">f) </w:t>
      </w:r>
      <w:r>
        <w:rPr>
          <w:rFonts w:hint="eastAsia"/>
        </w:rPr>
        <w:t>减少混凝土水化热的方法或措施。</w:t>
      </w:r>
    </w:p>
    <w:p w14:paraId="74A8FA5F">
      <w:pPr>
        <w:pStyle w:val="114"/>
        <w:numPr>
          <w:ilvl w:val="0"/>
          <w:numId w:val="0"/>
        </w:numPr>
        <w:ind w:left="992"/>
      </w:pPr>
      <w:r>
        <w:t xml:space="preserve">g) </w:t>
      </w:r>
      <w:r>
        <w:rPr>
          <w:rFonts w:hint="eastAsia"/>
        </w:rPr>
        <w:t>混凝土测温的方法、测点位置和测读频率。</w:t>
      </w:r>
    </w:p>
    <w:p w14:paraId="18ADBFD0">
      <w:pPr>
        <w:pStyle w:val="114"/>
        <w:numPr>
          <w:ilvl w:val="0"/>
          <w:numId w:val="0"/>
        </w:numPr>
        <w:ind w:left="992"/>
      </w:pPr>
      <w:r>
        <w:t xml:space="preserve">h) </w:t>
      </w:r>
      <w:r>
        <w:rPr>
          <w:rFonts w:hint="eastAsia"/>
        </w:rPr>
        <w:t>摸板、脚手架和有关之临时工程的详细资料。</w:t>
      </w:r>
    </w:p>
    <w:p w14:paraId="26AF00DD">
      <w:pPr>
        <w:pStyle w:val="114"/>
        <w:numPr>
          <w:ilvl w:val="0"/>
          <w:numId w:val="0"/>
        </w:numPr>
        <w:ind w:left="992"/>
      </w:pPr>
      <w:r>
        <w:t xml:space="preserve">i) </w:t>
      </w:r>
      <w:r>
        <w:rPr>
          <w:rFonts w:hint="eastAsia"/>
        </w:rPr>
        <w:t>混凝土养护和保温的方法。</w:t>
      </w:r>
    </w:p>
    <w:p w14:paraId="1DED79AF">
      <w:pPr>
        <w:pStyle w:val="114"/>
        <w:numPr>
          <w:ilvl w:val="0"/>
          <w:numId w:val="0"/>
        </w:numPr>
        <w:ind w:left="992"/>
      </w:pPr>
      <w:r>
        <w:t xml:space="preserve">j) </w:t>
      </w:r>
      <w:r>
        <w:rPr>
          <w:rFonts w:hint="eastAsia"/>
        </w:rPr>
        <w:t>控制混凝土温差的方法。</w:t>
      </w:r>
    </w:p>
    <w:p w14:paraId="35231E7C">
      <w:pPr>
        <w:pStyle w:val="112"/>
      </w:pPr>
      <w:r>
        <w:rPr>
          <w:rFonts w:hint="eastAsia"/>
        </w:rPr>
        <w:t>水化热</w:t>
      </w:r>
    </w:p>
    <w:p w14:paraId="71618E27">
      <w:pPr>
        <w:pStyle w:val="114"/>
      </w:pPr>
      <w:r>
        <w:rPr>
          <w:rFonts w:hint="eastAsia"/>
        </w:rPr>
        <w:t>本规程第</w:t>
      </w:r>
      <w:r>
        <w:t xml:space="preserve">3.7.2 </w:t>
      </w:r>
      <w:r>
        <w:rPr>
          <w:rFonts w:hint="eastAsia"/>
        </w:rPr>
        <w:t>章中关于水化热的内容亦适用于大体积混凝土浇筑。</w:t>
      </w:r>
    </w:p>
    <w:p w14:paraId="2F4FAE6E">
      <w:pPr>
        <w:pStyle w:val="114"/>
      </w:pPr>
      <w:r>
        <w:rPr>
          <w:rFonts w:hint="eastAsia"/>
        </w:rPr>
        <w:t>混凝土的浇筑温度不应超过摄氏</w:t>
      </w:r>
      <w:r>
        <w:t xml:space="preserve">40 </w:t>
      </w:r>
      <w:r>
        <w:rPr>
          <w:rFonts w:hint="eastAsia"/>
        </w:rPr>
        <w:t>度。</w:t>
      </w:r>
    </w:p>
    <w:p w14:paraId="38684429">
      <w:pPr>
        <w:pStyle w:val="112"/>
      </w:pPr>
      <w:r>
        <w:rPr>
          <w:rFonts w:hint="eastAsia"/>
        </w:rPr>
        <w:t>混凝土配料</w:t>
      </w:r>
    </w:p>
    <w:p w14:paraId="01E55BB5">
      <w:pPr>
        <w:pStyle w:val="114"/>
      </w:pPr>
      <w:r>
        <w:rPr>
          <w:rFonts w:hint="eastAsia"/>
        </w:rPr>
        <w:t>大体积混凝土施工中，混凝土配料的比例应以减少水化热为原则。</w:t>
      </w:r>
    </w:p>
    <w:p w14:paraId="5D65E4FD">
      <w:pPr>
        <w:pStyle w:val="114"/>
      </w:pPr>
      <w:r>
        <w:rPr>
          <w:rFonts w:hint="eastAsia"/>
        </w:rPr>
        <w:t>在得到设计师的批准后，承包人可加入适量的缓凝剂和减水剂以减少水化热。</w:t>
      </w:r>
    </w:p>
    <w:p w14:paraId="14083A1B">
      <w:pPr>
        <w:pStyle w:val="114"/>
      </w:pPr>
      <w:r>
        <w:rPr>
          <w:rFonts w:hint="eastAsia"/>
        </w:rPr>
        <w:t>在设计师的批准后，承包人可加入粉煤灰（</w:t>
      </w:r>
      <w:r>
        <w:t>PFA</w:t>
      </w:r>
      <w:r>
        <w:rPr>
          <w:rFonts w:hint="eastAsia"/>
        </w:rPr>
        <w:t>）替代部分的水泥，但承包人须证明混凝土的强度增长能满足设计与施工要求。</w:t>
      </w:r>
    </w:p>
    <w:p w14:paraId="5A381260">
      <w:pPr>
        <w:pStyle w:val="114"/>
      </w:pPr>
      <w:r>
        <w:rPr>
          <w:rFonts w:hint="eastAsia"/>
        </w:rPr>
        <w:t>混凝土中石子的含泥量控制在小于</w:t>
      </w:r>
      <w:r>
        <w:t>1</w:t>
      </w:r>
      <w:r>
        <w:rPr>
          <w:rFonts w:hint="eastAsia"/>
        </w:rPr>
        <w:t>％，黄砂的含泥量控制小于</w:t>
      </w:r>
      <w:r>
        <w:t>2</w:t>
      </w:r>
      <w:r>
        <w:rPr>
          <w:rFonts w:hint="eastAsia"/>
        </w:rPr>
        <w:t>％。</w:t>
      </w:r>
    </w:p>
    <w:p w14:paraId="1A81A443">
      <w:pPr>
        <w:pStyle w:val="112"/>
      </w:pPr>
      <w:r>
        <w:rPr>
          <w:rFonts w:hint="eastAsia"/>
        </w:rPr>
        <w:t>养护和保温</w:t>
      </w:r>
    </w:p>
    <w:p w14:paraId="48575DE1">
      <w:pPr>
        <w:pStyle w:val="114"/>
      </w:pPr>
      <w:r>
        <w:rPr>
          <w:rFonts w:hint="eastAsia"/>
        </w:rPr>
        <w:t>在养护期间，混凝土表面应有足够的保护以防止水份和热量散失。应用草袋或其它覆盖方法，减少表面的降温。</w:t>
      </w:r>
    </w:p>
    <w:p w14:paraId="64B48569">
      <w:pPr>
        <w:pStyle w:val="114"/>
      </w:pPr>
      <w:r>
        <w:rPr>
          <w:rFonts w:hint="eastAsia"/>
        </w:rPr>
        <w:t>在混凝土内最高温度与空气的温差还未降至少于摄氏</w:t>
      </w:r>
      <w:r>
        <w:t xml:space="preserve">25 </w:t>
      </w:r>
      <w:r>
        <w:rPr>
          <w:rFonts w:hint="eastAsia"/>
        </w:rPr>
        <w:t>度之前，模板和保温工作应继续保持。承包人在除去任何模板和保温措施前应得到监理的批准。</w:t>
      </w:r>
    </w:p>
    <w:p w14:paraId="6849B66D">
      <w:pPr>
        <w:pStyle w:val="112"/>
      </w:pPr>
      <w:r>
        <w:rPr>
          <w:rFonts w:hint="eastAsia"/>
        </w:rPr>
        <w:t>测温</w:t>
      </w:r>
    </w:p>
    <w:p w14:paraId="375E01C1">
      <w:pPr>
        <w:pStyle w:val="114"/>
        <w:numPr>
          <w:ilvl w:val="0"/>
          <w:numId w:val="0"/>
        </w:numPr>
        <w:ind w:left="992"/>
      </w:pPr>
      <w:r>
        <w:rPr>
          <w:rFonts w:hint="eastAsia"/>
        </w:rPr>
        <w:t>承包人须负责安装及测读混凝土温度传感测定记录仪。承包人应呈交一份测温方案，包括测温点的布置和测读的频率供施工监理审批。</w:t>
      </w:r>
    </w:p>
    <w:p w14:paraId="18C6EB32">
      <w:pPr>
        <w:pStyle w:val="112"/>
      </w:pPr>
      <w:r>
        <w:rPr>
          <w:rFonts w:hint="eastAsia"/>
        </w:rPr>
        <w:t>其它施工方法</w:t>
      </w:r>
    </w:p>
    <w:p w14:paraId="184931F8">
      <w:pPr>
        <w:pStyle w:val="114"/>
      </w:pPr>
      <w:r>
        <w:rPr>
          <w:rFonts w:hint="eastAsia"/>
        </w:rPr>
        <w:t>在设计师批准下，承包人可要求将混凝土浇筑分成若干段块进行，但相邻接的段块不得连接浇筑。承包人必须证明施工缝的位置不会对该混凝土结构的整体性和表现造成不利之影响。</w:t>
      </w:r>
    </w:p>
    <w:p w14:paraId="0EA8B401">
      <w:pPr>
        <w:pStyle w:val="114"/>
      </w:pPr>
      <w:r>
        <w:rPr>
          <w:rFonts w:hint="eastAsia"/>
        </w:rPr>
        <w:t>施工缝的施工技术要求详见第4</w:t>
      </w:r>
      <w:r>
        <w:t xml:space="preserve">.3.3 </w:t>
      </w:r>
      <w:r>
        <w:rPr>
          <w:rFonts w:hint="eastAsia"/>
        </w:rPr>
        <w:t>节。</w:t>
      </w:r>
    </w:p>
    <w:p w14:paraId="77D43696">
      <w:pPr>
        <w:pStyle w:val="110"/>
      </w:pPr>
      <w:r>
        <w:rPr>
          <w:rFonts w:hint="eastAsia"/>
        </w:rPr>
        <w:t>模板的拆除</w:t>
      </w:r>
    </w:p>
    <w:p w14:paraId="706A362B">
      <w:pPr>
        <w:pStyle w:val="112"/>
      </w:pPr>
      <w:r>
        <w:rPr>
          <w:rFonts w:hint="eastAsia"/>
        </w:rPr>
        <w:t>总则</w:t>
      </w:r>
    </w:p>
    <w:p w14:paraId="3156ED7F">
      <w:pPr>
        <w:pStyle w:val="114"/>
      </w:pPr>
      <w:r>
        <w:rPr>
          <w:rFonts w:hint="eastAsia"/>
        </w:rPr>
        <w:t>在拆除任何模板之前，承包人必须先行核实混凝土已经获得足够的强度后方可进行拆模。</w:t>
      </w:r>
    </w:p>
    <w:p w14:paraId="338E0A86">
      <w:pPr>
        <w:pStyle w:val="114"/>
      </w:pPr>
      <w:r>
        <w:rPr>
          <w:rFonts w:hint="eastAsia"/>
        </w:rPr>
        <w:t>模板的拆除不得造成结构物变形、损坏或超载。</w:t>
      </w:r>
    </w:p>
    <w:p w14:paraId="4F043DBD">
      <w:pPr>
        <w:pStyle w:val="114"/>
      </w:pPr>
      <w:r>
        <w:rPr>
          <w:rFonts w:hint="eastAsia"/>
        </w:rPr>
        <w:t>承包人必须负责并安全地拆除支撑用模板的任何部分。</w:t>
      </w:r>
    </w:p>
    <w:p w14:paraId="297E3267">
      <w:pPr>
        <w:pStyle w:val="112"/>
      </w:pPr>
      <w:r>
        <w:rPr>
          <w:rFonts w:hint="eastAsia"/>
        </w:rPr>
        <w:t>最短保留期</w:t>
      </w:r>
    </w:p>
    <w:p w14:paraId="500812EE">
      <w:pPr>
        <w:pStyle w:val="114"/>
      </w:pPr>
      <w:r>
        <w:rPr>
          <w:rFonts w:hint="eastAsia"/>
        </w:rPr>
        <w:t>拆除结构件模板之前的最短保留期必须满足本规程中表</w:t>
      </w:r>
      <w:r>
        <w:t xml:space="preserve">2 </w:t>
      </w:r>
      <w:r>
        <w:rPr>
          <w:rFonts w:hint="eastAsia"/>
        </w:rPr>
        <w:t>的要求。</w:t>
      </w:r>
    </w:p>
    <w:p w14:paraId="143D83C3">
      <w:pPr>
        <w:pStyle w:val="114"/>
      </w:pPr>
      <w:r>
        <w:rPr>
          <w:rFonts w:hint="eastAsia"/>
        </w:rPr>
        <w:t>提早拆除模板（但不是支撑）的要求也可能获得批准，条件就是承包人能够证明这样做不会损坏刚硬化的混凝土。</w:t>
      </w:r>
    </w:p>
    <w:p w14:paraId="56DCB988">
      <w:pPr>
        <w:pStyle w:val="114"/>
      </w:pPr>
      <w:r>
        <w:rPr>
          <w:rFonts w:hint="eastAsia"/>
        </w:rPr>
        <w:t>为了确定拆模时间及混凝土的强度而作立方体试块试验的费用，必须由承包人自己负担。</w:t>
      </w:r>
    </w:p>
    <w:p w14:paraId="6CD0617E">
      <w:pPr>
        <w:pStyle w:val="114"/>
      </w:pPr>
      <w:r>
        <w:rPr>
          <w:rFonts w:hint="eastAsia"/>
        </w:rPr>
        <w:t>承包人必须呈交量测混凝土表面温度的方法以供审批。</w:t>
      </w:r>
    </w:p>
    <w:p w14:paraId="0519AA3D">
      <w:pPr>
        <w:pStyle w:val="114"/>
      </w:pPr>
      <w:r>
        <w:rPr>
          <w:rFonts w:hint="eastAsia"/>
        </w:rPr>
        <w:t>本节所规定的拆模前最短保留期不适用于大体积混凝土（见4</w:t>
      </w:r>
      <w:r>
        <w:t xml:space="preserve">.3.8 </w:t>
      </w:r>
      <w:r>
        <w:rPr>
          <w:rFonts w:hint="eastAsia"/>
        </w:rPr>
        <w:t>节表</w:t>
      </w:r>
      <w:r>
        <w:t>2)</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1"/>
        <w:gridCol w:w="2778"/>
        <w:gridCol w:w="2778"/>
      </w:tblGrid>
      <w:tr w14:paraId="0D4F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481712FA">
            <w:pPr>
              <w:pStyle w:val="164"/>
              <w:spacing w:before="156" w:after="156"/>
            </w:pPr>
          </w:p>
        </w:tc>
        <w:tc>
          <w:tcPr>
            <w:tcW w:w="5682" w:type="dxa"/>
            <w:gridSpan w:val="2"/>
          </w:tcPr>
          <w:p w14:paraId="7554EEBE">
            <w:pPr>
              <w:pStyle w:val="164"/>
              <w:spacing w:before="156" w:after="156"/>
            </w:pPr>
            <w:r>
              <w:rPr>
                <w:rFonts w:hint="eastAsia"/>
              </w:rPr>
              <w:t>拆模前最短保留期混凝土表面温度</w:t>
            </w:r>
          </w:p>
        </w:tc>
      </w:tr>
      <w:tr w14:paraId="2197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50C660EE">
            <w:pPr>
              <w:pStyle w:val="164"/>
              <w:spacing w:before="156" w:after="156"/>
            </w:pPr>
            <w:r>
              <w:rPr>
                <w:rFonts w:hint="eastAsia"/>
              </w:rPr>
              <w:t>位置</w:t>
            </w:r>
          </w:p>
        </w:tc>
        <w:tc>
          <w:tcPr>
            <w:tcW w:w="2841" w:type="dxa"/>
          </w:tcPr>
          <w:p w14:paraId="1E3D8CD1">
            <w:pPr>
              <w:pStyle w:val="164"/>
              <w:spacing w:before="156" w:after="156"/>
            </w:pPr>
            <w:r>
              <w:rPr>
                <w:rFonts w:hint="eastAsia"/>
              </w:rPr>
              <w:t>不低于摄氏</w:t>
            </w:r>
            <w:r>
              <w:t>16</w:t>
            </w:r>
            <w:r>
              <w:rPr>
                <w:rFonts w:hint="eastAsia"/>
              </w:rPr>
              <w:t>度</w:t>
            </w:r>
          </w:p>
        </w:tc>
        <w:tc>
          <w:tcPr>
            <w:tcW w:w="2841" w:type="dxa"/>
          </w:tcPr>
          <w:p w14:paraId="1292059E">
            <w:pPr>
              <w:pStyle w:val="164"/>
              <w:spacing w:before="156" w:after="156"/>
            </w:pPr>
            <w:r>
              <w:rPr>
                <w:rFonts w:hint="eastAsia"/>
              </w:rPr>
              <w:t>不低于摄氏</w:t>
            </w:r>
            <w:r>
              <w:t xml:space="preserve">7 </w:t>
            </w:r>
            <w:r>
              <w:rPr>
                <w:rFonts w:hint="eastAsia"/>
              </w:rPr>
              <w:t>度</w:t>
            </w:r>
          </w:p>
        </w:tc>
      </w:tr>
      <w:tr w14:paraId="548C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4B5C5826">
            <w:pPr>
              <w:pStyle w:val="164"/>
              <w:spacing w:before="156" w:after="156"/>
            </w:pPr>
            <w:r>
              <w:rPr>
                <w:rFonts w:hint="eastAsia"/>
              </w:rPr>
              <w:t>梁侧面，墙与柱</w:t>
            </w:r>
          </w:p>
        </w:tc>
        <w:tc>
          <w:tcPr>
            <w:tcW w:w="2841" w:type="dxa"/>
          </w:tcPr>
          <w:p w14:paraId="30C66216">
            <w:pPr>
              <w:pStyle w:val="164"/>
              <w:spacing w:before="156" w:after="156"/>
            </w:pPr>
            <w:r>
              <w:t xml:space="preserve">12 </w:t>
            </w:r>
            <w:r>
              <w:rPr>
                <w:rFonts w:hint="eastAsia"/>
              </w:rPr>
              <w:t>小时</w:t>
            </w:r>
          </w:p>
        </w:tc>
        <w:tc>
          <w:tcPr>
            <w:tcW w:w="2841" w:type="dxa"/>
          </w:tcPr>
          <w:p w14:paraId="1EFD8CF0">
            <w:pPr>
              <w:pStyle w:val="164"/>
              <w:spacing w:before="156" w:after="156"/>
            </w:pPr>
            <w:r>
              <w:t xml:space="preserve">12 </w:t>
            </w:r>
            <w:r>
              <w:rPr>
                <w:rFonts w:hint="eastAsia"/>
              </w:rPr>
              <w:t>小时</w:t>
            </w:r>
          </w:p>
        </w:tc>
      </w:tr>
      <w:tr w14:paraId="743E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35833495">
            <w:pPr>
              <w:pStyle w:val="164"/>
              <w:spacing w:before="156" w:after="156"/>
            </w:pPr>
            <w:r>
              <w:rPr>
                <w:rFonts w:hint="eastAsia"/>
              </w:rPr>
              <w:t>平板底面（不动模板支撑）</w:t>
            </w:r>
          </w:p>
        </w:tc>
        <w:tc>
          <w:tcPr>
            <w:tcW w:w="2841" w:type="dxa"/>
          </w:tcPr>
          <w:p w14:paraId="4647B085">
            <w:pPr>
              <w:pStyle w:val="164"/>
              <w:spacing w:before="156" w:after="156"/>
            </w:pPr>
            <w:r>
              <w:t xml:space="preserve">4 </w:t>
            </w:r>
            <w:r>
              <w:rPr>
                <w:rFonts w:hint="eastAsia"/>
              </w:rPr>
              <w:t>天</w:t>
            </w:r>
            <w:r>
              <w:t xml:space="preserve"> </w:t>
            </w:r>
          </w:p>
        </w:tc>
        <w:tc>
          <w:tcPr>
            <w:tcW w:w="2841" w:type="dxa"/>
          </w:tcPr>
          <w:p w14:paraId="308B314E">
            <w:pPr>
              <w:pStyle w:val="164"/>
              <w:spacing w:before="156" w:after="156"/>
            </w:pPr>
            <w:r>
              <w:t xml:space="preserve">7 </w:t>
            </w:r>
            <w:r>
              <w:rPr>
                <w:rFonts w:hint="eastAsia"/>
              </w:rPr>
              <w:t>天</w:t>
            </w:r>
          </w:p>
        </w:tc>
      </w:tr>
      <w:tr w14:paraId="5282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7231E973">
            <w:pPr>
              <w:pStyle w:val="164"/>
              <w:spacing w:before="156" w:after="156"/>
            </w:pPr>
            <w:r>
              <w:rPr>
                <w:rFonts w:hint="eastAsia"/>
              </w:rPr>
              <w:t>平板的模板支撑梁底面（不动模板支挡）</w:t>
            </w:r>
          </w:p>
        </w:tc>
        <w:tc>
          <w:tcPr>
            <w:tcW w:w="2841" w:type="dxa"/>
          </w:tcPr>
          <w:p w14:paraId="0D735867">
            <w:pPr>
              <w:pStyle w:val="164"/>
              <w:spacing w:before="156" w:after="156"/>
            </w:pPr>
            <w:r>
              <w:t>10</w:t>
            </w:r>
            <w:r>
              <w:rPr>
                <w:rFonts w:hint="eastAsia"/>
              </w:rPr>
              <w:t>天</w:t>
            </w:r>
          </w:p>
        </w:tc>
        <w:tc>
          <w:tcPr>
            <w:tcW w:w="2841" w:type="dxa"/>
          </w:tcPr>
          <w:p w14:paraId="097C097E">
            <w:pPr>
              <w:pStyle w:val="164"/>
              <w:spacing w:before="156" w:after="156"/>
            </w:pPr>
            <w:r>
              <w:rPr>
                <w:rFonts w:hint="eastAsia"/>
              </w:rPr>
              <w:t>1</w:t>
            </w:r>
            <w:r>
              <w:t xml:space="preserve">4 </w:t>
            </w:r>
            <w:r>
              <w:rPr>
                <w:rFonts w:hint="eastAsia"/>
              </w:rPr>
              <w:t>天</w:t>
            </w:r>
          </w:p>
        </w:tc>
      </w:tr>
      <w:tr w14:paraId="7CE6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33622A92">
            <w:pPr>
              <w:pStyle w:val="164"/>
              <w:spacing w:before="156" w:after="156"/>
            </w:pPr>
            <w:r>
              <w:rPr>
                <w:rFonts w:hint="eastAsia"/>
              </w:rPr>
              <w:t>梁底面（不动模板支撑）</w:t>
            </w:r>
          </w:p>
        </w:tc>
        <w:tc>
          <w:tcPr>
            <w:tcW w:w="2841" w:type="dxa"/>
          </w:tcPr>
          <w:p w14:paraId="031FF638">
            <w:pPr>
              <w:pStyle w:val="164"/>
              <w:spacing w:before="156" w:after="156"/>
            </w:pPr>
            <w:r>
              <w:rPr>
                <w:rFonts w:hint="eastAsia"/>
              </w:rPr>
              <w:t>7</w:t>
            </w:r>
            <w:r>
              <w:t xml:space="preserve"> </w:t>
            </w:r>
            <w:r>
              <w:rPr>
                <w:rFonts w:hint="eastAsia"/>
              </w:rPr>
              <w:t>天</w:t>
            </w:r>
          </w:p>
        </w:tc>
        <w:tc>
          <w:tcPr>
            <w:tcW w:w="2841" w:type="dxa"/>
          </w:tcPr>
          <w:p w14:paraId="501EA045">
            <w:pPr>
              <w:pStyle w:val="164"/>
              <w:spacing w:before="156" w:after="156"/>
            </w:pPr>
            <w:r>
              <w:rPr>
                <w:rFonts w:hint="eastAsia"/>
              </w:rPr>
              <w:t>1</w:t>
            </w:r>
            <w:r>
              <w:t xml:space="preserve">4 </w:t>
            </w:r>
            <w:r>
              <w:rPr>
                <w:rFonts w:hint="eastAsia"/>
              </w:rPr>
              <w:t>天</w:t>
            </w:r>
          </w:p>
        </w:tc>
      </w:tr>
      <w:tr w14:paraId="3DB9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375ABFD6">
            <w:pPr>
              <w:pStyle w:val="164"/>
              <w:spacing w:before="156" w:after="156"/>
            </w:pPr>
            <w:r>
              <w:rPr>
                <w:rFonts w:hint="eastAsia"/>
              </w:rPr>
              <w:t>梁的模板支撑</w:t>
            </w:r>
          </w:p>
        </w:tc>
        <w:tc>
          <w:tcPr>
            <w:tcW w:w="2841" w:type="dxa"/>
          </w:tcPr>
          <w:p w14:paraId="329ADAF4">
            <w:pPr>
              <w:pStyle w:val="164"/>
              <w:spacing w:before="156" w:after="156"/>
            </w:pPr>
            <w:r>
              <w:rPr>
                <w:rFonts w:hint="eastAsia"/>
              </w:rPr>
              <w:t>1</w:t>
            </w:r>
            <w:r>
              <w:t xml:space="preserve">4 </w:t>
            </w:r>
            <w:r>
              <w:rPr>
                <w:rFonts w:hint="eastAsia"/>
              </w:rPr>
              <w:t>天</w:t>
            </w:r>
          </w:p>
        </w:tc>
        <w:tc>
          <w:tcPr>
            <w:tcW w:w="2841" w:type="dxa"/>
          </w:tcPr>
          <w:p w14:paraId="005C9597">
            <w:pPr>
              <w:pStyle w:val="164"/>
              <w:spacing w:before="156" w:after="156"/>
            </w:pPr>
            <w:r>
              <w:rPr>
                <w:rFonts w:hint="eastAsia"/>
              </w:rPr>
              <w:t>21</w:t>
            </w:r>
            <w:r>
              <w:t xml:space="preserve"> </w:t>
            </w:r>
            <w:r>
              <w:rPr>
                <w:rFonts w:hint="eastAsia"/>
              </w:rPr>
              <w:t>天</w:t>
            </w:r>
          </w:p>
        </w:tc>
      </w:tr>
      <w:tr w14:paraId="53C6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14:paraId="000B84CE">
            <w:pPr>
              <w:pStyle w:val="164"/>
              <w:spacing w:before="156" w:after="156"/>
            </w:pPr>
            <w:r>
              <w:rPr>
                <w:rFonts w:hint="eastAsia"/>
              </w:rPr>
              <w:t>悬臂梁和框支梁支撑</w:t>
            </w:r>
          </w:p>
        </w:tc>
        <w:tc>
          <w:tcPr>
            <w:tcW w:w="2841" w:type="dxa"/>
          </w:tcPr>
          <w:p w14:paraId="4310F769">
            <w:pPr>
              <w:pStyle w:val="164"/>
              <w:spacing w:before="156" w:after="156"/>
            </w:pPr>
            <w:r>
              <w:rPr>
                <w:rFonts w:hint="eastAsia"/>
              </w:rPr>
              <w:t>28</w:t>
            </w:r>
            <w:r>
              <w:t xml:space="preserve"> </w:t>
            </w:r>
            <w:r>
              <w:rPr>
                <w:rFonts w:hint="eastAsia"/>
              </w:rPr>
              <w:t>天</w:t>
            </w:r>
          </w:p>
        </w:tc>
        <w:tc>
          <w:tcPr>
            <w:tcW w:w="2841" w:type="dxa"/>
          </w:tcPr>
          <w:p w14:paraId="598B71EA">
            <w:pPr>
              <w:pStyle w:val="164"/>
              <w:spacing w:before="156" w:after="156"/>
            </w:pPr>
            <w:r>
              <w:rPr>
                <w:rFonts w:hint="eastAsia"/>
              </w:rPr>
              <w:t>28</w:t>
            </w:r>
            <w:r>
              <w:t xml:space="preserve"> </w:t>
            </w:r>
            <w:r>
              <w:rPr>
                <w:rFonts w:hint="eastAsia"/>
              </w:rPr>
              <w:t>天</w:t>
            </w:r>
          </w:p>
        </w:tc>
      </w:tr>
    </w:tbl>
    <w:p w14:paraId="241152A6">
      <w:pPr>
        <w:pStyle w:val="114"/>
      </w:pPr>
      <w:r>
        <w:rPr>
          <w:rFonts w:hint="eastAsia"/>
        </w:rPr>
        <w:t>如果设计师认为特别浇成的立方体试块强度不能代表混凝土强度，则将不批准根据试块强度来决定拆模时间。</w:t>
      </w:r>
    </w:p>
    <w:p w14:paraId="01EBF859">
      <w:pPr>
        <w:pStyle w:val="114"/>
      </w:pPr>
      <w:r>
        <w:rPr>
          <w:rFonts w:hint="eastAsia"/>
        </w:rPr>
        <w:t>模板支撑至少必须留于原位</w:t>
      </w:r>
      <w:r>
        <w:t xml:space="preserve">3 </w:t>
      </w:r>
      <w:r>
        <w:rPr>
          <w:rFonts w:hint="eastAsia"/>
        </w:rPr>
        <w:t>天。</w:t>
      </w:r>
    </w:p>
    <w:p w14:paraId="4BC7A81A">
      <w:pPr>
        <w:pStyle w:val="110"/>
      </w:pPr>
      <w:r>
        <w:rPr>
          <w:rFonts w:hint="eastAsia"/>
        </w:rPr>
        <w:t>已浇好的混凝土的处理</w:t>
      </w:r>
    </w:p>
    <w:p w14:paraId="1B31DE75">
      <w:pPr>
        <w:pStyle w:val="112"/>
      </w:pPr>
      <w:r>
        <w:rPr>
          <w:rFonts w:hint="eastAsia"/>
        </w:rPr>
        <w:t>总则</w:t>
      </w:r>
    </w:p>
    <w:p w14:paraId="00233767">
      <w:pPr>
        <w:pStyle w:val="114"/>
      </w:pPr>
      <w:r>
        <w:rPr>
          <w:rFonts w:hint="eastAsia"/>
        </w:rPr>
        <w:t>若无另外规定，除了混凝土的养护处理之外，在拆模板之后以及品质检查之前，不得对混凝土作任何处理。</w:t>
      </w:r>
    </w:p>
    <w:p w14:paraId="78DBCDA9">
      <w:pPr>
        <w:pStyle w:val="114"/>
      </w:pPr>
      <w:r>
        <w:rPr>
          <w:rFonts w:hint="eastAsia"/>
        </w:rPr>
        <w:t>承包人修补任何有缺陷混凝土的方法每一次都要经过个别批准。</w:t>
      </w:r>
    </w:p>
    <w:p w14:paraId="33BABF80">
      <w:pPr>
        <w:pStyle w:val="112"/>
      </w:pPr>
      <w:r>
        <w:rPr>
          <w:rFonts w:hint="eastAsia"/>
        </w:rPr>
        <w:t>有模板的混凝土表面</w:t>
      </w:r>
    </w:p>
    <w:p w14:paraId="5BE4AC3C">
      <w:pPr>
        <w:pStyle w:val="114"/>
      </w:pPr>
      <w:r>
        <w:rPr>
          <w:rFonts w:hint="eastAsia"/>
        </w:rPr>
        <w:t>总则</w:t>
      </w:r>
    </w:p>
    <w:p w14:paraId="46C2B97C">
      <w:pPr>
        <w:pStyle w:val="114"/>
        <w:numPr>
          <w:ilvl w:val="0"/>
          <w:numId w:val="0"/>
        </w:numPr>
        <w:ind w:left="992"/>
      </w:pPr>
      <w:r>
        <w:rPr>
          <w:rFonts w:hint="eastAsia"/>
        </w:rPr>
        <w:t>若要求一特定的混凝土表面完工质量，会特别注明于设计图纸上。否则质量级别须如下所示。如设计图纸上无注明完工质量级别，则完工表面以</w:t>
      </w:r>
      <w:r>
        <w:t xml:space="preserve">F1 </w:t>
      </w:r>
      <w:r>
        <w:rPr>
          <w:rFonts w:hint="eastAsia"/>
        </w:rPr>
        <w:t>级表面要求。承包人所建议的混凝土完工面形成方法必须由设计师预先批准。</w:t>
      </w:r>
    </w:p>
    <w:p w14:paraId="29341040">
      <w:pPr>
        <w:pStyle w:val="114"/>
      </w:pPr>
      <w:r>
        <w:t xml:space="preserve">F1 </w:t>
      </w:r>
      <w:r>
        <w:rPr>
          <w:rFonts w:hint="eastAsia"/>
        </w:rPr>
        <w:t>级表面</w:t>
      </w:r>
    </w:p>
    <w:p w14:paraId="00BBB9D6">
      <w:pPr>
        <w:pStyle w:val="114"/>
        <w:numPr>
          <w:ilvl w:val="0"/>
          <w:numId w:val="0"/>
        </w:numPr>
        <w:ind w:left="992"/>
      </w:pPr>
      <w:r>
        <w:rPr>
          <w:rFonts w:hint="eastAsia"/>
        </w:rPr>
        <w:t>模板必须由合成板、金属板或其它合适材料制成，这些材料应能在捣实混凝土时防止漏失泥浆。</w:t>
      </w:r>
    </w:p>
    <w:p w14:paraId="799160C3">
      <w:pPr>
        <w:pStyle w:val="114"/>
      </w:pPr>
      <w:r>
        <w:t xml:space="preserve">F2 </w:t>
      </w:r>
      <w:r>
        <w:rPr>
          <w:rFonts w:hint="eastAsia"/>
        </w:rPr>
        <w:t>级表面</w:t>
      </w:r>
    </w:p>
    <w:p w14:paraId="4A01F8B5">
      <w:pPr>
        <w:pStyle w:val="114"/>
        <w:numPr>
          <w:ilvl w:val="0"/>
          <w:numId w:val="0"/>
        </w:numPr>
        <w:ind w:left="992"/>
      </w:pPr>
      <w:r>
        <w:rPr>
          <w:rFonts w:hint="eastAsia"/>
        </w:rPr>
        <w:t>完工表面不需要普遍填平凹坑。接缝翅片和其它小缺陷必须用已获建筑师批准的方法来修整。</w:t>
      </w:r>
    </w:p>
    <w:p w14:paraId="2701D36C">
      <w:pPr>
        <w:pStyle w:val="114"/>
      </w:pPr>
      <w:r>
        <w:t xml:space="preserve">F3 </w:t>
      </w:r>
      <w:r>
        <w:rPr>
          <w:rFonts w:hint="eastAsia"/>
        </w:rPr>
        <w:t>级表面</w:t>
      </w:r>
    </w:p>
    <w:p w14:paraId="26A5C3D2">
      <w:pPr>
        <w:pStyle w:val="114"/>
        <w:numPr>
          <w:ilvl w:val="0"/>
          <w:numId w:val="0"/>
        </w:numPr>
        <w:ind w:left="992"/>
      </w:pPr>
      <w:r>
        <w:rPr>
          <w:rFonts w:hint="eastAsia"/>
        </w:rPr>
        <w:t>完工表面要求没有模板痕迹，模板面也必须是大面积夹板或类似材料组成，各片夹板应布置成均匀的图案，图案须经过建筑师的批准。</w:t>
      </w:r>
    </w:p>
    <w:p w14:paraId="4E94962F">
      <w:pPr>
        <w:pStyle w:val="112"/>
      </w:pPr>
      <w:r>
        <w:rPr>
          <w:rFonts w:hint="eastAsia"/>
        </w:rPr>
        <w:t>无模板的混凝土表面</w:t>
      </w:r>
    </w:p>
    <w:p w14:paraId="16F166F8">
      <w:pPr>
        <w:pStyle w:val="114"/>
      </w:pPr>
      <w:r>
        <w:rPr>
          <w:rFonts w:hint="eastAsia"/>
        </w:rPr>
        <w:t>无模板混凝土表面质量要求将会注明在设计图纸上，若设计图纸上无注明完工质量级别，则完工表面以</w:t>
      </w:r>
      <w:r>
        <w:t xml:space="preserve">1U </w:t>
      </w:r>
      <w:r>
        <w:rPr>
          <w:rFonts w:hint="eastAsia"/>
        </w:rPr>
        <w:t>级要求。</w:t>
      </w:r>
    </w:p>
    <w:p w14:paraId="7B1BB7A3">
      <w:pPr>
        <w:pStyle w:val="114"/>
      </w:pPr>
      <w:r>
        <w:t xml:space="preserve">1U </w:t>
      </w:r>
      <w:r>
        <w:rPr>
          <w:rFonts w:hint="eastAsia"/>
        </w:rPr>
        <w:t>级：</w:t>
      </w:r>
      <w:r>
        <w:t xml:space="preserve"> </w:t>
      </w:r>
      <w:r>
        <w:rPr>
          <w:rFonts w:hint="eastAsia"/>
        </w:rPr>
        <w:t>混凝土必须均匀整平和夯实。</w:t>
      </w:r>
    </w:p>
    <w:p w14:paraId="33A0008A">
      <w:pPr>
        <w:pStyle w:val="114"/>
      </w:pPr>
      <w:r>
        <w:t xml:space="preserve">2U </w:t>
      </w:r>
      <w:r>
        <w:rPr>
          <w:rFonts w:hint="eastAsia"/>
        </w:rPr>
        <w:t>级：</w:t>
      </w:r>
      <w:r>
        <w:t xml:space="preserve"> </w:t>
      </w:r>
      <w:r>
        <w:rPr>
          <w:rFonts w:hint="eastAsia"/>
        </w:rPr>
        <w:t>混凝土必均匀整平和夯实，然后以手工用木抹刀粉平以形成均匀的表面。</w:t>
      </w:r>
    </w:p>
    <w:p w14:paraId="7E888862">
      <w:pPr>
        <w:pStyle w:val="114"/>
      </w:pPr>
      <w:r>
        <w:t xml:space="preserve">3U </w:t>
      </w:r>
      <w:r>
        <w:rPr>
          <w:rFonts w:hint="eastAsia"/>
        </w:rPr>
        <w:t>级：</w:t>
      </w:r>
      <w:r>
        <w:t xml:space="preserve"> </w:t>
      </w:r>
      <w:r>
        <w:rPr>
          <w:rFonts w:hint="eastAsia"/>
        </w:rPr>
        <w:t>混凝土必须均匀整平、务实及用木抹刀粉平。当足够硬化之后</w:t>
      </w:r>
    </w:p>
    <w:p w14:paraId="0A872F10">
      <w:pPr>
        <w:pStyle w:val="114"/>
      </w:pPr>
      <w:r>
        <w:rPr>
          <w:rFonts w:hint="eastAsia"/>
        </w:rPr>
        <w:t>而以手工或机械用钢抹刀粉平以形成密实、光滑而均匀的平面，并且没有工具的痕迹。</w:t>
      </w:r>
    </w:p>
    <w:p w14:paraId="246D20E5">
      <w:pPr>
        <w:pStyle w:val="114"/>
      </w:pPr>
      <w:r>
        <w:rPr>
          <w:rFonts w:hint="eastAsia"/>
        </w:rPr>
        <w:t>拉毛：</w:t>
      </w:r>
      <w:r>
        <w:t xml:space="preserve"> </w:t>
      </w:r>
      <w:r>
        <w:rPr>
          <w:rFonts w:hint="eastAsia"/>
        </w:rPr>
        <w:t>混凝土必须均匀整平和夯实，并接着以手工用木抹刀粉平以形成均匀表面。然后再用硬刷刮花表面，以形成均匀但稍为粗糙的表面纹理。</w:t>
      </w:r>
    </w:p>
    <w:p w14:paraId="45E9A9FC">
      <w:pPr>
        <w:pStyle w:val="110"/>
      </w:pPr>
      <w:r>
        <w:rPr>
          <w:rFonts w:hint="eastAsia"/>
        </w:rPr>
        <w:t>外露混凝土表面的质量</w:t>
      </w:r>
    </w:p>
    <w:p w14:paraId="3A4C47E5">
      <w:pPr>
        <w:pStyle w:val="112"/>
      </w:pPr>
      <w:r>
        <w:rPr>
          <w:rFonts w:hint="eastAsia"/>
        </w:rPr>
        <w:t>外观</w:t>
      </w:r>
    </w:p>
    <w:p w14:paraId="7B6BE019">
      <w:pPr>
        <w:pStyle w:val="114"/>
        <w:numPr>
          <w:ilvl w:val="0"/>
          <w:numId w:val="0"/>
        </w:numPr>
        <w:ind w:left="992"/>
      </w:pPr>
      <w:r>
        <w:rPr>
          <w:rFonts w:hint="eastAsia"/>
        </w:rPr>
        <w:t>如果建筑师认为完工表面质量比已批准的样品差，或者外观同已建成的部分显着不同，或者表面在完工后受到沾污或毁坏，则会被列为有缺陷的工程。</w:t>
      </w:r>
    </w:p>
    <w:p w14:paraId="3A7D1719">
      <w:pPr>
        <w:pStyle w:val="112"/>
      </w:pPr>
      <w:r>
        <w:rPr>
          <w:rFonts w:hint="eastAsia"/>
        </w:rPr>
        <w:t>保护</w:t>
      </w:r>
    </w:p>
    <w:p w14:paraId="766A8624">
      <w:pPr>
        <w:pStyle w:val="114"/>
        <w:numPr>
          <w:ilvl w:val="0"/>
          <w:numId w:val="0"/>
        </w:numPr>
        <w:ind w:left="992"/>
      </w:pPr>
      <w:r>
        <w:rPr>
          <w:rFonts w:hint="eastAsia"/>
        </w:rPr>
        <w:t>工程完工后，混凝土外露的表面，必须加以保护以防止溢出、色污染和受其它损坏。</w:t>
      </w:r>
    </w:p>
    <w:p w14:paraId="08B45059">
      <w:pPr>
        <w:pStyle w:val="110"/>
      </w:pPr>
      <w:r>
        <w:rPr>
          <w:rFonts w:hint="eastAsia"/>
        </w:rPr>
        <w:t>试制板</w:t>
      </w:r>
    </w:p>
    <w:p w14:paraId="6B48043F">
      <w:pPr>
        <w:pStyle w:val="114"/>
      </w:pPr>
      <w:r>
        <w:rPr>
          <w:rFonts w:hint="eastAsia"/>
        </w:rPr>
        <w:t>为了确保所批准的施工方法达到所规定的表面完工质量（</w:t>
      </w:r>
      <w:r>
        <w:t>3U</w:t>
      </w:r>
      <w:r>
        <w:rPr>
          <w:rFonts w:hint="eastAsia"/>
        </w:rPr>
        <w:t>，</w:t>
      </w:r>
      <w:r>
        <w:t>F1</w:t>
      </w:r>
      <w:r>
        <w:rPr>
          <w:rFonts w:hint="eastAsia"/>
        </w:rPr>
        <w:t>，</w:t>
      </w:r>
      <w:r>
        <w:t>F2</w:t>
      </w:r>
      <w:r>
        <w:rPr>
          <w:rFonts w:hint="eastAsia"/>
        </w:rPr>
        <w:t>，</w:t>
      </w:r>
      <w:r>
        <w:t xml:space="preserve"> F3 </w:t>
      </w:r>
      <w:r>
        <w:rPr>
          <w:rFonts w:hint="eastAsia"/>
        </w:rPr>
        <w:t>等级），同时提供作为品质检查之表面完工质量的标准板，对以上提到之级别都必须在工地试制出一块板。这些试制板必须先获得建筑师的批准才能开始有关的工程。末获得建筑师的批准不得施工。</w:t>
      </w:r>
    </w:p>
    <w:p w14:paraId="66EF5530">
      <w:pPr>
        <w:pStyle w:val="114"/>
      </w:pPr>
      <w:r>
        <w:rPr>
          <w:rFonts w:hint="eastAsia"/>
        </w:rPr>
        <w:t>试制板必须采用工程施工所用的材料、设备和混凝土配料，尺寸应不小于</w:t>
      </w:r>
      <w:r>
        <w:t xml:space="preserve">2 </w:t>
      </w:r>
      <w:r>
        <w:rPr>
          <w:rFonts w:hint="eastAsia"/>
        </w:rPr>
        <w:t>米×</w:t>
      </w:r>
      <w:r>
        <w:t xml:space="preserve">2 </w:t>
      </w:r>
      <w:r>
        <w:rPr>
          <w:rFonts w:hint="eastAsia"/>
        </w:rPr>
        <w:t>米牙口</w:t>
      </w:r>
      <w:r>
        <w:t xml:space="preserve">200 </w:t>
      </w:r>
      <w:r>
        <w:rPr>
          <w:rFonts w:hint="eastAsia"/>
        </w:rPr>
        <w:t>毫米厚。</w:t>
      </w:r>
    </w:p>
    <w:p w14:paraId="1B7E55D8">
      <w:pPr>
        <w:pStyle w:val="114"/>
      </w:pPr>
      <w:r>
        <w:rPr>
          <w:rFonts w:hint="eastAsia"/>
        </w:rPr>
        <w:t>试制板必须配置钢筋以防止因收缩而形成的缺陷，并确保在整个工程施工期内保持完整。</w:t>
      </w:r>
    </w:p>
    <w:p w14:paraId="4AAFA91F">
      <w:pPr>
        <w:pStyle w:val="110"/>
      </w:pPr>
      <w:r>
        <w:rPr>
          <w:rFonts w:hint="eastAsia"/>
        </w:rPr>
        <w:t>防水建筑物</w:t>
      </w:r>
    </w:p>
    <w:p w14:paraId="3B611B0F">
      <w:pPr>
        <w:pStyle w:val="112"/>
      </w:pPr>
      <w:r>
        <w:rPr>
          <w:rFonts w:hint="eastAsia"/>
        </w:rPr>
        <w:t>总则</w:t>
      </w:r>
    </w:p>
    <w:p w14:paraId="6FD1BF73">
      <w:pPr>
        <w:pStyle w:val="114"/>
      </w:pPr>
      <w:r>
        <w:rPr>
          <w:rFonts w:hint="eastAsia"/>
        </w:rPr>
        <w:t>除了设计图纸上或设计要求内有所注明之外，下列结构都必须按防水工程的有关要求来建造：</w:t>
      </w:r>
    </w:p>
    <w:p w14:paraId="0F4A9B57">
      <w:pPr>
        <w:pStyle w:val="114"/>
        <w:numPr>
          <w:ilvl w:val="0"/>
          <w:numId w:val="0"/>
        </w:numPr>
        <w:ind w:left="992"/>
      </w:pPr>
      <w:r>
        <w:t xml:space="preserve">a. </w:t>
      </w:r>
      <w:r>
        <w:rPr>
          <w:rFonts w:hint="eastAsia"/>
        </w:rPr>
        <w:t>所有水池、地下室外墙及底板</w:t>
      </w:r>
    </w:p>
    <w:p w14:paraId="038E9D1D">
      <w:pPr>
        <w:pStyle w:val="114"/>
        <w:numPr>
          <w:ilvl w:val="0"/>
          <w:numId w:val="0"/>
        </w:numPr>
        <w:ind w:left="992"/>
      </w:pPr>
      <w:r>
        <w:t xml:space="preserve">b. </w:t>
      </w:r>
      <w:r>
        <w:rPr>
          <w:rFonts w:hint="eastAsia"/>
        </w:rPr>
        <w:t>集水坑及桩承台。</w:t>
      </w:r>
    </w:p>
    <w:p w14:paraId="5B26965D">
      <w:pPr>
        <w:pStyle w:val="114"/>
      </w:pPr>
      <w:r>
        <w:rPr>
          <w:rFonts w:hint="eastAsia"/>
        </w:rPr>
        <w:t>如果模板固定方法会在拆除模板后形成穿过混凝土截面的孔，则不许在防水建筑物工程中采用这种施工方法。</w:t>
      </w:r>
    </w:p>
    <w:p w14:paraId="3E942047">
      <w:pPr>
        <w:pStyle w:val="114"/>
      </w:pPr>
      <w:r>
        <w:rPr>
          <w:rFonts w:hint="eastAsia"/>
        </w:rPr>
        <w:t>系墙铁必须有止水片。</w:t>
      </w:r>
    </w:p>
    <w:p w14:paraId="5471C6BD">
      <w:pPr>
        <w:pStyle w:val="114"/>
      </w:pPr>
      <w:r>
        <w:rPr>
          <w:rFonts w:hint="eastAsia"/>
        </w:rPr>
        <w:t>墙脚必须和底板浇成一体。</w:t>
      </w:r>
    </w:p>
    <w:p w14:paraId="0E1FCF92">
      <w:pPr>
        <w:pStyle w:val="114"/>
      </w:pPr>
      <w:r>
        <w:rPr>
          <w:rFonts w:hint="eastAsia"/>
        </w:rPr>
        <w:t>如果出现漏水或潮印，承包人必须自己负担费用进行修补，直到建筑师满意为止。</w:t>
      </w:r>
    </w:p>
    <w:p w14:paraId="4267D159">
      <w:pPr>
        <w:pStyle w:val="112"/>
      </w:pPr>
      <w:r>
        <w:rPr>
          <w:rFonts w:hint="eastAsia"/>
        </w:rPr>
        <w:t>止水带</w:t>
      </w:r>
    </w:p>
    <w:p w14:paraId="41C128E9">
      <w:pPr>
        <w:pStyle w:val="114"/>
        <w:numPr>
          <w:ilvl w:val="0"/>
          <w:numId w:val="0"/>
        </w:numPr>
        <w:ind w:left="992"/>
      </w:pPr>
      <w:r>
        <w:rPr>
          <w:rFonts w:hint="eastAsia"/>
        </w:rPr>
        <w:t>防水混凝土工程的所有施工缝都必须使用止水带，并遵照制造商说明书使用。如果承包人所用的止水带和设计图纸上所示的不同，就必须经建筑师</w:t>
      </w:r>
      <w:r>
        <w:t>/</w:t>
      </w:r>
      <w:r>
        <w:rPr>
          <w:rFonts w:hint="eastAsia"/>
        </w:rPr>
        <w:t>工程师批准，浇灌混凝土时如何保持止水带于正确位置的方法，也要由工程师批准。</w:t>
      </w:r>
    </w:p>
    <w:p w14:paraId="29CE985C">
      <w:pPr>
        <w:pStyle w:val="110"/>
      </w:pPr>
      <w:r>
        <w:rPr>
          <w:rFonts w:hint="eastAsia"/>
        </w:rPr>
        <w:t>保护无模板混凝土完工表面以免被雨水毁坏</w:t>
      </w:r>
    </w:p>
    <w:p w14:paraId="65DA31F0">
      <w:pPr>
        <w:pStyle w:val="114"/>
      </w:pPr>
      <w:r>
        <w:rPr>
          <w:rFonts w:hint="eastAsia"/>
        </w:rPr>
        <w:t>在浇灌任何混凝土楼板之前，承包人必须采取一切必要措施来确保下雨时新浇灌的混凝土会受到保护而不会为雨水所毁坏。</w:t>
      </w:r>
    </w:p>
    <w:p w14:paraId="42B2C4F0">
      <w:pPr>
        <w:pStyle w:val="114"/>
        <w:sectPr>
          <w:headerReference r:id="rId8" w:type="default"/>
          <w:footerReference r:id="rId9" w:type="default"/>
          <w:type w:val="continuous"/>
          <w:pgSz w:w="11906" w:h="16838"/>
          <w:pgMar w:top="1440" w:right="1800" w:bottom="1440" w:left="1985" w:header="851" w:footer="992" w:gutter="0"/>
          <w:pgNumType w:fmt="decimal"/>
          <w:cols w:space="425" w:num="1"/>
          <w:docGrid w:type="lines" w:linePitch="312" w:charSpace="0"/>
        </w:sectPr>
      </w:pPr>
      <w:r>
        <w:rPr>
          <w:rFonts w:hint="eastAsia"/>
        </w:rPr>
        <w:t>对规定的硬化表面，承包人须采取措施，确保当混凝土表面受到防雨水的保护时，仍然可以遵照制造商的规定施用表面硬化剂。</w:t>
      </w:r>
    </w:p>
    <w:p w14:paraId="2179087F">
      <w:pPr>
        <w:pStyle w:val="106"/>
        <w:spacing w:before="0" w:after="0"/>
        <w:ind w:left="0" w:firstLine="0"/>
        <w:jc w:val="center"/>
      </w:pPr>
      <w:bookmarkStart w:id="36" w:name="_Toc136956829"/>
      <w:r>
        <w:rPr>
          <w:rFonts w:hint="eastAsia"/>
        </w:rPr>
        <w:t>高精度模板工程技术要求</w:t>
      </w:r>
      <w:bookmarkEnd w:id="36"/>
    </w:p>
    <w:p w14:paraId="0647806B">
      <w:pPr>
        <w:pStyle w:val="119"/>
      </w:pPr>
      <w:bookmarkStart w:id="37" w:name="_Toc136956830"/>
      <w:r>
        <w:rPr>
          <w:rFonts w:hint="eastAsia"/>
        </w:rPr>
        <w:t>概述</w:t>
      </w:r>
      <w:bookmarkEnd w:id="37"/>
    </w:p>
    <w:p w14:paraId="45397FFF">
      <w:pPr>
        <w:pStyle w:val="112"/>
      </w:pPr>
      <w:r>
        <w:rPr>
          <w:rFonts w:hint="eastAsia"/>
        </w:rPr>
        <w:t>适用范围</w:t>
      </w:r>
      <w:r>
        <w:t>：</w:t>
      </w:r>
    </w:p>
    <w:p w14:paraId="284A2B17">
      <w:pPr>
        <w:pStyle w:val="114"/>
      </w:pPr>
      <w:r>
        <w:t>高层住宅</w:t>
      </w:r>
      <w:r>
        <w:rPr>
          <w:rFonts w:hint="eastAsia"/>
        </w:rPr>
        <w:t>的</w:t>
      </w:r>
      <w:r>
        <w:t>立面线条</w:t>
      </w:r>
      <w:r>
        <w:rPr>
          <w:rFonts w:hint="eastAsia"/>
        </w:rPr>
        <w:t>简洁</w:t>
      </w:r>
      <w:r>
        <w:t>，</w:t>
      </w:r>
      <w:r>
        <w:rPr>
          <w:rFonts w:hint="eastAsia"/>
        </w:rPr>
        <w:t>标准、重复率</w:t>
      </w:r>
      <w:r>
        <w:t>高，</w:t>
      </w:r>
      <w:r>
        <w:rPr>
          <w:rFonts w:hint="eastAsia"/>
        </w:rPr>
        <w:t>可以采用</w:t>
      </w:r>
      <w:r>
        <w:t>高精度模板系统</w:t>
      </w:r>
      <w:r>
        <w:rPr>
          <w:rFonts w:hint="eastAsia"/>
        </w:rPr>
        <w:t>建造。</w:t>
      </w:r>
    </w:p>
    <w:p w14:paraId="6FA12A13">
      <w:pPr>
        <w:pStyle w:val="114"/>
      </w:pPr>
      <w:r>
        <w:rPr>
          <w:rFonts w:hint="eastAsia"/>
        </w:rPr>
        <w:t>施工</w:t>
      </w:r>
      <w:r>
        <w:t>上如果</w:t>
      </w:r>
      <w:r>
        <w:rPr>
          <w:rFonts w:hint="eastAsia"/>
        </w:rPr>
        <w:t>局部构件模板</w:t>
      </w:r>
      <w:r>
        <w:t>重复率高，</w:t>
      </w:r>
      <w:r>
        <w:rPr>
          <w:rFonts w:hint="eastAsia"/>
        </w:rPr>
        <w:t>认为可以采用高精度模板的</w:t>
      </w:r>
      <w:r>
        <w:t>也</w:t>
      </w:r>
      <w:r>
        <w:rPr>
          <w:rFonts w:hint="eastAsia"/>
        </w:rPr>
        <w:t>可以</w:t>
      </w:r>
      <w:r>
        <w:t>考虑采用</w:t>
      </w:r>
      <w:r>
        <w:rPr>
          <w:rFonts w:hint="eastAsia"/>
        </w:rPr>
        <w:t>，</w:t>
      </w:r>
      <w:r>
        <w:t>参照本</w:t>
      </w:r>
      <w:r>
        <w:rPr>
          <w:rFonts w:hint="eastAsia"/>
        </w:rPr>
        <w:t>规定</w:t>
      </w:r>
      <w:r>
        <w:t>执行。</w:t>
      </w:r>
    </w:p>
    <w:p w14:paraId="000EFEC0">
      <w:pPr>
        <w:pStyle w:val="114"/>
      </w:pPr>
      <w:r>
        <w:rPr>
          <w:rFonts w:hint="eastAsia"/>
        </w:rPr>
        <w:t>高精度模板不适用于重复率低</w:t>
      </w:r>
      <w:r>
        <w:t>、</w:t>
      </w:r>
      <w:r>
        <w:rPr>
          <w:rFonts w:hint="eastAsia"/>
        </w:rPr>
        <w:t>危险性较大的混凝土模板与支撑体系的施工。</w:t>
      </w:r>
    </w:p>
    <w:p w14:paraId="1DFA826C">
      <w:pPr>
        <w:pStyle w:val="112"/>
      </w:pPr>
      <w:r>
        <w:rPr>
          <w:rFonts w:hint="eastAsia"/>
        </w:rPr>
        <w:t>目的</w:t>
      </w:r>
      <w:r>
        <w:t>：</w:t>
      </w:r>
    </w:p>
    <w:p w14:paraId="312DEC01">
      <w:pPr>
        <w:pStyle w:val="114"/>
      </w:pPr>
      <w:r>
        <w:rPr>
          <w:rFonts w:hint="eastAsia"/>
        </w:rPr>
        <w:t>采用高精度模板体系建造</w:t>
      </w:r>
      <w:r>
        <w:t>工程，</w:t>
      </w:r>
      <w:r>
        <w:rPr>
          <w:rFonts w:hint="eastAsia"/>
        </w:rPr>
        <w:t>对比传统</w:t>
      </w:r>
      <w:r>
        <w:t>木模系统可以缩短</w:t>
      </w:r>
      <w:r>
        <w:rPr>
          <w:rFonts w:hint="eastAsia"/>
        </w:rPr>
        <w:t>建设</w:t>
      </w:r>
      <w:r>
        <w:t>工期、</w:t>
      </w:r>
      <w:r>
        <w:rPr>
          <w:rFonts w:hint="eastAsia"/>
        </w:rPr>
        <w:t>节约</w:t>
      </w:r>
      <w:r>
        <w:t>成本</w:t>
      </w:r>
      <w:r>
        <w:rPr>
          <w:rFonts w:hint="eastAsia"/>
        </w:rPr>
        <w:t>、</w:t>
      </w:r>
      <w:r>
        <w:t>提高</w:t>
      </w:r>
      <w:r>
        <w:rPr>
          <w:rFonts w:hint="eastAsia"/>
        </w:rPr>
        <w:t>主体</w:t>
      </w:r>
      <w:r>
        <w:t>结构质量、</w:t>
      </w:r>
      <w:r>
        <w:rPr>
          <w:rFonts w:hint="eastAsia"/>
        </w:rPr>
        <w:t>减少</w:t>
      </w:r>
      <w:r>
        <w:t>废弃</w:t>
      </w:r>
      <w:r>
        <w:rPr>
          <w:rFonts w:hint="eastAsia"/>
        </w:rPr>
        <w:t>模板等建筑</w:t>
      </w:r>
      <w:r>
        <w:t>垃圾，达到节能环保</w:t>
      </w:r>
      <w:r>
        <w:rPr>
          <w:rFonts w:hint="eastAsia"/>
        </w:rPr>
        <w:t>、</w:t>
      </w:r>
      <w:r>
        <w:t>减少投资</w:t>
      </w:r>
      <w:r>
        <w:rPr>
          <w:rFonts w:hint="eastAsia"/>
        </w:rPr>
        <w:t>的目的</w:t>
      </w:r>
      <w:r>
        <w:t>。</w:t>
      </w:r>
    </w:p>
    <w:p w14:paraId="5475A896">
      <w:pPr>
        <w:pStyle w:val="114"/>
      </w:pPr>
      <w:r>
        <w:rPr>
          <w:rFonts w:hint="eastAsia"/>
        </w:rPr>
        <w:t>采用高精度模板建造，</w:t>
      </w:r>
      <w:r>
        <w:t>结构采用全</w:t>
      </w:r>
      <w:r>
        <w:rPr>
          <w:rFonts w:hint="eastAsia"/>
        </w:rPr>
        <w:t>现浇</w:t>
      </w:r>
      <w:r>
        <w:t>混</w:t>
      </w:r>
      <w:r>
        <w:rPr>
          <w:rFonts w:hint="eastAsia"/>
        </w:rPr>
        <w:t>凝土</w:t>
      </w:r>
      <w:r>
        <w:t>外墙，</w:t>
      </w:r>
      <w:r>
        <w:rPr>
          <w:rFonts w:hint="eastAsia" w:ascii="仿宋" w:hAnsi="仿宋" w:cs="仿宋"/>
          <w:bCs/>
          <w:szCs w:val="24"/>
        </w:rPr>
        <w:t>可有效解决或减少外墙渗漏水的概率，</w:t>
      </w:r>
      <w:r>
        <w:rPr>
          <w:rFonts w:ascii="仿宋" w:hAnsi="仿宋" w:cs="仿宋"/>
          <w:bCs/>
          <w:szCs w:val="24"/>
        </w:rPr>
        <w:t>同时</w:t>
      </w:r>
      <w:r>
        <w:rPr>
          <w:rFonts w:hint="eastAsia" w:ascii="仿宋" w:hAnsi="仿宋" w:cs="仿宋"/>
          <w:bCs/>
          <w:szCs w:val="24"/>
        </w:rPr>
        <w:t>可直接在基层上施工外墙腻子及涂料，从而降低空鼓、开裂及外墙抹灰脱落等</w:t>
      </w:r>
      <w:r>
        <w:rPr>
          <w:rFonts w:ascii="仿宋" w:hAnsi="仿宋" w:cs="仿宋"/>
          <w:bCs/>
          <w:szCs w:val="24"/>
        </w:rPr>
        <w:t>质量</w:t>
      </w:r>
      <w:r>
        <w:rPr>
          <w:rFonts w:hint="eastAsia" w:ascii="仿宋" w:hAnsi="仿宋" w:cs="仿宋"/>
          <w:bCs/>
          <w:szCs w:val="24"/>
        </w:rPr>
        <w:t>、</w:t>
      </w:r>
      <w:r>
        <w:rPr>
          <w:rFonts w:ascii="仿宋" w:hAnsi="仿宋" w:cs="仿宋"/>
          <w:bCs/>
          <w:szCs w:val="24"/>
        </w:rPr>
        <w:t>安全</w:t>
      </w:r>
      <w:r>
        <w:rPr>
          <w:rFonts w:hint="eastAsia" w:ascii="仿宋" w:hAnsi="仿宋" w:cs="仿宋"/>
          <w:bCs/>
          <w:szCs w:val="24"/>
        </w:rPr>
        <w:t>风险。</w:t>
      </w:r>
    </w:p>
    <w:p w14:paraId="6F5C97F3">
      <w:pPr>
        <w:pStyle w:val="112"/>
      </w:pPr>
      <w:r>
        <w:rPr>
          <w:rFonts w:hint="eastAsia"/>
        </w:rPr>
        <w:t>主要适用规范：</w:t>
      </w:r>
    </w:p>
    <w:p w14:paraId="274F63C1">
      <w:pPr>
        <w:pStyle w:val="114"/>
      </w:pPr>
      <w:r>
        <w:rPr>
          <w:rFonts w:hint="eastAsia"/>
        </w:rPr>
        <w:t>《铝合金建筑型材》GB/T5237.2008</w:t>
      </w:r>
    </w:p>
    <w:p w14:paraId="4D03C7C5">
      <w:pPr>
        <w:pStyle w:val="114"/>
      </w:pPr>
      <w:r>
        <w:rPr>
          <w:rFonts w:hint="eastAsia"/>
        </w:rPr>
        <w:t>《一般工业用铝及铝合金挤压型材》GB/T6892</w:t>
      </w:r>
    </w:p>
    <w:p w14:paraId="613C3714">
      <w:pPr>
        <w:pStyle w:val="114"/>
      </w:pPr>
      <w:r>
        <w:rPr>
          <w:rFonts w:hint="eastAsia"/>
        </w:rPr>
        <w:t>《变形铝及铝合金化学成份》GB/T3190</w:t>
      </w:r>
    </w:p>
    <w:p w14:paraId="1D9B879D">
      <w:pPr>
        <w:pStyle w:val="114"/>
      </w:pPr>
      <w:r>
        <w:rPr>
          <w:rFonts w:hint="eastAsia"/>
        </w:rPr>
        <w:t>《铝合金压铸件》GB/T13821、15114</w:t>
      </w:r>
    </w:p>
    <w:p w14:paraId="134E6056">
      <w:pPr>
        <w:pStyle w:val="114"/>
      </w:pPr>
      <w:r>
        <w:rPr>
          <w:rFonts w:hint="eastAsia"/>
        </w:rPr>
        <w:t>《住宅建筑模数协调标准》GB/T50100</w:t>
      </w:r>
    </w:p>
    <w:p w14:paraId="2FD4085C">
      <w:pPr>
        <w:pStyle w:val="114"/>
      </w:pPr>
      <w:r>
        <w:rPr>
          <w:rFonts w:hint="eastAsia"/>
        </w:rPr>
        <w:t>《铝合金结构设计规范》GB50429</w:t>
      </w:r>
      <w:r>
        <w:t>0</w:t>
      </w:r>
    </w:p>
    <w:p w14:paraId="06F82447">
      <w:pPr>
        <w:pStyle w:val="114"/>
      </w:pPr>
      <w:r>
        <w:rPr>
          <w:rFonts w:hint="eastAsia"/>
        </w:rPr>
        <w:t>《铝合金结构工程施工质量验收规范》GB50576</w:t>
      </w:r>
    </w:p>
    <w:p w14:paraId="725BDAAA">
      <w:pPr>
        <w:pStyle w:val="114"/>
      </w:pPr>
      <w:r>
        <w:rPr>
          <w:rFonts w:hint="eastAsia"/>
        </w:rPr>
        <w:t>《建筑施工模板安全技术规程》JGJ162</w:t>
      </w:r>
    </w:p>
    <w:p w14:paraId="0B9FB4D0">
      <w:pPr>
        <w:pStyle w:val="114"/>
      </w:pPr>
      <w:r>
        <w:rPr>
          <w:rFonts w:hint="eastAsia"/>
        </w:rPr>
        <w:t>《建筑工程施工质量验收统一标准》GB50300</w:t>
      </w:r>
    </w:p>
    <w:p w14:paraId="51190633">
      <w:pPr>
        <w:pStyle w:val="114"/>
      </w:pPr>
      <w:r>
        <w:rPr>
          <w:rFonts w:hint="eastAsia"/>
        </w:rPr>
        <w:t>《混凝土结构工程施工质量验收规范》GB50204</w:t>
      </w:r>
    </w:p>
    <w:p w14:paraId="07621F06">
      <w:pPr>
        <w:pStyle w:val="114"/>
      </w:pPr>
      <w:r>
        <w:t>《</w:t>
      </w:r>
      <w:r>
        <w:rPr>
          <w:rFonts w:hint="eastAsia"/>
        </w:rPr>
        <w:t>清水混凝土</w:t>
      </w:r>
      <w:r>
        <w:t>应用技术规程》</w:t>
      </w:r>
      <w:r>
        <w:rPr>
          <w:rFonts w:hint="eastAsia"/>
        </w:rPr>
        <w:t>JGJ-169</w:t>
      </w:r>
    </w:p>
    <w:p w14:paraId="27DE4D34">
      <w:pPr>
        <w:pStyle w:val="114"/>
      </w:pPr>
      <w:r>
        <w:rPr>
          <w:rFonts w:hint="eastAsia"/>
        </w:rPr>
        <w:t>《铝合金结构工程施工规程》JGJ/T2</w:t>
      </w:r>
    </w:p>
    <w:p w14:paraId="627F3B4F">
      <w:pPr>
        <w:pStyle w:val="114"/>
      </w:pPr>
      <w:r>
        <w:rPr>
          <w:rFonts w:hint="eastAsia"/>
        </w:rPr>
        <w:t>《建筑结构荷载规范》GB50009</w:t>
      </w:r>
    </w:p>
    <w:p w14:paraId="448FDC8D">
      <w:pPr>
        <w:pStyle w:val="114"/>
      </w:pPr>
      <w:r>
        <w:rPr>
          <w:rFonts w:hint="eastAsia"/>
        </w:rPr>
        <w:t>《铝合金模板技术规范》DBJ 15-96-2013广东省标准</w:t>
      </w:r>
    </w:p>
    <w:p w14:paraId="3ABCAFFB">
      <w:pPr>
        <w:pStyle w:val="114"/>
        <w:numPr>
          <w:ilvl w:val="0"/>
          <w:numId w:val="0"/>
        </w:numPr>
        <w:ind w:left="992"/>
      </w:pPr>
      <w:r>
        <w:rPr>
          <w:rFonts w:hint="eastAsia"/>
        </w:rPr>
        <w:t>所有高精度模板建造体系工程应符合有关的中国规范，并须符合国家现行有关要求，供应商必须向业主及建筑师提交相关样本及资质、</w:t>
      </w:r>
      <w:r>
        <w:t>材质</w:t>
      </w:r>
      <w:r>
        <w:rPr>
          <w:rFonts w:hint="eastAsia"/>
        </w:rPr>
        <w:t>证明，并取得批准，有冲突矛盾地方积极协商解决。</w:t>
      </w:r>
    </w:p>
    <w:p w14:paraId="62C1D851">
      <w:pPr>
        <w:pStyle w:val="119"/>
      </w:pPr>
      <w:bookmarkStart w:id="38" w:name="_Toc136956831"/>
      <w:r>
        <w:rPr>
          <w:rFonts w:hint="eastAsia"/>
        </w:rPr>
        <w:t>高精度模板</w:t>
      </w:r>
      <w:r>
        <w:t>对建筑</w:t>
      </w:r>
      <w:r>
        <w:rPr>
          <w:rFonts w:hint="eastAsia"/>
        </w:rPr>
        <w:t>设计</w:t>
      </w:r>
      <w:r>
        <w:t>要求</w:t>
      </w:r>
      <w:bookmarkEnd w:id="38"/>
    </w:p>
    <w:p w14:paraId="533EDB93">
      <w:pPr>
        <w:pStyle w:val="110"/>
      </w:pPr>
      <w:r>
        <w:rPr>
          <w:rFonts w:hint="eastAsia"/>
        </w:rPr>
        <w:t>建筑</w:t>
      </w:r>
      <w:r>
        <w:t>外立面线条</w:t>
      </w:r>
      <w:r>
        <w:rPr>
          <w:rFonts w:hint="eastAsia"/>
        </w:rPr>
        <w:t>宜简洁</w:t>
      </w:r>
      <w:r>
        <w:t>，</w:t>
      </w:r>
      <w:r>
        <w:rPr>
          <w:rFonts w:hint="eastAsia"/>
        </w:rPr>
        <w:t>标准，重复率</w:t>
      </w:r>
      <w:r>
        <w:t>高</w:t>
      </w:r>
      <w:r>
        <w:rPr>
          <w:rFonts w:hint="eastAsia"/>
        </w:rPr>
        <w:t>，</w:t>
      </w:r>
      <w:r>
        <w:t>方便高精度模板应用。</w:t>
      </w:r>
    </w:p>
    <w:p w14:paraId="51C0145E">
      <w:pPr>
        <w:pStyle w:val="110"/>
      </w:pPr>
      <w:r>
        <w:rPr>
          <w:rFonts w:hint="eastAsia"/>
        </w:rPr>
        <w:t>结构设计:结构平面</w:t>
      </w:r>
      <w:r>
        <w:t>易</w:t>
      </w:r>
      <w:r>
        <w:rPr>
          <w:rFonts w:hint="eastAsia"/>
        </w:rPr>
        <w:t>简洁</w:t>
      </w:r>
      <w:r>
        <w:t>，</w:t>
      </w:r>
      <w:r>
        <w:rPr>
          <w:rFonts w:hint="eastAsia"/>
        </w:rPr>
        <w:t>梁</w:t>
      </w:r>
      <w:r>
        <w:t>尺寸</w:t>
      </w:r>
      <w:r>
        <w:rPr>
          <w:rFonts w:hint="eastAsia"/>
        </w:rPr>
        <w:t>尽量按50</w:t>
      </w:r>
      <w:r>
        <w:t>mm</w:t>
      </w:r>
      <w:r>
        <w:rPr>
          <w:rFonts w:hint="eastAsia"/>
        </w:rPr>
        <w:t>模数设计</w:t>
      </w:r>
      <w:r>
        <w:t>，</w:t>
      </w:r>
      <w:r>
        <w:rPr>
          <w:rFonts w:hint="eastAsia"/>
        </w:rPr>
        <w:t>外围</w:t>
      </w:r>
      <w:r>
        <w:t>梁高应根据</w:t>
      </w:r>
      <w:r>
        <w:rPr>
          <w:rFonts w:hint="eastAsia"/>
        </w:rPr>
        <w:t>立</w:t>
      </w:r>
      <w:r>
        <w:t>面要求</w:t>
      </w:r>
      <w:r>
        <w:rPr>
          <w:rFonts w:hint="eastAsia"/>
        </w:rPr>
        <w:t>统一梁高</w:t>
      </w:r>
      <w:r>
        <w:t>设计，内部应考虑净空、空调等因素统一梁高</w:t>
      </w:r>
      <w:r>
        <w:rPr>
          <w:rFonts w:hint="eastAsia"/>
        </w:rPr>
        <w:t>；</w:t>
      </w:r>
      <w:r>
        <w:t>楼板厚度应尽量归并</w:t>
      </w:r>
      <w:r>
        <w:rPr>
          <w:rFonts w:hint="eastAsia"/>
        </w:rPr>
        <w:t>，对于卫生间</w:t>
      </w:r>
      <w:r>
        <w:t>等</w:t>
      </w:r>
      <w:r>
        <w:rPr>
          <w:rFonts w:hint="eastAsia"/>
        </w:rPr>
        <w:t>小</w:t>
      </w:r>
      <w:r>
        <w:t>板块</w:t>
      </w:r>
      <w:r>
        <w:rPr>
          <w:rFonts w:hint="eastAsia"/>
        </w:rPr>
        <w:t>可以</w:t>
      </w:r>
      <w:r>
        <w:t>按</w:t>
      </w:r>
      <w:r>
        <w:rPr>
          <w:rFonts w:hint="eastAsia"/>
        </w:rPr>
        <w:t>100</w:t>
      </w:r>
      <w:r>
        <w:t>mm设计。</w:t>
      </w:r>
    </w:p>
    <w:p w14:paraId="5B7BD945">
      <w:pPr>
        <w:pStyle w:val="110"/>
      </w:pPr>
      <w:r>
        <w:rPr>
          <w:rFonts w:hint="eastAsia"/>
        </w:rPr>
        <w:t>内</w:t>
      </w:r>
      <w:r>
        <w:t>、</w:t>
      </w:r>
      <w:r>
        <w:rPr>
          <w:rFonts w:hint="eastAsia"/>
        </w:rPr>
        <w:t>外墙设计要求：</w:t>
      </w:r>
    </w:p>
    <w:p w14:paraId="05B29C4E">
      <w:pPr>
        <w:pStyle w:val="112"/>
      </w:pPr>
      <w:r>
        <w:rPr>
          <w:rFonts w:hint="eastAsia"/>
        </w:rPr>
        <w:t>所有外墙必须采用</w:t>
      </w:r>
      <w:r>
        <w:t>全</w:t>
      </w:r>
      <w:r>
        <w:rPr>
          <w:rFonts w:hint="eastAsia"/>
        </w:rPr>
        <w:t>现浇</w:t>
      </w:r>
      <w:r>
        <w:t>混凝土结构，</w:t>
      </w:r>
      <w:r>
        <w:rPr>
          <w:rFonts w:hint="eastAsia"/>
        </w:rPr>
        <w:t>包括</w:t>
      </w:r>
      <w:r>
        <w:t>烟道（</w:t>
      </w:r>
      <w:r>
        <w:rPr>
          <w:rFonts w:hint="eastAsia"/>
        </w:rPr>
        <w:t>裙楼</w:t>
      </w:r>
      <w:r>
        <w:t>餐饮）</w:t>
      </w:r>
      <w:r>
        <w:rPr>
          <w:rFonts w:hint="eastAsia"/>
        </w:rPr>
        <w:t>、</w:t>
      </w:r>
      <w:r>
        <w:t>电梯、内天井、</w:t>
      </w:r>
      <w:r>
        <w:rPr>
          <w:rFonts w:hint="eastAsia"/>
        </w:rPr>
        <w:t>窗间墙、外立面</w:t>
      </w:r>
      <w:r>
        <w:t>装饰构件</w:t>
      </w:r>
      <w:r>
        <w:rPr>
          <w:rFonts w:hint="eastAsia"/>
        </w:rPr>
        <w:t>等。</w:t>
      </w:r>
    </w:p>
    <w:p w14:paraId="39F49B4F">
      <w:pPr>
        <w:pStyle w:val="112"/>
      </w:pPr>
      <w:r>
        <w:rPr>
          <w:rFonts w:hint="eastAsia"/>
        </w:rPr>
        <w:t>采用</w:t>
      </w:r>
      <w:r>
        <w:t>高精度模板</w:t>
      </w:r>
      <w:r>
        <w:rPr>
          <w:rFonts w:hint="eastAsia"/>
        </w:rPr>
        <w:t>建造</w:t>
      </w:r>
      <w:r>
        <w:t>，</w:t>
      </w:r>
      <w:r>
        <w:rPr>
          <w:rFonts w:hint="eastAsia"/>
        </w:rPr>
        <w:t>墙面平整度</w:t>
      </w:r>
      <w:r>
        <w:t>完成较好，</w:t>
      </w:r>
      <w:r>
        <w:rPr>
          <w:rFonts w:hint="eastAsia"/>
        </w:rPr>
        <w:t>所有外墙采用</w:t>
      </w:r>
      <w:r>
        <w:t>免抹灰做法</w:t>
      </w:r>
      <w:r>
        <w:rPr>
          <w:rFonts w:hint="eastAsia"/>
        </w:rPr>
        <w:t>。</w:t>
      </w:r>
    </w:p>
    <w:p w14:paraId="607EEAF3">
      <w:pPr>
        <w:pStyle w:val="112"/>
        <w:rPr>
          <w:rFonts w:ascii="Calibri" w:hAnsi="Calibri"/>
          <w:color w:val="000000" w:themeColor="text1"/>
          <w:szCs w:val="22"/>
          <w14:textFill>
            <w14:solidFill>
              <w14:schemeClr w14:val="tx1"/>
            </w14:solidFill>
          </w14:textFill>
        </w:rPr>
      </w:pPr>
      <w:r>
        <w:rPr>
          <w:rFonts w:hint="eastAsia" w:ascii="Calibri" w:hAnsi="Calibri"/>
          <w:color w:val="000000" w:themeColor="text1"/>
          <w:szCs w:val="22"/>
          <w14:textFill>
            <w14:solidFill>
              <w14:schemeClr w14:val="tx1"/>
            </w14:solidFill>
          </w14:textFill>
        </w:rPr>
        <w:t>室内土建门洞口边需要</w:t>
      </w:r>
      <w:r>
        <w:rPr>
          <w:rFonts w:ascii="Calibri" w:hAnsi="Calibri"/>
          <w:color w:val="000000" w:themeColor="text1"/>
          <w:szCs w:val="22"/>
          <w14:textFill>
            <w14:solidFill>
              <w14:schemeClr w14:val="tx1"/>
            </w14:solidFill>
          </w14:textFill>
        </w:rPr>
        <w:t>现浇混凝土框，施工</w:t>
      </w:r>
      <w:r>
        <w:rPr>
          <w:rFonts w:hint="eastAsia" w:ascii="Calibri" w:hAnsi="Calibri"/>
          <w:color w:val="000000" w:themeColor="text1"/>
          <w:szCs w:val="22"/>
          <w14:textFill>
            <w14:solidFill>
              <w14:schemeClr w14:val="tx1"/>
            </w14:solidFill>
          </w14:textFill>
        </w:rPr>
        <w:t>要考虑预留</w:t>
      </w:r>
      <w:r>
        <w:rPr>
          <w:rFonts w:ascii="Calibri" w:hAnsi="Calibri"/>
          <w:color w:val="000000" w:themeColor="text1"/>
          <w:szCs w:val="22"/>
          <w14:textFill>
            <w14:solidFill>
              <w14:schemeClr w14:val="tx1"/>
            </w14:solidFill>
          </w14:textFill>
        </w:rPr>
        <w:t>门框及安装间隙，</w:t>
      </w:r>
      <w:r>
        <w:rPr>
          <w:rFonts w:hint="eastAsia" w:ascii="Calibri" w:hAnsi="Calibri"/>
          <w:color w:val="000000" w:themeColor="text1"/>
          <w:szCs w:val="22"/>
          <w14:textFill>
            <w14:solidFill>
              <w14:schemeClr w14:val="tx1"/>
            </w14:solidFill>
          </w14:textFill>
        </w:rPr>
        <w:t>一般</w:t>
      </w:r>
      <w:r>
        <w:rPr>
          <w:rFonts w:ascii="Calibri" w:hAnsi="Calibri"/>
          <w:color w:val="000000" w:themeColor="text1"/>
          <w:szCs w:val="22"/>
          <w14:textFill>
            <w14:solidFill>
              <w14:schemeClr w14:val="tx1"/>
            </w14:solidFill>
          </w14:textFill>
        </w:rPr>
        <w:t>为</w:t>
      </w:r>
      <w:r>
        <w:rPr>
          <w:rFonts w:hint="eastAsia" w:ascii="Calibri" w:hAnsi="Calibri"/>
          <w:color w:val="000000" w:themeColor="text1"/>
          <w:szCs w:val="22"/>
          <w14:textFill>
            <w14:solidFill>
              <w14:schemeClr w14:val="tx1"/>
            </w14:solidFill>
          </w14:textFill>
        </w:rPr>
        <w:t>门净宽</w:t>
      </w:r>
      <w:r>
        <w:rPr>
          <w:rFonts w:ascii="Calibri" w:hAnsi="Calibri"/>
          <w:color w:val="000000" w:themeColor="text1"/>
          <w:szCs w:val="22"/>
          <w14:textFill>
            <w14:solidFill>
              <w14:schemeClr w14:val="tx1"/>
            </w14:solidFill>
          </w14:textFill>
        </w:rPr>
        <w:t>+</w:t>
      </w:r>
      <w:r>
        <w:rPr>
          <w:rFonts w:hint="eastAsia" w:ascii="Calibri" w:hAnsi="Calibri"/>
          <w:color w:val="000000" w:themeColor="text1"/>
          <w:szCs w:val="22"/>
          <w14:textFill>
            <w14:solidFill>
              <w14:schemeClr w14:val="tx1"/>
            </w14:solidFill>
          </w14:textFill>
        </w:rPr>
        <w:t>150</w:t>
      </w:r>
      <w:r>
        <w:rPr>
          <w:rFonts w:ascii="Calibri" w:hAnsi="Calibri"/>
          <w:color w:val="000000" w:themeColor="text1"/>
          <w:szCs w:val="22"/>
          <w14:textFill>
            <w14:solidFill>
              <w14:schemeClr w14:val="tx1"/>
            </w14:solidFill>
          </w14:textFill>
        </w:rPr>
        <w:t>mm</w:t>
      </w:r>
      <w:r>
        <w:rPr>
          <w:rFonts w:hint="eastAsia" w:ascii="Calibri" w:hAnsi="Calibri"/>
          <w:color w:val="000000" w:themeColor="text1"/>
          <w:szCs w:val="22"/>
          <w14:textFill>
            <w14:solidFill>
              <w14:schemeClr w14:val="tx1"/>
            </w14:solidFill>
          </w14:textFill>
        </w:rPr>
        <w:t>，</w:t>
      </w:r>
      <w:r>
        <w:rPr>
          <w:rFonts w:ascii="Calibri" w:hAnsi="Calibri"/>
          <w:color w:val="000000" w:themeColor="text1"/>
          <w:szCs w:val="22"/>
          <w14:textFill>
            <w14:solidFill>
              <w14:schemeClr w14:val="tx1"/>
            </w14:solidFill>
          </w14:textFill>
        </w:rPr>
        <w:t>例如入户门、消防楼梯防火门，</w:t>
      </w:r>
      <w:r>
        <w:rPr>
          <w:rFonts w:hint="eastAsia" w:ascii="Calibri" w:hAnsi="Calibri"/>
          <w:color w:val="000000" w:themeColor="text1"/>
          <w:szCs w:val="22"/>
          <w14:textFill>
            <w14:solidFill>
              <w14:schemeClr w14:val="tx1"/>
            </w14:solidFill>
          </w14:textFill>
        </w:rPr>
        <w:t>土建</w:t>
      </w:r>
      <w:r>
        <w:rPr>
          <w:rFonts w:ascii="Calibri" w:hAnsi="Calibri"/>
          <w:color w:val="000000" w:themeColor="text1"/>
          <w:szCs w:val="22"/>
          <w14:textFill>
            <w14:solidFill>
              <w14:schemeClr w14:val="tx1"/>
            </w14:solidFill>
          </w14:textFill>
        </w:rPr>
        <w:t>预留门洞应为</w:t>
      </w:r>
      <w:r>
        <w:rPr>
          <w:rFonts w:hint="eastAsia" w:ascii="Calibri" w:hAnsi="Calibri"/>
          <w:color w:val="000000" w:themeColor="text1"/>
          <w:szCs w:val="22"/>
          <w14:textFill>
            <w14:solidFill>
              <w14:schemeClr w14:val="tx1"/>
            </w14:solidFill>
          </w14:textFill>
        </w:rPr>
        <w:t>1050</w:t>
      </w:r>
      <w:r>
        <w:rPr>
          <w:rFonts w:ascii="Calibri" w:hAnsi="Calibri"/>
          <w:color w:val="000000" w:themeColor="text1"/>
          <w:szCs w:val="22"/>
          <w14:textFill>
            <w14:solidFill>
              <w14:schemeClr w14:val="tx1"/>
            </w14:solidFill>
          </w14:textFill>
        </w:rPr>
        <w:t>mm</w:t>
      </w:r>
      <w:r>
        <w:rPr>
          <w:rFonts w:hint="eastAsia" w:ascii="Calibri" w:hAnsi="Calibri"/>
          <w:color w:val="000000" w:themeColor="text1"/>
          <w:szCs w:val="22"/>
          <w14:textFill>
            <w14:solidFill>
              <w14:schemeClr w14:val="tx1"/>
            </w14:solidFill>
          </w14:textFill>
        </w:rPr>
        <w:t>（900</w:t>
      </w:r>
      <w:r>
        <w:rPr>
          <w:rFonts w:ascii="Calibri" w:hAnsi="Calibri"/>
          <w:color w:val="000000" w:themeColor="text1"/>
          <w:szCs w:val="22"/>
          <w14:textFill>
            <w14:solidFill>
              <w14:schemeClr w14:val="tx1"/>
            </w14:solidFill>
          </w14:textFill>
        </w:rPr>
        <w:t>mm+150mm）宽。</w:t>
      </w:r>
    </w:p>
    <w:p w14:paraId="490DFA1A">
      <w:pPr>
        <w:pStyle w:val="112"/>
      </w:pPr>
      <w:r>
        <w:rPr>
          <w:rFonts w:hint="eastAsia" w:ascii="Calibri" w:hAnsi="Calibri"/>
          <w:szCs w:val="22"/>
        </w:rPr>
        <w:t>室内强弱电箱位置，采用现浇</w:t>
      </w:r>
      <w:r>
        <w:rPr>
          <w:rFonts w:ascii="Calibri" w:hAnsi="Calibri"/>
          <w:szCs w:val="22"/>
        </w:rPr>
        <w:t>钢筋剪力墙</w:t>
      </w:r>
      <w:r>
        <w:rPr>
          <w:rFonts w:hint="eastAsia" w:ascii="Calibri" w:hAnsi="Calibri"/>
          <w:szCs w:val="22"/>
        </w:rPr>
        <w:t>，</w:t>
      </w:r>
      <w:r>
        <w:rPr>
          <w:rFonts w:ascii="Calibri" w:hAnsi="Calibri"/>
          <w:szCs w:val="22"/>
        </w:rPr>
        <w:t>在</w:t>
      </w:r>
      <w:r>
        <w:rPr>
          <w:rFonts w:hint="eastAsia" w:ascii="Calibri" w:hAnsi="Calibri"/>
          <w:szCs w:val="22"/>
        </w:rPr>
        <w:t>混凝土中预留预埋强弱</w:t>
      </w:r>
      <w:r>
        <w:rPr>
          <w:rFonts w:ascii="Calibri" w:hAnsi="Calibri"/>
          <w:szCs w:val="22"/>
        </w:rPr>
        <w:t>电</w:t>
      </w:r>
      <w:r>
        <w:rPr>
          <w:rFonts w:hint="eastAsia" w:ascii="Calibri" w:hAnsi="Calibri"/>
          <w:szCs w:val="22"/>
        </w:rPr>
        <w:t>配电箱及</w:t>
      </w:r>
      <w:r>
        <w:rPr>
          <w:rFonts w:ascii="Calibri" w:hAnsi="Calibri"/>
          <w:szCs w:val="22"/>
        </w:rPr>
        <w:t>及管线</w:t>
      </w:r>
      <w:r>
        <w:rPr>
          <w:rFonts w:hint="eastAsia" w:ascii="Calibri" w:hAnsi="Calibri"/>
          <w:szCs w:val="22"/>
        </w:rPr>
        <w:t>，避免</w:t>
      </w:r>
      <w:r>
        <w:rPr>
          <w:rFonts w:ascii="Calibri" w:hAnsi="Calibri"/>
          <w:szCs w:val="22"/>
        </w:rPr>
        <w:t>后期</w:t>
      </w:r>
      <w:r>
        <w:rPr>
          <w:rFonts w:hint="eastAsia" w:ascii="Calibri" w:hAnsi="Calibri"/>
          <w:szCs w:val="22"/>
        </w:rPr>
        <w:t>在砌体上</w:t>
      </w:r>
      <w:r>
        <w:rPr>
          <w:rFonts w:ascii="Calibri" w:hAnsi="Calibri"/>
          <w:szCs w:val="22"/>
        </w:rPr>
        <w:t>开凿。</w:t>
      </w:r>
    </w:p>
    <w:p w14:paraId="15647DDE">
      <w:pPr>
        <w:pStyle w:val="112"/>
        <w:rPr>
          <w:rFonts w:ascii="Calibri" w:hAnsi="Calibri"/>
          <w:szCs w:val="22"/>
        </w:rPr>
      </w:pPr>
      <w:r>
        <w:rPr>
          <w:rFonts w:hint="eastAsia" w:ascii="Calibri" w:hAnsi="Calibri"/>
          <w:szCs w:val="22"/>
        </w:rPr>
        <w:t>建筑门窗、</w:t>
      </w:r>
      <w:r>
        <w:rPr>
          <w:rFonts w:ascii="Calibri" w:hAnsi="Calibri"/>
          <w:szCs w:val="22"/>
        </w:rPr>
        <w:t>栏杆等位置需要</w:t>
      </w:r>
      <w:r>
        <w:rPr>
          <w:rFonts w:hint="eastAsia" w:ascii="Calibri" w:hAnsi="Calibri"/>
          <w:szCs w:val="22"/>
        </w:rPr>
        <w:t>高精度模板深化预留企口，由高精度模板及门窗施工单位深化考虑，设计</w:t>
      </w:r>
      <w:r>
        <w:rPr>
          <w:rFonts w:ascii="Calibri" w:hAnsi="Calibri"/>
          <w:szCs w:val="22"/>
        </w:rPr>
        <w:t>按正常设计</w:t>
      </w:r>
      <w:r>
        <w:rPr>
          <w:rFonts w:hint="eastAsia" w:ascii="Calibri" w:hAnsi="Calibri"/>
          <w:szCs w:val="22"/>
        </w:rPr>
        <w:t>。</w:t>
      </w:r>
    </w:p>
    <w:p w14:paraId="47CD9A58">
      <w:pPr>
        <w:pStyle w:val="112"/>
        <w:rPr>
          <w:rFonts w:ascii="Calibri" w:hAnsi="Calibri"/>
          <w:szCs w:val="22"/>
        </w:rPr>
      </w:pPr>
      <w:r>
        <w:rPr>
          <w:rFonts w:ascii="Calibri" w:hAnsi="Calibri"/>
          <w:szCs w:val="22"/>
        </w:rPr>
        <w:t>立面</w:t>
      </w:r>
      <w:r>
        <w:rPr>
          <w:rFonts w:hint="eastAsia" w:ascii="Calibri" w:hAnsi="Calibri"/>
          <w:szCs w:val="22"/>
        </w:rPr>
        <w:t>造型、内部</w:t>
      </w:r>
      <w:r>
        <w:rPr>
          <w:rFonts w:ascii="Calibri" w:hAnsi="Calibri"/>
          <w:szCs w:val="22"/>
        </w:rPr>
        <w:t>局部洞口</w:t>
      </w:r>
      <w:r>
        <w:rPr>
          <w:rFonts w:hint="eastAsia" w:ascii="Calibri" w:hAnsi="Calibri"/>
          <w:szCs w:val="22"/>
        </w:rPr>
        <w:t>边</w:t>
      </w:r>
      <w:r>
        <w:rPr>
          <w:rFonts w:ascii="Calibri" w:hAnsi="Calibri"/>
          <w:szCs w:val="22"/>
        </w:rPr>
        <w:t>墙体</w:t>
      </w:r>
      <w:r>
        <w:rPr>
          <w:rFonts w:hint="eastAsia" w:ascii="Calibri" w:hAnsi="Calibri"/>
          <w:szCs w:val="22"/>
        </w:rPr>
        <w:t>等</w:t>
      </w:r>
      <w:r>
        <w:rPr>
          <w:rFonts w:ascii="Calibri" w:hAnsi="Calibri"/>
          <w:szCs w:val="22"/>
        </w:rPr>
        <w:t>按构造混凝土应在</w:t>
      </w:r>
      <w:r>
        <w:rPr>
          <w:rFonts w:hint="eastAsia" w:ascii="Calibri" w:hAnsi="Calibri"/>
          <w:szCs w:val="22"/>
        </w:rPr>
        <w:t>图</w:t>
      </w:r>
      <w:r>
        <w:rPr>
          <w:rFonts w:ascii="Calibri" w:hAnsi="Calibri"/>
          <w:szCs w:val="22"/>
        </w:rPr>
        <w:t>上</w:t>
      </w:r>
      <w:r>
        <w:rPr>
          <w:rFonts w:hint="eastAsia" w:ascii="Calibri" w:hAnsi="Calibri"/>
          <w:szCs w:val="22"/>
        </w:rPr>
        <w:t>标识，门垛、</w:t>
      </w:r>
      <w:r>
        <w:rPr>
          <w:rFonts w:ascii="Calibri" w:hAnsi="Calibri"/>
          <w:szCs w:val="22"/>
        </w:rPr>
        <w:t>门顶下挂梁</w:t>
      </w:r>
      <w:r>
        <w:rPr>
          <w:rFonts w:hint="eastAsia" w:ascii="Calibri" w:hAnsi="Calibri"/>
          <w:szCs w:val="22"/>
        </w:rPr>
        <w:t>等</w:t>
      </w:r>
      <w:r>
        <w:rPr>
          <w:rFonts w:ascii="Calibri" w:hAnsi="Calibri"/>
          <w:szCs w:val="22"/>
        </w:rPr>
        <w:t>小构件可以施工深化</w:t>
      </w:r>
      <w:r>
        <w:rPr>
          <w:rFonts w:hint="eastAsia" w:ascii="Calibri" w:hAnsi="Calibri"/>
          <w:szCs w:val="22"/>
        </w:rPr>
        <w:t>。</w:t>
      </w:r>
    </w:p>
    <w:p w14:paraId="7C51D546">
      <w:pPr>
        <w:pStyle w:val="110"/>
      </w:pPr>
      <w:r>
        <w:rPr>
          <w:rFonts w:hint="eastAsia"/>
        </w:rPr>
        <w:t>强弱</w:t>
      </w:r>
      <w:r>
        <w:t>电、</w:t>
      </w:r>
      <w:r>
        <w:rPr>
          <w:rFonts w:hint="eastAsia"/>
        </w:rPr>
        <w:t>给排水设计要求：</w:t>
      </w:r>
    </w:p>
    <w:p w14:paraId="5FFAC88A">
      <w:pPr>
        <w:pStyle w:val="112"/>
      </w:pPr>
      <w:r>
        <w:rPr>
          <w:rFonts w:hint="eastAsia"/>
        </w:rPr>
        <w:t>卫生间、</w:t>
      </w:r>
      <w:r>
        <w:t>阳台</w:t>
      </w:r>
      <w:r>
        <w:rPr>
          <w:rFonts w:hint="eastAsia"/>
        </w:rPr>
        <w:t>、</w:t>
      </w:r>
      <w:r>
        <w:t>厨房</w:t>
      </w:r>
      <w:r>
        <w:rPr>
          <w:rFonts w:hint="eastAsia"/>
        </w:rPr>
        <w:t>等</w:t>
      </w:r>
      <w:r>
        <w:t>穿越楼板</w:t>
      </w:r>
      <w:r>
        <w:rPr>
          <w:rFonts w:hint="eastAsia"/>
        </w:rPr>
        <w:t>的</w:t>
      </w:r>
      <w:r>
        <w:t>排水管采用</w:t>
      </w:r>
      <w:r>
        <w:rPr>
          <w:rFonts w:hint="eastAsia"/>
        </w:rPr>
        <w:t>预埋</w:t>
      </w:r>
      <w:r>
        <w:t>止水节</w:t>
      </w:r>
      <w:r>
        <w:rPr>
          <w:rFonts w:hint="eastAsia"/>
        </w:rPr>
        <w:t>方式。</w:t>
      </w:r>
    </w:p>
    <w:p w14:paraId="2BBFF0E1">
      <w:pPr>
        <w:pStyle w:val="112"/>
      </w:pPr>
      <w:r>
        <w:rPr>
          <w:rFonts w:hint="eastAsia" w:ascii="Calibri" w:hAnsi="Calibri"/>
          <w:szCs w:val="22"/>
        </w:rPr>
        <w:t>为避免</w:t>
      </w:r>
      <w:r>
        <w:rPr>
          <w:rFonts w:ascii="Calibri" w:hAnsi="Calibri"/>
          <w:szCs w:val="22"/>
        </w:rPr>
        <w:t>湿作业</w:t>
      </w:r>
      <w:r>
        <w:rPr>
          <w:rFonts w:hint="eastAsia" w:ascii="Calibri" w:hAnsi="Calibri"/>
          <w:szCs w:val="22"/>
        </w:rPr>
        <w:t>、</w:t>
      </w:r>
      <w:r>
        <w:rPr>
          <w:rFonts w:ascii="Calibri" w:hAnsi="Calibri"/>
          <w:szCs w:val="22"/>
        </w:rPr>
        <w:t>在混凝土楼板上开凿预埋，</w:t>
      </w:r>
      <w:r>
        <w:rPr>
          <w:rFonts w:hint="eastAsia" w:ascii="Calibri" w:hAnsi="Calibri"/>
          <w:szCs w:val="22"/>
        </w:rPr>
        <w:t>所有</w:t>
      </w:r>
      <w:r>
        <w:rPr>
          <w:rFonts w:ascii="Calibri" w:hAnsi="Calibri"/>
          <w:szCs w:val="22"/>
        </w:rPr>
        <w:t>给水管道</w:t>
      </w:r>
      <w:r>
        <w:rPr>
          <w:rFonts w:hint="eastAsia" w:ascii="Calibri" w:hAnsi="Calibri"/>
          <w:szCs w:val="22"/>
        </w:rPr>
        <w:t>考虑</w:t>
      </w:r>
      <w:r>
        <w:rPr>
          <w:rFonts w:ascii="Calibri" w:hAnsi="Calibri"/>
          <w:szCs w:val="22"/>
        </w:rPr>
        <w:t>在</w:t>
      </w:r>
      <w:r>
        <w:rPr>
          <w:rFonts w:hint="eastAsia" w:ascii="Calibri" w:hAnsi="Calibri"/>
          <w:szCs w:val="22"/>
        </w:rPr>
        <w:t>吊顶中铺设（走天</w:t>
      </w:r>
      <w:r>
        <w:rPr>
          <w:rFonts w:ascii="Calibri" w:hAnsi="Calibri"/>
          <w:szCs w:val="22"/>
        </w:rPr>
        <w:t>）</w:t>
      </w:r>
      <w:r>
        <w:rPr>
          <w:rFonts w:hint="eastAsia" w:ascii="Calibri" w:hAnsi="Calibri"/>
          <w:szCs w:val="22"/>
        </w:rPr>
        <w:t>，精装</w:t>
      </w:r>
      <w:r>
        <w:rPr>
          <w:rFonts w:ascii="Calibri" w:hAnsi="Calibri"/>
          <w:szCs w:val="22"/>
        </w:rPr>
        <w:t>应予以考虑</w:t>
      </w:r>
      <w:r>
        <w:rPr>
          <w:rFonts w:hint="eastAsia" w:ascii="Calibri" w:hAnsi="Calibri"/>
          <w:szCs w:val="22"/>
        </w:rPr>
        <w:t>，施工上</w:t>
      </w:r>
      <w:r>
        <w:rPr>
          <w:rFonts w:ascii="Calibri" w:hAnsi="Calibri"/>
          <w:szCs w:val="22"/>
        </w:rPr>
        <w:t>考虑</w:t>
      </w:r>
      <w:r>
        <w:rPr>
          <w:rFonts w:hint="eastAsia" w:ascii="Calibri" w:hAnsi="Calibri"/>
          <w:szCs w:val="22"/>
        </w:rPr>
        <w:t>穿</w:t>
      </w:r>
      <w:r>
        <w:rPr>
          <w:rFonts w:ascii="Calibri" w:hAnsi="Calibri"/>
          <w:szCs w:val="22"/>
        </w:rPr>
        <w:t>墙、梁</w:t>
      </w:r>
      <w:r>
        <w:rPr>
          <w:rFonts w:hint="eastAsia" w:ascii="Calibri" w:hAnsi="Calibri"/>
          <w:szCs w:val="22"/>
        </w:rPr>
        <w:t>预留</w:t>
      </w:r>
      <w:r>
        <w:rPr>
          <w:rFonts w:ascii="Calibri" w:hAnsi="Calibri"/>
          <w:szCs w:val="22"/>
        </w:rPr>
        <w:t>预埋。</w:t>
      </w:r>
    </w:p>
    <w:p w14:paraId="43E6EBF8">
      <w:pPr>
        <w:pStyle w:val="112"/>
      </w:pPr>
      <w:r>
        <w:rPr>
          <w:rFonts w:ascii="Calibri" w:hAnsi="Calibri"/>
          <w:szCs w:val="22"/>
        </w:rPr>
        <w:t>应</w:t>
      </w:r>
      <w:r>
        <w:rPr>
          <w:rFonts w:hint="eastAsia" w:ascii="Calibri" w:hAnsi="Calibri"/>
          <w:szCs w:val="22"/>
        </w:rPr>
        <w:t>明确</w:t>
      </w:r>
      <w:r>
        <w:rPr>
          <w:rFonts w:ascii="Calibri" w:hAnsi="Calibri"/>
          <w:szCs w:val="22"/>
        </w:rPr>
        <w:t>提供水</w:t>
      </w:r>
      <w:r>
        <w:rPr>
          <w:rFonts w:hint="eastAsia" w:ascii="Calibri" w:hAnsi="Calibri"/>
          <w:szCs w:val="22"/>
        </w:rPr>
        <w:t>、</w:t>
      </w:r>
      <w:r>
        <w:rPr>
          <w:rFonts w:ascii="Calibri" w:hAnsi="Calibri"/>
          <w:szCs w:val="22"/>
        </w:rPr>
        <w:t>电</w:t>
      </w:r>
      <w:r>
        <w:rPr>
          <w:rFonts w:hint="eastAsia" w:ascii="Calibri" w:hAnsi="Calibri"/>
          <w:szCs w:val="22"/>
        </w:rPr>
        <w:t>管线</w:t>
      </w:r>
      <w:r>
        <w:rPr>
          <w:rFonts w:ascii="Calibri" w:hAnsi="Calibri"/>
          <w:szCs w:val="22"/>
        </w:rPr>
        <w:t>及末端点位</w:t>
      </w:r>
      <w:r>
        <w:rPr>
          <w:rFonts w:hint="eastAsia" w:ascii="Calibri" w:hAnsi="Calibri"/>
          <w:szCs w:val="22"/>
        </w:rPr>
        <w:t>预留</w:t>
      </w:r>
      <w:r>
        <w:rPr>
          <w:rFonts w:ascii="Calibri" w:hAnsi="Calibri"/>
          <w:szCs w:val="22"/>
        </w:rPr>
        <w:t>位置</w:t>
      </w:r>
      <w:r>
        <w:rPr>
          <w:rFonts w:hint="eastAsia" w:ascii="Calibri" w:hAnsi="Calibri"/>
          <w:szCs w:val="22"/>
        </w:rPr>
        <w:t>，不得后期</w:t>
      </w:r>
      <w:r>
        <w:rPr>
          <w:rFonts w:ascii="Calibri" w:hAnsi="Calibri"/>
          <w:szCs w:val="22"/>
        </w:rPr>
        <w:t>开凿。</w:t>
      </w:r>
    </w:p>
    <w:p w14:paraId="3A951D50">
      <w:pPr>
        <w:pStyle w:val="112"/>
      </w:pPr>
      <w:r>
        <w:rPr>
          <w:rFonts w:hint="eastAsia" w:ascii="Calibri" w:hAnsi="Calibri"/>
          <w:szCs w:val="22"/>
        </w:rPr>
        <w:t>应明确室内强、弱电箱位置。</w:t>
      </w:r>
    </w:p>
    <w:p w14:paraId="636CA968">
      <w:pPr>
        <w:pStyle w:val="110"/>
      </w:pPr>
      <w:r>
        <w:rPr>
          <w:rFonts w:hint="eastAsia"/>
        </w:rPr>
        <w:t>外墙防水</w:t>
      </w:r>
    </w:p>
    <w:p w14:paraId="0899CC70">
      <w:pPr>
        <w:pStyle w:val="112"/>
      </w:pPr>
      <w:r>
        <w:rPr>
          <w:rFonts w:hint="eastAsia"/>
        </w:rPr>
        <w:t>考虑到</w:t>
      </w:r>
      <w:r>
        <w:t>国内规范要求，外墙防水在报建上</w:t>
      </w:r>
      <w:r>
        <w:rPr>
          <w:rFonts w:hint="eastAsia"/>
        </w:rPr>
        <w:t>设计</w:t>
      </w:r>
      <w:r>
        <w:t>予以保留。由于</w:t>
      </w:r>
      <w:r>
        <w:rPr>
          <w:rFonts w:hint="eastAsia"/>
        </w:rPr>
        <w:t>高精度模板</w:t>
      </w:r>
      <w:r>
        <w:t>采用全现浇</w:t>
      </w:r>
      <w:r>
        <w:rPr>
          <w:rFonts w:hint="eastAsia"/>
        </w:rPr>
        <w:t>钢筋</w:t>
      </w:r>
      <w:r>
        <w:t>混凝土结构</w:t>
      </w:r>
      <w:r>
        <w:rPr>
          <w:rFonts w:hint="eastAsia"/>
        </w:rPr>
        <w:t>，</w:t>
      </w:r>
      <w:r>
        <w:t>本身是一道很好的防水体系，一旦出现裂缝渗漏点</w:t>
      </w:r>
      <w:r>
        <w:rPr>
          <w:rFonts w:hint="eastAsia"/>
        </w:rPr>
        <w:t>容易</w:t>
      </w:r>
      <w:r>
        <w:t>处理，因此</w:t>
      </w:r>
      <w:r>
        <w:rPr>
          <w:rFonts w:hint="eastAsia"/>
        </w:rPr>
        <w:t>施工上</w:t>
      </w:r>
      <w:r>
        <w:t>可以</w:t>
      </w:r>
      <w:r>
        <w:rPr>
          <w:rFonts w:hint="eastAsia"/>
        </w:rPr>
        <w:t>取消</w:t>
      </w:r>
      <w:r>
        <w:t>外墙防水</w:t>
      </w:r>
      <w:r>
        <w:rPr>
          <w:rFonts w:hint="eastAsia"/>
        </w:rPr>
        <w:t>，</w:t>
      </w:r>
      <w:r>
        <w:t>但要求施工</w:t>
      </w:r>
      <w:r>
        <w:rPr>
          <w:rFonts w:hint="eastAsia"/>
        </w:rPr>
        <w:t>单位承诺漏水</w:t>
      </w:r>
      <w:r>
        <w:t>保修。</w:t>
      </w:r>
    </w:p>
    <w:p w14:paraId="0C9582A8">
      <w:pPr>
        <w:pStyle w:val="119"/>
      </w:pPr>
      <w:bookmarkStart w:id="39" w:name="_Toc136956832"/>
      <w:r>
        <w:rPr>
          <w:rFonts w:hint="eastAsia"/>
        </w:rPr>
        <w:t>高精度模板深化</w:t>
      </w:r>
      <w:bookmarkEnd w:id="39"/>
    </w:p>
    <w:p w14:paraId="234DDF9C">
      <w:pPr>
        <w:pStyle w:val="110"/>
      </w:pPr>
      <w:r>
        <w:rPr>
          <w:rFonts w:hint="eastAsia"/>
        </w:rPr>
        <w:t>模板工程施工前，应根据结构施工图、施工总平面及施工设备和材料供应等现场条件，编制模板工程施工设计，列入工程项目的施工组织设计。</w:t>
      </w:r>
    </w:p>
    <w:p w14:paraId="08F8D09D">
      <w:pPr>
        <w:pStyle w:val="110"/>
      </w:pPr>
      <w:r>
        <w:rPr>
          <w:rFonts w:hint="eastAsia"/>
        </w:rPr>
        <w:t>高精度模板深化图</w:t>
      </w:r>
      <w:r>
        <w:t>应经设计师</w:t>
      </w:r>
      <w:r>
        <w:rPr>
          <w:rFonts w:hint="eastAsia"/>
        </w:rPr>
        <w:t>、</w:t>
      </w:r>
      <w:r>
        <w:t>甲方</w:t>
      </w:r>
      <w:r>
        <w:rPr>
          <w:rFonts w:hint="eastAsia"/>
        </w:rPr>
        <w:t>联合</w:t>
      </w:r>
      <w:r>
        <w:t>评审后方可下发</w:t>
      </w:r>
      <w:r>
        <w:rPr>
          <w:rFonts w:hint="eastAsia"/>
        </w:rPr>
        <w:t>，</w:t>
      </w:r>
      <w:r>
        <w:t>需要专家评审的邀请有关</w:t>
      </w:r>
      <w:r>
        <w:rPr>
          <w:rFonts w:hint="eastAsia"/>
        </w:rPr>
        <w:t>专家</w:t>
      </w:r>
      <w:r>
        <w:t>评审。</w:t>
      </w:r>
    </w:p>
    <w:p w14:paraId="148EB9EA">
      <w:pPr>
        <w:pStyle w:val="110"/>
      </w:pPr>
      <w:r>
        <w:rPr>
          <w:rFonts w:hint="eastAsia"/>
        </w:rPr>
        <w:t xml:space="preserve">模板工程的施工设计应包括下列内容: </w:t>
      </w:r>
    </w:p>
    <w:p w14:paraId="3E5747A7">
      <w:pPr>
        <w:pStyle w:val="112"/>
      </w:pPr>
      <w:r>
        <w:rPr>
          <w:rFonts w:hint="eastAsia"/>
        </w:rPr>
        <w:t>根据项目结构、建筑、机电、</w:t>
      </w:r>
      <w:r>
        <w:t>精装</w:t>
      </w:r>
      <w:r>
        <w:rPr>
          <w:rFonts w:hint="eastAsia"/>
        </w:rPr>
        <w:t>等图纸，绘制模板施工现浇混凝土结构平面图及各部位剖面。</w:t>
      </w:r>
    </w:p>
    <w:p w14:paraId="2A8B6671">
      <w:pPr>
        <w:pStyle w:val="112"/>
      </w:pPr>
      <w:r>
        <w:rPr>
          <w:rFonts w:hint="eastAsia"/>
        </w:rPr>
        <w:t>根据模板施工现浇混凝土结构平面图，绘制配板设计图、连接件和支承系统布置图、细部结构和异型模板详图及特殊部位详图。</w:t>
      </w:r>
    </w:p>
    <w:p w14:paraId="33D65404">
      <w:pPr>
        <w:pStyle w:val="112"/>
      </w:pPr>
      <w:r>
        <w:rPr>
          <w:rFonts w:hint="eastAsia"/>
        </w:rPr>
        <w:t>根据结构构造型式和施工条件确定模板荷载，对模板和支承系统做力学验算。</w:t>
      </w:r>
    </w:p>
    <w:p w14:paraId="62F7902B">
      <w:pPr>
        <w:pStyle w:val="112"/>
      </w:pPr>
      <w:r>
        <w:rPr>
          <w:rFonts w:hint="eastAsia"/>
        </w:rPr>
        <w:t>编制高精度模板板与配件的规格、品种与数量明细表</w:t>
      </w:r>
    </w:p>
    <w:p w14:paraId="42B2EF6E">
      <w:pPr>
        <w:pStyle w:val="112"/>
      </w:pPr>
      <w:r>
        <w:rPr>
          <w:rFonts w:hint="eastAsia"/>
        </w:rPr>
        <w:t>制定技术及安全措施，包括:模板结构安装及拆卸的程序，特殊部位、预埋件及预留孔洞的处理方法，安全措施</w:t>
      </w:r>
    </w:p>
    <w:p w14:paraId="3BF6640F">
      <w:pPr>
        <w:pStyle w:val="112"/>
      </w:pPr>
      <w:r>
        <w:rPr>
          <w:rFonts w:hint="eastAsia"/>
        </w:rPr>
        <w:t>制定高精度模板板及配件的周转使用方式与计划</w:t>
      </w:r>
    </w:p>
    <w:p w14:paraId="545839B3">
      <w:pPr>
        <w:pStyle w:val="112"/>
      </w:pPr>
      <w:r>
        <w:rPr>
          <w:rFonts w:hint="eastAsia"/>
        </w:rPr>
        <w:t>编写模板工程施工方案</w:t>
      </w:r>
    </w:p>
    <w:p w14:paraId="185FCA15">
      <w:pPr>
        <w:pStyle w:val="110"/>
      </w:pPr>
      <w:r>
        <w:rPr>
          <w:rFonts w:hint="eastAsia"/>
        </w:rPr>
        <w:t>高精度模板承受的荷载应根据现行国家标准《混凝土结构工程施工质量验收规范》和《建筑施工模板安全技术规范》的有关规定进行计算。</w:t>
      </w:r>
    </w:p>
    <w:p w14:paraId="68396E5D">
      <w:pPr>
        <w:pStyle w:val="119"/>
      </w:pPr>
      <w:bookmarkStart w:id="40" w:name="_Toc136956833"/>
      <w:r>
        <w:rPr>
          <w:rFonts w:hint="eastAsia"/>
        </w:rPr>
        <w:t>模板工程的设计</w:t>
      </w:r>
      <w:bookmarkEnd w:id="40"/>
    </w:p>
    <w:p w14:paraId="37534D2E">
      <w:pPr>
        <w:pStyle w:val="110"/>
      </w:pPr>
      <w:r>
        <w:rPr>
          <w:rFonts w:hint="eastAsia"/>
        </w:rPr>
        <w:t>模板工程施工前，应根据结构施工图，模板工程施工前，应根据结构施工图，编制模板工程施工设计， 列入工程项目的施工组织设计。</w:t>
      </w:r>
    </w:p>
    <w:p w14:paraId="478C1C50">
      <w:pPr>
        <w:pStyle w:val="110"/>
      </w:pPr>
      <w:r>
        <w:rPr>
          <w:rFonts w:hint="eastAsia"/>
        </w:rPr>
        <w:t>高精度模板模板承受的荷载应根据现行国家标准《混凝土结构工程施工质量验收规范》GB 50204和《建筑施工模板安全技术规范》JGJ162的有关规定进行计算。</w:t>
      </w:r>
    </w:p>
    <w:p w14:paraId="22FF5880">
      <w:pPr>
        <w:pStyle w:val="110"/>
      </w:pPr>
      <w:r>
        <w:rPr>
          <w:rFonts w:hint="eastAsia"/>
        </w:rPr>
        <w:t>组成高精度模板系统的高精度模板板、钢背楞和单支顶柱应采用组合荷载验算其刚度，其容许挠度应符施工</w:t>
      </w:r>
      <w:r>
        <w:t>及规范规定。</w:t>
      </w:r>
    </w:p>
    <w:p w14:paraId="7939B934">
      <w:pPr>
        <w:pStyle w:val="110"/>
      </w:pPr>
      <w:r>
        <w:rPr>
          <w:rFonts w:hint="eastAsia"/>
        </w:rPr>
        <w:t>钢背楞所用矩形钢管的强度设计值应根据现行国家标准《冷弯薄壁型钢结构技术规范》GB 50018的有关规定取用；强度设计值不应提高。</w:t>
      </w:r>
    </w:p>
    <w:p w14:paraId="1FCB6D33">
      <w:pPr>
        <w:pStyle w:val="110"/>
      </w:pPr>
      <w:r>
        <w:t>当验算模板及支承系统在自重与风荷载作用下抗倾覆的稳定性时，抗倾覆系数</w:t>
      </w:r>
      <w:r>
        <w:rPr>
          <w:rFonts w:hint="eastAsia"/>
        </w:rPr>
        <w:t>不应小于1.15。风荷载应根据现行国家标准《建筑结构荷载规范》GB50009的有关规定。</w:t>
      </w:r>
    </w:p>
    <w:p w14:paraId="53C3561A">
      <w:pPr>
        <w:pStyle w:val="110"/>
      </w:pPr>
      <w:r>
        <w:rPr>
          <w:rFonts w:hint="eastAsia"/>
        </w:rPr>
        <w:t>高精度模板板的配板，应根据配模面的形状和尺寸，以及支撑形式而确定。高精度模板板的配板，应根据配模面的形状和尺寸，以及支撑形式而确定。有特殊构造时，应加以标明并出详细加工图。</w:t>
      </w:r>
    </w:p>
    <w:p w14:paraId="60939E8A">
      <w:pPr>
        <w:pStyle w:val="110"/>
      </w:pPr>
      <w:r>
        <w:rPr>
          <w:rFonts w:hint="eastAsia"/>
        </w:rPr>
        <w:t>预埋件和预留孔的位置，应在配板图上标明，并注明其固定方法。</w:t>
      </w:r>
    </w:p>
    <w:p w14:paraId="0D6974BD">
      <w:pPr>
        <w:pStyle w:val="119"/>
      </w:pPr>
      <w:bookmarkStart w:id="41" w:name="_Toc136956834"/>
      <w:r>
        <w:rPr>
          <w:rFonts w:hint="eastAsia"/>
        </w:rPr>
        <w:t>模板工程的施工</w:t>
      </w:r>
      <w:bookmarkEnd w:id="41"/>
    </w:p>
    <w:p w14:paraId="7A8CF873">
      <w:pPr>
        <w:pStyle w:val="110"/>
      </w:pPr>
      <w:r>
        <w:rPr>
          <w:rFonts w:hint="eastAsia"/>
        </w:rPr>
        <w:t>高精度模板安装前应向施工班组进行技术交底。有关施工操作及操作人员应熟悉施工图及模板工程的施工设计。</w:t>
      </w:r>
    </w:p>
    <w:p w14:paraId="4394EBD9">
      <w:pPr>
        <w:pStyle w:val="110"/>
      </w:pPr>
      <w:r>
        <w:rPr>
          <w:rFonts w:hint="eastAsia"/>
        </w:rPr>
        <w:t>施工现场应有可靠的能满足模板安装和检查需用的测量控制点或控制线。</w:t>
      </w:r>
    </w:p>
    <w:p w14:paraId="57A598B4">
      <w:pPr>
        <w:pStyle w:val="110"/>
      </w:pPr>
      <w:r>
        <w:rPr>
          <w:rFonts w:hint="eastAsia"/>
        </w:rPr>
        <w:t>现场使用的模板及配件应按规格的数量逐项清点和检查。未经修复的部件不得使用。</w:t>
      </w:r>
    </w:p>
    <w:p w14:paraId="6BA81AA4">
      <w:pPr>
        <w:pStyle w:val="110"/>
      </w:pPr>
      <w:r>
        <w:rPr>
          <w:rFonts w:hint="eastAsia"/>
        </w:rPr>
        <w:t>采用预组装模板施工时，模板的预组装应在组装平台或经平整处理过的场地上进行。</w:t>
      </w:r>
    </w:p>
    <w:p w14:paraId="07EF0248">
      <w:pPr>
        <w:pStyle w:val="110"/>
      </w:pPr>
      <w:r>
        <w:rPr>
          <w:rFonts w:hint="eastAsia"/>
        </w:rPr>
        <w:t>经检查合格的模板，应按照安装程序进行堆放和装车。平行叠放时应稳当妥贴，避免碰撞，每层之间应加垫木，模板与垫木应上下对齐，底层模板应垫离地面不小于10cm。立放时，必须采取措施，防止倾倒并保证稳定，平装运输时，应整堆捆紧，防止摇晃摩擦。</w:t>
      </w:r>
    </w:p>
    <w:p w14:paraId="29DEDAD1">
      <w:pPr>
        <w:pStyle w:val="110"/>
      </w:pPr>
      <w:r>
        <w:rPr>
          <w:rFonts w:hint="eastAsia"/>
        </w:rPr>
        <w:t>模板安装时，应做好下列准备工作：</w:t>
      </w:r>
    </w:p>
    <w:p w14:paraId="5F42D728">
      <w:pPr>
        <w:pStyle w:val="112"/>
      </w:pPr>
      <w:r>
        <w:rPr>
          <w:rFonts w:hint="eastAsia"/>
        </w:rPr>
        <w:t>应检查楼面的平整度，尤其是剪力墙、柱子定位处的平整度，必须控制在5mm以内，超过的部分必须采用打凿的方式进行处理。竖向模板的安装底面应平整坚实，清理干净，并采取可靠的定位措施。</w:t>
      </w:r>
    </w:p>
    <w:p w14:paraId="570E2278">
      <w:pPr>
        <w:pStyle w:val="112"/>
      </w:pPr>
      <w:r>
        <w:rPr>
          <w:rFonts w:hint="eastAsia"/>
        </w:rPr>
        <w:t>竖向模板应按施工设计要求预埋支承锚固件，防止发生偏位。</w:t>
      </w:r>
    </w:p>
    <w:p w14:paraId="16138CE0">
      <w:pPr>
        <w:pStyle w:val="112"/>
      </w:pPr>
      <w:r>
        <w:rPr>
          <w:rFonts w:hint="eastAsia"/>
        </w:rPr>
        <w:t>在剪力墙端部沿高度方向每隔1000mm设置1根直径8mm、宽度与剪力墙截面尺寸一致的定位水平钢筋焊接挡条，以此来控制保护层以及截面尺寸。</w:t>
      </w:r>
    </w:p>
    <w:p w14:paraId="3FE96C0F">
      <w:pPr>
        <w:pStyle w:val="112"/>
      </w:pPr>
      <w:r>
        <w:rPr>
          <w:rFonts w:hint="eastAsia"/>
        </w:rPr>
        <w:t>模板在安装之前，应涂刷脱模剂，且脱模剂应按照使用说明书进行涂刷，严禁超刷或漏刷；严禁在模板表面涂刷废机油。</w:t>
      </w:r>
    </w:p>
    <w:p w14:paraId="46E6381E">
      <w:pPr>
        <w:pStyle w:val="112"/>
      </w:pPr>
      <w:r>
        <w:rPr>
          <w:rFonts w:hint="eastAsia"/>
        </w:rPr>
        <w:t>模板在安装之前应按照设计图纸，在楼面高精度模板上预留测量放线口、混凝土泵管孔等，为后续施工提供便捷。</w:t>
      </w:r>
    </w:p>
    <w:p w14:paraId="677C486E">
      <w:pPr>
        <w:pStyle w:val="112"/>
      </w:pPr>
      <w:r>
        <w:rPr>
          <w:rFonts w:hint="eastAsia"/>
        </w:rPr>
        <w:t>根据施工需要，高精度模板安装时可按照深化设计图纸，在楼板上面预留向上传递的高精度模板洞口。若标准层有可供传递的位置，则不需要设置传递洞口。传递洞口严禁预留在卫生间、厨房、阳台、露台等有水部位，以防止渗漏风险。</w:t>
      </w:r>
    </w:p>
    <w:p w14:paraId="667B1CEF">
      <w:pPr>
        <w:pStyle w:val="112"/>
      </w:pPr>
      <w:r>
        <w:rPr>
          <w:rFonts w:hint="eastAsia"/>
        </w:rPr>
        <w:t>混凝土竖向泵管须逐层采用钢架牢固固定在下层楼面上，施工层泵管禁止接触高精度模板板。</w:t>
      </w:r>
    </w:p>
    <w:p w14:paraId="1D9D9C1C">
      <w:pPr>
        <w:pStyle w:val="112"/>
      </w:pPr>
      <w:r>
        <w:rPr>
          <w:rFonts w:hint="eastAsia"/>
        </w:rPr>
        <w:t>混凝土布料机底座禁止直接置于高精度模板板上，必须通过钢架固定在下面3层楼面上，布料机支架禁止接触。</w:t>
      </w:r>
    </w:p>
    <w:p w14:paraId="268D0F58">
      <w:pPr>
        <w:pStyle w:val="110"/>
      </w:pPr>
      <w:r>
        <w:rPr>
          <w:rFonts w:hint="eastAsia"/>
        </w:rPr>
        <w:t>对于模板安装的起拱、支摸的方法、预埋件和预留孔的允许偏差、预组装模板安装的允许偏差，以及预制构件模板安装的允许偏差等事项均需按照国家标准《混凝土结构工程施工及验收规范》GB 50204的有关规定办理。</w:t>
      </w:r>
    </w:p>
    <w:p w14:paraId="4E4ABF30">
      <w:pPr>
        <w:pStyle w:val="110"/>
      </w:pPr>
      <w:r>
        <w:rPr>
          <w:rFonts w:hint="eastAsia"/>
        </w:rPr>
        <w:t>模板工程安装完毕，必须经检查验收校核无误后，方可进行下道工序， 混凝土的浇筑必须按照现行国家标准《混凝土结构工程施工及验收规范》GB 50204的有关规定办理。</w:t>
      </w:r>
    </w:p>
    <w:p w14:paraId="7F19994D">
      <w:pPr>
        <w:pStyle w:val="110"/>
      </w:pPr>
      <w:r>
        <w:rPr>
          <w:rFonts w:hint="eastAsia"/>
        </w:rPr>
        <w:t>固定在模板上的预埋件、预留孔和预留洞均不得遗漏，且应安装牢固。</w:t>
      </w:r>
    </w:p>
    <w:p w14:paraId="62C3A137">
      <w:pPr>
        <w:pStyle w:val="119"/>
      </w:pPr>
      <w:bookmarkStart w:id="42" w:name="_Toc136956835"/>
      <w:r>
        <w:rPr>
          <w:rFonts w:hint="eastAsia"/>
        </w:rPr>
        <w:t>安全要求</w:t>
      </w:r>
      <w:bookmarkEnd w:id="42"/>
    </w:p>
    <w:p w14:paraId="7146CFFC">
      <w:pPr>
        <w:pStyle w:val="110"/>
      </w:pPr>
      <w:r>
        <w:rPr>
          <w:rFonts w:hint="eastAsia"/>
        </w:rPr>
        <w:t>在高精度模板上架设的电线和使用的电动工具，应采用36V的低压电源或采取其他有效的安全措施。</w:t>
      </w:r>
    </w:p>
    <w:p w14:paraId="5C735BB6">
      <w:pPr>
        <w:pStyle w:val="110"/>
      </w:pPr>
      <w:r>
        <w:rPr>
          <w:rFonts w:hint="eastAsia"/>
        </w:rPr>
        <w:t>登高作业时，连接件必须放在箱盒或工具袋中，严禁放在模板或脚手板上，扳手等各类工具必须系挂在身上或置放于工具袋内，不得掉落。</w:t>
      </w:r>
    </w:p>
    <w:p w14:paraId="64E3A53C">
      <w:pPr>
        <w:pStyle w:val="110"/>
      </w:pPr>
      <w:r>
        <w:rPr>
          <w:rFonts w:hint="eastAsia"/>
        </w:rPr>
        <w:t>模板用于高层建筑施工时，应有防雷击措施。</w:t>
      </w:r>
    </w:p>
    <w:p w14:paraId="6555301F">
      <w:pPr>
        <w:pStyle w:val="110"/>
      </w:pPr>
      <w:r>
        <w:rPr>
          <w:rFonts w:hint="eastAsia"/>
        </w:rPr>
        <w:t>高空作业人员严禁攀登模板或单支顶上下，也不得在高空的墙顶、独立梁及其模板等上面行走。</w:t>
      </w:r>
    </w:p>
    <w:p w14:paraId="0ED3B1B8">
      <w:pPr>
        <w:pStyle w:val="110"/>
      </w:pPr>
      <w:r>
        <w:rPr>
          <w:rFonts w:hint="eastAsia"/>
        </w:rPr>
        <w:t>模板装拆时，上下应有人接应，模板应随装拆随转运，不得堆放在脚手架上，严禁抛掷踩撞，若中途停歇，必须把活动部件固定牢靠。</w:t>
      </w:r>
    </w:p>
    <w:p w14:paraId="6CC50547">
      <w:pPr>
        <w:pStyle w:val="110"/>
      </w:pPr>
      <w:r>
        <w:rPr>
          <w:rFonts w:hint="eastAsia"/>
        </w:rPr>
        <w:t>装拆模板，必须有稳固的登高工具或脚手架，高度超过3.5m时，必须搭设脚手架。装拆过程中，除操作人员外，下面不得站人，高处作业时，操作人员应佩带安全带。</w:t>
      </w:r>
    </w:p>
    <w:p w14:paraId="47898985">
      <w:pPr>
        <w:pStyle w:val="110"/>
      </w:pPr>
      <w:r>
        <w:rPr>
          <w:rFonts w:hint="eastAsia"/>
        </w:rPr>
        <w:t>安装墙、柱模板时，应随时支撑固定，防止倾覆。</w:t>
      </w:r>
    </w:p>
    <w:p w14:paraId="359D91D6">
      <w:pPr>
        <w:pStyle w:val="110"/>
      </w:pPr>
      <w:r>
        <w:rPr>
          <w:rFonts w:hint="eastAsia"/>
        </w:rPr>
        <w:t>模板的预留孔洞、电梯井口等处，应加盖或设置防护栏，必要时应在洞口处设置安全网。</w:t>
      </w:r>
    </w:p>
    <w:p w14:paraId="7FA2CAE7">
      <w:pPr>
        <w:pStyle w:val="110"/>
      </w:pPr>
      <w:r>
        <w:rPr>
          <w:rFonts w:hint="eastAsia"/>
        </w:rPr>
        <w:t>安装预组成片模板时，应边就位、边校正和安设连接件，并加设临时支撑稳固。</w:t>
      </w:r>
    </w:p>
    <w:p w14:paraId="484D37B7">
      <w:pPr>
        <w:pStyle w:val="110"/>
      </w:pPr>
      <w:r>
        <w:rPr>
          <w:rFonts w:hint="eastAsia"/>
        </w:rPr>
        <w:t>拆除承重模板时，为避免突然整块坍落，必要时应先设立临时支撑点，然后进行拆卸。</w:t>
      </w:r>
    </w:p>
    <w:p w14:paraId="3C0F14A2">
      <w:pPr>
        <w:pStyle w:val="119"/>
      </w:pPr>
      <w:bookmarkStart w:id="43" w:name="_Toc136956836"/>
      <w:r>
        <w:rPr>
          <w:rFonts w:hint="eastAsia"/>
        </w:rPr>
        <w:t>模板验收</w:t>
      </w:r>
      <w:bookmarkEnd w:id="43"/>
    </w:p>
    <w:p w14:paraId="6F55C92D">
      <w:pPr>
        <w:pStyle w:val="110"/>
      </w:pPr>
      <w:r>
        <w:rPr>
          <w:rFonts w:hint="eastAsia"/>
        </w:rPr>
        <w:t>高精度模板板及配件进场后，应按其产品质量验收标准进行验收，包括单件检验和组装检验，验收合格后方可用于工程中。</w:t>
      </w:r>
    </w:p>
    <w:p w14:paraId="61A11BA2">
      <w:pPr>
        <w:pStyle w:val="110"/>
      </w:pPr>
      <w:r>
        <w:rPr>
          <w:rFonts w:hint="eastAsia"/>
        </w:rPr>
        <w:t>高精度模板工程安装过程中，应进行质量检查和验收，检查下列内容:</w:t>
      </w:r>
    </w:p>
    <w:p w14:paraId="7CDD0A40">
      <w:pPr>
        <w:pStyle w:val="112"/>
      </w:pPr>
      <w:r>
        <w:rPr>
          <w:rFonts w:hint="eastAsia"/>
        </w:rPr>
        <w:t>高精度模板的布置和施工顺序。</w:t>
      </w:r>
    </w:p>
    <w:p w14:paraId="01823FF9">
      <w:pPr>
        <w:pStyle w:val="112"/>
      </w:pPr>
      <w:r>
        <w:rPr>
          <w:rFonts w:hint="eastAsia"/>
        </w:rPr>
        <w:t>连接件及支承件的规格与数量、质量和紧固情况。</w:t>
      </w:r>
    </w:p>
    <w:p w14:paraId="067EED64">
      <w:pPr>
        <w:pStyle w:val="112"/>
      </w:pPr>
      <w:r>
        <w:rPr>
          <w:rFonts w:hint="eastAsia"/>
        </w:rPr>
        <w:t>支承着力点和模板结构整体稳定性。</w:t>
      </w:r>
    </w:p>
    <w:p w14:paraId="53763354">
      <w:pPr>
        <w:pStyle w:val="112"/>
      </w:pPr>
      <w:r>
        <w:rPr>
          <w:rFonts w:hint="eastAsia"/>
        </w:rPr>
        <w:t>模板轴线位置和标高。</w:t>
      </w:r>
    </w:p>
    <w:p w14:paraId="509441BD">
      <w:pPr>
        <w:pStyle w:val="112"/>
      </w:pPr>
      <w:r>
        <w:rPr>
          <w:rFonts w:hint="eastAsia"/>
        </w:rPr>
        <w:t>竖向模板的垂直度和横向模板的侧向弯曲度。</w:t>
      </w:r>
    </w:p>
    <w:p w14:paraId="12F7CF5A">
      <w:pPr>
        <w:pStyle w:val="112"/>
      </w:pPr>
      <w:r>
        <w:rPr>
          <w:rFonts w:hint="eastAsia"/>
        </w:rPr>
        <w:t>模板的拼缝宽度和高低差。</w:t>
      </w:r>
    </w:p>
    <w:p w14:paraId="06E02D23">
      <w:pPr>
        <w:pStyle w:val="112"/>
      </w:pPr>
      <w:r>
        <w:rPr>
          <w:rFonts w:hint="eastAsia"/>
        </w:rPr>
        <w:t>预埋件和预留孔洞的位置、规格、数量及固定情况。</w:t>
      </w:r>
    </w:p>
    <w:p w14:paraId="31FE2171">
      <w:pPr>
        <w:pStyle w:val="110"/>
      </w:pPr>
      <w:r>
        <w:rPr>
          <w:rFonts w:hint="eastAsia"/>
        </w:rPr>
        <w:t>整体式结构模板安装的质量检查，除根据现行国家标准《钢结构工程施工质量验收规范》GB 50205的有关规定执行外，尚应检查下列内容：</w:t>
      </w:r>
    </w:p>
    <w:p w14:paraId="704C962E">
      <w:pPr>
        <w:pStyle w:val="112"/>
      </w:pPr>
      <w:r>
        <w:rPr>
          <w:rFonts w:hint="eastAsia"/>
        </w:rPr>
        <w:t>扣件规格与对拉螺栓、钢背楞的配套和紧固情况。</w:t>
      </w:r>
    </w:p>
    <w:p w14:paraId="47F28B8D">
      <w:pPr>
        <w:pStyle w:val="112"/>
      </w:pPr>
      <w:r>
        <w:rPr>
          <w:rFonts w:hint="eastAsia"/>
        </w:rPr>
        <w:t>支柱、斜撑的数量和着力点。</w:t>
      </w:r>
    </w:p>
    <w:p w14:paraId="2BB7692F">
      <w:pPr>
        <w:pStyle w:val="112"/>
      </w:pPr>
      <w:r>
        <w:rPr>
          <w:rFonts w:hint="eastAsia"/>
        </w:rPr>
        <w:t>对接螺栓、钢楞与支柱的间距。</w:t>
      </w:r>
    </w:p>
    <w:p w14:paraId="69904CD3">
      <w:pPr>
        <w:pStyle w:val="112"/>
      </w:pPr>
      <w:r>
        <w:rPr>
          <w:rFonts w:hint="eastAsia"/>
        </w:rPr>
        <w:t>各种预埋件和预留孔的位置准确性和固定情况。</w:t>
      </w:r>
    </w:p>
    <w:p w14:paraId="71591883">
      <w:pPr>
        <w:pStyle w:val="112"/>
      </w:pPr>
      <w:r>
        <w:rPr>
          <w:rFonts w:hint="eastAsia"/>
        </w:rPr>
        <w:t>模板结构的整体稳定。</w:t>
      </w:r>
    </w:p>
    <w:p w14:paraId="1D27AC9C">
      <w:pPr>
        <w:pStyle w:val="112"/>
      </w:pPr>
      <w:r>
        <w:rPr>
          <w:rFonts w:hint="eastAsia"/>
        </w:rPr>
        <w:t>有关安全措施。</w:t>
      </w:r>
    </w:p>
    <w:p w14:paraId="2421ECC1">
      <w:pPr>
        <w:pStyle w:val="112"/>
      </w:pPr>
      <w:r>
        <w:rPr>
          <w:rFonts w:hint="eastAsia"/>
        </w:rPr>
        <w:t>高精度模板板的详细计算书。</w:t>
      </w:r>
    </w:p>
    <w:p w14:paraId="07E95E2A">
      <w:pPr>
        <w:pStyle w:val="110"/>
      </w:pPr>
      <w:r>
        <w:rPr>
          <w:rFonts w:hint="eastAsia"/>
        </w:rPr>
        <w:t>模板工程验收时,应提供下列文件:</w:t>
      </w:r>
    </w:p>
    <w:p w14:paraId="66B0C11F">
      <w:pPr>
        <w:pStyle w:val="112"/>
      </w:pPr>
      <w:r>
        <w:rPr>
          <w:rFonts w:hint="eastAsia"/>
        </w:rPr>
        <w:t>模板工程的施工设计或有关模板深化设计图纸。</w:t>
      </w:r>
    </w:p>
    <w:p w14:paraId="5FDA0316">
      <w:pPr>
        <w:pStyle w:val="112"/>
      </w:pPr>
      <w:r>
        <w:rPr>
          <w:rFonts w:hint="eastAsia"/>
        </w:rPr>
        <w:t>模板工程质量检查记录及验收记录。</w:t>
      </w:r>
    </w:p>
    <w:p w14:paraId="36131024">
      <w:pPr>
        <w:pStyle w:val="112"/>
      </w:pPr>
      <w:r>
        <w:rPr>
          <w:rFonts w:hint="eastAsia"/>
        </w:rPr>
        <w:t>模板工程支模的重大问题及处理记录。</w:t>
      </w:r>
    </w:p>
    <w:p w14:paraId="749860D4">
      <w:pPr>
        <w:pStyle w:val="112"/>
      </w:pPr>
      <w:r>
        <w:rPr>
          <w:rFonts w:hint="eastAsia"/>
        </w:rPr>
        <w:t>高精度模板板系统详细的结构计算书。</w:t>
      </w:r>
    </w:p>
    <w:p w14:paraId="4A991E8C">
      <w:pPr>
        <w:pStyle w:val="119"/>
      </w:pPr>
      <w:bookmarkStart w:id="44" w:name="_Toc136956837"/>
      <w:r>
        <w:rPr>
          <w:rFonts w:hint="eastAsia"/>
        </w:rPr>
        <w:t>混凝土质量验收</w:t>
      </w:r>
      <w:bookmarkEnd w:id="44"/>
    </w:p>
    <w:p w14:paraId="71CFCE3F">
      <w:pPr>
        <w:pStyle w:val="110"/>
      </w:pPr>
      <w:r>
        <w:rPr>
          <w:rFonts w:hint="eastAsia"/>
        </w:rPr>
        <w:t>高精度模板板系统的混凝土工程的施工和验收应按《混凝土结构工程施工质量验收规范》、</w:t>
      </w:r>
      <w:r>
        <w:t>《</w:t>
      </w:r>
      <w:r>
        <w:rPr>
          <w:rFonts w:hint="eastAsia"/>
        </w:rPr>
        <w:t>清水混凝土</w:t>
      </w:r>
      <w:r>
        <w:t>应用技术规程》</w:t>
      </w:r>
      <w:r>
        <w:rPr>
          <w:rFonts w:hint="eastAsia"/>
        </w:rPr>
        <w:t>的有关规定</w:t>
      </w:r>
      <w:r>
        <w:t>执行。</w:t>
      </w:r>
      <w:r>
        <w:rPr>
          <w:rFonts w:hint="eastAsia"/>
        </w:rPr>
        <w:t>承建商</w:t>
      </w:r>
      <w:r>
        <w:t>应</w:t>
      </w:r>
      <w:r>
        <w:rPr>
          <w:rFonts w:hint="eastAsia"/>
        </w:rPr>
        <w:t>知晓</w:t>
      </w:r>
      <w:r>
        <w:t>混凝土质量是保证</w:t>
      </w:r>
      <w:r>
        <w:rPr>
          <w:rFonts w:hint="eastAsia"/>
        </w:rPr>
        <w:t>施工“</w:t>
      </w:r>
      <w:r>
        <w:t>免抹灰</w:t>
      </w:r>
      <w:r>
        <w:rPr>
          <w:rFonts w:hint="eastAsia"/>
        </w:rPr>
        <w:t>”</w:t>
      </w:r>
      <w:r>
        <w:t>的前提</w:t>
      </w:r>
      <w:r>
        <w:rPr>
          <w:rFonts w:hint="eastAsia"/>
        </w:rPr>
        <w:t>。</w:t>
      </w:r>
    </w:p>
    <w:p w14:paraId="068AD393">
      <w:pPr>
        <w:pStyle w:val="110"/>
      </w:pPr>
      <w:r>
        <w:rPr>
          <w:rFonts w:hint="eastAsia"/>
        </w:rPr>
        <w:t>外观质量</w:t>
      </w:r>
      <w:r>
        <w:t>：</w:t>
      </w:r>
    </w:p>
    <w:p w14:paraId="0F7BBDCA">
      <w:pPr>
        <w:pStyle w:val="112"/>
      </w:pPr>
      <w:r>
        <w:rPr>
          <w:rFonts w:hint="eastAsia"/>
        </w:rPr>
        <w:t>主控项目</w:t>
      </w:r>
    </w:p>
    <w:p w14:paraId="0945F56C">
      <w:pPr>
        <w:pStyle w:val="112"/>
        <w:numPr>
          <w:ilvl w:val="0"/>
          <w:numId w:val="0"/>
        </w:numPr>
        <w:ind w:left="964"/>
      </w:pPr>
      <w:r>
        <w:rPr>
          <w:rFonts w:hint="eastAsia"/>
        </w:rPr>
        <w:t>1.1混凝土结构的外观质量不应有严重缺陷。</w:t>
      </w:r>
    </w:p>
    <w:p w14:paraId="1D058972">
      <w:pPr>
        <w:pStyle w:val="112"/>
        <w:numPr>
          <w:ilvl w:val="0"/>
          <w:numId w:val="0"/>
        </w:numPr>
        <w:ind w:left="964"/>
      </w:pPr>
      <w:r>
        <w:t>1.2</w:t>
      </w:r>
      <w:r>
        <w:rPr>
          <w:rFonts w:hint="eastAsia"/>
        </w:rPr>
        <w:t>对已出现的严重缺陷,应由施工单位提出技术处理方案,并经监理(建设)单位认可后进行处理。对经处理的部位,应重新检查验收。</w:t>
      </w:r>
    </w:p>
    <w:p w14:paraId="5557B308">
      <w:pPr>
        <w:pStyle w:val="112"/>
        <w:numPr>
          <w:ilvl w:val="0"/>
          <w:numId w:val="0"/>
        </w:numPr>
        <w:ind w:left="964"/>
      </w:pPr>
      <w:r>
        <w:rPr>
          <w:rFonts w:hint="eastAsia"/>
        </w:rPr>
        <w:t>1.3检查数量:全数检查。</w:t>
      </w:r>
    </w:p>
    <w:p w14:paraId="5FCFE8FA">
      <w:pPr>
        <w:pStyle w:val="112"/>
        <w:numPr>
          <w:ilvl w:val="0"/>
          <w:numId w:val="0"/>
        </w:numPr>
        <w:ind w:left="964"/>
      </w:pPr>
      <w:r>
        <w:rPr>
          <w:rFonts w:hint="eastAsia"/>
        </w:rPr>
        <w:t>1.4检验方法:观察,对照技术处理方案检查。</w:t>
      </w:r>
    </w:p>
    <w:p w14:paraId="5EF445CE">
      <w:pPr>
        <w:pStyle w:val="112"/>
      </w:pPr>
      <w:r>
        <w:rPr>
          <w:rFonts w:hint="eastAsia"/>
        </w:rPr>
        <w:t>一般项目</w:t>
      </w:r>
    </w:p>
    <w:p w14:paraId="10AB6194">
      <w:pPr>
        <w:pStyle w:val="112"/>
        <w:numPr>
          <w:ilvl w:val="0"/>
          <w:numId w:val="0"/>
        </w:numPr>
        <w:ind w:left="964"/>
      </w:pPr>
      <w:r>
        <w:rPr>
          <w:rFonts w:hint="eastAsia"/>
        </w:rPr>
        <w:t>2.1混凝土结构的外观质量不宜有一般缺陷。</w:t>
      </w:r>
    </w:p>
    <w:p w14:paraId="2D64DF20">
      <w:pPr>
        <w:pStyle w:val="112"/>
        <w:numPr>
          <w:ilvl w:val="0"/>
          <w:numId w:val="0"/>
        </w:numPr>
        <w:ind w:left="964"/>
      </w:pPr>
      <w:r>
        <w:t>2</w:t>
      </w:r>
      <w:r>
        <w:rPr>
          <w:rFonts w:hint="eastAsia"/>
        </w:rPr>
        <w:t>．2对已出现的一般缺陷,应由施工单位提出技术处理方案进行处理, 并重新检查验收。</w:t>
      </w:r>
    </w:p>
    <w:p w14:paraId="7870C672">
      <w:pPr>
        <w:pStyle w:val="112"/>
        <w:numPr>
          <w:ilvl w:val="0"/>
          <w:numId w:val="0"/>
        </w:numPr>
        <w:ind w:left="964"/>
      </w:pPr>
      <w:r>
        <w:rPr>
          <w:rFonts w:hint="eastAsia"/>
        </w:rPr>
        <w:t>2.3检查数量:全数检查。</w:t>
      </w:r>
    </w:p>
    <w:p w14:paraId="4BD29EF9">
      <w:pPr>
        <w:pStyle w:val="112"/>
        <w:numPr>
          <w:ilvl w:val="0"/>
          <w:numId w:val="0"/>
        </w:numPr>
        <w:ind w:left="964"/>
      </w:pPr>
      <w:r>
        <w:rPr>
          <w:rFonts w:hint="eastAsia"/>
        </w:rPr>
        <w:t>2.4检验方法:观察,对照技术处理方案检查。</w:t>
      </w:r>
    </w:p>
    <w:p w14:paraId="11EB1F72">
      <w:pPr>
        <w:pStyle w:val="110"/>
      </w:pPr>
      <w:r>
        <w:rPr>
          <w:rFonts w:hint="eastAsia"/>
        </w:rPr>
        <w:t>尺寸</w:t>
      </w:r>
      <w:r>
        <w:t>偏差</w:t>
      </w:r>
    </w:p>
    <w:p w14:paraId="79AC08F5">
      <w:pPr>
        <w:pStyle w:val="112"/>
      </w:pPr>
      <w:r>
        <w:rPr>
          <w:rFonts w:hint="eastAsia"/>
        </w:rPr>
        <w:t>主控项目</w:t>
      </w:r>
    </w:p>
    <w:p w14:paraId="27898027">
      <w:pPr>
        <w:pStyle w:val="112"/>
        <w:numPr>
          <w:ilvl w:val="0"/>
          <w:numId w:val="0"/>
        </w:numPr>
        <w:ind w:left="964"/>
      </w:pPr>
      <w:r>
        <w:rPr>
          <w:rFonts w:hint="eastAsia"/>
        </w:rPr>
        <w:t>1.1现浇结构不应有影响结构性能、使用功能果的尺寸偏差。对超过尺寸允许偏差且影响结构性能和安装 、使用功能的部位,应由施工单位提出技术处理方案,并经监理(建设)单位认可后进行处理。对经处理的部位,应重新检查验收。</w:t>
      </w:r>
    </w:p>
    <w:p w14:paraId="3F98F8F1">
      <w:pPr>
        <w:pStyle w:val="112"/>
        <w:numPr>
          <w:ilvl w:val="0"/>
          <w:numId w:val="0"/>
        </w:numPr>
        <w:ind w:left="964"/>
      </w:pPr>
      <w:r>
        <w:rPr>
          <w:rFonts w:hint="eastAsia"/>
        </w:rPr>
        <w:t>1.2检查数量:全数检查。</w:t>
      </w:r>
    </w:p>
    <w:p w14:paraId="62502CE6">
      <w:pPr>
        <w:pStyle w:val="112"/>
        <w:numPr>
          <w:ilvl w:val="0"/>
          <w:numId w:val="0"/>
        </w:numPr>
        <w:ind w:left="964"/>
      </w:pPr>
      <w:r>
        <w:rPr>
          <w:rFonts w:hint="eastAsia"/>
        </w:rPr>
        <w:t>1.3检验方法:观察,对照技术处理方案检查。</w:t>
      </w:r>
    </w:p>
    <w:p w14:paraId="23337889">
      <w:pPr>
        <w:pStyle w:val="112"/>
      </w:pPr>
      <w:r>
        <w:rPr>
          <w:rFonts w:hint="eastAsia"/>
        </w:rPr>
        <w:t>一般项目</w:t>
      </w:r>
    </w:p>
    <w:p w14:paraId="14A1DDFE">
      <w:pPr>
        <w:pStyle w:val="112"/>
        <w:numPr>
          <w:ilvl w:val="0"/>
          <w:numId w:val="0"/>
        </w:numPr>
        <w:ind w:left="964"/>
      </w:pPr>
      <w:r>
        <w:t>2</w:t>
      </w:r>
      <w:r>
        <w:rPr>
          <w:rFonts w:hint="eastAsia"/>
        </w:rPr>
        <w:t>.1现浇结构拆模后的尺寸偏差应符合规范的规定。</w:t>
      </w:r>
    </w:p>
    <w:p w14:paraId="578F0A87">
      <w:pPr>
        <w:pStyle w:val="112"/>
        <w:numPr>
          <w:ilvl w:val="0"/>
          <w:numId w:val="0"/>
        </w:numPr>
        <w:ind w:left="964"/>
      </w:pPr>
      <w:r>
        <w:t>2.2</w:t>
      </w:r>
      <w:r>
        <w:rPr>
          <w:rFonts w:hint="eastAsia"/>
        </w:rPr>
        <w:t>检查数量:按楼层、结构缝或施工段划分检验批。在同一检验批内, 对梁、柱和独立基础,应抽查构件数量的10%,且不少于3件；对墙和板，应按有代表性的自然间抽查10%,且不少于3间；对大空间结构, 墙可按相邻轴线间高度5m左右划分检查面,板可按纵、横轴线划分检查面, 抽查10%,且均不少于3面；对电梯井,应全数检查。</w:t>
      </w:r>
    </w:p>
    <w:p w14:paraId="27673E53">
      <w:pPr>
        <w:pStyle w:val="112"/>
        <w:numPr>
          <w:ilvl w:val="0"/>
          <w:numId w:val="0"/>
        </w:numPr>
        <w:ind w:left="964"/>
      </w:pPr>
      <w:r>
        <w:rPr>
          <w:rFonts w:hint="eastAsia"/>
        </w:rPr>
        <w:t>2.3当现浇结构按免除抹灰的要求施工时,对现浇钢筋混凝土结构的验收参照表（1）进行验收,对预埋件和预留洞口的验收参照表（2）进行。</w:t>
      </w:r>
    </w:p>
    <w:p w14:paraId="59A6C813">
      <w:pPr>
        <w:pStyle w:val="112"/>
        <w:numPr>
          <w:ilvl w:val="0"/>
          <w:numId w:val="0"/>
        </w:numPr>
        <w:ind w:left="964"/>
        <w:jc w:val="center"/>
      </w:pPr>
      <w:r>
        <w:rPr>
          <w:rFonts w:hint="eastAsia"/>
        </w:rPr>
        <w:t>表（1）高精度模板砼工程质量标准</w:t>
      </w:r>
    </w:p>
    <w:tbl>
      <w:tblPr>
        <w:tblStyle w:val="37"/>
        <w:tblW w:w="7480" w:type="dxa"/>
        <w:jc w:val="center"/>
        <w:tblLayout w:type="autofit"/>
        <w:tblCellMar>
          <w:top w:w="0" w:type="dxa"/>
          <w:left w:w="108" w:type="dxa"/>
          <w:bottom w:w="0" w:type="dxa"/>
          <w:right w:w="108" w:type="dxa"/>
        </w:tblCellMar>
      </w:tblPr>
      <w:tblGrid>
        <w:gridCol w:w="1701"/>
        <w:gridCol w:w="1039"/>
        <w:gridCol w:w="1400"/>
        <w:gridCol w:w="3340"/>
      </w:tblGrid>
      <w:tr w14:paraId="36BF4F31">
        <w:tblPrEx>
          <w:tblCellMar>
            <w:top w:w="0" w:type="dxa"/>
            <w:left w:w="108" w:type="dxa"/>
            <w:bottom w:w="0" w:type="dxa"/>
            <w:right w:w="108" w:type="dxa"/>
          </w:tblCellMar>
        </w:tblPrEx>
        <w:trPr>
          <w:trHeight w:val="576" w:hRule="atLeast"/>
          <w:jc w:val="center"/>
        </w:trPr>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CB6D7DA">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检查项目</w:t>
            </w:r>
          </w:p>
        </w:tc>
        <w:tc>
          <w:tcPr>
            <w:tcW w:w="1400" w:type="dxa"/>
            <w:tcBorders>
              <w:top w:val="single" w:color="auto" w:sz="4" w:space="0"/>
              <w:left w:val="nil"/>
              <w:bottom w:val="single" w:color="auto" w:sz="4" w:space="0"/>
              <w:right w:val="single" w:color="auto" w:sz="4" w:space="0"/>
            </w:tcBorders>
            <w:shd w:val="clear" w:color="auto" w:fill="auto"/>
            <w:vAlign w:val="center"/>
          </w:tcPr>
          <w:p w14:paraId="670BBEEF">
            <w:pPr>
              <w:widowControl/>
              <w:jc w:val="center"/>
              <w:rPr>
                <w:rFonts w:ascii="宋体" w:hAnsi="宋体" w:cs="宋体"/>
                <w:color w:val="000000"/>
                <w:kern w:val="0"/>
                <w:sz w:val="20"/>
                <w:szCs w:val="20"/>
              </w:rPr>
            </w:pPr>
            <w:r>
              <w:rPr>
                <w:rFonts w:hint="eastAsia" w:ascii="宋体" w:hAnsi="宋体" w:cs="宋体"/>
                <w:color w:val="000000"/>
                <w:kern w:val="0"/>
                <w:sz w:val="20"/>
                <w:szCs w:val="20"/>
              </w:rPr>
              <w:t>允许偏差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（mm）</w:t>
            </w:r>
          </w:p>
        </w:tc>
        <w:tc>
          <w:tcPr>
            <w:tcW w:w="3340" w:type="dxa"/>
            <w:tcBorders>
              <w:top w:val="single" w:color="auto" w:sz="4" w:space="0"/>
              <w:left w:val="nil"/>
              <w:bottom w:val="single" w:color="auto" w:sz="4" w:space="0"/>
              <w:right w:val="single" w:color="auto" w:sz="4" w:space="0"/>
            </w:tcBorders>
            <w:shd w:val="clear" w:color="auto" w:fill="auto"/>
            <w:noWrap/>
            <w:vAlign w:val="center"/>
          </w:tcPr>
          <w:p w14:paraId="48C5D48B">
            <w:pPr>
              <w:widowControl/>
              <w:jc w:val="center"/>
              <w:rPr>
                <w:rFonts w:ascii="宋体" w:hAnsi="宋体" w:cs="宋体"/>
                <w:color w:val="000000"/>
                <w:kern w:val="0"/>
                <w:sz w:val="20"/>
                <w:szCs w:val="20"/>
              </w:rPr>
            </w:pPr>
            <w:r>
              <w:rPr>
                <w:rFonts w:hint="eastAsia" w:ascii="宋体" w:hAnsi="宋体" w:cs="宋体"/>
                <w:color w:val="000000"/>
                <w:kern w:val="0"/>
                <w:sz w:val="20"/>
                <w:szCs w:val="20"/>
              </w:rPr>
              <w:t>检验方法</w:t>
            </w:r>
          </w:p>
        </w:tc>
      </w:tr>
      <w:tr w14:paraId="280B7191">
        <w:tblPrEx>
          <w:tblCellMar>
            <w:top w:w="0" w:type="dxa"/>
            <w:left w:w="108" w:type="dxa"/>
            <w:bottom w:w="0" w:type="dxa"/>
            <w:right w:w="108" w:type="dxa"/>
          </w:tblCellMar>
        </w:tblPrEx>
        <w:trPr>
          <w:trHeight w:val="288" w:hRule="atLeast"/>
          <w:jc w:val="center"/>
        </w:trPr>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A480FA5">
            <w:pPr>
              <w:widowControl/>
              <w:jc w:val="center"/>
              <w:rPr>
                <w:rFonts w:ascii="宋体" w:hAnsi="宋体" w:cs="宋体"/>
                <w:color w:val="000000"/>
                <w:kern w:val="0"/>
                <w:sz w:val="20"/>
                <w:szCs w:val="20"/>
              </w:rPr>
            </w:pPr>
            <w:r>
              <w:rPr>
                <w:rFonts w:hint="eastAsia" w:ascii="宋体" w:hAnsi="宋体" w:cs="宋体"/>
                <w:color w:val="000000"/>
                <w:kern w:val="0"/>
                <w:sz w:val="20"/>
                <w:szCs w:val="20"/>
              </w:rPr>
              <w:t>轴线位置</w:t>
            </w:r>
          </w:p>
        </w:tc>
        <w:tc>
          <w:tcPr>
            <w:tcW w:w="1400" w:type="dxa"/>
            <w:tcBorders>
              <w:top w:val="nil"/>
              <w:left w:val="nil"/>
              <w:bottom w:val="single" w:color="auto" w:sz="4" w:space="0"/>
              <w:right w:val="single" w:color="auto" w:sz="4" w:space="0"/>
            </w:tcBorders>
            <w:shd w:val="clear" w:color="auto" w:fill="auto"/>
            <w:noWrap/>
            <w:vAlign w:val="center"/>
          </w:tcPr>
          <w:p w14:paraId="2576B768">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340" w:type="dxa"/>
            <w:tcBorders>
              <w:top w:val="nil"/>
              <w:left w:val="nil"/>
              <w:bottom w:val="single" w:color="auto" w:sz="4" w:space="0"/>
              <w:right w:val="single" w:color="auto" w:sz="4" w:space="0"/>
            </w:tcBorders>
            <w:shd w:val="clear" w:color="auto" w:fill="auto"/>
            <w:noWrap/>
            <w:vAlign w:val="center"/>
          </w:tcPr>
          <w:p w14:paraId="27168251">
            <w:pPr>
              <w:widowControl/>
              <w:jc w:val="center"/>
              <w:rPr>
                <w:rFonts w:ascii="宋体" w:hAnsi="宋体" w:cs="宋体"/>
                <w:color w:val="000000"/>
                <w:kern w:val="0"/>
                <w:sz w:val="20"/>
                <w:szCs w:val="20"/>
              </w:rPr>
            </w:pPr>
            <w:r>
              <w:rPr>
                <w:rFonts w:hint="eastAsia" w:ascii="宋体" w:hAnsi="宋体" w:cs="宋体"/>
                <w:color w:val="000000"/>
                <w:kern w:val="0"/>
                <w:sz w:val="20"/>
                <w:szCs w:val="20"/>
              </w:rPr>
              <w:t>钢尺检查</w:t>
            </w:r>
          </w:p>
        </w:tc>
      </w:tr>
      <w:tr w14:paraId="5F848930">
        <w:tblPrEx>
          <w:tblCellMar>
            <w:top w:w="0" w:type="dxa"/>
            <w:left w:w="108" w:type="dxa"/>
            <w:bottom w:w="0" w:type="dxa"/>
            <w:right w:w="108" w:type="dxa"/>
          </w:tblCellMar>
        </w:tblPrEx>
        <w:trPr>
          <w:trHeight w:val="288"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14:paraId="38FE6FE3">
            <w:pPr>
              <w:widowControl/>
              <w:jc w:val="center"/>
              <w:rPr>
                <w:rFonts w:ascii="宋体" w:hAnsi="宋体" w:cs="宋体"/>
                <w:color w:val="000000"/>
                <w:kern w:val="0"/>
                <w:sz w:val="20"/>
                <w:szCs w:val="20"/>
              </w:rPr>
            </w:pPr>
            <w:r>
              <w:rPr>
                <w:rFonts w:hint="eastAsia" w:ascii="宋体" w:hAnsi="宋体" w:cs="宋体"/>
                <w:color w:val="000000"/>
                <w:kern w:val="0"/>
                <w:sz w:val="20"/>
                <w:szCs w:val="20"/>
              </w:rPr>
              <w:t>表面平整度</w:t>
            </w:r>
          </w:p>
        </w:tc>
        <w:tc>
          <w:tcPr>
            <w:tcW w:w="1039" w:type="dxa"/>
            <w:tcBorders>
              <w:top w:val="nil"/>
              <w:left w:val="nil"/>
              <w:bottom w:val="single" w:color="auto" w:sz="4" w:space="0"/>
              <w:right w:val="single" w:color="auto" w:sz="4" w:space="0"/>
            </w:tcBorders>
            <w:shd w:val="clear" w:color="auto" w:fill="auto"/>
            <w:noWrap/>
            <w:vAlign w:val="center"/>
          </w:tcPr>
          <w:p w14:paraId="42252244">
            <w:pPr>
              <w:widowControl/>
              <w:jc w:val="center"/>
              <w:rPr>
                <w:rFonts w:ascii="宋体" w:hAnsi="宋体" w:cs="宋体"/>
                <w:color w:val="000000"/>
                <w:kern w:val="0"/>
                <w:sz w:val="20"/>
                <w:szCs w:val="20"/>
              </w:rPr>
            </w:pPr>
            <w:r>
              <w:rPr>
                <w:rFonts w:hint="eastAsia" w:ascii="宋体" w:hAnsi="宋体" w:cs="宋体"/>
                <w:color w:val="000000"/>
                <w:kern w:val="0"/>
                <w:sz w:val="20"/>
                <w:szCs w:val="20"/>
              </w:rPr>
              <w:t>墙</w:t>
            </w:r>
          </w:p>
        </w:tc>
        <w:tc>
          <w:tcPr>
            <w:tcW w:w="1400" w:type="dxa"/>
            <w:tcBorders>
              <w:top w:val="nil"/>
              <w:left w:val="nil"/>
              <w:bottom w:val="single" w:color="auto" w:sz="4" w:space="0"/>
              <w:right w:val="single" w:color="auto" w:sz="4" w:space="0"/>
            </w:tcBorders>
            <w:shd w:val="clear" w:color="auto" w:fill="auto"/>
            <w:noWrap/>
            <w:vAlign w:val="center"/>
          </w:tcPr>
          <w:p w14:paraId="59E738F9">
            <w:pPr>
              <w:widowControl/>
              <w:jc w:val="center"/>
              <w:rPr>
                <w:rFonts w:ascii="宋体" w:hAnsi="宋体" w:cs="宋体"/>
                <w:color w:val="000000"/>
                <w:kern w:val="0"/>
                <w:sz w:val="20"/>
                <w:szCs w:val="20"/>
              </w:rPr>
            </w:pPr>
            <w:r>
              <w:rPr>
                <w:rFonts w:ascii="宋体" w:hAnsi="宋体" w:cs="宋体"/>
                <w:color w:val="000000"/>
                <w:kern w:val="0"/>
                <w:sz w:val="20"/>
                <w:szCs w:val="20"/>
                <w:highlight w:val="yellow"/>
              </w:rPr>
              <w:t>4</w:t>
            </w:r>
          </w:p>
        </w:tc>
        <w:tc>
          <w:tcPr>
            <w:tcW w:w="3340" w:type="dxa"/>
            <w:tcBorders>
              <w:top w:val="nil"/>
              <w:left w:val="nil"/>
              <w:bottom w:val="single" w:color="auto" w:sz="4" w:space="0"/>
              <w:right w:val="single" w:color="auto" w:sz="4" w:space="0"/>
            </w:tcBorders>
            <w:shd w:val="clear" w:color="auto" w:fill="auto"/>
            <w:noWrap/>
            <w:vAlign w:val="center"/>
          </w:tcPr>
          <w:p w14:paraId="43613193">
            <w:pPr>
              <w:widowControl/>
              <w:jc w:val="center"/>
              <w:rPr>
                <w:rFonts w:ascii="宋体" w:hAnsi="宋体" w:cs="宋体"/>
                <w:color w:val="000000"/>
                <w:kern w:val="0"/>
                <w:sz w:val="20"/>
                <w:szCs w:val="20"/>
              </w:rPr>
            </w:pPr>
            <w:r>
              <w:rPr>
                <w:rFonts w:hint="eastAsia" w:ascii="宋体" w:hAnsi="宋体" w:cs="宋体"/>
                <w:color w:val="000000"/>
                <w:kern w:val="0"/>
                <w:sz w:val="20"/>
                <w:szCs w:val="20"/>
              </w:rPr>
              <w:t>2m靠尺和塞尺检查</w:t>
            </w:r>
          </w:p>
        </w:tc>
      </w:tr>
      <w:tr w14:paraId="6FDEEE54">
        <w:tblPrEx>
          <w:tblCellMar>
            <w:top w:w="0" w:type="dxa"/>
            <w:left w:w="108" w:type="dxa"/>
            <w:bottom w:w="0" w:type="dxa"/>
            <w:right w:w="108" w:type="dxa"/>
          </w:tblCellMar>
        </w:tblPrEx>
        <w:trPr>
          <w:trHeight w:val="288"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14:paraId="68CCA7B5">
            <w:pPr>
              <w:widowControl/>
              <w:jc w:val="center"/>
              <w:rPr>
                <w:rFonts w:ascii="宋体" w:hAnsi="宋体" w:cs="宋体"/>
                <w:color w:val="000000"/>
                <w:kern w:val="0"/>
                <w:sz w:val="20"/>
                <w:szCs w:val="20"/>
              </w:rPr>
            </w:pPr>
            <w:r>
              <w:rPr>
                <w:rFonts w:hint="eastAsia" w:ascii="宋体" w:hAnsi="宋体" w:cs="宋体"/>
                <w:color w:val="000000"/>
                <w:kern w:val="0"/>
                <w:sz w:val="20"/>
                <w:szCs w:val="20"/>
              </w:rPr>
              <w:t>层高垂直度</w:t>
            </w:r>
          </w:p>
        </w:tc>
        <w:tc>
          <w:tcPr>
            <w:tcW w:w="1039" w:type="dxa"/>
            <w:tcBorders>
              <w:top w:val="nil"/>
              <w:left w:val="nil"/>
              <w:bottom w:val="single" w:color="auto" w:sz="4" w:space="0"/>
              <w:right w:val="single" w:color="auto" w:sz="4" w:space="0"/>
            </w:tcBorders>
            <w:shd w:val="clear" w:color="auto" w:fill="auto"/>
            <w:noWrap/>
            <w:vAlign w:val="center"/>
          </w:tcPr>
          <w:p w14:paraId="2E2496A3">
            <w:pPr>
              <w:widowControl/>
              <w:jc w:val="center"/>
              <w:rPr>
                <w:rFonts w:ascii="宋体" w:hAnsi="宋体" w:cs="宋体"/>
                <w:color w:val="000000"/>
                <w:kern w:val="0"/>
                <w:sz w:val="20"/>
                <w:szCs w:val="20"/>
              </w:rPr>
            </w:pPr>
            <w:r>
              <w:rPr>
                <w:rFonts w:hint="eastAsia" w:ascii="宋体" w:hAnsi="宋体" w:cs="宋体"/>
                <w:color w:val="000000"/>
                <w:kern w:val="0"/>
                <w:sz w:val="20"/>
                <w:szCs w:val="20"/>
              </w:rPr>
              <w:t>墙柱</w:t>
            </w:r>
          </w:p>
        </w:tc>
        <w:tc>
          <w:tcPr>
            <w:tcW w:w="1400" w:type="dxa"/>
            <w:tcBorders>
              <w:top w:val="nil"/>
              <w:left w:val="nil"/>
              <w:bottom w:val="single" w:color="auto" w:sz="4" w:space="0"/>
              <w:right w:val="single" w:color="auto" w:sz="4" w:space="0"/>
            </w:tcBorders>
            <w:shd w:val="clear" w:color="auto" w:fill="auto"/>
            <w:noWrap/>
            <w:vAlign w:val="center"/>
          </w:tcPr>
          <w:p w14:paraId="6F0B5D46">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340" w:type="dxa"/>
            <w:tcBorders>
              <w:top w:val="nil"/>
              <w:left w:val="nil"/>
              <w:bottom w:val="single" w:color="auto" w:sz="4" w:space="0"/>
              <w:right w:val="single" w:color="auto" w:sz="4" w:space="0"/>
            </w:tcBorders>
            <w:shd w:val="clear" w:color="auto" w:fill="auto"/>
            <w:noWrap/>
            <w:vAlign w:val="center"/>
          </w:tcPr>
          <w:p w14:paraId="10046982">
            <w:pPr>
              <w:widowControl/>
              <w:jc w:val="center"/>
              <w:rPr>
                <w:rFonts w:ascii="宋体" w:hAnsi="宋体" w:cs="宋体"/>
                <w:color w:val="000000"/>
                <w:kern w:val="0"/>
                <w:sz w:val="20"/>
                <w:szCs w:val="20"/>
              </w:rPr>
            </w:pPr>
            <w:r>
              <w:rPr>
                <w:rFonts w:hint="eastAsia" w:ascii="宋体" w:hAnsi="宋体" w:cs="宋体"/>
                <w:color w:val="000000"/>
                <w:kern w:val="0"/>
                <w:sz w:val="20"/>
                <w:szCs w:val="20"/>
              </w:rPr>
              <w:t>2m靠尺和塞尺检查</w:t>
            </w:r>
          </w:p>
        </w:tc>
      </w:tr>
      <w:tr w14:paraId="7A168C05">
        <w:tblPrEx>
          <w:tblCellMar>
            <w:top w:w="0" w:type="dxa"/>
            <w:left w:w="108" w:type="dxa"/>
            <w:bottom w:w="0" w:type="dxa"/>
            <w:right w:w="108" w:type="dxa"/>
          </w:tblCellMar>
        </w:tblPrEx>
        <w:trPr>
          <w:trHeight w:val="288" w:hRule="atLeast"/>
          <w:jc w:val="center"/>
        </w:trPr>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236B484">
            <w:pPr>
              <w:widowControl/>
              <w:jc w:val="center"/>
              <w:rPr>
                <w:rFonts w:ascii="宋体" w:hAnsi="宋体" w:cs="宋体"/>
                <w:color w:val="000000"/>
                <w:kern w:val="0"/>
                <w:sz w:val="20"/>
                <w:szCs w:val="20"/>
              </w:rPr>
            </w:pPr>
            <w:r>
              <w:rPr>
                <w:rFonts w:hint="eastAsia" w:ascii="宋体" w:hAnsi="宋体" w:cs="宋体"/>
                <w:color w:val="000000"/>
                <w:kern w:val="0"/>
                <w:sz w:val="20"/>
                <w:szCs w:val="20"/>
              </w:rPr>
              <w:t>楼层净高</w:t>
            </w:r>
          </w:p>
        </w:tc>
        <w:tc>
          <w:tcPr>
            <w:tcW w:w="1400" w:type="dxa"/>
            <w:tcBorders>
              <w:top w:val="nil"/>
              <w:left w:val="nil"/>
              <w:bottom w:val="single" w:color="auto" w:sz="4" w:space="0"/>
              <w:right w:val="single" w:color="auto" w:sz="4" w:space="0"/>
            </w:tcBorders>
            <w:shd w:val="clear" w:color="auto" w:fill="auto"/>
            <w:noWrap/>
            <w:vAlign w:val="center"/>
          </w:tcPr>
          <w:p w14:paraId="5C32EF7C">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340" w:type="dxa"/>
            <w:tcBorders>
              <w:top w:val="nil"/>
              <w:left w:val="nil"/>
              <w:bottom w:val="single" w:color="auto" w:sz="4" w:space="0"/>
              <w:right w:val="single" w:color="auto" w:sz="4" w:space="0"/>
            </w:tcBorders>
            <w:shd w:val="clear" w:color="auto" w:fill="auto"/>
            <w:noWrap/>
            <w:vAlign w:val="center"/>
          </w:tcPr>
          <w:p w14:paraId="51170BF3">
            <w:pPr>
              <w:widowControl/>
              <w:jc w:val="center"/>
              <w:rPr>
                <w:rFonts w:ascii="宋体" w:hAnsi="宋体" w:cs="宋体"/>
                <w:color w:val="000000"/>
                <w:kern w:val="0"/>
                <w:sz w:val="20"/>
                <w:szCs w:val="20"/>
              </w:rPr>
            </w:pPr>
            <w:r>
              <w:rPr>
                <w:rFonts w:hint="eastAsia" w:ascii="宋体" w:hAnsi="宋体" w:cs="宋体"/>
                <w:color w:val="000000"/>
                <w:kern w:val="0"/>
                <w:sz w:val="20"/>
                <w:szCs w:val="20"/>
              </w:rPr>
              <w:t>测距仪检查</w:t>
            </w:r>
          </w:p>
        </w:tc>
      </w:tr>
      <w:tr w14:paraId="2A9CDE10">
        <w:tblPrEx>
          <w:tblCellMar>
            <w:top w:w="0" w:type="dxa"/>
            <w:left w:w="108" w:type="dxa"/>
            <w:bottom w:w="0" w:type="dxa"/>
            <w:right w:w="108" w:type="dxa"/>
          </w:tblCellMar>
        </w:tblPrEx>
        <w:trPr>
          <w:trHeight w:val="288"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14:paraId="2D94BEC7">
            <w:pPr>
              <w:widowControl/>
              <w:jc w:val="center"/>
              <w:rPr>
                <w:rFonts w:ascii="宋体" w:hAnsi="宋体" w:cs="宋体"/>
                <w:color w:val="000000"/>
                <w:kern w:val="0"/>
                <w:sz w:val="20"/>
                <w:szCs w:val="20"/>
              </w:rPr>
            </w:pPr>
            <w:r>
              <w:rPr>
                <w:rFonts w:hint="eastAsia" w:ascii="宋体" w:hAnsi="宋体" w:cs="宋体"/>
                <w:color w:val="000000"/>
                <w:kern w:val="0"/>
                <w:sz w:val="20"/>
                <w:szCs w:val="20"/>
              </w:rPr>
              <w:t>截面尺寸</w:t>
            </w:r>
          </w:p>
        </w:tc>
        <w:tc>
          <w:tcPr>
            <w:tcW w:w="1039" w:type="dxa"/>
            <w:tcBorders>
              <w:top w:val="nil"/>
              <w:left w:val="nil"/>
              <w:bottom w:val="single" w:color="auto" w:sz="4" w:space="0"/>
              <w:right w:val="single" w:color="auto" w:sz="4" w:space="0"/>
            </w:tcBorders>
            <w:shd w:val="clear" w:color="auto" w:fill="auto"/>
            <w:noWrap/>
            <w:vAlign w:val="center"/>
          </w:tcPr>
          <w:p w14:paraId="24E9E95F">
            <w:pPr>
              <w:widowControl/>
              <w:jc w:val="center"/>
              <w:rPr>
                <w:rFonts w:ascii="宋体" w:hAnsi="宋体" w:cs="宋体"/>
                <w:color w:val="000000"/>
                <w:kern w:val="0"/>
                <w:sz w:val="20"/>
                <w:szCs w:val="20"/>
              </w:rPr>
            </w:pPr>
            <w:r>
              <w:rPr>
                <w:rFonts w:hint="eastAsia" w:ascii="宋体" w:hAnsi="宋体" w:cs="宋体"/>
                <w:color w:val="000000"/>
                <w:kern w:val="0"/>
                <w:sz w:val="20"/>
                <w:szCs w:val="20"/>
              </w:rPr>
              <w:t>墙梁柱</w:t>
            </w:r>
          </w:p>
        </w:tc>
        <w:tc>
          <w:tcPr>
            <w:tcW w:w="1400" w:type="dxa"/>
            <w:tcBorders>
              <w:top w:val="nil"/>
              <w:left w:val="nil"/>
              <w:bottom w:val="single" w:color="auto" w:sz="4" w:space="0"/>
              <w:right w:val="single" w:color="auto" w:sz="4" w:space="0"/>
            </w:tcBorders>
            <w:shd w:val="clear" w:color="auto" w:fill="auto"/>
            <w:noWrap/>
            <w:vAlign w:val="center"/>
          </w:tcPr>
          <w:p w14:paraId="246A56EB">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340" w:type="dxa"/>
            <w:tcBorders>
              <w:top w:val="nil"/>
              <w:left w:val="nil"/>
              <w:bottom w:val="single" w:color="auto" w:sz="4" w:space="0"/>
              <w:right w:val="single" w:color="auto" w:sz="4" w:space="0"/>
            </w:tcBorders>
            <w:shd w:val="clear" w:color="auto" w:fill="auto"/>
            <w:noWrap/>
            <w:vAlign w:val="center"/>
          </w:tcPr>
          <w:p w14:paraId="18C617D3">
            <w:pPr>
              <w:widowControl/>
              <w:jc w:val="center"/>
              <w:rPr>
                <w:rFonts w:ascii="宋体" w:hAnsi="宋体" w:cs="宋体"/>
                <w:color w:val="000000"/>
                <w:kern w:val="0"/>
                <w:sz w:val="20"/>
                <w:szCs w:val="20"/>
              </w:rPr>
            </w:pPr>
            <w:r>
              <w:rPr>
                <w:rFonts w:hint="eastAsia" w:ascii="宋体" w:hAnsi="宋体" w:cs="宋体"/>
                <w:color w:val="000000"/>
                <w:kern w:val="0"/>
                <w:sz w:val="20"/>
                <w:szCs w:val="20"/>
              </w:rPr>
              <w:t>钢尺检查</w:t>
            </w:r>
          </w:p>
        </w:tc>
      </w:tr>
      <w:tr w14:paraId="3E61E31F">
        <w:tblPrEx>
          <w:tblCellMar>
            <w:top w:w="0" w:type="dxa"/>
            <w:left w:w="108" w:type="dxa"/>
            <w:bottom w:w="0" w:type="dxa"/>
            <w:right w:w="108" w:type="dxa"/>
          </w:tblCellMar>
        </w:tblPrEx>
        <w:trPr>
          <w:trHeight w:val="288" w:hRule="atLeast"/>
          <w:jc w:val="center"/>
        </w:trPr>
        <w:tc>
          <w:tcPr>
            <w:tcW w:w="1701" w:type="dxa"/>
            <w:vMerge w:val="restart"/>
            <w:tcBorders>
              <w:top w:val="nil"/>
              <w:left w:val="single" w:color="auto" w:sz="4" w:space="0"/>
              <w:right w:val="single" w:color="auto" w:sz="4" w:space="0"/>
            </w:tcBorders>
            <w:shd w:val="clear" w:color="auto" w:fill="auto"/>
            <w:noWrap/>
            <w:vAlign w:val="center"/>
          </w:tcPr>
          <w:p w14:paraId="46B9A472">
            <w:pPr>
              <w:widowControl/>
              <w:jc w:val="center"/>
              <w:rPr>
                <w:rFonts w:ascii="宋体" w:hAnsi="宋体" w:cs="宋体"/>
                <w:color w:val="000000"/>
                <w:kern w:val="0"/>
                <w:sz w:val="20"/>
                <w:szCs w:val="20"/>
              </w:rPr>
            </w:pPr>
            <w:r>
              <w:rPr>
                <w:rFonts w:hint="eastAsia" w:ascii="宋体" w:hAnsi="宋体" w:cs="宋体"/>
                <w:color w:val="000000"/>
                <w:kern w:val="0"/>
                <w:sz w:val="20"/>
                <w:szCs w:val="20"/>
              </w:rPr>
              <w:t>阴阳角</w:t>
            </w:r>
          </w:p>
        </w:tc>
        <w:tc>
          <w:tcPr>
            <w:tcW w:w="1039" w:type="dxa"/>
            <w:tcBorders>
              <w:top w:val="nil"/>
              <w:left w:val="nil"/>
              <w:bottom w:val="single" w:color="auto" w:sz="4" w:space="0"/>
              <w:right w:val="single" w:color="auto" w:sz="4" w:space="0"/>
            </w:tcBorders>
            <w:shd w:val="clear" w:color="auto" w:fill="auto"/>
            <w:noWrap/>
            <w:vAlign w:val="center"/>
          </w:tcPr>
          <w:p w14:paraId="54F84067">
            <w:pPr>
              <w:widowControl/>
              <w:jc w:val="center"/>
              <w:rPr>
                <w:rFonts w:ascii="宋体" w:hAnsi="宋体" w:cs="宋体"/>
                <w:color w:val="000000"/>
                <w:kern w:val="0"/>
                <w:sz w:val="20"/>
                <w:szCs w:val="20"/>
              </w:rPr>
            </w:pPr>
            <w:r>
              <w:rPr>
                <w:rFonts w:hint="eastAsia" w:ascii="宋体" w:hAnsi="宋体" w:cs="宋体"/>
                <w:color w:val="000000"/>
                <w:kern w:val="0"/>
                <w:sz w:val="20"/>
                <w:szCs w:val="20"/>
              </w:rPr>
              <w:t>方正</w:t>
            </w:r>
          </w:p>
        </w:tc>
        <w:tc>
          <w:tcPr>
            <w:tcW w:w="1400" w:type="dxa"/>
            <w:tcBorders>
              <w:top w:val="nil"/>
              <w:left w:val="nil"/>
              <w:bottom w:val="single" w:color="auto" w:sz="4" w:space="0"/>
              <w:right w:val="single" w:color="auto" w:sz="4" w:space="0"/>
            </w:tcBorders>
            <w:shd w:val="clear" w:color="auto" w:fill="auto"/>
            <w:noWrap/>
            <w:vAlign w:val="center"/>
          </w:tcPr>
          <w:p w14:paraId="5149BBA8">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3340" w:type="dxa"/>
            <w:tcBorders>
              <w:top w:val="nil"/>
              <w:left w:val="nil"/>
              <w:bottom w:val="single" w:color="auto" w:sz="4" w:space="0"/>
              <w:right w:val="single" w:color="auto" w:sz="4" w:space="0"/>
            </w:tcBorders>
            <w:shd w:val="clear" w:color="auto" w:fill="auto"/>
            <w:noWrap/>
            <w:vAlign w:val="center"/>
          </w:tcPr>
          <w:p w14:paraId="4138DB18">
            <w:pPr>
              <w:widowControl/>
              <w:jc w:val="center"/>
              <w:rPr>
                <w:rFonts w:ascii="宋体" w:hAnsi="宋体" w:cs="宋体"/>
                <w:color w:val="000000"/>
                <w:kern w:val="0"/>
                <w:sz w:val="20"/>
                <w:szCs w:val="20"/>
              </w:rPr>
            </w:pPr>
            <w:r>
              <w:rPr>
                <w:rFonts w:hint="eastAsia" w:ascii="宋体" w:hAnsi="宋体" w:cs="宋体"/>
                <w:color w:val="000000"/>
                <w:kern w:val="0"/>
                <w:sz w:val="20"/>
                <w:szCs w:val="20"/>
              </w:rPr>
              <w:t>角尺</w:t>
            </w:r>
          </w:p>
        </w:tc>
      </w:tr>
      <w:tr w14:paraId="1D008567">
        <w:tblPrEx>
          <w:tblCellMar>
            <w:top w:w="0" w:type="dxa"/>
            <w:left w:w="108" w:type="dxa"/>
            <w:bottom w:w="0" w:type="dxa"/>
            <w:right w:w="108" w:type="dxa"/>
          </w:tblCellMar>
        </w:tblPrEx>
        <w:trPr>
          <w:trHeight w:val="288" w:hRule="atLeast"/>
          <w:jc w:val="center"/>
        </w:trPr>
        <w:tc>
          <w:tcPr>
            <w:tcW w:w="1701" w:type="dxa"/>
            <w:vMerge w:val="continue"/>
            <w:tcBorders>
              <w:left w:val="single" w:color="auto" w:sz="4" w:space="0"/>
              <w:bottom w:val="single" w:color="auto" w:sz="4" w:space="0"/>
              <w:right w:val="single" w:color="auto" w:sz="4" w:space="0"/>
            </w:tcBorders>
            <w:shd w:val="clear" w:color="auto" w:fill="auto"/>
            <w:noWrap/>
            <w:vAlign w:val="center"/>
          </w:tcPr>
          <w:p w14:paraId="4FE4AD8E">
            <w:pPr>
              <w:widowControl/>
              <w:jc w:val="center"/>
              <w:rPr>
                <w:rFonts w:ascii="宋体" w:hAnsi="宋体" w:cs="宋体"/>
                <w:color w:val="000000"/>
                <w:kern w:val="0"/>
                <w:sz w:val="20"/>
                <w:szCs w:val="20"/>
              </w:rPr>
            </w:pPr>
          </w:p>
        </w:tc>
        <w:tc>
          <w:tcPr>
            <w:tcW w:w="1039" w:type="dxa"/>
            <w:tcBorders>
              <w:top w:val="nil"/>
              <w:left w:val="nil"/>
              <w:bottom w:val="single" w:color="auto" w:sz="4" w:space="0"/>
              <w:right w:val="single" w:color="auto" w:sz="4" w:space="0"/>
            </w:tcBorders>
            <w:shd w:val="clear" w:color="auto" w:fill="auto"/>
            <w:noWrap/>
            <w:vAlign w:val="center"/>
          </w:tcPr>
          <w:p w14:paraId="47D13F7C">
            <w:pPr>
              <w:widowControl/>
              <w:jc w:val="center"/>
              <w:rPr>
                <w:rFonts w:ascii="宋体" w:hAnsi="宋体" w:cs="宋体"/>
                <w:color w:val="000000"/>
                <w:kern w:val="0"/>
                <w:sz w:val="20"/>
                <w:szCs w:val="20"/>
              </w:rPr>
            </w:pPr>
            <w:r>
              <w:rPr>
                <w:rFonts w:hint="eastAsia" w:ascii="宋体" w:hAnsi="宋体" w:cs="宋体"/>
                <w:color w:val="000000"/>
                <w:kern w:val="0"/>
                <w:sz w:val="20"/>
                <w:szCs w:val="20"/>
              </w:rPr>
              <w:t>顺直</w:t>
            </w:r>
          </w:p>
        </w:tc>
        <w:tc>
          <w:tcPr>
            <w:tcW w:w="1400" w:type="dxa"/>
            <w:tcBorders>
              <w:top w:val="nil"/>
              <w:left w:val="nil"/>
              <w:bottom w:val="single" w:color="auto" w:sz="4" w:space="0"/>
              <w:right w:val="single" w:color="auto" w:sz="4" w:space="0"/>
            </w:tcBorders>
            <w:shd w:val="clear" w:color="auto" w:fill="auto"/>
            <w:noWrap/>
            <w:vAlign w:val="center"/>
          </w:tcPr>
          <w:p w14:paraId="4F57C7B9">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3340" w:type="dxa"/>
            <w:tcBorders>
              <w:top w:val="nil"/>
              <w:left w:val="nil"/>
              <w:bottom w:val="single" w:color="auto" w:sz="4" w:space="0"/>
              <w:right w:val="single" w:color="auto" w:sz="4" w:space="0"/>
            </w:tcBorders>
            <w:shd w:val="clear" w:color="auto" w:fill="auto"/>
            <w:noWrap/>
            <w:vAlign w:val="center"/>
          </w:tcPr>
          <w:p w14:paraId="598F2F05">
            <w:pPr>
              <w:widowControl/>
              <w:jc w:val="center"/>
              <w:rPr>
                <w:rFonts w:ascii="宋体" w:hAnsi="宋体" w:cs="宋体"/>
                <w:color w:val="000000"/>
                <w:kern w:val="0"/>
                <w:sz w:val="20"/>
                <w:szCs w:val="20"/>
              </w:rPr>
            </w:pPr>
            <w:r>
              <w:rPr>
                <w:rFonts w:hint="eastAsia" w:ascii="宋体" w:hAnsi="宋体" w:cs="宋体"/>
                <w:color w:val="000000"/>
                <w:kern w:val="0"/>
                <w:sz w:val="20"/>
                <w:szCs w:val="20"/>
              </w:rPr>
              <w:t>水平仪放线、卷尺测量</w:t>
            </w:r>
          </w:p>
        </w:tc>
      </w:tr>
      <w:tr w14:paraId="35368C47">
        <w:tblPrEx>
          <w:tblCellMar>
            <w:top w:w="0" w:type="dxa"/>
            <w:left w:w="108" w:type="dxa"/>
            <w:bottom w:w="0" w:type="dxa"/>
            <w:right w:w="108" w:type="dxa"/>
          </w:tblCellMar>
        </w:tblPrEx>
        <w:trPr>
          <w:trHeight w:val="288" w:hRule="atLeast"/>
          <w:jc w:val="center"/>
        </w:trPr>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8B63F25">
            <w:pPr>
              <w:widowControl/>
              <w:jc w:val="center"/>
              <w:rPr>
                <w:rFonts w:ascii="宋体" w:hAnsi="宋体" w:cs="宋体"/>
                <w:color w:val="000000"/>
                <w:kern w:val="0"/>
                <w:sz w:val="20"/>
                <w:szCs w:val="20"/>
              </w:rPr>
            </w:pPr>
            <w:r>
              <w:rPr>
                <w:rFonts w:hint="eastAsia" w:ascii="宋体" w:hAnsi="宋体" w:cs="宋体"/>
                <w:color w:val="000000"/>
                <w:kern w:val="0"/>
                <w:sz w:val="20"/>
                <w:szCs w:val="20"/>
              </w:rPr>
              <w:t>装饰线条直线度</w:t>
            </w:r>
          </w:p>
        </w:tc>
        <w:tc>
          <w:tcPr>
            <w:tcW w:w="1400" w:type="dxa"/>
            <w:tcBorders>
              <w:top w:val="nil"/>
              <w:left w:val="nil"/>
              <w:bottom w:val="single" w:color="auto" w:sz="4" w:space="0"/>
              <w:right w:val="single" w:color="auto" w:sz="4" w:space="0"/>
            </w:tcBorders>
            <w:shd w:val="clear" w:color="auto" w:fill="auto"/>
            <w:noWrap/>
            <w:vAlign w:val="center"/>
          </w:tcPr>
          <w:p w14:paraId="51DB4C06">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340" w:type="dxa"/>
            <w:tcBorders>
              <w:top w:val="nil"/>
              <w:left w:val="nil"/>
              <w:bottom w:val="single" w:color="auto" w:sz="4" w:space="0"/>
              <w:right w:val="single" w:color="auto" w:sz="4" w:space="0"/>
            </w:tcBorders>
            <w:shd w:val="clear" w:color="auto" w:fill="auto"/>
            <w:noWrap/>
            <w:vAlign w:val="center"/>
          </w:tcPr>
          <w:p w14:paraId="75BF31C4">
            <w:pPr>
              <w:widowControl/>
              <w:jc w:val="center"/>
              <w:rPr>
                <w:rFonts w:ascii="宋体" w:hAnsi="宋体" w:cs="宋体"/>
                <w:color w:val="000000"/>
                <w:kern w:val="0"/>
                <w:sz w:val="20"/>
                <w:szCs w:val="20"/>
              </w:rPr>
            </w:pPr>
            <w:r>
              <w:rPr>
                <w:rFonts w:hint="eastAsia" w:ascii="宋体" w:hAnsi="宋体" w:cs="宋体"/>
                <w:color w:val="000000"/>
                <w:kern w:val="0"/>
                <w:sz w:val="20"/>
                <w:szCs w:val="20"/>
              </w:rPr>
              <w:t>5m钢尺检查</w:t>
            </w:r>
          </w:p>
        </w:tc>
      </w:tr>
      <w:tr w14:paraId="36B3BA23">
        <w:tblPrEx>
          <w:tblCellMar>
            <w:top w:w="0" w:type="dxa"/>
            <w:left w:w="108" w:type="dxa"/>
            <w:bottom w:w="0" w:type="dxa"/>
            <w:right w:w="108" w:type="dxa"/>
          </w:tblCellMar>
        </w:tblPrEx>
        <w:trPr>
          <w:trHeight w:val="288" w:hRule="atLeast"/>
          <w:jc w:val="center"/>
        </w:trPr>
        <w:tc>
          <w:tcPr>
            <w:tcW w:w="748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657E381B">
            <w:pPr>
              <w:widowControl/>
              <w:jc w:val="left"/>
              <w:rPr>
                <w:rFonts w:ascii="宋体" w:hAnsi="宋体" w:cs="宋体"/>
                <w:color w:val="000000"/>
                <w:kern w:val="0"/>
                <w:sz w:val="20"/>
                <w:szCs w:val="20"/>
              </w:rPr>
            </w:pPr>
            <w:r>
              <w:rPr>
                <w:rFonts w:hint="eastAsia" w:ascii="宋体" w:hAnsi="宋体" w:cs="宋体"/>
                <w:color w:val="000000"/>
                <w:kern w:val="0"/>
                <w:sz w:val="20"/>
                <w:szCs w:val="20"/>
              </w:rPr>
              <w:t>注:检查轴线位置时,应沿纵、横两个方向量测,并取其中最大值</w:t>
            </w:r>
          </w:p>
        </w:tc>
      </w:tr>
    </w:tbl>
    <w:p w14:paraId="62C61FC0">
      <w:pPr>
        <w:pStyle w:val="112"/>
        <w:numPr>
          <w:ilvl w:val="0"/>
          <w:numId w:val="0"/>
        </w:numPr>
        <w:ind w:left="964"/>
        <w:jc w:val="center"/>
      </w:pPr>
      <w:r>
        <w:rPr>
          <w:rFonts w:hint="eastAsia"/>
        </w:rPr>
        <w:t>表（2） 预埋件和预留孔洞的允许偏差</w:t>
      </w:r>
    </w:p>
    <w:tbl>
      <w:tblPr>
        <w:tblStyle w:val="37"/>
        <w:tblW w:w="6280" w:type="dxa"/>
        <w:jc w:val="center"/>
        <w:tblLayout w:type="autofit"/>
        <w:tblCellMar>
          <w:top w:w="0" w:type="dxa"/>
          <w:left w:w="108" w:type="dxa"/>
          <w:bottom w:w="0" w:type="dxa"/>
          <w:right w:w="108" w:type="dxa"/>
        </w:tblCellMar>
      </w:tblPr>
      <w:tblGrid>
        <w:gridCol w:w="2575"/>
        <w:gridCol w:w="1625"/>
        <w:gridCol w:w="2080"/>
      </w:tblGrid>
      <w:tr w14:paraId="3BC4B43E">
        <w:tblPrEx>
          <w:tblCellMar>
            <w:top w:w="0" w:type="dxa"/>
            <w:left w:w="108" w:type="dxa"/>
            <w:bottom w:w="0" w:type="dxa"/>
            <w:right w:w="108" w:type="dxa"/>
          </w:tblCellMar>
        </w:tblPrEx>
        <w:trPr>
          <w:trHeight w:val="288" w:hRule="atLeast"/>
          <w:jc w:val="center"/>
        </w:trPr>
        <w:tc>
          <w:tcPr>
            <w:tcW w:w="420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34A3821">
            <w:pPr>
              <w:widowControl/>
              <w:jc w:val="center"/>
              <w:rPr>
                <w:rFonts w:ascii="宋体" w:hAnsi="宋体" w:cs="宋体"/>
                <w:color w:val="000000"/>
                <w:kern w:val="0"/>
                <w:sz w:val="20"/>
                <w:szCs w:val="20"/>
              </w:rPr>
            </w:pPr>
            <w:r>
              <w:rPr>
                <w:rFonts w:hint="eastAsia" w:ascii="宋体" w:hAnsi="宋体" w:cs="宋体"/>
                <w:color w:val="000000"/>
                <w:kern w:val="0"/>
                <w:sz w:val="20"/>
                <w:szCs w:val="20"/>
              </w:rPr>
              <w:t>项目</w:t>
            </w:r>
          </w:p>
        </w:tc>
        <w:tc>
          <w:tcPr>
            <w:tcW w:w="2080" w:type="dxa"/>
            <w:tcBorders>
              <w:top w:val="single" w:color="auto" w:sz="4" w:space="0"/>
              <w:left w:val="nil"/>
              <w:bottom w:val="single" w:color="auto" w:sz="4" w:space="0"/>
              <w:right w:val="single" w:color="auto" w:sz="4" w:space="0"/>
            </w:tcBorders>
            <w:shd w:val="clear" w:color="auto" w:fill="auto"/>
            <w:noWrap/>
            <w:vAlign w:val="center"/>
          </w:tcPr>
          <w:p w14:paraId="726FC94E">
            <w:pPr>
              <w:widowControl/>
              <w:jc w:val="center"/>
              <w:rPr>
                <w:rFonts w:ascii="宋体" w:hAnsi="宋体" w:cs="宋体"/>
                <w:color w:val="000000"/>
                <w:kern w:val="0"/>
                <w:sz w:val="20"/>
                <w:szCs w:val="20"/>
              </w:rPr>
            </w:pPr>
            <w:r>
              <w:rPr>
                <w:rFonts w:hint="eastAsia" w:ascii="宋体" w:hAnsi="宋体" w:cs="宋体"/>
                <w:color w:val="000000"/>
                <w:kern w:val="0"/>
                <w:sz w:val="20"/>
                <w:szCs w:val="20"/>
              </w:rPr>
              <w:t>允许偏差（mm）</w:t>
            </w:r>
          </w:p>
        </w:tc>
      </w:tr>
      <w:tr w14:paraId="3067575B">
        <w:tblPrEx>
          <w:tblCellMar>
            <w:top w:w="0" w:type="dxa"/>
            <w:left w:w="108" w:type="dxa"/>
            <w:bottom w:w="0" w:type="dxa"/>
            <w:right w:w="108" w:type="dxa"/>
          </w:tblCellMar>
        </w:tblPrEx>
        <w:trPr>
          <w:trHeight w:val="288" w:hRule="atLeast"/>
          <w:jc w:val="center"/>
        </w:trPr>
        <w:tc>
          <w:tcPr>
            <w:tcW w:w="2575" w:type="dxa"/>
            <w:tcBorders>
              <w:top w:val="nil"/>
              <w:left w:val="single" w:color="auto" w:sz="4" w:space="0"/>
              <w:bottom w:val="single" w:color="auto" w:sz="4" w:space="0"/>
              <w:right w:val="single" w:color="auto" w:sz="4" w:space="0"/>
            </w:tcBorders>
            <w:shd w:val="clear" w:color="auto" w:fill="auto"/>
            <w:noWrap/>
            <w:vAlign w:val="center"/>
          </w:tcPr>
          <w:p w14:paraId="7808046E">
            <w:pPr>
              <w:widowControl/>
              <w:jc w:val="center"/>
              <w:rPr>
                <w:rFonts w:ascii="宋体" w:hAnsi="宋体" w:cs="宋体"/>
                <w:color w:val="000000"/>
                <w:kern w:val="0"/>
                <w:sz w:val="20"/>
                <w:szCs w:val="20"/>
              </w:rPr>
            </w:pPr>
            <w:r>
              <w:rPr>
                <w:rFonts w:hint="eastAsia" w:ascii="宋体" w:hAnsi="宋体" w:cs="宋体"/>
                <w:color w:val="000000"/>
                <w:kern w:val="0"/>
                <w:sz w:val="20"/>
                <w:szCs w:val="20"/>
              </w:rPr>
              <w:t>预埋件</w:t>
            </w:r>
          </w:p>
        </w:tc>
        <w:tc>
          <w:tcPr>
            <w:tcW w:w="1625" w:type="dxa"/>
            <w:tcBorders>
              <w:top w:val="nil"/>
              <w:left w:val="nil"/>
              <w:bottom w:val="single" w:color="auto" w:sz="4" w:space="0"/>
              <w:right w:val="single" w:color="auto" w:sz="4" w:space="0"/>
            </w:tcBorders>
            <w:shd w:val="clear" w:color="auto" w:fill="auto"/>
            <w:noWrap/>
            <w:vAlign w:val="center"/>
          </w:tcPr>
          <w:p w14:paraId="0E932230">
            <w:pPr>
              <w:widowControl/>
              <w:jc w:val="center"/>
              <w:rPr>
                <w:rFonts w:ascii="宋体" w:hAnsi="宋体" w:cs="宋体"/>
                <w:color w:val="000000"/>
                <w:kern w:val="0"/>
                <w:sz w:val="20"/>
                <w:szCs w:val="20"/>
              </w:rPr>
            </w:pPr>
            <w:r>
              <w:rPr>
                <w:rFonts w:hint="eastAsia" w:ascii="宋体" w:hAnsi="宋体" w:cs="宋体"/>
                <w:color w:val="000000"/>
                <w:kern w:val="0"/>
                <w:sz w:val="20"/>
                <w:szCs w:val="20"/>
              </w:rPr>
              <w:t>中心线位置</w:t>
            </w:r>
          </w:p>
        </w:tc>
        <w:tc>
          <w:tcPr>
            <w:tcW w:w="2080" w:type="dxa"/>
            <w:tcBorders>
              <w:top w:val="nil"/>
              <w:left w:val="nil"/>
              <w:bottom w:val="single" w:color="auto" w:sz="4" w:space="0"/>
              <w:right w:val="single" w:color="auto" w:sz="4" w:space="0"/>
            </w:tcBorders>
            <w:shd w:val="clear" w:color="auto" w:fill="auto"/>
            <w:noWrap/>
            <w:vAlign w:val="center"/>
          </w:tcPr>
          <w:p w14:paraId="6E5C91EF">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14:paraId="601D2E99">
        <w:tblPrEx>
          <w:tblCellMar>
            <w:top w:w="0" w:type="dxa"/>
            <w:left w:w="108" w:type="dxa"/>
            <w:bottom w:w="0" w:type="dxa"/>
            <w:right w:w="108" w:type="dxa"/>
          </w:tblCellMar>
        </w:tblPrEx>
        <w:trPr>
          <w:trHeight w:val="288" w:hRule="atLeast"/>
          <w:jc w:val="center"/>
        </w:trPr>
        <w:tc>
          <w:tcPr>
            <w:tcW w:w="2575" w:type="dxa"/>
            <w:tcBorders>
              <w:top w:val="nil"/>
              <w:left w:val="single" w:color="auto" w:sz="4" w:space="0"/>
              <w:bottom w:val="single" w:color="auto" w:sz="4" w:space="0"/>
              <w:right w:val="single" w:color="auto" w:sz="4" w:space="0"/>
            </w:tcBorders>
            <w:shd w:val="clear" w:color="auto" w:fill="auto"/>
            <w:noWrap/>
            <w:vAlign w:val="center"/>
          </w:tcPr>
          <w:p w14:paraId="24857522">
            <w:pPr>
              <w:widowControl/>
              <w:jc w:val="center"/>
              <w:rPr>
                <w:rFonts w:ascii="宋体" w:hAnsi="宋体" w:cs="宋体"/>
                <w:color w:val="000000"/>
                <w:kern w:val="0"/>
                <w:sz w:val="20"/>
                <w:szCs w:val="20"/>
              </w:rPr>
            </w:pPr>
            <w:r>
              <w:rPr>
                <w:rFonts w:hint="eastAsia" w:ascii="宋体" w:hAnsi="宋体" w:cs="宋体"/>
                <w:color w:val="000000"/>
                <w:kern w:val="0"/>
                <w:sz w:val="20"/>
                <w:szCs w:val="20"/>
              </w:rPr>
              <w:t>预埋管、预留孔洞</w:t>
            </w:r>
          </w:p>
        </w:tc>
        <w:tc>
          <w:tcPr>
            <w:tcW w:w="1625" w:type="dxa"/>
            <w:tcBorders>
              <w:top w:val="nil"/>
              <w:left w:val="nil"/>
              <w:bottom w:val="single" w:color="auto" w:sz="4" w:space="0"/>
              <w:right w:val="single" w:color="auto" w:sz="4" w:space="0"/>
            </w:tcBorders>
            <w:shd w:val="clear" w:color="auto" w:fill="auto"/>
            <w:noWrap/>
            <w:vAlign w:val="center"/>
          </w:tcPr>
          <w:p w14:paraId="14CED215">
            <w:pPr>
              <w:widowControl/>
              <w:jc w:val="center"/>
              <w:rPr>
                <w:rFonts w:ascii="宋体" w:hAnsi="宋体" w:cs="宋体"/>
                <w:color w:val="000000"/>
                <w:kern w:val="0"/>
                <w:sz w:val="20"/>
                <w:szCs w:val="20"/>
              </w:rPr>
            </w:pPr>
            <w:r>
              <w:rPr>
                <w:rFonts w:hint="eastAsia" w:ascii="宋体" w:hAnsi="宋体" w:cs="宋体"/>
                <w:color w:val="000000"/>
                <w:kern w:val="0"/>
                <w:sz w:val="20"/>
                <w:szCs w:val="20"/>
              </w:rPr>
              <w:t>中心线位置</w:t>
            </w:r>
          </w:p>
        </w:tc>
        <w:tc>
          <w:tcPr>
            <w:tcW w:w="2080" w:type="dxa"/>
            <w:tcBorders>
              <w:top w:val="nil"/>
              <w:left w:val="nil"/>
              <w:bottom w:val="single" w:color="auto" w:sz="4" w:space="0"/>
              <w:right w:val="single" w:color="auto" w:sz="4" w:space="0"/>
            </w:tcBorders>
            <w:shd w:val="clear" w:color="auto" w:fill="auto"/>
            <w:noWrap/>
            <w:vAlign w:val="center"/>
          </w:tcPr>
          <w:p w14:paraId="1A5C9975">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r>
      <w:tr w14:paraId="6C6AC7DF">
        <w:tblPrEx>
          <w:tblCellMar>
            <w:top w:w="0" w:type="dxa"/>
            <w:left w:w="108" w:type="dxa"/>
            <w:bottom w:w="0" w:type="dxa"/>
            <w:right w:w="108" w:type="dxa"/>
          </w:tblCellMar>
        </w:tblPrEx>
        <w:trPr>
          <w:trHeight w:val="288" w:hRule="atLeast"/>
          <w:jc w:val="center"/>
        </w:trPr>
        <w:tc>
          <w:tcPr>
            <w:tcW w:w="2575" w:type="dxa"/>
            <w:tcBorders>
              <w:top w:val="nil"/>
              <w:left w:val="single" w:color="auto" w:sz="4" w:space="0"/>
              <w:bottom w:val="single" w:color="auto" w:sz="4" w:space="0"/>
              <w:right w:val="single" w:color="auto" w:sz="4" w:space="0"/>
            </w:tcBorders>
            <w:shd w:val="clear" w:color="auto" w:fill="auto"/>
            <w:noWrap/>
            <w:vAlign w:val="center"/>
          </w:tcPr>
          <w:p w14:paraId="7B67942D">
            <w:pPr>
              <w:widowControl/>
              <w:jc w:val="center"/>
              <w:rPr>
                <w:rFonts w:ascii="宋体" w:hAnsi="宋体" w:cs="宋体"/>
                <w:color w:val="000000"/>
                <w:kern w:val="0"/>
                <w:sz w:val="20"/>
                <w:szCs w:val="20"/>
              </w:rPr>
            </w:pPr>
            <w:r>
              <w:rPr>
                <w:rFonts w:hint="eastAsia" w:ascii="宋体" w:hAnsi="宋体" w:cs="宋体"/>
                <w:color w:val="000000"/>
                <w:kern w:val="0"/>
                <w:sz w:val="20"/>
                <w:szCs w:val="20"/>
              </w:rPr>
              <w:t>预留孔洞</w:t>
            </w:r>
          </w:p>
        </w:tc>
        <w:tc>
          <w:tcPr>
            <w:tcW w:w="1625" w:type="dxa"/>
            <w:tcBorders>
              <w:top w:val="nil"/>
              <w:left w:val="nil"/>
              <w:bottom w:val="single" w:color="auto" w:sz="4" w:space="0"/>
              <w:right w:val="single" w:color="auto" w:sz="4" w:space="0"/>
            </w:tcBorders>
            <w:shd w:val="clear" w:color="auto" w:fill="auto"/>
            <w:noWrap/>
            <w:vAlign w:val="center"/>
          </w:tcPr>
          <w:p w14:paraId="68CF5999">
            <w:pPr>
              <w:widowControl/>
              <w:jc w:val="center"/>
              <w:rPr>
                <w:rFonts w:ascii="宋体" w:hAnsi="宋体" w:cs="宋体"/>
                <w:color w:val="000000"/>
                <w:kern w:val="0"/>
                <w:sz w:val="20"/>
                <w:szCs w:val="20"/>
              </w:rPr>
            </w:pPr>
            <w:r>
              <w:rPr>
                <w:rFonts w:hint="eastAsia" w:ascii="宋体" w:hAnsi="宋体" w:cs="宋体"/>
                <w:color w:val="000000"/>
                <w:kern w:val="0"/>
                <w:sz w:val="20"/>
                <w:szCs w:val="20"/>
              </w:rPr>
              <w:t>尺寸</w:t>
            </w:r>
          </w:p>
        </w:tc>
        <w:tc>
          <w:tcPr>
            <w:tcW w:w="2080" w:type="dxa"/>
            <w:tcBorders>
              <w:top w:val="nil"/>
              <w:left w:val="nil"/>
              <w:bottom w:val="single" w:color="auto" w:sz="4" w:space="0"/>
              <w:right w:val="single" w:color="auto" w:sz="4" w:space="0"/>
            </w:tcBorders>
            <w:shd w:val="clear" w:color="auto" w:fill="auto"/>
            <w:noWrap/>
            <w:vAlign w:val="center"/>
          </w:tcPr>
          <w:p w14:paraId="0FFAD0D6">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14:paraId="0CE8801F">
        <w:tblPrEx>
          <w:tblCellMar>
            <w:top w:w="0" w:type="dxa"/>
            <w:left w:w="108" w:type="dxa"/>
            <w:bottom w:w="0" w:type="dxa"/>
            <w:right w:w="108" w:type="dxa"/>
          </w:tblCellMar>
        </w:tblPrEx>
        <w:trPr>
          <w:trHeight w:val="288" w:hRule="atLeast"/>
          <w:jc w:val="center"/>
        </w:trPr>
        <w:tc>
          <w:tcPr>
            <w:tcW w:w="2575" w:type="dxa"/>
            <w:vMerge w:val="restart"/>
            <w:tcBorders>
              <w:top w:val="nil"/>
              <w:left w:val="single" w:color="auto" w:sz="4" w:space="0"/>
              <w:bottom w:val="single" w:color="auto" w:sz="4" w:space="0"/>
              <w:right w:val="single" w:color="auto" w:sz="4" w:space="0"/>
            </w:tcBorders>
            <w:shd w:val="clear" w:color="auto" w:fill="auto"/>
            <w:noWrap/>
            <w:vAlign w:val="center"/>
          </w:tcPr>
          <w:p w14:paraId="3436CECD">
            <w:pPr>
              <w:widowControl/>
              <w:jc w:val="center"/>
              <w:rPr>
                <w:rFonts w:ascii="宋体" w:hAnsi="宋体" w:cs="宋体"/>
                <w:color w:val="000000"/>
                <w:kern w:val="0"/>
                <w:sz w:val="20"/>
                <w:szCs w:val="20"/>
              </w:rPr>
            </w:pPr>
            <w:r>
              <w:rPr>
                <w:rFonts w:hint="eastAsia" w:ascii="宋体" w:hAnsi="宋体" w:cs="宋体"/>
                <w:color w:val="000000"/>
                <w:kern w:val="0"/>
                <w:sz w:val="20"/>
                <w:szCs w:val="20"/>
              </w:rPr>
              <w:t>插筋</w:t>
            </w:r>
          </w:p>
        </w:tc>
        <w:tc>
          <w:tcPr>
            <w:tcW w:w="1625" w:type="dxa"/>
            <w:tcBorders>
              <w:top w:val="nil"/>
              <w:left w:val="nil"/>
              <w:bottom w:val="single" w:color="auto" w:sz="4" w:space="0"/>
              <w:right w:val="single" w:color="auto" w:sz="4" w:space="0"/>
            </w:tcBorders>
            <w:shd w:val="clear" w:color="auto" w:fill="auto"/>
            <w:noWrap/>
            <w:vAlign w:val="center"/>
          </w:tcPr>
          <w:p w14:paraId="6FE7728B">
            <w:pPr>
              <w:widowControl/>
              <w:jc w:val="center"/>
              <w:rPr>
                <w:rFonts w:ascii="宋体" w:hAnsi="宋体" w:cs="宋体"/>
                <w:color w:val="000000"/>
                <w:kern w:val="0"/>
                <w:sz w:val="20"/>
                <w:szCs w:val="20"/>
              </w:rPr>
            </w:pPr>
            <w:r>
              <w:rPr>
                <w:rFonts w:hint="eastAsia" w:ascii="宋体" w:hAnsi="宋体" w:cs="宋体"/>
                <w:color w:val="000000"/>
                <w:kern w:val="0"/>
                <w:sz w:val="20"/>
                <w:szCs w:val="20"/>
              </w:rPr>
              <w:t>中心线位置</w:t>
            </w:r>
          </w:p>
        </w:tc>
        <w:tc>
          <w:tcPr>
            <w:tcW w:w="2080" w:type="dxa"/>
            <w:tcBorders>
              <w:top w:val="nil"/>
              <w:left w:val="nil"/>
              <w:bottom w:val="single" w:color="auto" w:sz="4" w:space="0"/>
              <w:right w:val="single" w:color="auto" w:sz="4" w:space="0"/>
            </w:tcBorders>
            <w:shd w:val="clear" w:color="auto" w:fill="auto"/>
            <w:noWrap/>
            <w:vAlign w:val="center"/>
          </w:tcPr>
          <w:p w14:paraId="2642E2AC">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r>
      <w:tr w14:paraId="3F973314">
        <w:tblPrEx>
          <w:tblCellMar>
            <w:top w:w="0" w:type="dxa"/>
            <w:left w:w="108" w:type="dxa"/>
            <w:bottom w:w="0" w:type="dxa"/>
            <w:right w:w="108" w:type="dxa"/>
          </w:tblCellMar>
        </w:tblPrEx>
        <w:trPr>
          <w:trHeight w:val="288" w:hRule="atLeast"/>
          <w:jc w:val="center"/>
        </w:trPr>
        <w:tc>
          <w:tcPr>
            <w:tcW w:w="2575" w:type="dxa"/>
            <w:vMerge w:val="continue"/>
            <w:tcBorders>
              <w:top w:val="nil"/>
              <w:left w:val="single" w:color="auto" w:sz="4" w:space="0"/>
              <w:bottom w:val="single" w:color="auto" w:sz="4" w:space="0"/>
              <w:right w:val="single" w:color="auto" w:sz="4" w:space="0"/>
            </w:tcBorders>
            <w:vAlign w:val="center"/>
          </w:tcPr>
          <w:p w14:paraId="62948E7B">
            <w:pPr>
              <w:widowControl/>
              <w:jc w:val="left"/>
              <w:rPr>
                <w:rFonts w:ascii="宋体" w:hAnsi="宋体" w:cs="宋体"/>
                <w:color w:val="000000"/>
                <w:kern w:val="0"/>
                <w:sz w:val="20"/>
                <w:szCs w:val="20"/>
              </w:rPr>
            </w:pPr>
          </w:p>
        </w:tc>
        <w:tc>
          <w:tcPr>
            <w:tcW w:w="1625" w:type="dxa"/>
            <w:tcBorders>
              <w:top w:val="nil"/>
              <w:left w:val="nil"/>
              <w:bottom w:val="single" w:color="auto" w:sz="4" w:space="0"/>
              <w:right w:val="single" w:color="auto" w:sz="4" w:space="0"/>
            </w:tcBorders>
            <w:shd w:val="clear" w:color="auto" w:fill="auto"/>
            <w:noWrap/>
            <w:vAlign w:val="center"/>
          </w:tcPr>
          <w:p w14:paraId="66612BBE">
            <w:pPr>
              <w:widowControl/>
              <w:jc w:val="center"/>
              <w:rPr>
                <w:rFonts w:ascii="宋体" w:hAnsi="宋体" w:cs="宋体"/>
                <w:color w:val="000000"/>
                <w:kern w:val="0"/>
                <w:sz w:val="20"/>
                <w:szCs w:val="20"/>
              </w:rPr>
            </w:pPr>
            <w:r>
              <w:rPr>
                <w:rFonts w:hint="eastAsia" w:ascii="宋体" w:hAnsi="宋体" w:cs="宋体"/>
                <w:color w:val="000000"/>
                <w:kern w:val="0"/>
                <w:sz w:val="20"/>
                <w:szCs w:val="20"/>
              </w:rPr>
              <w:t>外露长度</w:t>
            </w:r>
          </w:p>
        </w:tc>
        <w:tc>
          <w:tcPr>
            <w:tcW w:w="2080" w:type="dxa"/>
            <w:tcBorders>
              <w:top w:val="nil"/>
              <w:left w:val="nil"/>
              <w:bottom w:val="single" w:color="auto" w:sz="4" w:space="0"/>
              <w:right w:val="single" w:color="auto" w:sz="4" w:space="0"/>
            </w:tcBorders>
            <w:shd w:val="clear" w:color="auto" w:fill="auto"/>
            <w:noWrap/>
            <w:vAlign w:val="center"/>
          </w:tcPr>
          <w:p w14:paraId="0C609335">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14:paraId="0EF08747">
        <w:tblPrEx>
          <w:tblCellMar>
            <w:top w:w="0" w:type="dxa"/>
            <w:left w:w="108" w:type="dxa"/>
            <w:bottom w:w="0" w:type="dxa"/>
            <w:right w:w="108" w:type="dxa"/>
          </w:tblCellMar>
        </w:tblPrEx>
        <w:trPr>
          <w:trHeight w:val="288" w:hRule="atLeast"/>
          <w:jc w:val="center"/>
        </w:trPr>
        <w:tc>
          <w:tcPr>
            <w:tcW w:w="2575" w:type="dxa"/>
            <w:vMerge w:val="restart"/>
            <w:tcBorders>
              <w:top w:val="nil"/>
              <w:left w:val="single" w:color="auto" w:sz="4" w:space="0"/>
              <w:bottom w:val="single" w:color="auto" w:sz="4" w:space="0"/>
              <w:right w:val="single" w:color="auto" w:sz="4" w:space="0"/>
            </w:tcBorders>
            <w:shd w:val="clear" w:color="auto" w:fill="auto"/>
            <w:noWrap/>
            <w:vAlign w:val="center"/>
          </w:tcPr>
          <w:p w14:paraId="5D105BEC">
            <w:pPr>
              <w:widowControl/>
              <w:jc w:val="center"/>
              <w:rPr>
                <w:rFonts w:ascii="宋体" w:hAnsi="宋体" w:cs="宋体"/>
                <w:color w:val="000000"/>
                <w:kern w:val="0"/>
                <w:sz w:val="20"/>
                <w:szCs w:val="20"/>
              </w:rPr>
            </w:pPr>
            <w:r>
              <w:rPr>
                <w:rFonts w:hint="eastAsia" w:ascii="宋体" w:hAnsi="宋体" w:cs="宋体"/>
                <w:color w:val="000000"/>
                <w:kern w:val="0"/>
                <w:sz w:val="20"/>
                <w:szCs w:val="20"/>
              </w:rPr>
              <w:t>预埋螺栓</w:t>
            </w:r>
          </w:p>
        </w:tc>
        <w:tc>
          <w:tcPr>
            <w:tcW w:w="1625" w:type="dxa"/>
            <w:tcBorders>
              <w:top w:val="nil"/>
              <w:left w:val="nil"/>
              <w:bottom w:val="single" w:color="auto" w:sz="4" w:space="0"/>
              <w:right w:val="single" w:color="auto" w:sz="4" w:space="0"/>
            </w:tcBorders>
            <w:shd w:val="clear" w:color="auto" w:fill="auto"/>
            <w:noWrap/>
            <w:vAlign w:val="center"/>
          </w:tcPr>
          <w:p w14:paraId="55A62890">
            <w:pPr>
              <w:widowControl/>
              <w:jc w:val="center"/>
              <w:rPr>
                <w:rFonts w:ascii="宋体" w:hAnsi="宋体" w:cs="宋体"/>
                <w:color w:val="000000"/>
                <w:kern w:val="0"/>
                <w:sz w:val="20"/>
                <w:szCs w:val="20"/>
              </w:rPr>
            </w:pPr>
            <w:r>
              <w:rPr>
                <w:rFonts w:hint="eastAsia" w:ascii="宋体" w:hAnsi="宋体" w:cs="宋体"/>
                <w:color w:val="000000"/>
                <w:kern w:val="0"/>
                <w:sz w:val="20"/>
                <w:szCs w:val="20"/>
              </w:rPr>
              <w:t>中心线位置</w:t>
            </w:r>
          </w:p>
        </w:tc>
        <w:tc>
          <w:tcPr>
            <w:tcW w:w="2080" w:type="dxa"/>
            <w:tcBorders>
              <w:top w:val="nil"/>
              <w:left w:val="nil"/>
              <w:bottom w:val="single" w:color="auto" w:sz="4" w:space="0"/>
              <w:right w:val="single" w:color="auto" w:sz="4" w:space="0"/>
            </w:tcBorders>
            <w:shd w:val="clear" w:color="auto" w:fill="auto"/>
            <w:noWrap/>
            <w:vAlign w:val="center"/>
          </w:tcPr>
          <w:p w14:paraId="3F978276">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r>
      <w:tr w14:paraId="75DE1975">
        <w:tblPrEx>
          <w:tblCellMar>
            <w:top w:w="0" w:type="dxa"/>
            <w:left w:w="108" w:type="dxa"/>
            <w:bottom w:w="0" w:type="dxa"/>
            <w:right w:w="108" w:type="dxa"/>
          </w:tblCellMar>
        </w:tblPrEx>
        <w:trPr>
          <w:trHeight w:val="288" w:hRule="atLeast"/>
          <w:jc w:val="center"/>
        </w:trPr>
        <w:tc>
          <w:tcPr>
            <w:tcW w:w="2575" w:type="dxa"/>
            <w:vMerge w:val="continue"/>
            <w:tcBorders>
              <w:top w:val="nil"/>
              <w:left w:val="single" w:color="auto" w:sz="4" w:space="0"/>
              <w:bottom w:val="single" w:color="auto" w:sz="4" w:space="0"/>
              <w:right w:val="single" w:color="auto" w:sz="4" w:space="0"/>
            </w:tcBorders>
            <w:vAlign w:val="center"/>
          </w:tcPr>
          <w:p w14:paraId="3B48D919">
            <w:pPr>
              <w:widowControl/>
              <w:jc w:val="left"/>
              <w:rPr>
                <w:rFonts w:ascii="宋体" w:hAnsi="宋体" w:cs="宋体"/>
                <w:color w:val="000000"/>
                <w:kern w:val="0"/>
                <w:sz w:val="20"/>
                <w:szCs w:val="20"/>
              </w:rPr>
            </w:pPr>
          </w:p>
        </w:tc>
        <w:tc>
          <w:tcPr>
            <w:tcW w:w="1625" w:type="dxa"/>
            <w:tcBorders>
              <w:top w:val="nil"/>
              <w:left w:val="nil"/>
              <w:bottom w:val="single" w:color="auto" w:sz="4" w:space="0"/>
              <w:right w:val="single" w:color="auto" w:sz="4" w:space="0"/>
            </w:tcBorders>
            <w:shd w:val="clear" w:color="auto" w:fill="auto"/>
            <w:noWrap/>
            <w:vAlign w:val="center"/>
          </w:tcPr>
          <w:p w14:paraId="582A90A1">
            <w:pPr>
              <w:widowControl/>
              <w:jc w:val="center"/>
              <w:rPr>
                <w:rFonts w:ascii="宋体" w:hAnsi="宋体" w:cs="宋体"/>
                <w:color w:val="000000"/>
                <w:kern w:val="0"/>
                <w:sz w:val="20"/>
                <w:szCs w:val="20"/>
              </w:rPr>
            </w:pPr>
            <w:r>
              <w:rPr>
                <w:rFonts w:hint="eastAsia" w:ascii="宋体" w:hAnsi="宋体" w:cs="宋体"/>
                <w:color w:val="000000"/>
                <w:kern w:val="0"/>
                <w:sz w:val="20"/>
                <w:szCs w:val="20"/>
              </w:rPr>
              <w:t>外露长度</w:t>
            </w:r>
          </w:p>
        </w:tc>
        <w:tc>
          <w:tcPr>
            <w:tcW w:w="2080" w:type="dxa"/>
            <w:tcBorders>
              <w:top w:val="nil"/>
              <w:left w:val="nil"/>
              <w:bottom w:val="single" w:color="auto" w:sz="4" w:space="0"/>
              <w:right w:val="single" w:color="auto" w:sz="4" w:space="0"/>
            </w:tcBorders>
            <w:shd w:val="clear" w:color="auto" w:fill="auto"/>
            <w:noWrap/>
            <w:vAlign w:val="center"/>
          </w:tcPr>
          <w:p w14:paraId="3EA095A3">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r>
    </w:tbl>
    <w:p w14:paraId="13A68AC7">
      <w:pPr>
        <w:pStyle w:val="112"/>
        <w:numPr>
          <w:ilvl w:val="0"/>
          <w:numId w:val="0"/>
        </w:numPr>
        <w:ind w:left="964"/>
        <w:jc w:val="center"/>
      </w:pPr>
    </w:p>
    <w:p w14:paraId="2077B0C0">
      <w:pPr>
        <w:widowControl/>
        <w:jc w:val="left"/>
        <w:sectPr>
          <w:footerReference r:id="rId10" w:type="default"/>
          <w:type w:val="continuous"/>
          <w:pgSz w:w="11906" w:h="16838"/>
          <w:pgMar w:top="1440" w:right="1800" w:bottom="1440" w:left="1985" w:header="851" w:footer="992" w:gutter="0"/>
          <w:pgNumType w:fmt="decimal"/>
          <w:cols w:space="425" w:num="1"/>
          <w:docGrid w:type="lines" w:linePitch="312" w:charSpace="0"/>
        </w:sectPr>
      </w:pPr>
    </w:p>
    <w:p w14:paraId="5FBECDA2">
      <w:pPr>
        <w:widowControl/>
        <w:jc w:val="left"/>
      </w:pPr>
    </w:p>
    <w:p w14:paraId="409D7880">
      <w:pPr>
        <w:widowControl/>
        <w:jc w:val="left"/>
      </w:pPr>
      <w:r>
        <w:br w:type="page"/>
      </w:r>
    </w:p>
    <w:p w14:paraId="1583A0DE">
      <w:pPr>
        <w:pStyle w:val="120"/>
        <w:spacing w:before="0" w:after="0"/>
        <w:ind w:left="0" w:firstLine="0"/>
        <w:jc w:val="center"/>
      </w:pPr>
      <w:bookmarkStart w:id="45" w:name="_Toc136956838"/>
      <w:r>
        <w:rPr>
          <w:rFonts w:hint="eastAsia"/>
        </w:rPr>
        <w:t>装配式混凝土建筑施工</w:t>
      </w:r>
      <w:bookmarkEnd w:id="45"/>
    </w:p>
    <w:p w14:paraId="639CC390">
      <w:pPr>
        <w:pStyle w:val="119"/>
      </w:pPr>
      <w:bookmarkStart w:id="46" w:name="_Toc136956839"/>
      <w:r>
        <w:rPr>
          <w:rFonts w:hint="eastAsia"/>
        </w:rPr>
        <w:t>装配式建筑标准、规范、图集</w:t>
      </w:r>
      <w:bookmarkEnd w:id="46"/>
    </w:p>
    <w:p w14:paraId="0EA76A4B">
      <w:pPr>
        <w:pStyle w:val="110"/>
        <w:rPr>
          <w:rStyle w:val="113"/>
          <w:b w:val="0"/>
        </w:rPr>
      </w:pPr>
      <w:r>
        <w:rPr>
          <w:rStyle w:val="113"/>
          <w:rFonts w:hint="eastAsia"/>
          <w:b w:val="0"/>
        </w:rPr>
        <w:t>装配式混凝土建筑技术标准</w:t>
      </w:r>
    </w:p>
    <w:p w14:paraId="3D9AAE29">
      <w:pPr>
        <w:pStyle w:val="112"/>
      </w:pPr>
      <w:r>
        <w:rPr>
          <w:rFonts w:hint="eastAsia"/>
        </w:rPr>
        <w:t>《装配式混凝土建筑技术标准》（GB/51231-2016）</w:t>
      </w:r>
    </w:p>
    <w:p w14:paraId="68D79EAA">
      <w:pPr>
        <w:pStyle w:val="112"/>
      </w:pPr>
      <w:r>
        <w:rPr>
          <w:rFonts w:hint="eastAsia"/>
        </w:rPr>
        <w:t>《装配式建筑评价标准》GB/T51129-2017</w:t>
      </w:r>
    </w:p>
    <w:p w14:paraId="44B66D16">
      <w:pPr>
        <w:pStyle w:val="110"/>
      </w:pPr>
      <w:r>
        <w:rPr>
          <w:rFonts w:hint="eastAsia"/>
        </w:rPr>
        <w:t>装配式建筑技术规程</w:t>
      </w:r>
    </w:p>
    <w:p w14:paraId="15990D66">
      <w:pPr>
        <w:pStyle w:val="112"/>
      </w:pPr>
      <w:r>
        <w:rPr>
          <w:rFonts w:hint="eastAsia"/>
        </w:rPr>
        <w:t>《装配式混凝土结构技术规程》（JGJ 1-2014）</w:t>
      </w:r>
    </w:p>
    <w:p w14:paraId="0A21C7CF">
      <w:pPr>
        <w:pStyle w:val="112"/>
      </w:pPr>
      <w:r>
        <w:rPr>
          <w:rFonts w:hint="eastAsia"/>
        </w:rPr>
        <w:t>《预制预应力混凝土装配整体式框架结构技术规程》JGJ224-2010</w:t>
      </w:r>
    </w:p>
    <w:p w14:paraId="0A05EF4B">
      <w:pPr>
        <w:pStyle w:val="112"/>
      </w:pPr>
      <w:r>
        <w:rPr>
          <w:rFonts w:hint="eastAsia"/>
        </w:rPr>
        <w:t>《钢筋套筒灌浆连接应用技术规程》JGJ355-2015</w:t>
      </w:r>
    </w:p>
    <w:p w14:paraId="2E410C54">
      <w:pPr>
        <w:pStyle w:val="112"/>
      </w:pPr>
      <w:r>
        <w:rPr>
          <w:rFonts w:hint="eastAsia"/>
        </w:rPr>
        <w:t>《预制混凝土夹心保温外墙板应用技术规程》（DGTJ08-2158-2015）</w:t>
      </w:r>
    </w:p>
    <w:p w14:paraId="1F179742">
      <w:pPr>
        <w:pStyle w:val="110"/>
      </w:pPr>
      <w:r>
        <w:rPr>
          <w:rFonts w:hint="eastAsia"/>
        </w:rPr>
        <w:t>装配式混凝土建筑图集</w:t>
      </w:r>
    </w:p>
    <w:p w14:paraId="4D5999A3">
      <w:pPr>
        <w:pStyle w:val="112"/>
      </w:pPr>
      <w:r>
        <w:rPr>
          <w:rFonts w:hint="eastAsia"/>
        </w:rPr>
        <w:t>《装配式混凝土结构连接节点构造》15G310-1</w:t>
      </w:r>
      <w:r>
        <w:t>~2</w:t>
      </w:r>
    </w:p>
    <w:p w14:paraId="2E896BCD">
      <w:pPr>
        <w:pStyle w:val="112"/>
      </w:pPr>
      <w:r>
        <w:rPr>
          <w:rFonts w:hint="eastAsia"/>
        </w:rPr>
        <w:t>《预制混凝土剪力墙外墙板》（15G365-1）</w:t>
      </w:r>
    </w:p>
    <w:p w14:paraId="7AE21907">
      <w:pPr>
        <w:pStyle w:val="112"/>
      </w:pPr>
      <w:r>
        <w:rPr>
          <w:rFonts w:hint="eastAsia"/>
        </w:rPr>
        <w:t>《预制混凝土剪力墙内墙板》（15G365-2）</w:t>
      </w:r>
    </w:p>
    <w:p w14:paraId="52654971">
      <w:pPr>
        <w:pStyle w:val="112"/>
      </w:pPr>
      <w:r>
        <w:rPr>
          <w:rFonts w:hint="eastAsia"/>
        </w:rPr>
        <w:t>《预制钢筋混凝土阳台板、空调板及女儿墙》（15G368-1）</w:t>
      </w:r>
    </w:p>
    <w:p w14:paraId="42D172D2">
      <w:pPr>
        <w:pStyle w:val="112"/>
      </w:pPr>
      <w:r>
        <w:rPr>
          <w:rFonts w:hint="eastAsia"/>
        </w:rPr>
        <w:t>《桁架钢筋混凝土叠合板》（15G366-1）</w:t>
      </w:r>
    </w:p>
    <w:p w14:paraId="7AB21D89">
      <w:pPr>
        <w:pStyle w:val="112"/>
      </w:pPr>
      <w:r>
        <w:rPr>
          <w:rFonts w:hint="eastAsia"/>
        </w:rPr>
        <w:t>《预制钢筋混凝土板式楼梯》（15G367-1）</w:t>
      </w:r>
    </w:p>
    <w:p w14:paraId="6032A1CD">
      <w:pPr>
        <w:pStyle w:val="112"/>
      </w:pPr>
      <w:r>
        <w:rPr>
          <w:rFonts w:hint="eastAsia"/>
        </w:rPr>
        <w:t>《装配式混凝土结构表示方法及示例》（1</w:t>
      </w:r>
      <w:r>
        <w:t>5G107-1</w:t>
      </w:r>
      <w:r>
        <w:rPr>
          <w:rFonts w:hint="eastAsia"/>
        </w:rPr>
        <w:t>）</w:t>
      </w:r>
    </w:p>
    <w:p w14:paraId="3AA02B23">
      <w:pPr>
        <w:pStyle w:val="119"/>
      </w:pPr>
      <w:bookmarkStart w:id="47" w:name="_Toc136956840"/>
      <w:r>
        <w:rPr>
          <w:rFonts w:hint="eastAsia"/>
        </w:rPr>
        <w:t>预制混凝土构件运输、现场堆放</w:t>
      </w:r>
      <w:bookmarkEnd w:id="47"/>
    </w:p>
    <w:p w14:paraId="19415F7B">
      <w:pPr>
        <w:pStyle w:val="110"/>
      </w:pPr>
      <w:r>
        <w:rPr>
          <w:rFonts w:hint="eastAsia"/>
        </w:rPr>
        <w:t>预制构件运输宜选用低平板车，车上应设有专用架，且有可靠的稳定构件措施。预制构件混凝土强度达到设计强度时方可运输。</w:t>
      </w:r>
    </w:p>
    <w:p w14:paraId="6C8B71F4">
      <w:pPr>
        <w:pStyle w:val="110"/>
      </w:pPr>
      <w:r>
        <w:rPr>
          <w:rFonts w:hint="eastAsia"/>
        </w:rPr>
        <w:t>预制构件采用装箱方式运输时，箱内四周应采用木材、混凝土块作为支撑物，构件接触部位用柔性垫片填实，支撑牢固不得有松动。</w:t>
      </w:r>
    </w:p>
    <w:p w14:paraId="0FC40D53">
      <w:pPr>
        <w:pStyle w:val="110"/>
      </w:pPr>
      <w:r>
        <w:rPr>
          <w:rFonts w:hint="eastAsia"/>
        </w:rPr>
        <w:t>预制外墙板宜采用竖直立放式运输，预制叠合楼板、预制阳台板、预制楼梯可采用平放运输，并正确选择支垫位置。</w:t>
      </w:r>
    </w:p>
    <w:p w14:paraId="01D0AFDD">
      <w:pPr>
        <w:pStyle w:val="110"/>
      </w:pPr>
      <w:r>
        <w:rPr>
          <w:rFonts w:hint="eastAsia"/>
        </w:rPr>
        <w:t>预制构件运送到施工现场后，应按规格、品种、所用部位、吊装顺序分别设置堆场。现场驳放堆场应设置在吊车工作范围内,堆垛之间宜设置通道。</w:t>
      </w:r>
    </w:p>
    <w:p w14:paraId="748A05EB">
      <w:pPr>
        <w:pStyle w:val="110"/>
      </w:pPr>
      <w:r>
        <w:rPr>
          <w:rFonts w:hint="eastAsia"/>
        </w:rPr>
        <w:t>现场运输道路和堆放堆场应平整坚实,并有排水措施.运输车辆进入施工现场的道路,应满足预制构件的运输要求.卸放、吊装工作范围内不应有障碍物,并应有满足预制构件周转使用的场地。</w:t>
      </w:r>
    </w:p>
    <w:p w14:paraId="43BAA730">
      <w:pPr>
        <w:pStyle w:val="110"/>
      </w:pPr>
      <w:r>
        <w:rPr>
          <w:rFonts w:hint="eastAsia"/>
        </w:rPr>
        <w:t>预制外墙板可采用插放或靠放，堆放架应有足够的刚度，并需支垫稳固。宜将相邻堆放架练成整体，预制外墙板应外饰面朝外，连接止水条、高低扣、墙体转角等薄弱部位，应采用定型保护垫块或专用式附套件作加强保护。</w:t>
      </w:r>
    </w:p>
    <w:p w14:paraId="59952213">
      <w:pPr>
        <w:pStyle w:val="110"/>
      </w:pPr>
      <w:r>
        <w:rPr>
          <w:rFonts w:hint="eastAsia"/>
        </w:rPr>
        <w:t>预制叠合板可采用叠放方式，层与层之间应该垫平、垫实，各层支垫应上下对齐，最下面一层支垫应通常设置。叠放层数不超过6层。</w:t>
      </w:r>
    </w:p>
    <w:p w14:paraId="55EB882D">
      <w:pPr>
        <w:pStyle w:val="119"/>
      </w:pPr>
      <w:bookmarkStart w:id="48" w:name="_Toc136956841"/>
      <w:r>
        <w:rPr>
          <w:rFonts w:hint="eastAsia"/>
        </w:rPr>
        <w:t>预制混凝土构件质量验收</w:t>
      </w:r>
      <w:bookmarkEnd w:id="48"/>
    </w:p>
    <w:p w14:paraId="241BE7F1">
      <w:pPr>
        <w:pStyle w:val="122"/>
      </w:pPr>
      <w:r>
        <w:rPr>
          <w:rFonts w:hint="eastAsia"/>
        </w:rPr>
        <w:t>一般规定</w:t>
      </w:r>
    </w:p>
    <w:p w14:paraId="7751264B">
      <w:pPr>
        <w:pStyle w:val="112"/>
        <w:numPr>
          <w:ilvl w:val="0"/>
          <w:numId w:val="0"/>
        </w:numPr>
        <w:ind w:left="964"/>
      </w:pPr>
      <w:r>
        <w:rPr>
          <w:rFonts w:hint="eastAsia"/>
        </w:rPr>
        <w:t>装配整体式住宅混凝土构件质量验收应按分项工程进行验收；构件的门窗子分部工程、饰面板（砖）子分部工程进行验收，应符合现行国家标准《建筑装饰装修工程质量验收规范》G</w:t>
      </w:r>
      <w:r>
        <w:t>B50210</w:t>
      </w:r>
      <w:r>
        <w:rPr>
          <w:rFonts w:hint="eastAsia"/>
        </w:rPr>
        <w:t>的规定；构件制作的模板分项工程、钢筋分项工程和混凝土分项工程质量验收，应符合线性国家标准《混凝土结构工程施工质量验收规范》G</w:t>
      </w:r>
      <w:r>
        <w:t>B50204</w:t>
      </w:r>
      <w:r>
        <w:rPr>
          <w:rFonts w:hint="eastAsia"/>
        </w:rPr>
        <w:t>的规定；需要时，预制构件应进行结构性能检验，结构性能检验不合格的预制构件不得用于混凝土结构。符合下列规定时间，预制构件质量评为合格：</w:t>
      </w:r>
    </w:p>
    <w:p w14:paraId="3020122C">
      <w:pPr>
        <w:pStyle w:val="112"/>
        <w:numPr>
          <w:ilvl w:val="0"/>
          <w:numId w:val="27"/>
        </w:numPr>
      </w:pPr>
      <w:r>
        <w:rPr>
          <w:rFonts w:hint="eastAsia"/>
        </w:rPr>
        <w:t>主控项目全部合格。</w:t>
      </w:r>
    </w:p>
    <w:p w14:paraId="266F8783">
      <w:pPr>
        <w:pStyle w:val="112"/>
        <w:numPr>
          <w:ilvl w:val="0"/>
          <w:numId w:val="27"/>
        </w:numPr>
      </w:pPr>
      <w:r>
        <w:rPr>
          <w:rFonts w:hint="eastAsia"/>
        </w:rPr>
        <w:t>一般项目的质量经检验合格，且没有出现影响结构安全、安装施工和使用要求的缺陷。</w:t>
      </w:r>
    </w:p>
    <w:p w14:paraId="237023A3">
      <w:pPr>
        <w:pStyle w:val="112"/>
        <w:numPr>
          <w:ilvl w:val="0"/>
          <w:numId w:val="27"/>
        </w:numPr>
      </w:pPr>
      <w:r>
        <w:rPr>
          <w:rFonts w:hint="eastAsia"/>
        </w:rPr>
        <w:t>一般项目中允许偏差项目的合格率大于等于80</w:t>
      </w:r>
      <w:r>
        <w:t>%</w:t>
      </w:r>
      <w:r>
        <w:rPr>
          <w:rFonts w:hint="eastAsia"/>
        </w:rPr>
        <w:t>，允许偏差不得超过最大限制的1</w:t>
      </w:r>
      <w:r>
        <w:t>.5</w:t>
      </w:r>
      <w:r>
        <w:rPr>
          <w:rFonts w:hint="eastAsia"/>
        </w:rPr>
        <w:t>倍，且没有出现影响结构安全、安装施工和使用要求的缺陷。</w:t>
      </w:r>
    </w:p>
    <w:p w14:paraId="789DA343">
      <w:pPr>
        <w:pStyle w:val="122"/>
      </w:pPr>
      <w:r>
        <w:rPr>
          <w:rFonts w:hint="eastAsia"/>
        </w:rPr>
        <w:t>预制构件质量验收</w:t>
      </w:r>
    </w:p>
    <w:p w14:paraId="4BFA7B62">
      <w:pPr>
        <w:pStyle w:val="112"/>
        <w:numPr>
          <w:ilvl w:val="0"/>
          <w:numId w:val="0"/>
        </w:numPr>
        <w:ind w:left="964"/>
      </w:pPr>
      <w:r>
        <w:rPr>
          <w:rFonts w:hint="eastAsia"/>
        </w:rPr>
        <w:t>主控项目：</w:t>
      </w:r>
    </w:p>
    <w:p w14:paraId="24A81552">
      <w:pPr>
        <w:pStyle w:val="112"/>
        <w:numPr>
          <w:ilvl w:val="0"/>
          <w:numId w:val="0"/>
        </w:numPr>
        <w:ind w:left="964"/>
      </w:pPr>
      <w:r>
        <w:rPr>
          <w:rFonts w:hint="eastAsia"/>
        </w:rPr>
        <w:t>（1）预制构件应在明显部位表明生产单位、构件型号、生产日期和质量验收标志。构件上的预埋件、插筋和预留孔的规格、和数量应符合标准图或设计的要求。</w:t>
      </w:r>
    </w:p>
    <w:p w14:paraId="6E29AF9A">
      <w:pPr>
        <w:pStyle w:val="112"/>
        <w:numPr>
          <w:ilvl w:val="0"/>
          <w:numId w:val="0"/>
        </w:numPr>
        <w:ind w:left="964"/>
      </w:pPr>
      <w:r>
        <w:rPr>
          <w:rFonts w:hint="eastAsia"/>
        </w:rPr>
        <w:t>检查数量：全数检查</w:t>
      </w:r>
    </w:p>
    <w:p w14:paraId="459CD63F">
      <w:pPr>
        <w:pStyle w:val="112"/>
        <w:numPr>
          <w:ilvl w:val="0"/>
          <w:numId w:val="0"/>
        </w:numPr>
        <w:ind w:left="964"/>
      </w:pPr>
      <w:r>
        <w:rPr>
          <w:rFonts w:hint="eastAsia"/>
        </w:rPr>
        <w:t>检验方法：对照涉及图纸进行观察、测量。</w:t>
      </w:r>
    </w:p>
    <w:p w14:paraId="3E9AAD1B">
      <w:pPr>
        <w:pStyle w:val="112"/>
        <w:numPr>
          <w:ilvl w:val="0"/>
          <w:numId w:val="0"/>
        </w:numPr>
        <w:ind w:left="964"/>
      </w:pPr>
      <w:r>
        <w:rPr>
          <w:rFonts w:hint="eastAsia"/>
        </w:rPr>
        <w:t>（2）预制构件外观质量不应有严重缺陷。对已经出现的严重缺陷，应按技术处理方案进行处理和经原设计单位认可，并重新查收</w:t>
      </w:r>
    </w:p>
    <w:p w14:paraId="69BC5D46">
      <w:pPr>
        <w:pStyle w:val="112"/>
        <w:numPr>
          <w:ilvl w:val="0"/>
          <w:numId w:val="0"/>
        </w:numPr>
        <w:ind w:left="964"/>
      </w:pPr>
      <w:r>
        <w:rPr>
          <w:rFonts w:hint="eastAsia"/>
        </w:rPr>
        <w:t>检查数量：全数检查</w:t>
      </w:r>
    </w:p>
    <w:p w14:paraId="42CDA3C1">
      <w:pPr>
        <w:pStyle w:val="112"/>
        <w:numPr>
          <w:ilvl w:val="0"/>
          <w:numId w:val="0"/>
        </w:numPr>
        <w:ind w:left="964"/>
      </w:pPr>
      <w:r>
        <w:rPr>
          <w:rFonts w:hint="eastAsia"/>
        </w:rPr>
        <w:t>检验方法：观察、检查技术处理方案。</w:t>
      </w:r>
    </w:p>
    <w:p w14:paraId="0B4AFAE6">
      <w:pPr>
        <w:pStyle w:val="112"/>
        <w:numPr>
          <w:ilvl w:val="0"/>
          <w:numId w:val="0"/>
        </w:numPr>
        <w:ind w:left="964"/>
      </w:pPr>
      <w:r>
        <w:rPr>
          <w:rFonts w:hint="eastAsia"/>
        </w:rPr>
        <w:t>（3）预制构件不应有影像结构性能和安装、使用功能的尺寸偏差。对超过尺寸允许偏差且影响结构性能和安装、使用功能的部位，应按技术处理方案进行处理，并重新检查验收。</w:t>
      </w:r>
    </w:p>
    <w:p w14:paraId="0D268D61">
      <w:pPr>
        <w:pStyle w:val="112"/>
        <w:numPr>
          <w:ilvl w:val="0"/>
          <w:numId w:val="0"/>
        </w:numPr>
        <w:ind w:left="964"/>
      </w:pPr>
      <w:r>
        <w:rPr>
          <w:rFonts w:hint="eastAsia"/>
        </w:rPr>
        <w:t>检查数量：全数检查</w:t>
      </w:r>
    </w:p>
    <w:p w14:paraId="538D10E2">
      <w:pPr>
        <w:pStyle w:val="112"/>
        <w:numPr>
          <w:ilvl w:val="0"/>
          <w:numId w:val="0"/>
        </w:numPr>
        <w:ind w:left="964"/>
      </w:pPr>
      <w:r>
        <w:rPr>
          <w:rFonts w:hint="eastAsia"/>
        </w:rPr>
        <w:t>检验方法：测量，检查技术处理方案。</w:t>
      </w:r>
    </w:p>
    <w:p w14:paraId="73C9A03D">
      <w:pPr>
        <w:pStyle w:val="112"/>
        <w:numPr>
          <w:ilvl w:val="0"/>
          <w:numId w:val="0"/>
        </w:numPr>
        <w:ind w:left="964"/>
      </w:pPr>
      <w:r>
        <w:rPr>
          <w:rFonts w:hint="eastAsia"/>
        </w:rPr>
        <w:t>一般项目：</w:t>
      </w:r>
    </w:p>
    <w:p w14:paraId="6EBAA655">
      <w:pPr>
        <w:pStyle w:val="112"/>
        <w:numPr>
          <w:ilvl w:val="0"/>
          <w:numId w:val="0"/>
        </w:numPr>
        <w:ind w:left="964"/>
      </w:pPr>
      <w:r>
        <w:rPr>
          <w:rFonts w:hint="eastAsia"/>
        </w:rPr>
        <w:t>（1）预制构件的混凝土强度应按现行国家标准《混凝土强度检验评定标准》G</w:t>
      </w:r>
      <w:r>
        <w:t>BJ107</w:t>
      </w:r>
      <w:r>
        <w:rPr>
          <w:rFonts w:hint="eastAsia"/>
        </w:rPr>
        <w:t>的规定分批检验评定。</w:t>
      </w:r>
    </w:p>
    <w:p w14:paraId="5D1D3EAA">
      <w:pPr>
        <w:pStyle w:val="112"/>
        <w:numPr>
          <w:ilvl w:val="0"/>
          <w:numId w:val="0"/>
        </w:numPr>
        <w:ind w:left="964"/>
      </w:pPr>
      <w:r>
        <w:rPr>
          <w:rFonts w:hint="eastAsia"/>
        </w:rPr>
        <w:t>（2）预制构件制作模具应符合下表规定</w:t>
      </w:r>
    </w:p>
    <w:p w14:paraId="557D1733">
      <w:pPr>
        <w:pStyle w:val="112"/>
        <w:numPr>
          <w:ilvl w:val="0"/>
          <w:numId w:val="0"/>
        </w:numPr>
        <w:ind w:left="964"/>
      </w:pPr>
      <w:r>
        <w:rPr>
          <w:rFonts w:hint="eastAsia"/>
        </w:rPr>
        <w:t>检查数量：全数检查。</w:t>
      </w:r>
    </w:p>
    <w:p w14:paraId="09C79D5E">
      <w:pPr>
        <w:pStyle w:val="112"/>
        <w:numPr>
          <w:ilvl w:val="0"/>
          <w:numId w:val="0"/>
        </w:numPr>
        <w:ind w:left="964"/>
      </w:pPr>
      <w:r>
        <w:rPr>
          <w:rFonts w:hint="eastAsia"/>
        </w:rPr>
        <w:t>检验方法：钢尺检查。</w:t>
      </w:r>
    </w:p>
    <w:p w14:paraId="0F504B5B">
      <w:pPr>
        <w:pStyle w:val="112"/>
        <w:numPr>
          <w:ilvl w:val="0"/>
          <w:numId w:val="0"/>
        </w:numPr>
        <w:ind w:left="964" w:firstLine="2700" w:firstLineChars="1500"/>
      </w:pPr>
      <w:r>
        <w:rPr>
          <w:rFonts w:hint="eastAsia"/>
        </w:rPr>
        <w:t>钢模尺寸允许偏差值</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926"/>
        <w:gridCol w:w="4835"/>
      </w:tblGrid>
      <w:tr w14:paraId="323C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7CAC8167">
            <w:pPr>
              <w:spacing w:line="360" w:lineRule="auto"/>
              <w:jc w:val="center"/>
              <w:rPr>
                <w:rFonts w:ascii="宋体" w:hAnsi="宋体"/>
                <w:bCs/>
                <w:color w:val="000000"/>
                <w:szCs w:val="21"/>
              </w:rPr>
            </w:pPr>
            <w:r>
              <w:rPr>
                <w:rFonts w:hint="eastAsia" w:ascii="宋体" w:hAnsi="宋体"/>
                <w:color w:val="000000"/>
                <w:szCs w:val="21"/>
              </w:rPr>
              <w:t>测定部位</w:t>
            </w:r>
          </w:p>
        </w:tc>
        <w:tc>
          <w:tcPr>
            <w:tcW w:w="1155" w:type="pct"/>
            <w:tcBorders>
              <w:top w:val="single" w:color="auto" w:sz="4" w:space="0"/>
              <w:left w:val="single" w:color="auto" w:sz="4" w:space="0"/>
              <w:bottom w:val="single" w:color="auto" w:sz="4" w:space="0"/>
              <w:right w:val="single" w:color="auto" w:sz="4" w:space="0"/>
            </w:tcBorders>
            <w:vAlign w:val="center"/>
          </w:tcPr>
          <w:p w14:paraId="6674ADBB">
            <w:pPr>
              <w:spacing w:line="360" w:lineRule="auto"/>
              <w:jc w:val="center"/>
              <w:rPr>
                <w:rFonts w:ascii="宋体" w:hAnsi="宋体"/>
                <w:bCs/>
                <w:color w:val="000000"/>
                <w:szCs w:val="21"/>
              </w:rPr>
            </w:pPr>
            <w:r>
              <w:rPr>
                <w:rFonts w:hint="eastAsia" w:ascii="宋体" w:hAnsi="宋体"/>
                <w:bCs/>
                <w:color w:val="000000"/>
                <w:szCs w:val="21"/>
              </w:rPr>
              <w:t>允许偏差（</w:t>
            </w:r>
            <w:r>
              <w:rPr>
                <w:rFonts w:hint="eastAsia"/>
                <w:bCs/>
                <w:color w:val="000000"/>
                <w:szCs w:val="21"/>
              </w:rPr>
              <w:t>mm</w:t>
            </w:r>
            <w:r>
              <w:rPr>
                <w:rFonts w:hint="eastAsia" w:ascii="宋体" w:hAnsi="宋体"/>
                <w:bCs/>
                <w:color w:val="000000"/>
                <w:szCs w:val="21"/>
              </w:rPr>
              <w:t>）</w:t>
            </w:r>
          </w:p>
        </w:tc>
        <w:tc>
          <w:tcPr>
            <w:tcW w:w="2900" w:type="pct"/>
            <w:tcBorders>
              <w:top w:val="single" w:color="auto" w:sz="4" w:space="0"/>
              <w:left w:val="single" w:color="auto" w:sz="4" w:space="0"/>
              <w:bottom w:val="single" w:color="auto" w:sz="4" w:space="0"/>
              <w:right w:val="single" w:color="auto" w:sz="4" w:space="0"/>
            </w:tcBorders>
            <w:vAlign w:val="center"/>
          </w:tcPr>
          <w:p w14:paraId="53D241E7">
            <w:pPr>
              <w:spacing w:line="360" w:lineRule="auto"/>
              <w:jc w:val="center"/>
              <w:rPr>
                <w:rFonts w:ascii="宋体" w:hAnsi="宋体"/>
                <w:bCs/>
                <w:color w:val="000000"/>
                <w:szCs w:val="21"/>
              </w:rPr>
            </w:pPr>
            <w:r>
              <w:rPr>
                <w:rFonts w:hint="eastAsia" w:ascii="宋体" w:hAnsi="宋体"/>
                <w:bCs/>
                <w:color w:val="000000"/>
                <w:szCs w:val="21"/>
              </w:rPr>
              <w:t>检验方法</w:t>
            </w:r>
          </w:p>
        </w:tc>
      </w:tr>
      <w:tr w14:paraId="7596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71AECC95">
            <w:pPr>
              <w:spacing w:line="360" w:lineRule="auto"/>
              <w:jc w:val="center"/>
              <w:rPr>
                <w:rFonts w:ascii="宋体" w:hAnsi="宋体"/>
                <w:bCs/>
                <w:color w:val="000000"/>
                <w:szCs w:val="21"/>
              </w:rPr>
            </w:pPr>
            <w:r>
              <w:rPr>
                <w:rFonts w:hint="eastAsia" w:ascii="宋体" w:hAnsi="宋体"/>
                <w:color w:val="000000"/>
                <w:szCs w:val="21"/>
              </w:rPr>
              <w:t>边长</w:t>
            </w:r>
          </w:p>
        </w:tc>
        <w:tc>
          <w:tcPr>
            <w:tcW w:w="1155" w:type="pct"/>
            <w:tcBorders>
              <w:top w:val="single" w:color="auto" w:sz="4" w:space="0"/>
              <w:left w:val="single" w:color="auto" w:sz="4" w:space="0"/>
              <w:bottom w:val="single" w:color="auto" w:sz="4" w:space="0"/>
              <w:right w:val="single" w:color="auto" w:sz="4" w:space="0"/>
            </w:tcBorders>
            <w:vAlign w:val="center"/>
          </w:tcPr>
          <w:p w14:paraId="799A2C85">
            <w:pPr>
              <w:spacing w:line="360" w:lineRule="auto"/>
              <w:jc w:val="center"/>
              <w:rPr>
                <w:rFonts w:ascii="宋体" w:hAnsi="宋体"/>
                <w:bCs/>
                <w:color w:val="000000"/>
                <w:szCs w:val="21"/>
              </w:rPr>
            </w:pPr>
            <w:r>
              <w:rPr>
                <w:rFonts w:hint="eastAsia" w:ascii="宋体" w:hAnsi="宋体"/>
                <w:color w:val="000000"/>
                <w:szCs w:val="21"/>
              </w:rPr>
              <w:t>±</w:t>
            </w:r>
            <w:r>
              <w:rPr>
                <w:rFonts w:hint="eastAsia"/>
                <w:color w:val="000000"/>
                <w:szCs w:val="21"/>
              </w:rPr>
              <w:t>2</w:t>
            </w:r>
          </w:p>
        </w:tc>
        <w:tc>
          <w:tcPr>
            <w:tcW w:w="2900" w:type="pct"/>
            <w:tcBorders>
              <w:top w:val="single" w:color="auto" w:sz="4" w:space="0"/>
              <w:left w:val="single" w:color="auto" w:sz="4" w:space="0"/>
              <w:bottom w:val="single" w:color="auto" w:sz="4" w:space="0"/>
              <w:right w:val="single" w:color="auto" w:sz="4" w:space="0"/>
            </w:tcBorders>
            <w:vAlign w:val="center"/>
          </w:tcPr>
          <w:p w14:paraId="5071EA11">
            <w:pPr>
              <w:spacing w:line="360" w:lineRule="auto"/>
              <w:jc w:val="center"/>
              <w:rPr>
                <w:rFonts w:ascii="宋体" w:hAnsi="宋体"/>
                <w:bCs/>
                <w:color w:val="000000"/>
                <w:szCs w:val="21"/>
              </w:rPr>
            </w:pPr>
            <w:r>
              <w:rPr>
                <w:rFonts w:hint="eastAsia" w:ascii="宋体" w:hAnsi="宋体"/>
                <w:color w:val="000000"/>
                <w:szCs w:val="21"/>
              </w:rPr>
              <w:t>钢尺四边测量</w:t>
            </w:r>
          </w:p>
        </w:tc>
      </w:tr>
      <w:tr w14:paraId="3879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0F76BDD1">
            <w:pPr>
              <w:spacing w:line="360" w:lineRule="auto"/>
              <w:jc w:val="center"/>
              <w:rPr>
                <w:rFonts w:ascii="宋体" w:hAnsi="宋体"/>
                <w:bCs/>
                <w:color w:val="000000"/>
                <w:szCs w:val="21"/>
              </w:rPr>
            </w:pPr>
            <w:r>
              <w:rPr>
                <w:rFonts w:hint="eastAsia" w:ascii="宋体" w:hAnsi="宋体"/>
                <w:color w:val="000000"/>
                <w:szCs w:val="21"/>
              </w:rPr>
              <w:t>板厚</w:t>
            </w:r>
          </w:p>
        </w:tc>
        <w:tc>
          <w:tcPr>
            <w:tcW w:w="1155" w:type="pct"/>
            <w:tcBorders>
              <w:top w:val="single" w:color="auto" w:sz="4" w:space="0"/>
              <w:left w:val="single" w:color="auto" w:sz="4" w:space="0"/>
              <w:bottom w:val="single" w:color="auto" w:sz="4" w:space="0"/>
              <w:right w:val="single" w:color="auto" w:sz="4" w:space="0"/>
            </w:tcBorders>
            <w:vAlign w:val="center"/>
          </w:tcPr>
          <w:p w14:paraId="01A03033">
            <w:pPr>
              <w:spacing w:line="360" w:lineRule="auto"/>
              <w:jc w:val="center"/>
              <w:rPr>
                <w:rFonts w:ascii="宋体" w:hAnsi="宋体"/>
                <w:bCs/>
                <w:color w:val="000000"/>
                <w:szCs w:val="21"/>
              </w:rPr>
            </w:pPr>
            <w:r>
              <w:rPr>
                <w:rFonts w:hint="eastAsia"/>
                <w:color w:val="000000"/>
                <w:szCs w:val="21"/>
              </w:rPr>
              <w:t>0</w:t>
            </w:r>
            <w:r>
              <w:rPr>
                <w:rFonts w:hint="eastAsia" w:ascii="宋体" w:hAnsi="宋体"/>
                <w:color w:val="000000"/>
                <w:szCs w:val="21"/>
              </w:rPr>
              <w:t>～＋</w:t>
            </w:r>
            <w:r>
              <w:rPr>
                <w:rFonts w:hint="eastAsia"/>
                <w:color w:val="000000"/>
                <w:szCs w:val="21"/>
              </w:rPr>
              <w:t>1</w:t>
            </w:r>
          </w:p>
        </w:tc>
        <w:tc>
          <w:tcPr>
            <w:tcW w:w="2900" w:type="pct"/>
            <w:tcBorders>
              <w:top w:val="single" w:color="auto" w:sz="4" w:space="0"/>
              <w:left w:val="single" w:color="auto" w:sz="4" w:space="0"/>
              <w:bottom w:val="single" w:color="auto" w:sz="4" w:space="0"/>
              <w:right w:val="single" w:color="auto" w:sz="4" w:space="0"/>
            </w:tcBorders>
            <w:vAlign w:val="center"/>
          </w:tcPr>
          <w:p w14:paraId="673DE781">
            <w:pPr>
              <w:spacing w:line="360" w:lineRule="auto"/>
              <w:jc w:val="center"/>
              <w:rPr>
                <w:rFonts w:ascii="宋体" w:hAnsi="宋体"/>
                <w:bCs/>
                <w:color w:val="000000"/>
                <w:szCs w:val="21"/>
              </w:rPr>
            </w:pPr>
            <w:r>
              <w:rPr>
                <w:rFonts w:hint="eastAsia" w:ascii="宋体" w:hAnsi="宋体"/>
                <w:color w:val="000000"/>
                <w:szCs w:val="21"/>
              </w:rPr>
              <w:t>钢尺测量，取</w:t>
            </w:r>
            <w:r>
              <w:rPr>
                <w:rFonts w:hint="eastAsia"/>
                <w:color w:val="000000"/>
                <w:szCs w:val="21"/>
              </w:rPr>
              <w:t>2</w:t>
            </w:r>
            <w:r>
              <w:rPr>
                <w:rFonts w:hint="eastAsia" w:ascii="宋体" w:hAnsi="宋体"/>
                <w:color w:val="000000"/>
                <w:szCs w:val="21"/>
              </w:rPr>
              <w:t>边平均值</w:t>
            </w:r>
          </w:p>
        </w:tc>
      </w:tr>
      <w:tr w14:paraId="5E40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3CAFC62E">
            <w:pPr>
              <w:spacing w:line="360" w:lineRule="auto"/>
              <w:jc w:val="center"/>
              <w:rPr>
                <w:rFonts w:ascii="宋体" w:hAnsi="宋体"/>
                <w:bCs/>
                <w:color w:val="000000"/>
                <w:szCs w:val="21"/>
              </w:rPr>
            </w:pPr>
            <w:r>
              <w:rPr>
                <w:rFonts w:hint="eastAsia" w:ascii="宋体" w:hAnsi="宋体"/>
                <w:color w:val="000000"/>
                <w:szCs w:val="21"/>
              </w:rPr>
              <w:t>扭曲</w:t>
            </w:r>
          </w:p>
        </w:tc>
        <w:tc>
          <w:tcPr>
            <w:tcW w:w="1155" w:type="pct"/>
            <w:tcBorders>
              <w:top w:val="single" w:color="auto" w:sz="4" w:space="0"/>
              <w:left w:val="single" w:color="auto" w:sz="4" w:space="0"/>
              <w:bottom w:val="single" w:color="auto" w:sz="4" w:space="0"/>
              <w:right w:val="single" w:color="auto" w:sz="4" w:space="0"/>
            </w:tcBorders>
            <w:vAlign w:val="center"/>
          </w:tcPr>
          <w:p w14:paraId="4A6DFF62">
            <w:pPr>
              <w:spacing w:line="360" w:lineRule="auto"/>
              <w:jc w:val="center"/>
              <w:rPr>
                <w:rFonts w:ascii="宋体" w:hAnsi="宋体"/>
                <w:bCs/>
                <w:color w:val="000000"/>
                <w:szCs w:val="21"/>
              </w:rPr>
            </w:pPr>
            <w:r>
              <w:rPr>
                <w:rFonts w:hint="eastAsia"/>
                <w:bCs/>
                <w:color w:val="000000"/>
                <w:szCs w:val="21"/>
              </w:rPr>
              <w:t>2</w:t>
            </w:r>
          </w:p>
        </w:tc>
        <w:tc>
          <w:tcPr>
            <w:tcW w:w="2900" w:type="pct"/>
            <w:tcBorders>
              <w:top w:val="single" w:color="auto" w:sz="4" w:space="0"/>
              <w:left w:val="single" w:color="auto" w:sz="4" w:space="0"/>
              <w:bottom w:val="single" w:color="auto" w:sz="4" w:space="0"/>
              <w:right w:val="single" w:color="auto" w:sz="4" w:space="0"/>
            </w:tcBorders>
            <w:vAlign w:val="center"/>
          </w:tcPr>
          <w:p w14:paraId="3DDD6459">
            <w:pPr>
              <w:spacing w:line="360" w:lineRule="auto"/>
              <w:jc w:val="center"/>
              <w:rPr>
                <w:rFonts w:ascii="宋体" w:hAnsi="宋体"/>
                <w:bCs/>
                <w:color w:val="000000"/>
                <w:szCs w:val="21"/>
              </w:rPr>
            </w:pPr>
            <w:r>
              <w:rPr>
                <w:rFonts w:hint="eastAsia" w:ascii="宋体" w:hAnsi="宋体"/>
                <w:color w:val="000000"/>
                <w:szCs w:val="21"/>
              </w:rPr>
              <w:t>四角用两根细线交叉固定，钢尺测中心点高度</w:t>
            </w:r>
          </w:p>
        </w:tc>
      </w:tr>
      <w:tr w14:paraId="135D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6A70E796">
            <w:pPr>
              <w:spacing w:line="360" w:lineRule="auto"/>
              <w:jc w:val="center"/>
              <w:rPr>
                <w:rFonts w:ascii="宋体" w:hAnsi="宋体"/>
                <w:bCs/>
                <w:color w:val="000000"/>
                <w:szCs w:val="21"/>
              </w:rPr>
            </w:pPr>
            <w:r>
              <w:rPr>
                <w:rFonts w:hint="eastAsia" w:ascii="宋体" w:hAnsi="宋体"/>
                <w:color w:val="000000"/>
                <w:szCs w:val="21"/>
              </w:rPr>
              <w:t>翘曲</w:t>
            </w:r>
          </w:p>
        </w:tc>
        <w:tc>
          <w:tcPr>
            <w:tcW w:w="1155" w:type="pct"/>
            <w:tcBorders>
              <w:top w:val="single" w:color="auto" w:sz="4" w:space="0"/>
              <w:left w:val="single" w:color="auto" w:sz="4" w:space="0"/>
              <w:bottom w:val="single" w:color="auto" w:sz="4" w:space="0"/>
              <w:right w:val="single" w:color="auto" w:sz="4" w:space="0"/>
            </w:tcBorders>
            <w:vAlign w:val="center"/>
          </w:tcPr>
          <w:p w14:paraId="2666F476">
            <w:pPr>
              <w:spacing w:line="360" w:lineRule="auto"/>
              <w:jc w:val="center"/>
              <w:rPr>
                <w:rFonts w:ascii="宋体" w:hAnsi="宋体"/>
                <w:bCs/>
                <w:color w:val="000000"/>
                <w:szCs w:val="21"/>
              </w:rPr>
            </w:pPr>
            <w:r>
              <w:rPr>
                <w:rFonts w:hint="eastAsia"/>
                <w:color w:val="000000"/>
                <w:szCs w:val="21"/>
              </w:rPr>
              <w:t>3</w:t>
            </w:r>
          </w:p>
        </w:tc>
        <w:tc>
          <w:tcPr>
            <w:tcW w:w="2900" w:type="pct"/>
            <w:tcBorders>
              <w:top w:val="single" w:color="auto" w:sz="4" w:space="0"/>
              <w:left w:val="single" w:color="auto" w:sz="4" w:space="0"/>
              <w:bottom w:val="single" w:color="auto" w:sz="4" w:space="0"/>
              <w:right w:val="single" w:color="auto" w:sz="4" w:space="0"/>
            </w:tcBorders>
            <w:vAlign w:val="center"/>
          </w:tcPr>
          <w:p w14:paraId="2A1B75E2">
            <w:pPr>
              <w:spacing w:line="360" w:lineRule="auto"/>
              <w:jc w:val="center"/>
              <w:rPr>
                <w:rFonts w:ascii="宋体" w:hAnsi="宋体"/>
                <w:bCs/>
                <w:color w:val="000000"/>
                <w:szCs w:val="21"/>
              </w:rPr>
            </w:pPr>
            <w:r>
              <w:rPr>
                <w:rFonts w:hint="eastAsia" w:ascii="宋体" w:hAnsi="宋体"/>
                <w:color w:val="000000"/>
                <w:szCs w:val="21"/>
              </w:rPr>
              <w:t>四角固定细线，钢尺测细线到钢模边距离，取最大值</w:t>
            </w:r>
          </w:p>
        </w:tc>
      </w:tr>
      <w:tr w14:paraId="0104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5452C811">
            <w:pPr>
              <w:spacing w:line="360" w:lineRule="auto"/>
              <w:jc w:val="center"/>
              <w:rPr>
                <w:rFonts w:ascii="宋体" w:hAnsi="宋体"/>
                <w:color w:val="000000"/>
                <w:szCs w:val="21"/>
              </w:rPr>
            </w:pPr>
            <w:r>
              <w:rPr>
                <w:rFonts w:hint="eastAsia" w:ascii="宋体" w:hAnsi="宋体"/>
                <w:color w:val="000000"/>
                <w:szCs w:val="21"/>
              </w:rPr>
              <w:t>表面凹凸</w:t>
            </w:r>
          </w:p>
        </w:tc>
        <w:tc>
          <w:tcPr>
            <w:tcW w:w="1155" w:type="pct"/>
            <w:tcBorders>
              <w:top w:val="single" w:color="auto" w:sz="4" w:space="0"/>
              <w:left w:val="single" w:color="auto" w:sz="4" w:space="0"/>
              <w:bottom w:val="single" w:color="auto" w:sz="4" w:space="0"/>
              <w:right w:val="single" w:color="auto" w:sz="4" w:space="0"/>
            </w:tcBorders>
            <w:vAlign w:val="center"/>
          </w:tcPr>
          <w:p w14:paraId="4CA43B94">
            <w:pPr>
              <w:spacing w:line="360" w:lineRule="auto"/>
              <w:jc w:val="center"/>
              <w:rPr>
                <w:rFonts w:ascii="宋体" w:hAnsi="宋体"/>
                <w:color w:val="000000"/>
                <w:szCs w:val="21"/>
              </w:rPr>
            </w:pPr>
            <w:r>
              <w:rPr>
                <w:rFonts w:hint="eastAsia"/>
                <w:color w:val="000000"/>
                <w:szCs w:val="21"/>
              </w:rPr>
              <w:t>2</w:t>
            </w:r>
          </w:p>
        </w:tc>
        <w:tc>
          <w:tcPr>
            <w:tcW w:w="2900" w:type="pct"/>
            <w:tcBorders>
              <w:top w:val="single" w:color="auto" w:sz="4" w:space="0"/>
              <w:left w:val="single" w:color="auto" w:sz="4" w:space="0"/>
              <w:bottom w:val="single" w:color="auto" w:sz="4" w:space="0"/>
              <w:right w:val="single" w:color="auto" w:sz="4" w:space="0"/>
            </w:tcBorders>
            <w:vAlign w:val="center"/>
          </w:tcPr>
          <w:p w14:paraId="2D5D9256">
            <w:pPr>
              <w:spacing w:line="360" w:lineRule="auto"/>
              <w:jc w:val="center"/>
              <w:rPr>
                <w:rFonts w:ascii="宋体" w:hAnsi="宋体"/>
                <w:color w:val="000000"/>
                <w:szCs w:val="21"/>
              </w:rPr>
            </w:pPr>
            <w:r>
              <w:rPr>
                <w:rFonts w:hint="eastAsia" w:ascii="宋体" w:hAnsi="宋体"/>
                <w:color w:val="000000"/>
                <w:szCs w:val="21"/>
              </w:rPr>
              <w:t>靠尺和塞尺检查</w:t>
            </w:r>
          </w:p>
        </w:tc>
      </w:tr>
      <w:tr w14:paraId="0E9B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7E4D98FB">
            <w:pPr>
              <w:spacing w:line="360" w:lineRule="auto"/>
              <w:jc w:val="center"/>
              <w:rPr>
                <w:rFonts w:ascii="宋体" w:hAnsi="宋体"/>
                <w:color w:val="000000"/>
                <w:szCs w:val="21"/>
              </w:rPr>
            </w:pPr>
            <w:r>
              <w:rPr>
                <w:rFonts w:hint="eastAsia" w:ascii="宋体" w:hAnsi="宋体"/>
                <w:color w:val="000000"/>
                <w:szCs w:val="21"/>
              </w:rPr>
              <w:t>弯曲</w:t>
            </w:r>
          </w:p>
        </w:tc>
        <w:tc>
          <w:tcPr>
            <w:tcW w:w="1155" w:type="pct"/>
            <w:tcBorders>
              <w:top w:val="single" w:color="auto" w:sz="4" w:space="0"/>
              <w:left w:val="single" w:color="auto" w:sz="4" w:space="0"/>
              <w:bottom w:val="single" w:color="auto" w:sz="4" w:space="0"/>
              <w:right w:val="single" w:color="auto" w:sz="4" w:space="0"/>
            </w:tcBorders>
            <w:vAlign w:val="center"/>
          </w:tcPr>
          <w:p w14:paraId="0B7C921C">
            <w:pPr>
              <w:spacing w:line="360" w:lineRule="auto"/>
              <w:jc w:val="center"/>
              <w:rPr>
                <w:rFonts w:ascii="宋体" w:hAnsi="宋体"/>
                <w:color w:val="000000"/>
                <w:szCs w:val="21"/>
              </w:rPr>
            </w:pPr>
            <w:r>
              <w:rPr>
                <w:rFonts w:hint="eastAsia"/>
                <w:color w:val="000000"/>
                <w:szCs w:val="21"/>
              </w:rPr>
              <w:t>2</w:t>
            </w:r>
          </w:p>
        </w:tc>
        <w:tc>
          <w:tcPr>
            <w:tcW w:w="2900" w:type="pct"/>
            <w:tcBorders>
              <w:top w:val="single" w:color="auto" w:sz="4" w:space="0"/>
              <w:left w:val="single" w:color="auto" w:sz="4" w:space="0"/>
              <w:bottom w:val="single" w:color="auto" w:sz="4" w:space="0"/>
              <w:right w:val="single" w:color="auto" w:sz="4" w:space="0"/>
            </w:tcBorders>
            <w:vAlign w:val="center"/>
          </w:tcPr>
          <w:p w14:paraId="2420E1A8">
            <w:pPr>
              <w:spacing w:line="360" w:lineRule="auto"/>
              <w:jc w:val="center"/>
              <w:rPr>
                <w:rFonts w:ascii="宋体" w:hAnsi="宋体"/>
                <w:color w:val="000000"/>
                <w:szCs w:val="21"/>
              </w:rPr>
            </w:pPr>
            <w:r>
              <w:rPr>
                <w:rFonts w:hint="eastAsia" w:ascii="宋体" w:hAnsi="宋体"/>
                <w:color w:val="000000"/>
                <w:szCs w:val="21"/>
              </w:rPr>
              <w:t>四角用两根细线交叉固定，钢尺测细线到钢模边距离</w:t>
            </w:r>
          </w:p>
        </w:tc>
      </w:tr>
      <w:tr w14:paraId="0B1C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23E0AF4C">
            <w:pPr>
              <w:spacing w:line="360" w:lineRule="auto"/>
              <w:jc w:val="center"/>
              <w:rPr>
                <w:rFonts w:ascii="宋体" w:hAnsi="宋体"/>
                <w:color w:val="000000"/>
                <w:szCs w:val="21"/>
              </w:rPr>
            </w:pPr>
            <w:r>
              <w:rPr>
                <w:rFonts w:hint="eastAsia" w:ascii="宋体" w:hAnsi="宋体"/>
                <w:color w:val="000000"/>
                <w:szCs w:val="21"/>
              </w:rPr>
              <w:t>对角线误差</w:t>
            </w:r>
          </w:p>
        </w:tc>
        <w:tc>
          <w:tcPr>
            <w:tcW w:w="1155" w:type="pct"/>
            <w:tcBorders>
              <w:top w:val="single" w:color="auto" w:sz="4" w:space="0"/>
              <w:left w:val="single" w:color="auto" w:sz="4" w:space="0"/>
              <w:bottom w:val="single" w:color="auto" w:sz="4" w:space="0"/>
              <w:right w:val="single" w:color="auto" w:sz="4" w:space="0"/>
            </w:tcBorders>
            <w:vAlign w:val="center"/>
          </w:tcPr>
          <w:p w14:paraId="3651F1A3">
            <w:pPr>
              <w:spacing w:line="360" w:lineRule="auto"/>
              <w:jc w:val="center"/>
              <w:rPr>
                <w:rFonts w:ascii="宋体" w:hAnsi="宋体"/>
                <w:color w:val="000000"/>
                <w:szCs w:val="21"/>
              </w:rPr>
            </w:pPr>
            <w:r>
              <w:rPr>
                <w:rFonts w:hint="eastAsia"/>
                <w:color w:val="000000"/>
                <w:szCs w:val="21"/>
              </w:rPr>
              <w:t>2</w:t>
            </w:r>
          </w:p>
        </w:tc>
        <w:tc>
          <w:tcPr>
            <w:tcW w:w="2900" w:type="pct"/>
            <w:tcBorders>
              <w:top w:val="single" w:color="auto" w:sz="4" w:space="0"/>
              <w:left w:val="single" w:color="auto" w:sz="4" w:space="0"/>
              <w:bottom w:val="single" w:color="auto" w:sz="4" w:space="0"/>
              <w:right w:val="single" w:color="auto" w:sz="4" w:space="0"/>
            </w:tcBorders>
            <w:vAlign w:val="center"/>
          </w:tcPr>
          <w:p w14:paraId="0AE2BD02">
            <w:pPr>
              <w:spacing w:line="360" w:lineRule="auto"/>
              <w:jc w:val="center"/>
              <w:rPr>
                <w:rFonts w:ascii="宋体" w:hAnsi="宋体"/>
                <w:color w:val="000000"/>
                <w:szCs w:val="21"/>
              </w:rPr>
            </w:pPr>
            <w:r>
              <w:rPr>
                <w:rFonts w:hint="eastAsia" w:ascii="宋体" w:hAnsi="宋体"/>
                <w:color w:val="000000"/>
                <w:szCs w:val="21"/>
              </w:rPr>
              <w:t>细线测两根对角线尺寸，取差值</w:t>
            </w:r>
          </w:p>
        </w:tc>
      </w:tr>
      <w:tr w14:paraId="54F0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Borders>
              <w:top w:val="single" w:color="auto" w:sz="4" w:space="0"/>
              <w:left w:val="single" w:color="auto" w:sz="4" w:space="0"/>
              <w:bottom w:val="single" w:color="auto" w:sz="4" w:space="0"/>
              <w:right w:val="single" w:color="auto" w:sz="4" w:space="0"/>
            </w:tcBorders>
            <w:vAlign w:val="center"/>
          </w:tcPr>
          <w:p w14:paraId="2D57C5EA">
            <w:pPr>
              <w:spacing w:line="360" w:lineRule="auto"/>
              <w:jc w:val="center"/>
              <w:rPr>
                <w:rFonts w:ascii="宋体" w:hAnsi="宋体"/>
                <w:color w:val="000000"/>
                <w:szCs w:val="21"/>
              </w:rPr>
            </w:pPr>
            <w:r>
              <w:rPr>
                <w:rFonts w:hint="eastAsia" w:ascii="宋体" w:hAnsi="宋体"/>
                <w:color w:val="000000"/>
                <w:szCs w:val="21"/>
              </w:rPr>
              <w:t>预埋件</w:t>
            </w:r>
          </w:p>
        </w:tc>
        <w:tc>
          <w:tcPr>
            <w:tcW w:w="1155" w:type="pct"/>
            <w:tcBorders>
              <w:top w:val="single" w:color="auto" w:sz="4" w:space="0"/>
              <w:left w:val="single" w:color="auto" w:sz="4" w:space="0"/>
              <w:bottom w:val="single" w:color="auto" w:sz="4" w:space="0"/>
              <w:right w:val="single" w:color="auto" w:sz="4" w:space="0"/>
            </w:tcBorders>
            <w:vAlign w:val="center"/>
          </w:tcPr>
          <w:p w14:paraId="7BB55934">
            <w:pPr>
              <w:spacing w:line="360" w:lineRule="auto"/>
              <w:jc w:val="center"/>
              <w:rPr>
                <w:rFonts w:ascii="宋体" w:hAnsi="宋体"/>
                <w:color w:val="000000"/>
                <w:szCs w:val="21"/>
              </w:rPr>
            </w:pPr>
            <w:r>
              <w:rPr>
                <w:rFonts w:hint="eastAsia" w:ascii="宋体" w:hAnsi="宋体"/>
                <w:color w:val="000000"/>
                <w:szCs w:val="21"/>
              </w:rPr>
              <w:t>±</w:t>
            </w:r>
            <w:r>
              <w:rPr>
                <w:rFonts w:hint="eastAsia"/>
                <w:color w:val="000000"/>
                <w:szCs w:val="21"/>
              </w:rPr>
              <w:t>2</w:t>
            </w:r>
          </w:p>
        </w:tc>
        <w:tc>
          <w:tcPr>
            <w:tcW w:w="2900" w:type="pct"/>
            <w:tcBorders>
              <w:top w:val="single" w:color="auto" w:sz="4" w:space="0"/>
              <w:left w:val="single" w:color="auto" w:sz="4" w:space="0"/>
              <w:bottom w:val="single" w:color="auto" w:sz="4" w:space="0"/>
              <w:right w:val="single" w:color="auto" w:sz="4" w:space="0"/>
            </w:tcBorders>
            <w:vAlign w:val="center"/>
          </w:tcPr>
          <w:p w14:paraId="0C829930">
            <w:pPr>
              <w:spacing w:line="360" w:lineRule="auto"/>
              <w:jc w:val="center"/>
              <w:rPr>
                <w:rFonts w:ascii="宋体" w:hAnsi="宋体"/>
                <w:color w:val="000000"/>
                <w:szCs w:val="21"/>
              </w:rPr>
            </w:pPr>
            <w:r>
              <w:rPr>
                <w:rFonts w:hint="eastAsia" w:ascii="宋体" w:hAnsi="宋体"/>
                <w:color w:val="000000"/>
                <w:szCs w:val="21"/>
              </w:rPr>
              <w:t>钢尺检查</w:t>
            </w:r>
          </w:p>
        </w:tc>
      </w:tr>
      <w:tr w14:paraId="4E3E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Merge w:val="restart"/>
            <w:tcBorders>
              <w:top w:val="nil"/>
              <w:left w:val="single" w:color="auto" w:sz="4" w:space="0"/>
              <w:bottom w:val="single" w:color="auto" w:sz="4" w:space="0"/>
              <w:right w:val="single" w:color="auto" w:sz="4" w:space="0"/>
            </w:tcBorders>
            <w:vAlign w:val="center"/>
          </w:tcPr>
          <w:p w14:paraId="5D2C6E4C">
            <w:pPr>
              <w:spacing w:line="360" w:lineRule="auto"/>
              <w:jc w:val="center"/>
              <w:rPr>
                <w:rFonts w:ascii="宋体" w:hAnsi="宋体"/>
                <w:color w:val="000000"/>
                <w:szCs w:val="21"/>
              </w:rPr>
            </w:pPr>
            <w:r>
              <w:rPr>
                <w:rFonts w:hint="eastAsia" w:ascii="宋体" w:hAnsi="宋体"/>
                <w:color w:val="000000"/>
                <w:szCs w:val="21"/>
              </w:rPr>
              <w:t>侧向扭度</w:t>
            </w:r>
          </w:p>
        </w:tc>
        <w:tc>
          <w:tcPr>
            <w:tcW w:w="1155" w:type="pct"/>
            <w:tcBorders>
              <w:top w:val="single" w:color="auto" w:sz="4" w:space="0"/>
              <w:left w:val="single" w:color="auto" w:sz="4" w:space="0"/>
              <w:bottom w:val="single" w:color="auto" w:sz="4" w:space="0"/>
              <w:right w:val="single" w:color="auto" w:sz="4" w:space="0"/>
            </w:tcBorders>
            <w:vAlign w:val="center"/>
          </w:tcPr>
          <w:p w14:paraId="34197A3C">
            <w:pPr>
              <w:spacing w:line="360" w:lineRule="auto"/>
              <w:jc w:val="center"/>
              <w:rPr>
                <w:rFonts w:ascii="宋体" w:hAnsi="宋体"/>
                <w:color w:val="000000"/>
                <w:szCs w:val="21"/>
              </w:rPr>
            </w:pPr>
            <w:r>
              <w:rPr>
                <w:color w:val="000000"/>
                <w:szCs w:val="21"/>
              </w:rPr>
              <w:t>H</w:t>
            </w:r>
            <w:r>
              <w:rPr>
                <w:rFonts w:hint="eastAsia" w:ascii="宋体" w:hAnsi="宋体"/>
                <w:color w:val="000000"/>
                <w:szCs w:val="21"/>
              </w:rPr>
              <w:t>≤</w:t>
            </w:r>
            <w:r>
              <w:rPr>
                <w:color w:val="000000"/>
                <w:szCs w:val="21"/>
              </w:rPr>
              <w:t xml:space="preserve">300    </w:t>
            </w:r>
            <w:r>
              <w:rPr>
                <w:rFonts w:hint="eastAsia"/>
                <w:color w:val="000000"/>
                <w:szCs w:val="21"/>
              </w:rPr>
              <w:t>1.0</w:t>
            </w:r>
          </w:p>
        </w:tc>
        <w:tc>
          <w:tcPr>
            <w:tcW w:w="2900" w:type="pct"/>
            <w:tcBorders>
              <w:top w:val="single" w:color="auto" w:sz="4" w:space="0"/>
              <w:left w:val="single" w:color="auto" w:sz="4" w:space="0"/>
              <w:bottom w:val="single" w:color="auto" w:sz="4" w:space="0"/>
              <w:right w:val="single" w:color="auto" w:sz="4" w:space="0"/>
            </w:tcBorders>
            <w:vAlign w:val="center"/>
          </w:tcPr>
          <w:p w14:paraId="508BBF78">
            <w:pPr>
              <w:spacing w:line="360" w:lineRule="auto"/>
              <w:jc w:val="center"/>
              <w:rPr>
                <w:rFonts w:ascii="宋体" w:hAnsi="宋体"/>
                <w:color w:val="000000"/>
                <w:szCs w:val="21"/>
              </w:rPr>
            </w:pPr>
            <w:r>
              <w:rPr>
                <w:rFonts w:hint="eastAsia" w:ascii="宋体" w:hAnsi="宋体"/>
                <w:color w:val="000000"/>
                <w:szCs w:val="21"/>
              </w:rPr>
              <w:t>两角用细线固定，钢尺测中心点高度</w:t>
            </w:r>
          </w:p>
        </w:tc>
      </w:tr>
      <w:tr w14:paraId="4983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14:paraId="4DD3E2D4">
            <w:pPr>
              <w:widowControl/>
              <w:jc w:val="left"/>
              <w:rPr>
                <w:rFonts w:ascii="宋体" w:hAnsi="宋体"/>
                <w:color w:val="000000"/>
                <w:szCs w:val="21"/>
              </w:rPr>
            </w:pPr>
          </w:p>
        </w:tc>
        <w:tc>
          <w:tcPr>
            <w:tcW w:w="1155" w:type="pct"/>
            <w:tcBorders>
              <w:top w:val="single" w:color="auto" w:sz="4" w:space="0"/>
              <w:left w:val="single" w:color="auto" w:sz="4" w:space="0"/>
              <w:bottom w:val="single" w:color="auto" w:sz="4" w:space="0"/>
              <w:right w:val="single" w:color="auto" w:sz="4" w:space="0"/>
            </w:tcBorders>
            <w:vAlign w:val="center"/>
          </w:tcPr>
          <w:p w14:paraId="193C5D85">
            <w:pPr>
              <w:spacing w:line="360" w:lineRule="auto"/>
              <w:jc w:val="center"/>
              <w:rPr>
                <w:rFonts w:ascii="宋体" w:hAnsi="宋体"/>
                <w:color w:val="000000"/>
                <w:szCs w:val="21"/>
              </w:rPr>
            </w:pPr>
            <w:r>
              <w:rPr>
                <w:color w:val="000000"/>
                <w:szCs w:val="21"/>
              </w:rPr>
              <w:t>H</w:t>
            </w:r>
            <w:r>
              <w:rPr>
                <w:rFonts w:hint="eastAsia" w:ascii="宋体" w:hAnsi="宋体"/>
                <w:color w:val="000000"/>
                <w:szCs w:val="21"/>
              </w:rPr>
              <w:t>＞</w:t>
            </w:r>
            <w:r>
              <w:rPr>
                <w:color w:val="000000"/>
                <w:szCs w:val="21"/>
              </w:rPr>
              <w:t xml:space="preserve">300    </w:t>
            </w:r>
            <w:r>
              <w:rPr>
                <w:rFonts w:hint="eastAsia"/>
                <w:color w:val="000000"/>
                <w:szCs w:val="21"/>
              </w:rPr>
              <w:t>2.0</w:t>
            </w:r>
          </w:p>
        </w:tc>
        <w:tc>
          <w:tcPr>
            <w:tcW w:w="2900" w:type="pct"/>
            <w:tcBorders>
              <w:top w:val="single" w:color="auto" w:sz="4" w:space="0"/>
              <w:left w:val="single" w:color="auto" w:sz="4" w:space="0"/>
              <w:bottom w:val="single" w:color="auto" w:sz="4" w:space="0"/>
              <w:right w:val="single" w:color="auto" w:sz="4" w:space="0"/>
            </w:tcBorders>
            <w:vAlign w:val="center"/>
          </w:tcPr>
          <w:p w14:paraId="3138CB16">
            <w:pPr>
              <w:spacing w:line="360" w:lineRule="auto"/>
              <w:jc w:val="center"/>
              <w:rPr>
                <w:rFonts w:ascii="宋体" w:hAnsi="宋体"/>
                <w:color w:val="000000"/>
                <w:szCs w:val="21"/>
              </w:rPr>
            </w:pPr>
            <w:r>
              <w:rPr>
                <w:rFonts w:hint="eastAsia" w:ascii="宋体" w:hAnsi="宋体"/>
                <w:color w:val="000000"/>
                <w:szCs w:val="21"/>
              </w:rPr>
              <w:t>两角用细线固定，钢尺测中心点高度</w:t>
            </w:r>
          </w:p>
        </w:tc>
      </w:tr>
    </w:tbl>
    <w:p w14:paraId="56F4F91B">
      <w:pPr>
        <w:pStyle w:val="112"/>
        <w:numPr>
          <w:ilvl w:val="0"/>
          <w:numId w:val="0"/>
        </w:numPr>
        <w:ind w:left="964"/>
        <w:jc w:val="left"/>
      </w:pPr>
      <w:r>
        <w:rPr>
          <w:rFonts w:hint="eastAsia"/>
        </w:rPr>
        <w:t>（3）固定在模板上的预埋件、预留孔和预留洞的安装位置的偏差应符合下表的规定。</w:t>
      </w:r>
    </w:p>
    <w:p w14:paraId="181634FB">
      <w:pPr>
        <w:pStyle w:val="112"/>
        <w:numPr>
          <w:ilvl w:val="0"/>
          <w:numId w:val="0"/>
        </w:numPr>
        <w:ind w:left="964"/>
        <w:jc w:val="left"/>
      </w:pPr>
      <w:r>
        <w:rPr>
          <w:rFonts w:hint="eastAsia"/>
        </w:rPr>
        <w:t>检查数量：全数检查</w:t>
      </w:r>
    </w:p>
    <w:p w14:paraId="19D12CC9">
      <w:pPr>
        <w:pStyle w:val="112"/>
        <w:numPr>
          <w:ilvl w:val="0"/>
          <w:numId w:val="0"/>
        </w:numPr>
        <w:ind w:left="964"/>
        <w:jc w:val="left"/>
      </w:pPr>
      <w:r>
        <w:rPr>
          <w:rFonts w:hint="eastAsia"/>
        </w:rPr>
        <w:t>检查方法：钢尺检查</w:t>
      </w:r>
    </w:p>
    <w:p w14:paraId="31324BC0">
      <w:pPr>
        <w:pStyle w:val="112"/>
        <w:numPr>
          <w:ilvl w:val="0"/>
          <w:numId w:val="0"/>
        </w:numPr>
        <w:ind w:left="964" w:firstLine="1800" w:firstLineChars="1000"/>
        <w:jc w:val="left"/>
      </w:pPr>
      <w:r>
        <w:rPr>
          <w:rFonts w:hint="eastAsia"/>
        </w:rPr>
        <w:t>预埋件和预留孔洞的允许偏差</w:t>
      </w:r>
    </w:p>
    <w:tbl>
      <w:tblPr>
        <w:tblStyle w:val="37"/>
        <w:tblW w:w="0" w:type="auto"/>
        <w:tblInd w:w="108" w:type="dxa"/>
        <w:tblLayout w:type="autofit"/>
        <w:tblCellMar>
          <w:top w:w="0" w:type="dxa"/>
          <w:left w:w="0" w:type="dxa"/>
          <w:bottom w:w="0" w:type="dxa"/>
          <w:right w:w="0" w:type="dxa"/>
        </w:tblCellMar>
      </w:tblPr>
      <w:tblGrid>
        <w:gridCol w:w="1922"/>
        <w:gridCol w:w="1598"/>
        <w:gridCol w:w="2046"/>
        <w:gridCol w:w="2455"/>
      </w:tblGrid>
      <w:tr w14:paraId="085828DC">
        <w:tblPrEx>
          <w:tblCellMar>
            <w:top w:w="0" w:type="dxa"/>
            <w:left w:w="0" w:type="dxa"/>
            <w:bottom w:w="0" w:type="dxa"/>
            <w:right w:w="0" w:type="dxa"/>
          </w:tblCellMar>
        </w:tblPrEx>
        <w:trPr>
          <w:trHeight w:val="390" w:hRule="atLeast"/>
        </w:trPr>
        <w:tc>
          <w:tcPr>
            <w:tcW w:w="3657" w:type="dxa"/>
            <w:gridSpan w:val="2"/>
            <w:tcBorders>
              <w:top w:val="inset" w:color="auto" w:sz="6" w:space="0"/>
              <w:left w:val="inset" w:color="auto" w:sz="6" w:space="0"/>
              <w:bottom w:val="inset" w:color="auto" w:sz="6" w:space="0"/>
              <w:right w:val="inset" w:color="auto" w:sz="6" w:space="0"/>
            </w:tcBorders>
            <w:vAlign w:val="center"/>
          </w:tcPr>
          <w:p w14:paraId="32C939C6">
            <w:pPr>
              <w:spacing w:line="360" w:lineRule="auto"/>
              <w:jc w:val="center"/>
              <w:rPr>
                <w:color w:val="000000"/>
                <w:szCs w:val="21"/>
              </w:rPr>
            </w:pPr>
            <w:r>
              <w:rPr>
                <w:rFonts w:hint="eastAsia" w:ascii="宋体" w:hAnsi="宋体"/>
                <w:color w:val="000000"/>
                <w:szCs w:val="21"/>
              </w:rPr>
              <w:t>项目</w:t>
            </w:r>
          </w:p>
        </w:tc>
        <w:tc>
          <w:tcPr>
            <w:tcW w:w="2103" w:type="dxa"/>
            <w:tcBorders>
              <w:top w:val="inset" w:color="auto" w:sz="6" w:space="0"/>
              <w:left w:val="nil"/>
              <w:bottom w:val="inset" w:color="auto" w:sz="6" w:space="0"/>
              <w:right w:val="inset" w:color="auto" w:sz="6" w:space="0"/>
            </w:tcBorders>
            <w:vAlign w:val="center"/>
          </w:tcPr>
          <w:p w14:paraId="5FB3AF26">
            <w:pPr>
              <w:spacing w:line="360" w:lineRule="auto"/>
              <w:jc w:val="center"/>
              <w:rPr>
                <w:color w:val="000000"/>
                <w:szCs w:val="21"/>
              </w:rPr>
            </w:pPr>
            <w:r>
              <w:rPr>
                <w:rFonts w:hint="eastAsia" w:ascii="宋体" w:hAnsi="宋体"/>
                <w:color w:val="000000"/>
                <w:szCs w:val="21"/>
              </w:rPr>
              <w:t>允许偏差（</w:t>
            </w:r>
            <w:r>
              <w:rPr>
                <w:color w:val="000000"/>
                <w:szCs w:val="21"/>
              </w:rPr>
              <w:t>mm</w:t>
            </w:r>
            <w:r>
              <w:rPr>
                <w:rFonts w:hint="eastAsia" w:ascii="宋体" w:hAnsi="宋体"/>
                <w:color w:val="000000"/>
                <w:szCs w:val="21"/>
              </w:rPr>
              <w:t>）</w:t>
            </w:r>
          </w:p>
        </w:tc>
        <w:tc>
          <w:tcPr>
            <w:tcW w:w="2554" w:type="dxa"/>
            <w:tcBorders>
              <w:top w:val="inset" w:color="auto" w:sz="6" w:space="0"/>
              <w:left w:val="nil"/>
              <w:bottom w:val="inset" w:color="auto" w:sz="6" w:space="0"/>
              <w:right w:val="inset" w:color="auto" w:sz="6" w:space="0"/>
            </w:tcBorders>
          </w:tcPr>
          <w:p w14:paraId="221DB01F">
            <w:pPr>
              <w:spacing w:line="360" w:lineRule="auto"/>
              <w:jc w:val="center"/>
              <w:rPr>
                <w:rFonts w:ascii="宋体" w:hAnsi="宋体"/>
                <w:color w:val="000000"/>
                <w:szCs w:val="21"/>
              </w:rPr>
            </w:pPr>
            <w:r>
              <w:rPr>
                <w:rFonts w:hint="eastAsia" w:ascii="宋体" w:hAnsi="宋体"/>
                <w:color w:val="000000"/>
                <w:szCs w:val="21"/>
              </w:rPr>
              <w:t>检验方法</w:t>
            </w:r>
          </w:p>
        </w:tc>
      </w:tr>
      <w:tr w14:paraId="03525CE2">
        <w:tblPrEx>
          <w:tblCellMar>
            <w:top w:w="0" w:type="dxa"/>
            <w:left w:w="0" w:type="dxa"/>
            <w:bottom w:w="0" w:type="dxa"/>
            <w:right w:w="0" w:type="dxa"/>
          </w:tblCellMar>
        </w:tblPrEx>
        <w:trPr>
          <w:cantSplit/>
          <w:trHeight w:val="375" w:hRule="atLeast"/>
        </w:trPr>
        <w:tc>
          <w:tcPr>
            <w:tcW w:w="1998" w:type="dxa"/>
            <w:vMerge w:val="restart"/>
            <w:tcBorders>
              <w:top w:val="nil"/>
              <w:left w:val="inset" w:color="auto" w:sz="6" w:space="0"/>
              <w:bottom w:val="nil"/>
              <w:right w:val="single" w:color="auto" w:sz="4" w:space="0"/>
            </w:tcBorders>
            <w:vAlign w:val="center"/>
          </w:tcPr>
          <w:p w14:paraId="1174A73C">
            <w:pPr>
              <w:spacing w:line="360" w:lineRule="auto"/>
              <w:jc w:val="center"/>
              <w:rPr>
                <w:color w:val="000000"/>
                <w:szCs w:val="21"/>
              </w:rPr>
            </w:pPr>
            <w:r>
              <w:rPr>
                <w:rFonts w:hint="eastAsia" w:ascii="宋体" w:hAnsi="宋体"/>
                <w:color w:val="000000"/>
                <w:szCs w:val="21"/>
              </w:rPr>
              <w:t>预埋钢板</w:t>
            </w:r>
          </w:p>
        </w:tc>
        <w:tc>
          <w:tcPr>
            <w:tcW w:w="1659" w:type="dxa"/>
            <w:tcBorders>
              <w:top w:val="inset" w:color="auto" w:sz="6" w:space="0"/>
              <w:left w:val="nil"/>
              <w:bottom w:val="inset" w:color="auto" w:sz="6" w:space="0"/>
              <w:right w:val="inset" w:color="auto" w:sz="6" w:space="0"/>
            </w:tcBorders>
            <w:vAlign w:val="center"/>
          </w:tcPr>
          <w:p w14:paraId="1341B015">
            <w:pPr>
              <w:spacing w:line="360" w:lineRule="auto"/>
              <w:jc w:val="center"/>
              <w:rPr>
                <w:color w:val="000000"/>
                <w:szCs w:val="21"/>
              </w:rPr>
            </w:pPr>
            <w:r>
              <w:rPr>
                <w:rFonts w:hint="eastAsia" w:ascii="宋体" w:hAnsi="宋体"/>
                <w:color w:val="000000"/>
                <w:szCs w:val="21"/>
              </w:rPr>
              <w:t>中心线位置</w:t>
            </w:r>
          </w:p>
        </w:tc>
        <w:tc>
          <w:tcPr>
            <w:tcW w:w="2103" w:type="dxa"/>
            <w:tcBorders>
              <w:top w:val="inset" w:color="auto" w:sz="6" w:space="0"/>
              <w:left w:val="nil"/>
              <w:bottom w:val="inset" w:color="auto" w:sz="6" w:space="0"/>
              <w:right w:val="inset" w:color="auto" w:sz="6" w:space="0"/>
            </w:tcBorders>
            <w:vAlign w:val="center"/>
          </w:tcPr>
          <w:p w14:paraId="2C58F5EB">
            <w:pPr>
              <w:spacing w:line="360" w:lineRule="auto"/>
              <w:jc w:val="center"/>
              <w:rPr>
                <w:color w:val="000000"/>
                <w:szCs w:val="21"/>
              </w:rPr>
            </w:pPr>
            <w:r>
              <w:rPr>
                <w:rFonts w:hint="eastAsia" w:ascii="宋体" w:hAnsi="宋体"/>
                <w:color w:val="000000"/>
                <w:szCs w:val="21"/>
              </w:rPr>
              <w:t>±3</w:t>
            </w:r>
          </w:p>
        </w:tc>
        <w:tc>
          <w:tcPr>
            <w:tcW w:w="2554" w:type="dxa"/>
            <w:tcBorders>
              <w:top w:val="inset" w:color="auto" w:sz="6" w:space="0"/>
              <w:left w:val="nil"/>
              <w:bottom w:val="inset" w:color="auto" w:sz="6" w:space="0"/>
              <w:right w:val="inset" w:color="auto" w:sz="6" w:space="0"/>
            </w:tcBorders>
          </w:tcPr>
          <w:p w14:paraId="33AB0D6C">
            <w:pPr>
              <w:spacing w:line="360" w:lineRule="auto"/>
              <w:jc w:val="center"/>
              <w:rPr>
                <w:color w:val="000000"/>
                <w:szCs w:val="21"/>
              </w:rPr>
            </w:pPr>
            <w:r>
              <w:rPr>
                <w:rFonts w:hint="eastAsia" w:ascii="宋体" w:hAnsi="宋体"/>
                <w:color w:val="000000"/>
                <w:szCs w:val="21"/>
              </w:rPr>
              <w:t>钢尺检查</w:t>
            </w:r>
          </w:p>
        </w:tc>
      </w:tr>
      <w:tr w14:paraId="654AEAB5">
        <w:tblPrEx>
          <w:tblCellMar>
            <w:top w:w="0" w:type="dxa"/>
            <w:left w:w="0" w:type="dxa"/>
            <w:bottom w:w="0" w:type="dxa"/>
            <w:right w:w="0" w:type="dxa"/>
          </w:tblCellMar>
        </w:tblPrEx>
        <w:trPr>
          <w:cantSplit/>
          <w:trHeight w:val="375" w:hRule="atLeast"/>
        </w:trPr>
        <w:tc>
          <w:tcPr>
            <w:tcW w:w="0" w:type="auto"/>
            <w:vMerge w:val="continue"/>
            <w:tcBorders>
              <w:top w:val="nil"/>
              <w:left w:val="inset" w:color="auto" w:sz="6" w:space="0"/>
              <w:bottom w:val="nil"/>
              <w:right w:val="single" w:color="auto" w:sz="4" w:space="0"/>
            </w:tcBorders>
            <w:vAlign w:val="center"/>
          </w:tcPr>
          <w:p w14:paraId="3ABFE97D">
            <w:pPr>
              <w:widowControl/>
              <w:jc w:val="left"/>
              <w:rPr>
                <w:color w:val="000000"/>
                <w:szCs w:val="21"/>
              </w:rPr>
            </w:pPr>
          </w:p>
        </w:tc>
        <w:tc>
          <w:tcPr>
            <w:tcW w:w="1659" w:type="dxa"/>
            <w:tcBorders>
              <w:top w:val="inset" w:color="auto" w:sz="6" w:space="0"/>
              <w:left w:val="nil"/>
              <w:bottom w:val="inset" w:color="auto" w:sz="6" w:space="0"/>
              <w:right w:val="inset" w:color="auto" w:sz="6" w:space="0"/>
            </w:tcBorders>
            <w:vAlign w:val="center"/>
          </w:tcPr>
          <w:p w14:paraId="4BF62929">
            <w:pPr>
              <w:spacing w:line="360" w:lineRule="auto"/>
              <w:jc w:val="center"/>
              <w:rPr>
                <w:rFonts w:ascii="宋体" w:hAnsi="宋体"/>
                <w:color w:val="000000"/>
                <w:szCs w:val="21"/>
              </w:rPr>
            </w:pPr>
            <w:r>
              <w:rPr>
                <w:rFonts w:hint="eastAsia" w:ascii="宋体" w:hAnsi="宋体"/>
                <w:color w:val="000000"/>
                <w:szCs w:val="21"/>
              </w:rPr>
              <w:t>安装平整度</w:t>
            </w:r>
          </w:p>
        </w:tc>
        <w:tc>
          <w:tcPr>
            <w:tcW w:w="2103" w:type="dxa"/>
            <w:tcBorders>
              <w:top w:val="inset" w:color="auto" w:sz="6" w:space="0"/>
              <w:left w:val="nil"/>
              <w:bottom w:val="inset" w:color="auto" w:sz="6" w:space="0"/>
              <w:right w:val="inset" w:color="auto" w:sz="6" w:space="0"/>
            </w:tcBorders>
            <w:vAlign w:val="center"/>
          </w:tcPr>
          <w:p w14:paraId="029492EC">
            <w:pPr>
              <w:spacing w:line="360" w:lineRule="auto"/>
              <w:jc w:val="center"/>
              <w:rPr>
                <w:rFonts w:ascii="宋体" w:hAnsi="宋体"/>
                <w:color w:val="000000"/>
                <w:szCs w:val="21"/>
              </w:rPr>
            </w:pPr>
            <w:r>
              <w:rPr>
                <w:rFonts w:hint="eastAsia"/>
                <w:color w:val="000000"/>
                <w:szCs w:val="21"/>
              </w:rPr>
              <w:t>3</w:t>
            </w:r>
          </w:p>
        </w:tc>
        <w:tc>
          <w:tcPr>
            <w:tcW w:w="2554" w:type="dxa"/>
            <w:tcBorders>
              <w:top w:val="inset" w:color="auto" w:sz="6" w:space="0"/>
              <w:left w:val="nil"/>
              <w:bottom w:val="inset" w:color="auto" w:sz="6" w:space="0"/>
              <w:right w:val="inset" w:color="auto" w:sz="6" w:space="0"/>
            </w:tcBorders>
          </w:tcPr>
          <w:p w14:paraId="64BD8EFC">
            <w:pPr>
              <w:spacing w:line="360" w:lineRule="auto"/>
              <w:jc w:val="center"/>
              <w:rPr>
                <w:rFonts w:ascii="宋体" w:hAnsi="宋体"/>
                <w:color w:val="000000"/>
                <w:szCs w:val="21"/>
              </w:rPr>
            </w:pPr>
            <w:r>
              <w:rPr>
                <w:rFonts w:hint="eastAsia" w:ascii="宋体" w:hAnsi="宋体"/>
                <w:color w:val="000000"/>
                <w:szCs w:val="21"/>
              </w:rPr>
              <w:t>靠尺和塞尺检查</w:t>
            </w:r>
          </w:p>
        </w:tc>
      </w:tr>
      <w:tr w14:paraId="1A70ABAE">
        <w:tblPrEx>
          <w:tblCellMar>
            <w:top w:w="0" w:type="dxa"/>
            <w:left w:w="0" w:type="dxa"/>
            <w:bottom w:w="0" w:type="dxa"/>
            <w:right w:w="0" w:type="dxa"/>
          </w:tblCellMar>
        </w:tblPrEx>
        <w:trPr>
          <w:trHeight w:val="360" w:hRule="atLeast"/>
        </w:trPr>
        <w:tc>
          <w:tcPr>
            <w:tcW w:w="3657" w:type="dxa"/>
            <w:gridSpan w:val="2"/>
            <w:tcBorders>
              <w:top w:val="inset" w:color="auto" w:sz="6" w:space="0"/>
              <w:left w:val="inset" w:color="auto" w:sz="6" w:space="0"/>
              <w:bottom w:val="inset" w:color="auto" w:sz="6" w:space="0"/>
              <w:right w:val="inset" w:color="auto" w:sz="6" w:space="0"/>
            </w:tcBorders>
            <w:vAlign w:val="center"/>
          </w:tcPr>
          <w:p w14:paraId="505209B1">
            <w:pPr>
              <w:spacing w:line="360" w:lineRule="auto"/>
              <w:jc w:val="center"/>
              <w:rPr>
                <w:color w:val="000000"/>
                <w:szCs w:val="21"/>
              </w:rPr>
            </w:pPr>
            <w:r>
              <w:rPr>
                <w:rFonts w:hint="eastAsia" w:ascii="宋体" w:hAnsi="宋体"/>
                <w:color w:val="000000"/>
                <w:szCs w:val="21"/>
              </w:rPr>
              <w:t>预埋管、预留孔中心线位置</w:t>
            </w:r>
          </w:p>
        </w:tc>
        <w:tc>
          <w:tcPr>
            <w:tcW w:w="2103" w:type="dxa"/>
            <w:tcBorders>
              <w:top w:val="inset" w:color="auto" w:sz="6" w:space="0"/>
              <w:left w:val="nil"/>
              <w:bottom w:val="inset" w:color="auto" w:sz="6" w:space="0"/>
              <w:right w:val="inset" w:color="auto" w:sz="6" w:space="0"/>
            </w:tcBorders>
            <w:vAlign w:val="center"/>
          </w:tcPr>
          <w:p w14:paraId="20D9C683">
            <w:pPr>
              <w:spacing w:line="360" w:lineRule="auto"/>
              <w:jc w:val="center"/>
              <w:rPr>
                <w:color w:val="000000"/>
                <w:szCs w:val="21"/>
              </w:rPr>
            </w:pPr>
            <w:r>
              <w:rPr>
                <w:rFonts w:hint="eastAsia" w:ascii="宋体" w:hAnsi="宋体"/>
                <w:color w:val="000000"/>
                <w:szCs w:val="21"/>
              </w:rPr>
              <w:t>±</w:t>
            </w:r>
            <w:r>
              <w:rPr>
                <w:color w:val="000000"/>
                <w:szCs w:val="21"/>
              </w:rPr>
              <w:t>3</w:t>
            </w:r>
          </w:p>
        </w:tc>
        <w:tc>
          <w:tcPr>
            <w:tcW w:w="2554" w:type="dxa"/>
            <w:tcBorders>
              <w:top w:val="inset" w:color="auto" w:sz="6" w:space="0"/>
              <w:left w:val="nil"/>
              <w:bottom w:val="inset" w:color="auto" w:sz="6" w:space="0"/>
              <w:right w:val="inset" w:color="auto" w:sz="6" w:space="0"/>
            </w:tcBorders>
          </w:tcPr>
          <w:p w14:paraId="667E1451">
            <w:pPr>
              <w:spacing w:line="360" w:lineRule="auto"/>
              <w:jc w:val="center"/>
              <w:rPr>
                <w:color w:val="000000"/>
                <w:szCs w:val="21"/>
              </w:rPr>
            </w:pPr>
            <w:r>
              <w:rPr>
                <w:rFonts w:hint="eastAsia" w:ascii="宋体" w:hAnsi="宋体"/>
                <w:color w:val="000000"/>
                <w:szCs w:val="21"/>
              </w:rPr>
              <w:t>钢尺检查</w:t>
            </w:r>
          </w:p>
        </w:tc>
      </w:tr>
      <w:tr w14:paraId="59486D18">
        <w:tblPrEx>
          <w:tblCellMar>
            <w:top w:w="0" w:type="dxa"/>
            <w:left w:w="0" w:type="dxa"/>
            <w:bottom w:w="0" w:type="dxa"/>
            <w:right w:w="0" w:type="dxa"/>
          </w:tblCellMar>
        </w:tblPrEx>
        <w:trPr>
          <w:cantSplit/>
          <w:trHeight w:val="360" w:hRule="atLeast"/>
        </w:trPr>
        <w:tc>
          <w:tcPr>
            <w:tcW w:w="1998" w:type="dxa"/>
            <w:vMerge w:val="restart"/>
            <w:tcBorders>
              <w:top w:val="nil"/>
              <w:left w:val="inset" w:color="auto" w:sz="6" w:space="0"/>
              <w:bottom w:val="inset" w:color="auto" w:sz="6" w:space="0"/>
              <w:right w:val="inset" w:color="auto" w:sz="6" w:space="0"/>
            </w:tcBorders>
            <w:vAlign w:val="center"/>
          </w:tcPr>
          <w:p w14:paraId="011B995F">
            <w:pPr>
              <w:spacing w:line="360" w:lineRule="auto"/>
              <w:jc w:val="center"/>
              <w:rPr>
                <w:color w:val="000000"/>
                <w:szCs w:val="21"/>
              </w:rPr>
            </w:pPr>
            <w:r>
              <w:rPr>
                <w:rFonts w:hint="eastAsia" w:ascii="宋体" w:hAnsi="宋体"/>
                <w:color w:val="000000"/>
                <w:szCs w:val="21"/>
              </w:rPr>
              <w:t>插筋</w:t>
            </w:r>
          </w:p>
        </w:tc>
        <w:tc>
          <w:tcPr>
            <w:tcW w:w="1659" w:type="dxa"/>
            <w:tcBorders>
              <w:top w:val="inset" w:color="auto" w:sz="6" w:space="0"/>
              <w:left w:val="nil"/>
              <w:bottom w:val="inset" w:color="auto" w:sz="6" w:space="0"/>
              <w:right w:val="inset" w:color="auto" w:sz="6" w:space="0"/>
            </w:tcBorders>
            <w:vAlign w:val="center"/>
          </w:tcPr>
          <w:p w14:paraId="734141FB">
            <w:pPr>
              <w:spacing w:line="360" w:lineRule="auto"/>
              <w:jc w:val="center"/>
              <w:rPr>
                <w:color w:val="000000"/>
                <w:szCs w:val="21"/>
              </w:rPr>
            </w:pPr>
            <w:r>
              <w:rPr>
                <w:rFonts w:hint="eastAsia" w:ascii="宋体" w:hAnsi="宋体"/>
                <w:color w:val="000000"/>
                <w:szCs w:val="21"/>
              </w:rPr>
              <w:t>中心线位置</w:t>
            </w:r>
          </w:p>
        </w:tc>
        <w:tc>
          <w:tcPr>
            <w:tcW w:w="2103" w:type="dxa"/>
            <w:tcBorders>
              <w:top w:val="inset" w:color="auto" w:sz="6" w:space="0"/>
              <w:left w:val="nil"/>
              <w:bottom w:val="inset" w:color="auto" w:sz="6" w:space="0"/>
              <w:right w:val="inset" w:color="auto" w:sz="6" w:space="0"/>
            </w:tcBorders>
            <w:vAlign w:val="center"/>
          </w:tcPr>
          <w:p w14:paraId="373C9F25">
            <w:pPr>
              <w:spacing w:line="360" w:lineRule="auto"/>
              <w:jc w:val="center"/>
              <w:rPr>
                <w:rFonts w:ascii="宋体" w:hAnsi="宋体"/>
                <w:color w:val="000000"/>
                <w:szCs w:val="21"/>
              </w:rPr>
            </w:pPr>
            <w:r>
              <w:rPr>
                <w:rFonts w:hint="eastAsia" w:ascii="宋体" w:hAnsi="宋体"/>
                <w:color w:val="000000"/>
                <w:szCs w:val="21"/>
              </w:rPr>
              <w:t>±</w:t>
            </w:r>
            <w:r>
              <w:rPr>
                <w:rFonts w:hint="eastAsia"/>
                <w:color w:val="000000"/>
                <w:szCs w:val="21"/>
              </w:rPr>
              <w:t>5</w:t>
            </w:r>
          </w:p>
        </w:tc>
        <w:tc>
          <w:tcPr>
            <w:tcW w:w="2554" w:type="dxa"/>
            <w:tcBorders>
              <w:top w:val="inset" w:color="auto" w:sz="6" w:space="0"/>
              <w:left w:val="nil"/>
              <w:bottom w:val="inset" w:color="auto" w:sz="6" w:space="0"/>
              <w:right w:val="inset" w:color="auto" w:sz="6" w:space="0"/>
            </w:tcBorders>
            <w:vAlign w:val="center"/>
          </w:tcPr>
          <w:p w14:paraId="08EA6948">
            <w:pPr>
              <w:spacing w:line="360" w:lineRule="auto"/>
              <w:jc w:val="center"/>
              <w:rPr>
                <w:color w:val="000000"/>
                <w:szCs w:val="21"/>
              </w:rPr>
            </w:pPr>
            <w:r>
              <w:rPr>
                <w:rFonts w:hint="eastAsia" w:ascii="宋体" w:hAnsi="宋体"/>
                <w:color w:val="000000"/>
                <w:szCs w:val="21"/>
              </w:rPr>
              <w:t>钢尺检查</w:t>
            </w:r>
          </w:p>
        </w:tc>
      </w:tr>
      <w:tr w14:paraId="3C3AF196">
        <w:tblPrEx>
          <w:tblCellMar>
            <w:top w:w="0" w:type="dxa"/>
            <w:left w:w="0" w:type="dxa"/>
            <w:bottom w:w="0" w:type="dxa"/>
            <w:right w:w="0" w:type="dxa"/>
          </w:tblCellMar>
        </w:tblPrEx>
        <w:trPr>
          <w:cantSplit/>
          <w:trHeight w:val="315" w:hRule="atLeast"/>
        </w:trPr>
        <w:tc>
          <w:tcPr>
            <w:tcW w:w="0" w:type="auto"/>
            <w:vMerge w:val="continue"/>
            <w:tcBorders>
              <w:top w:val="nil"/>
              <w:left w:val="inset" w:color="auto" w:sz="6" w:space="0"/>
              <w:bottom w:val="inset" w:color="auto" w:sz="6" w:space="0"/>
              <w:right w:val="inset" w:color="auto" w:sz="6" w:space="0"/>
            </w:tcBorders>
            <w:vAlign w:val="center"/>
          </w:tcPr>
          <w:p w14:paraId="5599C310">
            <w:pPr>
              <w:widowControl/>
              <w:jc w:val="left"/>
              <w:rPr>
                <w:color w:val="000000"/>
                <w:szCs w:val="21"/>
              </w:rPr>
            </w:pPr>
          </w:p>
        </w:tc>
        <w:tc>
          <w:tcPr>
            <w:tcW w:w="1659" w:type="dxa"/>
            <w:tcBorders>
              <w:top w:val="inset" w:color="auto" w:sz="6" w:space="0"/>
              <w:left w:val="nil"/>
              <w:bottom w:val="inset" w:color="auto" w:sz="6" w:space="0"/>
              <w:right w:val="inset" w:color="auto" w:sz="6" w:space="0"/>
            </w:tcBorders>
            <w:vAlign w:val="center"/>
          </w:tcPr>
          <w:p w14:paraId="7D4CFB67">
            <w:pPr>
              <w:spacing w:line="360" w:lineRule="auto"/>
              <w:jc w:val="center"/>
              <w:rPr>
                <w:color w:val="000000"/>
                <w:szCs w:val="21"/>
              </w:rPr>
            </w:pPr>
            <w:r>
              <w:rPr>
                <w:rFonts w:hint="eastAsia" w:ascii="宋体" w:hAnsi="宋体"/>
                <w:color w:val="000000"/>
                <w:szCs w:val="21"/>
              </w:rPr>
              <w:t>外露长度</w:t>
            </w:r>
          </w:p>
        </w:tc>
        <w:tc>
          <w:tcPr>
            <w:tcW w:w="2103" w:type="dxa"/>
            <w:tcBorders>
              <w:top w:val="inset" w:color="auto" w:sz="6" w:space="0"/>
              <w:left w:val="nil"/>
              <w:bottom w:val="inset" w:color="auto" w:sz="6" w:space="0"/>
              <w:right w:val="inset" w:color="auto" w:sz="6" w:space="0"/>
            </w:tcBorders>
            <w:vAlign w:val="center"/>
          </w:tcPr>
          <w:p w14:paraId="7094B42B">
            <w:pPr>
              <w:spacing w:line="360" w:lineRule="auto"/>
              <w:jc w:val="center"/>
              <w:rPr>
                <w:color w:val="000000"/>
                <w:szCs w:val="21"/>
              </w:rPr>
            </w:pPr>
            <w:r>
              <w:rPr>
                <w:rFonts w:hint="eastAsia" w:ascii="宋体" w:hAnsi="宋体"/>
                <w:color w:val="000000"/>
                <w:szCs w:val="21"/>
              </w:rPr>
              <w:t>+10，0</w:t>
            </w:r>
          </w:p>
        </w:tc>
        <w:tc>
          <w:tcPr>
            <w:tcW w:w="2554" w:type="dxa"/>
            <w:tcBorders>
              <w:top w:val="inset" w:color="auto" w:sz="6" w:space="0"/>
              <w:left w:val="nil"/>
              <w:bottom w:val="inset" w:color="auto" w:sz="6" w:space="0"/>
              <w:right w:val="inset" w:color="auto" w:sz="6" w:space="0"/>
            </w:tcBorders>
            <w:vAlign w:val="center"/>
          </w:tcPr>
          <w:p w14:paraId="7105694F">
            <w:pPr>
              <w:spacing w:line="360" w:lineRule="auto"/>
              <w:jc w:val="center"/>
              <w:rPr>
                <w:color w:val="000000"/>
                <w:szCs w:val="21"/>
              </w:rPr>
            </w:pPr>
            <w:r>
              <w:rPr>
                <w:rFonts w:hint="eastAsia" w:ascii="宋体" w:hAnsi="宋体"/>
                <w:color w:val="000000"/>
                <w:szCs w:val="21"/>
              </w:rPr>
              <w:t>钢尺检查</w:t>
            </w:r>
          </w:p>
        </w:tc>
      </w:tr>
      <w:tr w14:paraId="25AE3C71">
        <w:tblPrEx>
          <w:tblCellMar>
            <w:top w:w="0" w:type="dxa"/>
            <w:left w:w="0" w:type="dxa"/>
            <w:bottom w:w="0" w:type="dxa"/>
            <w:right w:w="0" w:type="dxa"/>
          </w:tblCellMar>
        </w:tblPrEx>
        <w:trPr>
          <w:cantSplit/>
          <w:trHeight w:val="315" w:hRule="atLeast"/>
        </w:trPr>
        <w:tc>
          <w:tcPr>
            <w:tcW w:w="1998" w:type="dxa"/>
            <w:vMerge w:val="restart"/>
            <w:tcBorders>
              <w:top w:val="nil"/>
              <w:left w:val="inset" w:color="auto" w:sz="6" w:space="0"/>
              <w:bottom w:val="inset" w:color="auto" w:sz="6" w:space="0"/>
              <w:right w:val="inset" w:color="auto" w:sz="6" w:space="0"/>
            </w:tcBorders>
            <w:vAlign w:val="center"/>
          </w:tcPr>
          <w:p w14:paraId="27BFBD1D">
            <w:pPr>
              <w:spacing w:line="360" w:lineRule="auto"/>
              <w:jc w:val="center"/>
              <w:rPr>
                <w:color w:val="000000"/>
                <w:szCs w:val="21"/>
              </w:rPr>
            </w:pPr>
            <w:r>
              <w:rPr>
                <w:rFonts w:hint="eastAsia" w:ascii="宋体" w:hAnsi="宋体"/>
                <w:color w:val="000000"/>
                <w:szCs w:val="21"/>
              </w:rPr>
              <w:t>预埋吊环</w:t>
            </w:r>
          </w:p>
        </w:tc>
        <w:tc>
          <w:tcPr>
            <w:tcW w:w="1659" w:type="dxa"/>
            <w:tcBorders>
              <w:top w:val="inset" w:color="auto" w:sz="6" w:space="0"/>
              <w:left w:val="nil"/>
              <w:bottom w:val="inset" w:color="auto" w:sz="6" w:space="0"/>
              <w:right w:val="inset" w:color="auto" w:sz="6" w:space="0"/>
            </w:tcBorders>
            <w:vAlign w:val="center"/>
          </w:tcPr>
          <w:p w14:paraId="310C2A97">
            <w:pPr>
              <w:spacing w:line="360" w:lineRule="auto"/>
              <w:jc w:val="center"/>
              <w:rPr>
                <w:color w:val="000000"/>
                <w:szCs w:val="21"/>
              </w:rPr>
            </w:pPr>
            <w:r>
              <w:rPr>
                <w:rFonts w:hint="eastAsia" w:ascii="宋体" w:hAnsi="宋体"/>
                <w:color w:val="000000"/>
                <w:szCs w:val="21"/>
              </w:rPr>
              <w:t>中心线位置</w:t>
            </w:r>
          </w:p>
        </w:tc>
        <w:tc>
          <w:tcPr>
            <w:tcW w:w="2103" w:type="dxa"/>
            <w:tcBorders>
              <w:top w:val="inset" w:color="auto" w:sz="6" w:space="0"/>
              <w:left w:val="nil"/>
              <w:bottom w:val="inset" w:color="auto" w:sz="6" w:space="0"/>
              <w:right w:val="inset" w:color="auto" w:sz="6" w:space="0"/>
            </w:tcBorders>
            <w:vAlign w:val="center"/>
          </w:tcPr>
          <w:p w14:paraId="04AC60F9">
            <w:pPr>
              <w:spacing w:line="360" w:lineRule="auto"/>
              <w:jc w:val="center"/>
              <w:rPr>
                <w:rFonts w:ascii="宋体" w:hAnsi="宋体"/>
                <w:color w:val="000000"/>
                <w:szCs w:val="21"/>
              </w:rPr>
            </w:pPr>
            <w:r>
              <w:rPr>
                <w:rFonts w:hint="eastAsia"/>
                <w:color w:val="000000"/>
                <w:szCs w:val="21"/>
              </w:rPr>
              <w:t>2</w:t>
            </w:r>
          </w:p>
        </w:tc>
        <w:tc>
          <w:tcPr>
            <w:tcW w:w="2554" w:type="dxa"/>
            <w:tcBorders>
              <w:top w:val="inset" w:color="auto" w:sz="6" w:space="0"/>
              <w:left w:val="nil"/>
              <w:bottom w:val="inset" w:color="auto" w:sz="6" w:space="0"/>
              <w:right w:val="inset" w:color="auto" w:sz="6" w:space="0"/>
            </w:tcBorders>
            <w:vAlign w:val="center"/>
          </w:tcPr>
          <w:p w14:paraId="7E572AC2">
            <w:pPr>
              <w:spacing w:line="360" w:lineRule="auto"/>
              <w:jc w:val="center"/>
              <w:rPr>
                <w:rFonts w:ascii="宋体" w:hAnsi="宋体"/>
                <w:color w:val="000000"/>
                <w:szCs w:val="21"/>
              </w:rPr>
            </w:pPr>
            <w:r>
              <w:rPr>
                <w:rFonts w:hint="eastAsia" w:ascii="宋体" w:hAnsi="宋体"/>
                <w:color w:val="000000"/>
                <w:szCs w:val="21"/>
              </w:rPr>
              <w:t>钢尺检查</w:t>
            </w:r>
          </w:p>
        </w:tc>
      </w:tr>
      <w:tr w14:paraId="181A6CB7">
        <w:tblPrEx>
          <w:tblCellMar>
            <w:top w:w="0" w:type="dxa"/>
            <w:left w:w="0" w:type="dxa"/>
            <w:bottom w:w="0" w:type="dxa"/>
            <w:right w:w="0" w:type="dxa"/>
          </w:tblCellMar>
        </w:tblPrEx>
        <w:trPr>
          <w:cantSplit/>
          <w:trHeight w:val="300" w:hRule="atLeast"/>
        </w:trPr>
        <w:tc>
          <w:tcPr>
            <w:tcW w:w="0" w:type="auto"/>
            <w:vMerge w:val="continue"/>
            <w:tcBorders>
              <w:top w:val="nil"/>
              <w:left w:val="inset" w:color="auto" w:sz="6" w:space="0"/>
              <w:bottom w:val="inset" w:color="auto" w:sz="6" w:space="0"/>
              <w:right w:val="inset" w:color="auto" w:sz="6" w:space="0"/>
            </w:tcBorders>
            <w:vAlign w:val="center"/>
          </w:tcPr>
          <w:p w14:paraId="4875DECD">
            <w:pPr>
              <w:widowControl/>
              <w:jc w:val="left"/>
              <w:rPr>
                <w:color w:val="000000"/>
                <w:szCs w:val="21"/>
              </w:rPr>
            </w:pPr>
          </w:p>
        </w:tc>
        <w:tc>
          <w:tcPr>
            <w:tcW w:w="1659" w:type="dxa"/>
            <w:tcBorders>
              <w:top w:val="inset" w:color="auto" w:sz="6" w:space="0"/>
              <w:left w:val="nil"/>
              <w:bottom w:val="inset" w:color="auto" w:sz="6" w:space="0"/>
              <w:right w:val="inset" w:color="auto" w:sz="6" w:space="0"/>
            </w:tcBorders>
            <w:vAlign w:val="center"/>
          </w:tcPr>
          <w:p w14:paraId="498BDAF3">
            <w:pPr>
              <w:spacing w:line="360" w:lineRule="auto"/>
              <w:jc w:val="center"/>
              <w:rPr>
                <w:color w:val="000000"/>
                <w:szCs w:val="21"/>
              </w:rPr>
            </w:pPr>
            <w:r>
              <w:rPr>
                <w:rFonts w:hint="eastAsia" w:ascii="宋体" w:hAnsi="宋体"/>
                <w:color w:val="000000"/>
                <w:szCs w:val="21"/>
              </w:rPr>
              <w:t>外露长度</w:t>
            </w:r>
          </w:p>
        </w:tc>
        <w:tc>
          <w:tcPr>
            <w:tcW w:w="2103" w:type="dxa"/>
            <w:tcBorders>
              <w:top w:val="inset" w:color="auto" w:sz="6" w:space="0"/>
              <w:left w:val="nil"/>
              <w:bottom w:val="inset" w:color="auto" w:sz="6" w:space="0"/>
              <w:right w:val="inset" w:color="auto" w:sz="6" w:space="0"/>
            </w:tcBorders>
            <w:vAlign w:val="center"/>
          </w:tcPr>
          <w:p w14:paraId="0673C3B3">
            <w:pPr>
              <w:spacing w:line="360" w:lineRule="auto"/>
              <w:jc w:val="center"/>
              <w:rPr>
                <w:rFonts w:ascii="宋体" w:hAnsi="宋体"/>
                <w:color w:val="000000"/>
                <w:szCs w:val="21"/>
              </w:rPr>
            </w:pPr>
            <w:r>
              <w:rPr>
                <w:rFonts w:hint="eastAsia" w:ascii="宋体" w:hAnsi="宋体"/>
                <w:color w:val="000000"/>
                <w:szCs w:val="21"/>
              </w:rPr>
              <w:t>+</w:t>
            </w:r>
            <w:r>
              <w:rPr>
                <w:color w:val="000000"/>
                <w:szCs w:val="21"/>
              </w:rPr>
              <w:t>10</w:t>
            </w:r>
            <w:r>
              <w:rPr>
                <w:rFonts w:hint="eastAsia" w:ascii="宋体" w:hAnsi="宋体"/>
                <w:color w:val="000000"/>
                <w:szCs w:val="21"/>
              </w:rPr>
              <w:t>，</w:t>
            </w:r>
            <w:r>
              <w:rPr>
                <w:rFonts w:hint="eastAsia"/>
                <w:color w:val="000000"/>
                <w:szCs w:val="21"/>
              </w:rPr>
              <w:t>0</w:t>
            </w:r>
          </w:p>
        </w:tc>
        <w:tc>
          <w:tcPr>
            <w:tcW w:w="2554" w:type="dxa"/>
            <w:tcBorders>
              <w:top w:val="inset" w:color="auto" w:sz="6" w:space="0"/>
              <w:left w:val="nil"/>
              <w:bottom w:val="inset" w:color="auto" w:sz="6" w:space="0"/>
              <w:right w:val="inset" w:color="auto" w:sz="6" w:space="0"/>
            </w:tcBorders>
            <w:vAlign w:val="center"/>
          </w:tcPr>
          <w:p w14:paraId="7CD6DDB8">
            <w:pPr>
              <w:spacing w:line="360" w:lineRule="auto"/>
              <w:jc w:val="center"/>
              <w:rPr>
                <w:color w:val="000000"/>
                <w:szCs w:val="21"/>
              </w:rPr>
            </w:pPr>
            <w:r>
              <w:rPr>
                <w:rFonts w:hint="eastAsia" w:ascii="宋体" w:hAnsi="宋体"/>
                <w:color w:val="000000"/>
                <w:szCs w:val="21"/>
              </w:rPr>
              <w:t>钢尺检查</w:t>
            </w:r>
          </w:p>
        </w:tc>
      </w:tr>
      <w:tr w14:paraId="255D6BE1">
        <w:tblPrEx>
          <w:tblCellMar>
            <w:top w:w="0" w:type="dxa"/>
            <w:left w:w="0" w:type="dxa"/>
            <w:bottom w:w="0" w:type="dxa"/>
            <w:right w:w="0" w:type="dxa"/>
          </w:tblCellMar>
        </w:tblPrEx>
        <w:trPr>
          <w:cantSplit/>
          <w:trHeight w:val="300" w:hRule="atLeast"/>
        </w:trPr>
        <w:tc>
          <w:tcPr>
            <w:tcW w:w="1998" w:type="dxa"/>
            <w:vMerge w:val="restart"/>
            <w:tcBorders>
              <w:top w:val="nil"/>
              <w:left w:val="inset" w:color="auto" w:sz="6" w:space="0"/>
              <w:bottom w:val="inset" w:color="auto" w:sz="6" w:space="0"/>
              <w:right w:val="inset" w:color="auto" w:sz="6" w:space="0"/>
            </w:tcBorders>
            <w:vAlign w:val="center"/>
          </w:tcPr>
          <w:p w14:paraId="6E5C271D">
            <w:pPr>
              <w:spacing w:line="360" w:lineRule="auto"/>
              <w:jc w:val="center"/>
              <w:rPr>
                <w:color w:val="000000"/>
                <w:szCs w:val="21"/>
              </w:rPr>
            </w:pPr>
            <w:r>
              <w:rPr>
                <w:rFonts w:hint="eastAsia" w:ascii="宋体" w:hAnsi="宋体"/>
                <w:color w:val="000000"/>
                <w:szCs w:val="21"/>
              </w:rPr>
              <w:t>预留洞</w:t>
            </w:r>
          </w:p>
        </w:tc>
        <w:tc>
          <w:tcPr>
            <w:tcW w:w="1659" w:type="dxa"/>
            <w:tcBorders>
              <w:top w:val="inset" w:color="auto" w:sz="6" w:space="0"/>
              <w:left w:val="nil"/>
              <w:bottom w:val="inset" w:color="auto" w:sz="6" w:space="0"/>
              <w:right w:val="inset" w:color="auto" w:sz="6" w:space="0"/>
            </w:tcBorders>
            <w:vAlign w:val="center"/>
          </w:tcPr>
          <w:p w14:paraId="37BCB439">
            <w:pPr>
              <w:spacing w:line="360" w:lineRule="auto"/>
              <w:jc w:val="center"/>
              <w:rPr>
                <w:color w:val="000000"/>
                <w:szCs w:val="21"/>
              </w:rPr>
            </w:pPr>
            <w:r>
              <w:rPr>
                <w:rFonts w:hint="eastAsia" w:ascii="宋体" w:hAnsi="宋体"/>
                <w:color w:val="000000"/>
                <w:szCs w:val="21"/>
              </w:rPr>
              <w:t>中心线位置</w:t>
            </w:r>
          </w:p>
        </w:tc>
        <w:tc>
          <w:tcPr>
            <w:tcW w:w="2103" w:type="dxa"/>
            <w:tcBorders>
              <w:top w:val="inset" w:color="auto" w:sz="6" w:space="0"/>
              <w:left w:val="nil"/>
              <w:bottom w:val="inset" w:color="auto" w:sz="6" w:space="0"/>
              <w:right w:val="inset" w:color="auto" w:sz="6" w:space="0"/>
            </w:tcBorders>
            <w:vAlign w:val="center"/>
          </w:tcPr>
          <w:p w14:paraId="54DBDA83">
            <w:pPr>
              <w:spacing w:line="360" w:lineRule="auto"/>
              <w:jc w:val="center"/>
              <w:rPr>
                <w:rFonts w:ascii="宋体" w:hAnsi="宋体"/>
                <w:color w:val="000000"/>
                <w:szCs w:val="21"/>
              </w:rPr>
            </w:pPr>
            <w:r>
              <w:rPr>
                <w:rFonts w:hint="eastAsia"/>
                <w:color w:val="000000"/>
                <w:szCs w:val="21"/>
              </w:rPr>
              <w:t>5</w:t>
            </w:r>
          </w:p>
        </w:tc>
        <w:tc>
          <w:tcPr>
            <w:tcW w:w="2554" w:type="dxa"/>
            <w:tcBorders>
              <w:top w:val="inset" w:color="auto" w:sz="6" w:space="0"/>
              <w:left w:val="nil"/>
              <w:bottom w:val="inset" w:color="auto" w:sz="6" w:space="0"/>
              <w:right w:val="inset" w:color="auto" w:sz="6" w:space="0"/>
            </w:tcBorders>
            <w:vAlign w:val="center"/>
          </w:tcPr>
          <w:p w14:paraId="00158D4F">
            <w:pPr>
              <w:spacing w:line="360" w:lineRule="auto"/>
              <w:jc w:val="center"/>
              <w:rPr>
                <w:rFonts w:ascii="宋体" w:hAnsi="宋体"/>
                <w:color w:val="000000"/>
                <w:szCs w:val="21"/>
              </w:rPr>
            </w:pPr>
            <w:r>
              <w:rPr>
                <w:rFonts w:hint="eastAsia" w:ascii="宋体" w:hAnsi="宋体"/>
                <w:color w:val="000000"/>
                <w:szCs w:val="21"/>
              </w:rPr>
              <w:t>钢尺检查</w:t>
            </w:r>
          </w:p>
        </w:tc>
      </w:tr>
      <w:tr w14:paraId="12D15E00">
        <w:tblPrEx>
          <w:tblCellMar>
            <w:top w:w="0" w:type="dxa"/>
            <w:left w:w="0" w:type="dxa"/>
            <w:bottom w:w="0" w:type="dxa"/>
            <w:right w:w="0" w:type="dxa"/>
          </w:tblCellMar>
        </w:tblPrEx>
        <w:trPr>
          <w:cantSplit/>
          <w:trHeight w:val="285" w:hRule="atLeast"/>
        </w:trPr>
        <w:tc>
          <w:tcPr>
            <w:tcW w:w="0" w:type="auto"/>
            <w:vMerge w:val="continue"/>
            <w:tcBorders>
              <w:top w:val="nil"/>
              <w:left w:val="inset" w:color="auto" w:sz="6" w:space="0"/>
              <w:bottom w:val="inset" w:color="auto" w:sz="6" w:space="0"/>
              <w:right w:val="inset" w:color="auto" w:sz="6" w:space="0"/>
            </w:tcBorders>
            <w:vAlign w:val="center"/>
          </w:tcPr>
          <w:p w14:paraId="624D8F6B">
            <w:pPr>
              <w:widowControl/>
              <w:jc w:val="left"/>
              <w:rPr>
                <w:color w:val="000000"/>
                <w:szCs w:val="21"/>
              </w:rPr>
            </w:pPr>
          </w:p>
        </w:tc>
        <w:tc>
          <w:tcPr>
            <w:tcW w:w="1659" w:type="dxa"/>
            <w:tcBorders>
              <w:top w:val="inset" w:color="auto" w:sz="6" w:space="0"/>
              <w:left w:val="nil"/>
              <w:bottom w:val="inset" w:color="auto" w:sz="6" w:space="0"/>
              <w:right w:val="inset" w:color="auto" w:sz="6" w:space="0"/>
            </w:tcBorders>
            <w:vAlign w:val="center"/>
          </w:tcPr>
          <w:p w14:paraId="5ACD4EAB">
            <w:pPr>
              <w:spacing w:line="360" w:lineRule="auto"/>
              <w:jc w:val="center"/>
              <w:rPr>
                <w:color w:val="000000"/>
                <w:szCs w:val="21"/>
              </w:rPr>
            </w:pPr>
            <w:r>
              <w:rPr>
                <w:rFonts w:hint="eastAsia" w:ascii="宋体" w:hAnsi="宋体"/>
                <w:color w:val="000000"/>
                <w:szCs w:val="21"/>
              </w:rPr>
              <w:t>尺</w:t>
            </w:r>
            <w:r>
              <w:rPr>
                <w:color w:val="000000"/>
                <w:szCs w:val="21"/>
              </w:rPr>
              <w:t xml:space="preserve"> </w:t>
            </w:r>
            <w:r>
              <w:rPr>
                <w:rFonts w:hint="eastAsia" w:ascii="宋体" w:hAnsi="宋体"/>
                <w:color w:val="000000"/>
                <w:szCs w:val="21"/>
              </w:rPr>
              <w:t>寸</w:t>
            </w:r>
          </w:p>
        </w:tc>
        <w:tc>
          <w:tcPr>
            <w:tcW w:w="2103" w:type="dxa"/>
            <w:tcBorders>
              <w:top w:val="inset" w:color="auto" w:sz="6" w:space="0"/>
              <w:left w:val="nil"/>
              <w:bottom w:val="inset" w:color="auto" w:sz="6" w:space="0"/>
              <w:right w:val="inset" w:color="auto" w:sz="6" w:space="0"/>
            </w:tcBorders>
            <w:vAlign w:val="center"/>
          </w:tcPr>
          <w:p w14:paraId="6D48D176">
            <w:pPr>
              <w:spacing w:line="360" w:lineRule="auto"/>
              <w:jc w:val="center"/>
              <w:rPr>
                <w:rFonts w:ascii="宋体" w:hAnsi="宋体"/>
                <w:color w:val="000000"/>
                <w:szCs w:val="21"/>
              </w:rPr>
            </w:pPr>
            <w:r>
              <w:rPr>
                <w:rFonts w:hint="eastAsia" w:ascii="宋体" w:hAnsi="宋体"/>
                <w:color w:val="000000"/>
                <w:szCs w:val="21"/>
              </w:rPr>
              <w:t>+</w:t>
            </w:r>
            <w:r>
              <w:rPr>
                <w:color w:val="000000"/>
                <w:szCs w:val="21"/>
              </w:rPr>
              <w:t>10</w:t>
            </w:r>
            <w:r>
              <w:rPr>
                <w:rFonts w:hint="eastAsia" w:ascii="宋体" w:hAnsi="宋体"/>
                <w:color w:val="000000"/>
                <w:szCs w:val="21"/>
              </w:rPr>
              <w:t>，</w:t>
            </w:r>
            <w:r>
              <w:rPr>
                <w:rFonts w:hint="eastAsia"/>
                <w:color w:val="000000"/>
                <w:szCs w:val="21"/>
              </w:rPr>
              <w:t>0</w:t>
            </w:r>
          </w:p>
        </w:tc>
        <w:tc>
          <w:tcPr>
            <w:tcW w:w="2554" w:type="dxa"/>
            <w:tcBorders>
              <w:top w:val="inset" w:color="auto" w:sz="6" w:space="0"/>
              <w:left w:val="nil"/>
              <w:bottom w:val="inset" w:color="auto" w:sz="6" w:space="0"/>
              <w:right w:val="inset" w:color="auto" w:sz="6" w:space="0"/>
            </w:tcBorders>
            <w:vAlign w:val="center"/>
          </w:tcPr>
          <w:p w14:paraId="1DD98BA1">
            <w:pPr>
              <w:spacing w:line="360" w:lineRule="auto"/>
              <w:jc w:val="center"/>
              <w:rPr>
                <w:rFonts w:ascii="宋体" w:hAnsi="宋体"/>
                <w:color w:val="000000"/>
                <w:szCs w:val="21"/>
              </w:rPr>
            </w:pPr>
            <w:r>
              <w:rPr>
                <w:rFonts w:hint="eastAsia" w:ascii="宋体" w:hAnsi="宋体"/>
                <w:color w:val="000000"/>
                <w:szCs w:val="21"/>
              </w:rPr>
              <w:t>钢尺检查</w:t>
            </w:r>
          </w:p>
        </w:tc>
      </w:tr>
      <w:tr w14:paraId="23DD0954">
        <w:tblPrEx>
          <w:tblCellMar>
            <w:top w:w="0" w:type="dxa"/>
            <w:left w:w="0" w:type="dxa"/>
            <w:bottom w:w="0" w:type="dxa"/>
            <w:right w:w="0" w:type="dxa"/>
          </w:tblCellMar>
        </w:tblPrEx>
        <w:trPr>
          <w:cantSplit/>
          <w:trHeight w:val="285" w:hRule="atLeast"/>
        </w:trPr>
        <w:tc>
          <w:tcPr>
            <w:tcW w:w="1998" w:type="dxa"/>
            <w:tcBorders>
              <w:top w:val="inset" w:color="auto" w:sz="6" w:space="0"/>
              <w:left w:val="inset" w:color="auto" w:sz="6" w:space="0"/>
              <w:bottom w:val="inset" w:color="auto" w:sz="6" w:space="0"/>
              <w:right w:val="inset" w:color="auto" w:sz="6" w:space="0"/>
            </w:tcBorders>
            <w:vAlign w:val="center"/>
          </w:tcPr>
          <w:p w14:paraId="257517E7">
            <w:pPr>
              <w:widowControl/>
              <w:jc w:val="center"/>
              <w:rPr>
                <w:rFonts w:ascii="宋体" w:hAnsi="宋体"/>
                <w:color w:val="000000"/>
                <w:szCs w:val="21"/>
              </w:rPr>
            </w:pPr>
            <w:r>
              <w:rPr>
                <w:rFonts w:hint="eastAsia" w:ascii="宋体" w:hAnsi="宋体"/>
                <w:color w:val="000000"/>
                <w:szCs w:val="21"/>
              </w:rPr>
              <w:t>预埋接驳器</w:t>
            </w:r>
          </w:p>
        </w:tc>
        <w:tc>
          <w:tcPr>
            <w:tcW w:w="1659" w:type="dxa"/>
            <w:tcBorders>
              <w:top w:val="inset" w:color="auto" w:sz="6" w:space="0"/>
              <w:left w:val="nil"/>
              <w:bottom w:val="inset" w:color="auto" w:sz="6" w:space="0"/>
              <w:right w:val="inset" w:color="auto" w:sz="6" w:space="0"/>
            </w:tcBorders>
            <w:vAlign w:val="center"/>
          </w:tcPr>
          <w:p w14:paraId="56063A1A">
            <w:pPr>
              <w:spacing w:line="360" w:lineRule="auto"/>
              <w:jc w:val="center"/>
              <w:rPr>
                <w:rFonts w:ascii="宋体" w:hAnsi="宋体"/>
                <w:color w:val="000000"/>
                <w:szCs w:val="21"/>
              </w:rPr>
            </w:pPr>
            <w:r>
              <w:rPr>
                <w:rFonts w:hint="eastAsia" w:ascii="宋体" w:hAnsi="宋体"/>
                <w:color w:val="000000"/>
                <w:szCs w:val="21"/>
              </w:rPr>
              <w:t>中心线位置</w:t>
            </w:r>
          </w:p>
        </w:tc>
        <w:tc>
          <w:tcPr>
            <w:tcW w:w="2103" w:type="dxa"/>
            <w:tcBorders>
              <w:top w:val="inset" w:color="auto" w:sz="6" w:space="0"/>
              <w:left w:val="nil"/>
              <w:bottom w:val="inset" w:color="auto" w:sz="6" w:space="0"/>
              <w:right w:val="inset" w:color="auto" w:sz="6" w:space="0"/>
            </w:tcBorders>
            <w:vAlign w:val="center"/>
          </w:tcPr>
          <w:p w14:paraId="1AB843F1">
            <w:pPr>
              <w:spacing w:line="360" w:lineRule="auto"/>
              <w:jc w:val="center"/>
              <w:rPr>
                <w:rFonts w:ascii="宋体" w:hAnsi="宋体"/>
                <w:color w:val="000000"/>
                <w:szCs w:val="21"/>
              </w:rPr>
            </w:pPr>
            <w:r>
              <w:rPr>
                <w:rFonts w:hint="eastAsia" w:ascii="宋体" w:hAnsi="宋体"/>
                <w:color w:val="000000"/>
                <w:szCs w:val="21"/>
              </w:rPr>
              <w:t>5</w:t>
            </w:r>
          </w:p>
        </w:tc>
        <w:tc>
          <w:tcPr>
            <w:tcW w:w="2554" w:type="dxa"/>
            <w:tcBorders>
              <w:top w:val="inset" w:color="auto" w:sz="6" w:space="0"/>
              <w:left w:val="nil"/>
              <w:bottom w:val="inset" w:color="auto" w:sz="6" w:space="0"/>
              <w:right w:val="inset" w:color="auto" w:sz="6" w:space="0"/>
            </w:tcBorders>
            <w:vAlign w:val="center"/>
          </w:tcPr>
          <w:p w14:paraId="5AB8E69E">
            <w:pPr>
              <w:spacing w:line="360" w:lineRule="auto"/>
              <w:jc w:val="center"/>
              <w:rPr>
                <w:rFonts w:ascii="宋体" w:hAnsi="宋体"/>
                <w:color w:val="000000"/>
                <w:szCs w:val="21"/>
              </w:rPr>
            </w:pPr>
            <w:r>
              <w:rPr>
                <w:rFonts w:hint="eastAsia" w:ascii="宋体" w:hAnsi="宋体"/>
                <w:color w:val="000000"/>
                <w:szCs w:val="21"/>
              </w:rPr>
              <w:t>钢尺检查</w:t>
            </w:r>
          </w:p>
        </w:tc>
      </w:tr>
    </w:tbl>
    <w:p w14:paraId="7BFF2F03">
      <w:pPr>
        <w:pStyle w:val="112"/>
        <w:numPr>
          <w:ilvl w:val="0"/>
          <w:numId w:val="0"/>
        </w:numPr>
        <w:ind w:left="964"/>
        <w:jc w:val="left"/>
      </w:pPr>
      <w:r>
        <w:rPr>
          <w:rFonts w:hint="eastAsia"/>
        </w:rPr>
        <w:t>（4）钢筋安装时，钢筋网和钢筋成品（骨架）安装位置的偏差应符合下表的规定。</w:t>
      </w:r>
    </w:p>
    <w:p w14:paraId="27EF399D">
      <w:pPr>
        <w:pStyle w:val="112"/>
        <w:numPr>
          <w:ilvl w:val="0"/>
          <w:numId w:val="0"/>
        </w:numPr>
        <w:ind w:left="964"/>
        <w:jc w:val="left"/>
      </w:pPr>
      <w:r>
        <w:rPr>
          <w:rFonts w:hint="eastAsia"/>
        </w:rPr>
        <w:t>检查数量：全数检查</w:t>
      </w:r>
    </w:p>
    <w:p w14:paraId="0C6D44BE">
      <w:pPr>
        <w:pStyle w:val="112"/>
        <w:numPr>
          <w:ilvl w:val="0"/>
          <w:numId w:val="0"/>
        </w:numPr>
        <w:ind w:left="964"/>
        <w:jc w:val="left"/>
      </w:pPr>
      <w:r>
        <w:rPr>
          <w:rFonts w:hint="eastAsia"/>
        </w:rPr>
        <w:t>检查方法：观察，钢尺检查</w:t>
      </w:r>
    </w:p>
    <w:p w14:paraId="2AAC588E">
      <w:pPr>
        <w:pStyle w:val="112"/>
        <w:numPr>
          <w:ilvl w:val="0"/>
          <w:numId w:val="0"/>
        </w:numPr>
        <w:ind w:left="964" w:firstLine="1980" w:firstLineChars="1100"/>
        <w:jc w:val="left"/>
      </w:pPr>
      <w:r>
        <w:rPr>
          <w:rFonts w:hint="eastAsia"/>
        </w:rPr>
        <w:t>钢筋安装位置的允许偏差和检验方法</w:t>
      </w:r>
    </w:p>
    <w:tbl>
      <w:tblPr>
        <w:tblStyle w:val="37"/>
        <w:tblW w:w="0" w:type="auto"/>
        <w:tblInd w:w="108" w:type="dxa"/>
        <w:tblLayout w:type="autofit"/>
        <w:tblCellMar>
          <w:top w:w="0" w:type="dxa"/>
          <w:left w:w="0" w:type="dxa"/>
          <w:bottom w:w="0" w:type="dxa"/>
          <w:right w:w="0" w:type="dxa"/>
        </w:tblCellMar>
      </w:tblPr>
      <w:tblGrid>
        <w:gridCol w:w="2217"/>
        <w:gridCol w:w="696"/>
        <w:gridCol w:w="1250"/>
        <w:gridCol w:w="1438"/>
        <w:gridCol w:w="2420"/>
      </w:tblGrid>
      <w:tr w14:paraId="6839C78D">
        <w:tblPrEx>
          <w:tblCellMar>
            <w:top w:w="0" w:type="dxa"/>
            <w:left w:w="0" w:type="dxa"/>
            <w:bottom w:w="0" w:type="dxa"/>
            <w:right w:w="0" w:type="dxa"/>
          </w:tblCellMar>
        </w:tblPrEx>
        <w:trPr>
          <w:trHeight w:val="430" w:hRule="atLeast"/>
        </w:trPr>
        <w:tc>
          <w:tcPr>
            <w:tcW w:w="4695" w:type="dxa"/>
            <w:gridSpan w:val="3"/>
            <w:tcBorders>
              <w:top w:val="inset" w:color="auto" w:sz="6" w:space="0"/>
              <w:left w:val="inset" w:color="auto" w:sz="6" w:space="0"/>
              <w:bottom w:val="inset" w:color="auto" w:sz="6" w:space="0"/>
              <w:right w:val="inset" w:color="auto" w:sz="6" w:space="0"/>
            </w:tcBorders>
            <w:vAlign w:val="center"/>
          </w:tcPr>
          <w:p w14:paraId="5002C47D">
            <w:pPr>
              <w:spacing w:line="360" w:lineRule="auto"/>
              <w:jc w:val="center"/>
              <w:rPr>
                <w:color w:val="000000"/>
                <w:szCs w:val="21"/>
              </w:rPr>
            </w:pPr>
            <w:r>
              <w:rPr>
                <w:rFonts w:hint="eastAsia" w:ascii="宋体" w:hAnsi="宋体"/>
                <w:color w:val="000000"/>
                <w:szCs w:val="21"/>
              </w:rPr>
              <w:t>项目</w:t>
            </w:r>
          </w:p>
        </w:tc>
        <w:tc>
          <w:tcPr>
            <w:tcW w:w="1593" w:type="dxa"/>
            <w:tcBorders>
              <w:top w:val="inset" w:color="auto" w:sz="6" w:space="0"/>
              <w:left w:val="nil"/>
              <w:bottom w:val="inset" w:color="auto" w:sz="6" w:space="0"/>
              <w:right w:val="inset" w:color="auto" w:sz="6" w:space="0"/>
            </w:tcBorders>
            <w:vAlign w:val="center"/>
          </w:tcPr>
          <w:p w14:paraId="71390760">
            <w:pPr>
              <w:spacing w:line="360" w:lineRule="auto"/>
              <w:jc w:val="center"/>
              <w:rPr>
                <w:color w:val="000000"/>
                <w:szCs w:val="21"/>
              </w:rPr>
            </w:pPr>
            <w:r>
              <w:rPr>
                <w:rFonts w:hint="eastAsia" w:ascii="宋体" w:hAnsi="宋体"/>
                <w:color w:val="000000"/>
                <w:szCs w:val="21"/>
              </w:rPr>
              <w:t>允许偏差</w:t>
            </w:r>
            <w:r>
              <w:rPr>
                <w:color w:val="000000"/>
                <w:szCs w:val="21"/>
              </w:rPr>
              <w:t>(mm)</w:t>
            </w:r>
          </w:p>
        </w:tc>
        <w:tc>
          <w:tcPr>
            <w:tcW w:w="2742" w:type="dxa"/>
            <w:tcBorders>
              <w:top w:val="inset" w:color="auto" w:sz="6" w:space="0"/>
              <w:left w:val="nil"/>
              <w:bottom w:val="inset" w:color="auto" w:sz="6" w:space="0"/>
              <w:right w:val="inset" w:color="auto" w:sz="6" w:space="0"/>
            </w:tcBorders>
            <w:vAlign w:val="center"/>
          </w:tcPr>
          <w:p w14:paraId="4A116E36">
            <w:pPr>
              <w:spacing w:line="360" w:lineRule="auto"/>
              <w:jc w:val="center"/>
              <w:rPr>
                <w:color w:val="000000"/>
                <w:szCs w:val="21"/>
              </w:rPr>
            </w:pPr>
            <w:r>
              <w:rPr>
                <w:rFonts w:hint="eastAsia" w:ascii="宋体" w:hAnsi="宋体"/>
                <w:color w:val="000000"/>
                <w:szCs w:val="21"/>
              </w:rPr>
              <w:t>检验方法</w:t>
            </w:r>
          </w:p>
        </w:tc>
      </w:tr>
      <w:tr w14:paraId="1004BF3F">
        <w:tblPrEx>
          <w:tblCellMar>
            <w:top w:w="0" w:type="dxa"/>
            <w:left w:w="0" w:type="dxa"/>
            <w:bottom w:w="0" w:type="dxa"/>
            <w:right w:w="0" w:type="dxa"/>
          </w:tblCellMar>
        </w:tblPrEx>
        <w:trPr>
          <w:cantSplit/>
          <w:trHeight w:val="375" w:hRule="atLeast"/>
        </w:trPr>
        <w:tc>
          <w:tcPr>
            <w:tcW w:w="2541" w:type="dxa"/>
            <w:vMerge w:val="restart"/>
            <w:tcBorders>
              <w:top w:val="nil"/>
              <w:left w:val="inset" w:color="auto" w:sz="6" w:space="0"/>
              <w:bottom w:val="inset" w:color="auto" w:sz="6" w:space="0"/>
              <w:right w:val="inset" w:color="auto" w:sz="6" w:space="0"/>
            </w:tcBorders>
            <w:vAlign w:val="center"/>
          </w:tcPr>
          <w:p w14:paraId="22BA676B">
            <w:pPr>
              <w:spacing w:line="360" w:lineRule="auto"/>
              <w:jc w:val="center"/>
              <w:rPr>
                <w:color w:val="000000"/>
                <w:szCs w:val="21"/>
              </w:rPr>
            </w:pPr>
            <w:r>
              <w:rPr>
                <w:rFonts w:hint="eastAsia" w:ascii="宋体" w:hAnsi="宋体"/>
                <w:color w:val="000000"/>
                <w:szCs w:val="21"/>
              </w:rPr>
              <w:t>绑扎钢筋网</w:t>
            </w:r>
          </w:p>
        </w:tc>
        <w:tc>
          <w:tcPr>
            <w:tcW w:w="2154" w:type="dxa"/>
            <w:gridSpan w:val="2"/>
            <w:tcBorders>
              <w:top w:val="inset" w:color="auto" w:sz="6" w:space="0"/>
              <w:left w:val="nil"/>
              <w:bottom w:val="inset" w:color="auto" w:sz="6" w:space="0"/>
              <w:right w:val="inset" w:color="auto" w:sz="6" w:space="0"/>
            </w:tcBorders>
            <w:vAlign w:val="center"/>
          </w:tcPr>
          <w:p w14:paraId="77EB51DB">
            <w:pPr>
              <w:spacing w:line="360" w:lineRule="auto"/>
              <w:jc w:val="center"/>
              <w:rPr>
                <w:color w:val="000000"/>
                <w:szCs w:val="21"/>
              </w:rPr>
            </w:pPr>
            <w:r>
              <w:rPr>
                <w:rFonts w:hint="eastAsia" w:ascii="宋体" w:hAnsi="宋体"/>
                <w:color w:val="000000"/>
                <w:szCs w:val="21"/>
              </w:rPr>
              <w:t>长、宽</w:t>
            </w:r>
          </w:p>
        </w:tc>
        <w:tc>
          <w:tcPr>
            <w:tcW w:w="1593" w:type="dxa"/>
            <w:tcBorders>
              <w:top w:val="inset" w:color="auto" w:sz="6" w:space="0"/>
              <w:left w:val="nil"/>
              <w:bottom w:val="inset" w:color="auto" w:sz="6" w:space="0"/>
              <w:right w:val="inset" w:color="auto" w:sz="6" w:space="0"/>
            </w:tcBorders>
            <w:vAlign w:val="center"/>
          </w:tcPr>
          <w:p w14:paraId="7BF3030F">
            <w:pPr>
              <w:spacing w:line="360" w:lineRule="auto"/>
              <w:jc w:val="center"/>
              <w:rPr>
                <w:color w:val="000000"/>
                <w:szCs w:val="21"/>
              </w:rPr>
            </w:pPr>
            <w:r>
              <w:rPr>
                <w:rFonts w:hint="eastAsia" w:ascii="宋体" w:hAnsi="宋体"/>
                <w:color w:val="000000"/>
                <w:szCs w:val="21"/>
              </w:rPr>
              <w:t>±</w:t>
            </w:r>
            <w:r>
              <w:rPr>
                <w:color w:val="000000"/>
                <w:szCs w:val="21"/>
              </w:rPr>
              <w:t>10</w:t>
            </w:r>
          </w:p>
        </w:tc>
        <w:tc>
          <w:tcPr>
            <w:tcW w:w="2742" w:type="dxa"/>
            <w:tcBorders>
              <w:top w:val="inset" w:color="auto" w:sz="6" w:space="0"/>
              <w:left w:val="nil"/>
              <w:bottom w:val="inset" w:color="auto" w:sz="6" w:space="0"/>
              <w:right w:val="inset" w:color="auto" w:sz="6" w:space="0"/>
            </w:tcBorders>
            <w:vAlign w:val="center"/>
          </w:tcPr>
          <w:p w14:paraId="3DB6D69F">
            <w:pPr>
              <w:spacing w:line="360" w:lineRule="auto"/>
              <w:jc w:val="center"/>
              <w:rPr>
                <w:color w:val="000000"/>
                <w:szCs w:val="21"/>
              </w:rPr>
            </w:pPr>
            <w:r>
              <w:rPr>
                <w:rFonts w:hint="eastAsia" w:ascii="宋体" w:hAnsi="宋体"/>
                <w:color w:val="000000"/>
                <w:szCs w:val="21"/>
              </w:rPr>
              <w:t>钢尺检查</w:t>
            </w:r>
          </w:p>
        </w:tc>
      </w:tr>
      <w:tr w14:paraId="4D78986A">
        <w:tblPrEx>
          <w:tblCellMar>
            <w:top w:w="0" w:type="dxa"/>
            <w:left w:w="0" w:type="dxa"/>
            <w:bottom w:w="0" w:type="dxa"/>
            <w:right w:w="0" w:type="dxa"/>
          </w:tblCellMar>
        </w:tblPrEx>
        <w:trPr>
          <w:cantSplit/>
          <w:trHeight w:val="390" w:hRule="atLeast"/>
        </w:trPr>
        <w:tc>
          <w:tcPr>
            <w:tcW w:w="0" w:type="auto"/>
            <w:vMerge w:val="continue"/>
            <w:tcBorders>
              <w:top w:val="nil"/>
              <w:left w:val="inset" w:color="auto" w:sz="6" w:space="0"/>
              <w:bottom w:val="inset" w:color="auto" w:sz="6" w:space="0"/>
              <w:right w:val="inset" w:color="auto" w:sz="6" w:space="0"/>
            </w:tcBorders>
            <w:vAlign w:val="center"/>
          </w:tcPr>
          <w:p w14:paraId="3A578347">
            <w:pPr>
              <w:widowControl/>
              <w:jc w:val="left"/>
              <w:rPr>
                <w:color w:val="000000"/>
                <w:szCs w:val="21"/>
              </w:rPr>
            </w:pPr>
          </w:p>
        </w:tc>
        <w:tc>
          <w:tcPr>
            <w:tcW w:w="2154" w:type="dxa"/>
            <w:gridSpan w:val="2"/>
            <w:tcBorders>
              <w:top w:val="inset" w:color="auto" w:sz="6" w:space="0"/>
              <w:left w:val="nil"/>
              <w:bottom w:val="inset" w:color="auto" w:sz="6" w:space="0"/>
              <w:right w:val="inset" w:color="auto" w:sz="6" w:space="0"/>
            </w:tcBorders>
            <w:vAlign w:val="center"/>
          </w:tcPr>
          <w:p w14:paraId="456ABC49">
            <w:pPr>
              <w:spacing w:line="360" w:lineRule="auto"/>
              <w:jc w:val="center"/>
              <w:rPr>
                <w:color w:val="000000"/>
                <w:szCs w:val="21"/>
              </w:rPr>
            </w:pPr>
            <w:r>
              <w:rPr>
                <w:rFonts w:hint="eastAsia" w:ascii="宋体" w:hAnsi="宋体"/>
                <w:color w:val="000000"/>
                <w:szCs w:val="21"/>
              </w:rPr>
              <w:t>网眼尺寸</w:t>
            </w:r>
          </w:p>
        </w:tc>
        <w:tc>
          <w:tcPr>
            <w:tcW w:w="1593" w:type="dxa"/>
            <w:tcBorders>
              <w:top w:val="inset" w:color="auto" w:sz="6" w:space="0"/>
              <w:left w:val="nil"/>
              <w:bottom w:val="inset" w:color="auto" w:sz="6" w:space="0"/>
              <w:right w:val="inset" w:color="auto" w:sz="6" w:space="0"/>
            </w:tcBorders>
            <w:vAlign w:val="center"/>
          </w:tcPr>
          <w:p w14:paraId="1D33B052">
            <w:pPr>
              <w:spacing w:line="360" w:lineRule="auto"/>
              <w:jc w:val="center"/>
              <w:rPr>
                <w:color w:val="000000"/>
                <w:szCs w:val="21"/>
              </w:rPr>
            </w:pPr>
            <w:r>
              <w:rPr>
                <w:rFonts w:hint="eastAsia" w:ascii="宋体" w:hAnsi="宋体"/>
                <w:color w:val="000000"/>
                <w:szCs w:val="21"/>
              </w:rPr>
              <w:t>±</w:t>
            </w:r>
            <w:r>
              <w:rPr>
                <w:color w:val="000000"/>
                <w:szCs w:val="21"/>
              </w:rPr>
              <w:t>20</w:t>
            </w:r>
          </w:p>
        </w:tc>
        <w:tc>
          <w:tcPr>
            <w:tcW w:w="2742" w:type="dxa"/>
            <w:tcBorders>
              <w:top w:val="inset" w:color="auto" w:sz="6" w:space="0"/>
              <w:left w:val="nil"/>
              <w:bottom w:val="inset" w:color="auto" w:sz="6" w:space="0"/>
              <w:right w:val="inset" w:color="auto" w:sz="6" w:space="0"/>
            </w:tcBorders>
            <w:vAlign w:val="center"/>
          </w:tcPr>
          <w:p w14:paraId="29168F89">
            <w:pPr>
              <w:spacing w:line="360" w:lineRule="auto"/>
              <w:jc w:val="center"/>
              <w:rPr>
                <w:color w:val="000000"/>
                <w:szCs w:val="21"/>
              </w:rPr>
            </w:pPr>
            <w:r>
              <w:rPr>
                <w:rFonts w:hint="eastAsia" w:ascii="宋体" w:hAnsi="宋体"/>
                <w:color w:val="000000"/>
                <w:szCs w:val="21"/>
              </w:rPr>
              <w:t>钢尺量连续三当，取最大值</w:t>
            </w:r>
          </w:p>
        </w:tc>
      </w:tr>
      <w:tr w14:paraId="509F11DD">
        <w:tblPrEx>
          <w:tblCellMar>
            <w:top w:w="0" w:type="dxa"/>
            <w:left w:w="0" w:type="dxa"/>
            <w:bottom w:w="0" w:type="dxa"/>
            <w:right w:w="0" w:type="dxa"/>
          </w:tblCellMar>
        </w:tblPrEx>
        <w:trPr>
          <w:cantSplit/>
          <w:trHeight w:val="345" w:hRule="atLeast"/>
        </w:trPr>
        <w:tc>
          <w:tcPr>
            <w:tcW w:w="2541" w:type="dxa"/>
            <w:vMerge w:val="restart"/>
            <w:tcBorders>
              <w:top w:val="nil"/>
              <w:left w:val="inset" w:color="auto" w:sz="6" w:space="0"/>
              <w:bottom w:val="inset" w:color="auto" w:sz="6" w:space="0"/>
              <w:right w:val="inset" w:color="auto" w:sz="6" w:space="0"/>
            </w:tcBorders>
            <w:vAlign w:val="center"/>
          </w:tcPr>
          <w:p w14:paraId="495EC43A">
            <w:pPr>
              <w:spacing w:line="360" w:lineRule="auto"/>
              <w:jc w:val="center"/>
              <w:rPr>
                <w:color w:val="000000"/>
                <w:szCs w:val="21"/>
              </w:rPr>
            </w:pPr>
            <w:r>
              <w:rPr>
                <w:rFonts w:hint="eastAsia" w:ascii="宋体" w:hAnsi="宋体"/>
                <w:color w:val="000000"/>
                <w:szCs w:val="21"/>
              </w:rPr>
              <w:t>绑扎钢筋骨架</w:t>
            </w:r>
          </w:p>
        </w:tc>
        <w:tc>
          <w:tcPr>
            <w:tcW w:w="2154" w:type="dxa"/>
            <w:gridSpan w:val="2"/>
            <w:tcBorders>
              <w:top w:val="inset" w:color="auto" w:sz="6" w:space="0"/>
              <w:left w:val="nil"/>
              <w:bottom w:val="inset" w:color="auto" w:sz="6" w:space="0"/>
              <w:right w:val="inset" w:color="auto" w:sz="6" w:space="0"/>
            </w:tcBorders>
            <w:vAlign w:val="center"/>
          </w:tcPr>
          <w:p w14:paraId="2C3D52D6">
            <w:pPr>
              <w:spacing w:line="360" w:lineRule="auto"/>
              <w:jc w:val="center"/>
              <w:rPr>
                <w:color w:val="000000"/>
                <w:szCs w:val="21"/>
              </w:rPr>
            </w:pPr>
            <w:r>
              <w:rPr>
                <w:rFonts w:hint="eastAsia" w:ascii="宋体" w:hAnsi="宋体"/>
                <w:color w:val="000000"/>
                <w:szCs w:val="21"/>
              </w:rPr>
              <w:t>长</w:t>
            </w:r>
          </w:p>
        </w:tc>
        <w:tc>
          <w:tcPr>
            <w:tcW w:w="1593" w:type="dxa"/>
            <w:tcBorders>
              <w:top w:val="inset" w:color="auto" w:sz="6" w:space="0"/>
              <w:left w:val="nil"/>
              <w:bottom w:val="inset" w:color="auto" w:sz="6" w:space="0"/>
              <w:right w:val="inset" w:color="auto" w:sz="6" w:space="0"/>
            </w:tcBorders>
            <w:vAlign w:val="center"/>
          </w:tcPr>
          <w:p w14:paraId="71FAF648">
            <w:pPr>
              <w:spacing w:line="360" w:lineRule="auto"/>
              <w:jc w:val="center"/>
              <w:rPr>
                <w:color w:val="000000"/>
                <w:szCs w:val="21"/>
              </w:rPr>
            </w:pPr>
            <w:r>
              <w:rPr>
                <w:rFonts w:hint="eastAsia" w:ascii="宋体" w:hAnsi="宋体"/>
                <w:color w:val="000000"/>
                <w:szCs w:val="21"/>
              </w:rPr>
              <w:t>±</w:t>
            </w:r>
            <w:r>
              <w:rPr>
                <w:color w:val="000000"/>
                <w:szCs w:val="21"/>
              </w:rPr>
              <w:t>10</w:t>
            </w:r>
          </w:p>
        </w:tc>
        <w:tc>
          <w:tcPr>
            <w:tcW w:w="2742" w:type="dxa"/>
            <w:tcBorders>
              <w:top w:val="inset" w:color="auto" w:sz="6" w:space="0"/>
              <w:left w:val="nil"/>
              <w:bottom w:val="inset" w:color="auto" w:sz="6" w:space="0"/>
              <w:right w:val="inset" w:color="auto" w:sz="6" w:space="0"/>
            </w:tcBorders>
            <w:vAlign w:val="center"/>
          </w:tcPr>
          <w:p w14:paraId="118FC9E6">
            <w:pPr>
              <w:spacing w:line="360" w:lineRule="auto"/>
              <w:jc w:val="center"/>
              <w:rPr>
                <w:color w:val="000000"/>
                <w:szCs w:val="21"/>
              </w:rPr>
            </w:pPr>
            <w:r>
              <w:rPr>
                <w:rFonts w:hint="eastAsia" w:ascii="宋体" w:hAnsi="宋体"/>
                <w:color w:val="000000"/>
                <w:szCs w:val="21"/>
              </w:rPr>
              <w:t>钢尺检查</w:t>
            </w:r>
          </w:p>
        </w:tc>
      </w:tr>
      <w:tr w14:paraId="7D07575E">
        <w:tblPrEx>
          <w:tblCellMar>
            <w:top w:w="0" w:type="dxa"/>
            <w:left w:w="0" w:type="dxa"/>
            <w:bottom w:w="0" w:type="dxa"/>
            <w:right w:w="0" w:type="dxa"/>
          </w:tblCellMar>
        </w:tblPrEx>
        <w:trPr>
          <w:cantSplit/>
          <w:trHeight w:val="570" w:hRule="atLeast"/>
        </w:trPr>
        <w:tc>
          <w:tcPr>
            <w:tcW w:w="0" w:type="auto"/>
            <w:vMerge w:val="continue"/>
            <w:tcBorders>
              <w:top w:val="nil"/>
              <w:left w:val="inset" w:color="auto" w:sz="6" w:space="0"/>
              <w:bottom w:val="inset" w:color="auto" w:sz="6" w:space="0"/>
              <w:right w:val="inset" w:color="auto" w:sz="6" w:space="0"/>
            </w:tcBorders>
            <w:vAlign w:val="center"/>
          </w:tcPr>
          <w:p w14:paraId="2BCA112A">
            <w:pPr>
              <w:widowControl/>
              <w:jc w:val="left"/>
              <w:rPr>
                <w:color w:val="000000"/>
                <w:szCs w:val="21"/>
              </w:rPr>
            </w:pPr>
          </w:p>
        </w:tc>
        <w:tc>
          <w:tcPr>
            <w:tcW w:w="2154" w:type="dxa"/>
            <w:gridSpan w:val="2"/>
            <w:tcBorders>
              <w:top w:val="inset" w:color="auto" w:sz="6" w:space="0"/>
              <w:left w:val="nil"/>
              <w:bottom w:val="inset" w:color="auto" w:sz="6" w:space="0"/>
              <w:right w:val="inset" w:color="auto" w:sz="6" w:space="0"/>
            </w:tcBorders>
            <w:vAlign w:val="center"/>
          </w:tcPr>
          <w:p w14:paraId="7782CBDE">
            <w:pPr>
              <w:spacing w:line="360" w:lineRule="auto"/>
              <w:jc w:val="center"/>
              <w:rPr>
                <w:color w:val="000000"/>
                <w:szCs w:val="21"/>
              </w:rPr>
            </w:pPr>
            <w:r>
              <w:rPr>
                <w:rFonts w:hint="eastAsia" w:ascii="宋体" w:hAnsi="宋体"/>
                <w:color w:val="000000"/>
                <w:szCs w:val="21"/>
              </w:rPr>
              <w:t>宽、高</w:t>
            </w:r>
          </w:p>
        </w:tc>
        <w:tc>
          <w:tcPr>
            <w:tcW w:w="1593" w:type="dxa"/>
            <w:tcBorders>
              <w:top w:val="inset" w:color="auto" w:sz="6" w:space="0"/>
              <w:left w:val="nil"/>
              <w:bottom w:val="inset" w:color="auto" w:sz="6" w:space="0"/>
              <w:right w:val="inset" w:color="auto" w:sz="6" w:space="0"/>
            </w:tcBorders>
            <w:vAlign w:val="center"/>
          </w:tcPr>
          <w:p w14:paraId="547CF984">
            <w:pPr>
              <w:spacing w:line="360" w:lineRule="auto"/>
              <w:jc w:val="center"/>
              <w:rPr>
                <w:color w:val="000000"/>
                <w:szCs w:val="21"/>
              </w:rPr>
            </w:pPr>
            <w:r>
              <w:rPr>
                <w:rFonts w:hint="eastAsia" w:ascii="宋体" w:hAnsi="宋体"/>
                <w:color w:val="000000"/>
                <w:szCs w:val="21"/>
              </w:rPr>
              <w:t>±</w:t>
            </w:r>
            <w:r>
              <w:rPr>
                <w:color w:val="000000"/>
                <w:szCs w:val="21"/>
              </w:rPr>
              <w:t>5</w:t>
            </w:r>
          </w:p>
        </w:tc>
        <w:tc>
          <w:tcPr>
            <w:tcW w:w="2742" w:type="dxa"/>
            <w:tcBorders>
              <w:top w:val="inset" w:color="auto" w:sz="6" w:space="0"/>
              <w:left w:val="nil"/>
              <w:bottom w:val="inset" w:color="auto" w:sz="6" w:space="0"/>
              <w:right w:val="inset" w:color="auto" w:sz="6" w:space="0"/>
            </w:tcBorders>
            <w:vAlign w:val="center"/>
          </w:tcPr>
          <w:p w14:paraId="0E47AC79">
            <w:pPr>
              <w:spacing w:line="360" w:lineRule="auto"/>
              <w:jc w:val="center"/>
              <w:rPr>
                <w:color w:val="000000"/>
                <w:szCs w:val="21"/>
              </w:rPr>
            </w:pPr>
            <w:r>
              <w:rPr>
                <w:rFonts w:hint="eastAsia" w:ascii="宋体" w:hAnsi="宋体"/>
                <w:color w:val="000000"/>
                <w:szCs w:val="21"/>
              </w:rPr>
              <w:t>钢尺检查</w:t>
            </w:r>
          </w:p>
        </w:tc>
      </w:tr>
      <w:tr w14:paraId="2C583DAA">
        <w:tblPrEx>
          <w:tblCellMar>
            <w:top w:w="0" w:type="dxa"/>
            <w:left w:w="0" w:type="dxa"/>
            <w:bottom w:w="0" w:type="dxa"/>
            <w:right w:w="0" w:type="dxa"/>
          </w:tblCellMar>
        </w:tblPrEx>
        <w:trPr>
          <w:cantSplit/>
          <w:trHeight w:val="345" w:hRule="atLeast"/>
        </w:trPr>
        <w:tc>
          <w:tcPr>
            <w:tcW w:w="2541" w:type="dxa"/>
            <w:vMerge w:val="restart"/>
            <w:tcBorders>
              <w:top w:val="nil"/>
              <w:left w:val="inset" w:color="auto" w:sz="6" w:space="0"/>
              <w:bottom w:val="inset" w:color="auto" w:sz="6" w:space="0"/>
              <w:right w:val="inset" w:color="auto" w:sz="6" w:space="0"/>
            </w:tcBorders>
            <w:vAlign w:val="center"/>
          </w:tcPr>
          <w:p w14:paraId="7C3BDB0C">
            <w:pPr>
              <w:spacing w:line="360" w:lineRule="auto"/>
              <w:jc w:val="center"/>
              <w:rPr>
                <w:color w:val="000000"/>
                <w:szCs w:val="21"/>
              </w:rPr>
            </w:pPr>
            <w:r>
              <w:rPr>
                <w:rFonts w:hint="eastAsia" w:ascii="宋体" w:hAnsi="宋体"/>
                <w:color w:val="000000"/>
                <w:szCs w:val="21"/>
              </w:rPr>
              <w:t>受力钢筋</w:t>
            </w:r>
          </w:p>
        </w:tc>
        <w:tc>
          <w:tcPr>
            <w:tcW w:w="2154" w:type="dxa"/>
            <w:gridSpan w:val="2"/>
            <w:tcBorders>
              <w:top w:val="inset" w:color="auto" w:sz="6" w:space="0"/>
              <w:left w:val="nil"/>
              <w:bottom w:val="inset" w:color="auto" w:sz="6" w:space="0"/>
              <w:right w:val="inset" w:color="auto" w:sz="6" w:space="0"/>
            </w:tcBorders>
            <w:vAlign w:val="center"/>
          </w:tcPr>
          <w:p w14:paraId="2FCC3AAA">
            <w:pPr>
              <w:spacing w:line="360" w:lineRule="auto"/>
              <w:jc w:val="center"/>
              <w:rPr>
                <w:color w:val="000000"/>
                <w:szCs w:val="21"/>
              </w:rPr>
            </w:pPr>
            <w:r>
              <w:rPr>
                <w:rFonts w:hint="eastAsia" w:ascii="宋体" w:hAnsi="宋体"/>
                <w:color w:val="000000"/>
                <w:szCs w:val="21"/>
              </w:rPr>
              <w:t>间</w:t>
            </w:r>
            <w:r>
              <w:rPr>
                <w:color w:val="000000"/>
                <w:szCs w:val="21"/>
              </w:rPr>
              <w:t xml:space="preserve">  </w:t>
            </w:r>
            <w:r>
              <w:rPr>
                <w:rFonts w:hint="eastAsia" w:ascii="宋体" w:hAnsi="宋体"/>
                <w:color w:val="000000"/>
                <w:szCs w:val="21"/>
              </w:rPr>
              <w:t>距</w:t>
            </w:r>
          </w:p>
        </w:tc>
        <w:tc>
          <w:tcPr>
            <w:tcW w:w="1593" w:type="dxa"/>
            <w:tcBorders>
              <w:top w:val="inset" w:color="auto" w:sz="6" w:space="0"/>
              <w:left w:val="nil"/>
              <w:bottom w:val="inset" w:color="auto" w:sz="6" w:space="0"/>
              <w:right w:val="inset" w:color="auto" w:sz="6" w:space="0"/>
            </w:tcBorders>
            <w:vAlign w:val="center"/>
          </w:tcPr>
          <w:p w14:paraId="77061340">
            <w:pPr>
              <w:spacing w:line="360" w:lineRule="auto"/>
              <w:jc w:val="center"/>
              <w:rPr>
                <w:color w:val="000000"/>
                <w:szCs w:val="21"/>
              </w:rPr>
            </w:pPr>
            <w:r>
              <w:rPr>
                <w:rFonts w:hint="eastAsia" w:ascii="宋体" w:hAnsi="宋体"/>
                <w:color w:val="000000"/>
                <w:szCs w:val="21"/>
              </w:rPr>
              <w:t>±</w:t>
            </w:r>
            <w:r>
              <w:rPr>
                <w:color w:val="000000"/>
                <w:szCs w:val="21"/>
              </w:rPr>
              <w:t>10</w:t>
            </w:r>
          </w:p>
        </w:tc>
        <w:tc>
          <w:tcPr>
            <w:tcW w:w="2742" w:type="dxa"/>
            <w:tcBorders>
              <w:top w:val="inset" w:color="auto" w:sz="6" w:space="0"/>
              <w:left w:val="nil"/>
              <w:bottom w:val="inset" w:color="auto" w:sz="6" w:space="0"/>
              <w:right w:val="inset" w:color="auto" w:sz="6" w:space="0"/>
            </w:tcBorders>
            <w:vAlign w:val="center"/>
          </w:tcPr>
          <w:p w14:paraId="084F1187">
            <w:pPr>
              <w:spacing w:line="360" w:lineRule="auto"/>
              <w:jc w:val="center"/>
              <w:rPr>
                <w:color w:val="000000"/>
                <w:szCs w:val="21"/>
              </w:rPr>
            </w:pPr>
            <w:r>
              <w:rPr>
                <w:rFonts w:hint="eastAsia" w:ascii="宋体" w:hAnsi="宋体"/>
                <w:color w:val="000000"/>
                <w:szCs w:val="21"/>
              </w:rPr>
              <w:t>钢尺量两端、中间各一点，</w:t>
            </w:r>
          </w:p>
        </w:tc>
      </w:tr>
      <w:tr w14:paraId="3D508ABC">
        <w:tblPrEx>
          <w:tblCellMar>
            <w:top w:w="0" w:type="dxa"/>
            <w:left w:w="0" w:type="dxa"/>
            <w:bottom w:w="0" w:type="dxa"/>
            <w:right w:w="0" w:type="dxa"/>
          </w:tblCellMar>
        </w:tblPrEx>
        <w:trPr>
          <w:cantSplit/>
          <w:trHeight w:val="345" w:hRule="atLeast"/>
        </w:trPr>
        <w:tc>
          <w:tcPr>
            <w:tcW w:w="0" w:type="auto"/>
            <w:vMerge w:val="continue"/>
            <w:tcBorders>
              <w:top w:val="nil"/>
              <w:left w:val="inset" w:color="auto" w:sz="6" w:space="0"/>
              <w:bottom w:val="inset" w:color="auto" w:sz="6" w:space="0"/>
              <w:right w:val="inset" w:color="auto" w:sz="6" w:space="0"/>
            </w:tcBorders>
            <w:vAlign w:val="center"/>
          </w:tcPr>
          <w:p w14:paraId="7CCD3469">
            <w:pPr>
              <w:widowControl/>
              <w:jc w:val="left"/>
              <w:rPr>
                <w:color w:val="000000"/>
                <w:szCs w:val="21"/>
              </w:rPr>
            </w:pPr>
          </w:p>
        </w:tc>
        <w:tc>
          <w:tcPr>
            <w:tcW w:w="2154" w:type="dxa"/>
            <w:gridSpan w:val="2"/>
            <w:tcBorders>
              <w:top w:val="inset" w:color="auto" w:sz="6" w:space="0"/>
              <w:left w:val="nil"/>
              <w:bottom w:val="inset" w:color="auto" w:sz="6" w:space="0"/>
              <w:right w:val="inset" w:color="auto" w:sz="6" w:space="0"/>
            </w:tcBorders>
            <w:vAlign w:val="center"/>
          </w:tcPr>
          <w:p w14:paraId="7B395B6C">
            <w:pPr>
              <w:spacing w:line="360" w:lineRule="auto"/>
              <w:jc w:val="center"/>
              <w:rPr>
                <w:color w:val="000000"/>
                <w:szCs w:val="21"/>
              </w:rPr>
            </w:pPr>
            <w:r>
              <w:rPr>
                <w:rFonts w:hint="eastAsia" w:ascii="宋体" w:hAnsi="宋体"/>
                <w:color w:val="000000"/>
                <w:szCs w:val="21"/>
              </w:rPr>
              <w:t>排</w:t>
            </w:r>
            <w:r>
              <w:rPr>
                <w:color w:val="000000"/>
                <w:szCs w:val="21"/>
              </w:rPr>
              <w:t xml:space="preserve">  </w:t>
            </w:r>
            <w:r>
              <w:rPr>
                <w:rFonts w:hint="eastAsia" w:ascii="宋体" w:hAnsi="宋体"/>
                <w:color w:val="000000"/>
                <w:szCs w:val="21"/>
              </w:rPr>
              <w:t>距</w:t>
            </w:r>
          </w:p>
        </w:tc>
        <w:tc>
          <w:tcPr>
            <w:tcW w:w="1593" w:type="dxa"/>
            <w:tcBorders>
              <w:top w:val="inset" w:color="auto" w:sz="6" w:space="0"/>
              <w:left w:val="nil"/>
              <w:bottom w:val="inset" w:color="auto" w:sz="6" w:space="0"/>
              <w:right w:val="inset" w:color="auto" w:sz="6" w:space="0"/>
            </w:tcBorders>
            <w:vAlign w:val="center"/>
          </w:tcPr>
          <w:p w14:paraId="797D9E28">
            <w:pPr>
              <w:spacing w:line="360" w:lineRule="auto"/>
              <w:jc w:val="center"/>
              <w:rPr>
                <w:color w:val="000000"/>
                <w:szCs w:val="21"/>
              </w:rPr>
            </w:pPr>
            <w:r>
              <w:rPr>
                <w:rFonts w:hint="eastAsia" w:ascii="宋体" w:hAnsi="宋体"/>
                <w:color w:val="000000"/>
                <w:szCs w:val="21"/>
              </w:rPr>
              <w:t>±</w:t>
            </w:r>
            <w:r>
              <w:rPr>
                <w:color w:val="000000"/>
                <w:szCs w:val="21"/>
              </w:rPr>
              <w:t>5</w:t>
            </w:r>
          </w:p>
        </w:tc>
        <w:tc>
          <w:tcPr>
            <w:tcW w:w="2742" w:type="dxa"/>
            <w:tcBorders>
              <w:top w:val="inset" w:color="auto" w:sz="6" w:space="0"/>
              <w:left w:val="nil"/>
              <w:bottom w:val="inset" w:color="auto" w:sz="6" w:space="0"/>
              <w:right w:val="inset" w:color="auto" w:sz="6" w:space="0"/>
            </w:tcBorders>
            <w:vAlign w:val="center"/>
          </w:tcPr>
          <w:p w14:paraId="2020CE69">
            <w:pPr>
              <w:spacing w:line="360" w:lineRule="auto"/>
              <w:jc w:val="center"/>
              <w:rPr>
                <w:color w:val="000000"/>
                <w:szCs w:val="21"/>
              </w:rPr>
            </w:pPr>
            <w:r>
              <w:rPr>
                <w:rFonts w:hint="eastAsia" w:ascii="宋体" w:hAnsi="宋体"/>
                <w:color w:val="000000"/>
                <w:szCs w:val="21"/>
              </w:rPr>
              <w:t>取最大值</w:t>
            </w:r>
          </w:p>
        </w:tc>
      </w:tr>
      <w:tr w14:paraId="1D7781F6">
        <w:tblPrEx>
          <w:tblCellMar>
            <w:top w:w="0" w:type="dxa"/>
            <w:left w:w="0" w:type="dxa"/>
            <w:bottom w:w="0" w:type="dxa"/>
            <w:right w:w="0" w:type="dxa"/>
          </w:tblCellMar>
        </w:tblPrEx>
        <w:trPr>
          <w:cantSplit/>
          <w:trHeight w:val="315" w:hRule="atLeast"/>
        </w:trPr>
        <w:tc>
          <w:tcPr>
            <w:tcW w:w="0" w:type="auto"/>
            <w:vMerge w:val="continue"/>
            <w:tcBorders>
              <w:top w:val="nil"/>
              <w:left w:val="inset" w:color="auto" w:sz="6" w:space="0"/>
              <w:bottom w:val="inset" w:color="auto" w:sz="6" w:space="0"/>
              <w:right w:val="inset" w:color="auto" w:sz="6" w:space="0"/>
            </w:tcBorders>
            <w:vAlign w:val="center"/>
          </w:tcPr>
          <w:p w14:paraId="2465D3CF">
            <w:pPr>
              <w:widowControl/>
              <w:jc w:val="left"/>
              <w:rPr>
                <w:color w:val="000000"/>
                <w:szCs w:val="21"/>
              </w:rPr>
            </w:pPr>
          </w:p>
        </w:tc>
        <w:tc>
          <w:tcPr>
            <w:tcW w:w="772" w:type="dxa"/>
            <w:vMerge w:val="restart"/>
            <w:tcBorders>
              <w:top w:val="nil"/>
              <w:left w:val="nil"/>
              <w:bottom w:val="inset" w:color="auto" w:sz="6" w:space="0"/>
              <w:right w:val="inset" w:color="auto" w:sz="6" w:space="0"/>
            </w:tcBorders>
            <w:vAlign w:val="center"/>
          </w:tcPr>
          <w:p w14:paraId="78F0983E">
            <w:pPr>
              <w:spacing w:line="360" w:lineRule="auto"/>
              <w:jc w:val="center"/>
              <w:rPr>
                <w:color w:val="000000"/>
                <w:szCs w:val="21"/>
              </w:rPr>
            </w:pPr>
            <w:r>
              <w:rPr>
                <w:rFonts w:hint="eastAsia" w:ascii="宋体" w:hAnsi="宋体"/>
                <w:color w:val="000000"/>
                <w:szCs w:val="21"/>
              </w:rPr>
              <w:t>保护层厚度</w:t>
            </w:r>
          </w:p>
        </w:tc>
        <w:tc>
          <w:tcPr>
            <w:tcW w:w="1382" w:type="dxa"/>
            <w:tcBorders>
              <w:top w:val="inset" w:color="auto" w:sz="6" w:space="0"/>
              <w:left w:val="nil"/>
              <w:bottom w:val="inset" w:color="auto" w:sz="6" w:space="0"/>
              <w:right w:val="inset" w:color="auto" w:sz="6" w:space="0"/>
            </w:tcBorders>
            <w:vAlign w:val="center"/>
          </w:tcPr>
          <w:p w14:paraId="6C74B897">
            <w:pPr>
              <w:spacing w:line="360" w:lineRule="auto"/>
              <w:jc w:val="center"/>
              <w:rPr>
                <w:color w:val="000000"/>
                <w:szCs w:val="21"/>
              </w:rPr>
            </w:pPr>
            <w:r>
              <w:rPr>
                <w:rFonts w:hint="eastAsia" w:ascii="宋体" w:hAnsi="宋体"/>
                <w:color w:val="000000"/>
                <w:szCs w:val="21"/>
              </w:rPr>
              <w:t>基</w:t>
            </w:r>
            <w:r>
              <w:rPr>
                <w:color w:val="000000"/>
                <w:szCs w:val="21"/>
              </w:rPr>
              <w:t xml:space="preserve"> </w:t>
            </w:r>
            <w:r>
              <w:rPr>
                <w:rFonts w:hint="eastAsia" w:ascii="宋体" w:hAnsi="宋体"/>
                <w:color w:val="000000"/>
                <w:szCs w:val="21"/>
              </w:rPr>
              <w:t>础</w:t>
            </w:r>
          </w:p>
        </w:tc>
        <w:tc>
          <w:tcPr>
            <w:tcW w:w="1593" w:type="dxa"/>
            <w:tcBorders>
              <w:top w:val="inset" w:color="auto" w:sz="6" w:space="0"/>
              <w:left w:val="nil"/>
              <w:bottom w:val="inset" w:color="auto" w:sz="6" w:space="0"/>
              <w:right w:val="inset" w:color="auto" w:sz="6" w:space="0"/>
            </w:tcBorders>
            <w:vAlign w:val="center"/>
          </w:tcPr>
          <w:p w14:paraId="04886B7F">
            <w:pPr>
              <w:spacing w:line="360" w:lineRule="auto"/>
              <w:jc w:val="center"/>
              <w:rPr>
                <w:color w:val="000000"/>
                <w:szCs w:val="21"/>
              </w:rPr>
            </w:pPr>
            <w:r>
              <w:rPr>
                <w:rFonts w:hint="eastAsia" w:ascii="宋体" w:hAnsi="宋体"/>
                <w:color w:val="000000"/>
                <w:szCs w:val="21"/>
              </w:rPr>
              <w:t>±</w:t>
            </w:r>
            <w:r>
              <w:rPr>
                <w:color w:val="000000"/>
                <w:szCs w:val="21"/>
              </w:rPr>
              <w:t>10</w:t>
            </w:r>
          </w:p>
        </w:tc>
        <w:tc>
          <w:tcPr>
            <w:tcW w:w="2742" w:type="dxa"/>
            <w:tcBorders>
              <w:top w:val="inset" w:color="auto" w:sz="6" w:space="0"/>
              <w:left w:val="nil"/>
              <w:bottom w:val="inset" w:color="auto" w:sz="6" w:space="0"/>
              <w:right w:val="inset" w:color="auto" w:sz="6" w:space="0"/>
            </w:tcBorders>
            <w:vAlign w:val="center"/>
          </w:tcPr>
          <w:p w14:paraId="22A87DCB">
            <w:pPr>
              <w:spacing w:line="360" w:lineRule="auto"/>
              <w:jc w:val="center"/>
              <w:rPr>
                <w:color w:val="000000"/>
                <w:szCs w:val="21"/>
              </w:rPr>
            </w:pPr>
            <w:r>
              <w:rPr>
                <w:rFonts w:hint="eastAsia" w:ascii="宋体" w:hAnsi="宋体"/>
                <w:color w:val="000000"/>
                <w:szCs w:val="21"/>
              </w:rPr>
              <w:t>钢尺检查</w:t>
            </w:r>
          </w:p>
        </w:tc>
      </w:tr>
      <w:tr w14:paraId="541F8BB1">
        <w:tblPrEx>
          <w:tblCellMar>
            <w:top w:w="0" w:type="dxa"/>
            <w:left w:w="0" w:type="dxa"/>
            <w:bottom w:w="0" w:type="dxa"/>
            <w:right w:w="0" w:type="dxa"/>
          </w:tblCellMar>
        </w:tblPrEx>
        <w:trPr>
          <w:cantSplit/>
          <w:trHeight w:val="300" w:hRule="atLeast"/>
        </w:trPr>
        <w:tc>
          <w:tcPr>
            <w:tcW w:w="0" w:type="auto"/>
            <w:vMerge w:val="continue"/>
            <w:tcBorders>
              <w:top w:val="nil"/>
              <w:left w:val="inset" w:color="auto" w:sz="6" w:space="0"/>
              <w:bottom w:val="inset" w:color="auto" w:sz="6" w:space="0"/>
              <w:right w:val="inset" w:color="auto" w:sz="6" w:space="0"/>
            </w:tcBorders>
            <w:vAlign w:val="center"/>
          </w:tcPr>
          <w:p w14:paraId="571577A4">
            <w:pPr>
              <w:widowControl/>
              <w:jc w:val="left"/>
              <w:rPr>
                <w:color w:val="000000"/>
                <w:szCs w:val="21"/>
              </w:rPr>
            </w:pPr>
          </w:p>
        </w:tc>
        <w:tc>
          <w:tcPr>
            <w:tcW w:w="0" w:type="auto"/>
            <w:vMerge w:val="continue"/>
            <w:tcBorders>
              <w:top w:val="nil"/>
              <w:left w:val="nil"/>
              <w:bottom w:val="inset" w:color="auto" w:sz="6" w:space="0"/>
              <w:right w:val="inset" w:color="auto" w:sz="6" w:space="0"/>
            </w:tcBorders>
            <w:vAlign w:val="center"/>
          </w:tcPr>
          <w:p w14:paraId="616B41B3">
            <w:pPr>
              <w:widowControl/>
              <w:jc w:val="left"/>
              <w:rPr>
                <w:color w:val="000000"/>
                <w:szCs w:val="21"/>
              </w:rPr>
            </w:pPr>
          </w:p>
        </w:tc>
        <w:tc>
          <w:tcPr>
            <w:tcW w:w="1382" w:type="dxa"/>
            <w:tcBorders>
              <w:top w:val="inset" w:color="auto" w:sz="6" w:space="0"/>
              <w:left w:val="nil"/>
              <w:bottom w:val="inset" w:color="auto" w:sz="6" w:space="0"/>
              <w:right w:val="inset" w:color="auto" w:sz="6" w:space="0"/>
            </w:tcBorders>
            <w:vAlign w:val="center"/>
          </w:tcPr>
          <w:p w14:paraId="37037222">
            <w:pPr>
              <w:spacing w:line="360" w:lineRule="auto"/>
              <w:jc w:val="center"/>
              <w:rPr>
                <w:color w:val="000000"/>
                <w:szCs w:val="21"/>
              </w:rPr>
            </w:pPr>
            <w:r>
              <w:rPr>
                <w:rFonts w:hint="eastAsia" w:ascii="宋体" w:hAnsi="宋体"/>
                <w:color w:val="000000"/>
                <w:szCs w:val="21"/>
              </w:rPr>
              <w:t>柱、梁</w:t>
            </w:r>
          </w:p>
        </w:tc>
        <w:tc>
          <w:tcPr>
            <w:tcW w:w="1593" w:type="dxa"/>
            <w:tcBorders>
              <w:top w:val="inset" w:color="auto" w:sz="6" w:space="0"/>
              <w:left w:val="nil"/>
              <w:bottom w:val="inset" w:color="auto" w:sz="6" w:space="0"/>
              <w:right w:val="inset" w:color="auto" w:sz="6" w:space="0"/>
            </w:tcBorders>
            <w:vAlign w:val="center"/>
          </w:tcPr>
          <w:p w14:paraId="6F93CBAF">
            <w:pPr>
              <w:spacing w:line="360" w:lineRule="auto"/>
              <w:jc w:val="center"/>
              <w:rPr>
                <w:color w:val="000000"/>
                <w:szCs w:val="21"/>
              </w:rPr>
            </w:pPr>
            <w:r>
              <w:rPr>
                <w:rFonts w:hint="eastAsia" w:ascii="宋体" w:hAnsi="宋体"/>
                <w:color w:val="000000"/>
                <w:szCs w:val="21"/>
              </w:rPr>
              <w:t>±</w:t>
            </w:r>
            <w:r>
              <w:rPr>
                <w:color w:val="000000"/>
                <w:szCs w:val="21"/>
              </w:rPr>
              <w:t>5</w:t>
            </w:r>
          </w:p>
        </w:tc>
        <w:tc>
          <w:tcPr>
            <w:tcW w:w="2742" w:type="dxa"/>
            <w:tcBorders>
              <w:top w:val="inset" w:color="auto" w:sz="6" w:space="0"/>
              <w:left w:val="nil"/>
              <w:bottom w:val="inset" w:color="auto" w:sz="6" w:space="0"/>
              <w:right w:val="inset" w:color="auto" w:sz="6" w:space="0"/>
            </w:tcBorders>
            <w:vAlign w:val="center"/>
          </w:tcPr>
          <w:p w14:paraId="6536E540">
            <w:pPr>
              <w:spacing w:line="360" w:lineRule="auto"/>
              <w:jc w:val="center"/>
              <w:rPr>
                <w:color w:val="000000"/>
                <w:szCs w:val="21"/>
              </w:rPr>
            </w:pPr>
            <w:r>
              <w:rPr>
                <w:rFonts w:hint="eastAsia" w:ascii="宋体" w:hAnsi="宋体"/>
                <w:color w:val="000000"/>
                <w:szCs w:val="21"/>
              </w:rPr>
              <w:t>钢尺检查</w:t>
            </w:r>
          </w:p>
        </w:tc>
      </w:tr>
      <w:tr w14:paraId="2E80564B">
        <w:tblPrEx>
          <w:tblCellMar>
            <w:top w:w="0" w:type="dxa"/>
            <w:left w:w="0" w:type="dxa"/>
            <w:bottom w:w="0" w:type="dxa"/>
            <w:right w:w="0" w:type="dxa"/>
          </w:tblCellMar>
        </w:tblPrEx>
        <w:trPr>
          <w:cantSplit/>
          <w:trHeight w:val="285" w:hRule="atLeast"/>
        </w:trPr>
        <w:tc>
          <w:tcPr>
            <w:tcW w:w="0" w:type="auto"/>
            <w:vMerge w:val="continue"/>
            <w:tcBorders>
              <w:top w:val="nil"/>
              <w:left w:val="inset" w:color="auto" w:sz="6" w:space="0"/>
              <w:bottom w:val="inset" w:color="auto" w:sz="6" w:space="0"/>
              <w:right w:val="inset" w:color="auto" w:sz="6" w:space="0"/>
            </w:tcBorders>
            <w:vAlign w:val="center"/>
          </w:tcPr>
          <w:p w14:paraId="72B5FE95">
            <w:pPr>
              <w:widowControl/>
              <w:jc w:val="left"/>
              <w:rPr>
                <w:color w:val="000000"/>
                <w:szCs w:val="21"/>
              </w:rPr>
            </w:pPr>
          </w:p>
        </w:tc>
        <w:tc>
          <w:tcPr>
            <w:tcW w:w="0" w:type="auto"/>
            <w:vMerge w:val="continue"/>
            <w:tcBorders>
              <w:top w:val="nil"/>
              <w:left w:val="nil"/>
              <w:bottom w:val="inset" w:color="auto" w:sz="6" w:space="0"/>
              <w:right w:val="inset" w:color="auto" w:sz="6" w:space="0"/>
            </w:tcBorders>
            <w:vAlign w:val="center"/>
          </w:tcPr>
          <w:p w14:paraId="58652321">
            <w:pPr>
              <w:widowControl/>
              <w:jc w:val="left"/>
              <w:rPr>
                <w:color w:val="000000"/>
                <w:szCs w:val="21"/>
              </w:rPr>
            </w:pPr>
          </w:p>
        </w:tc>
        <w:tc>
          <w:tcPr>
            <w:tcW w:w="1382" w:type="dxa"/>
            <w:tcBorders>
              <w:top w:val="inset" w:color="auto" w:sz="6" w:space="0"/>
              <w:left w:val="nil"/>
              <w:bottom w:val="inset" w:color="auto" w:sz="6" w:space="0"/>
              <w:right w:val="inset" w:color="auto" w:sz="6" w:space="0"/>
            </w:tcBorders>
            <w:vAlign w:val="center"/>
          </w:tcPr>
          <w:p w14:paraId="72666DB7">
            <w:pPr>
              <w:spacing w:line="360" w:lineRule="auto"/>
              <w:jc w:val="center"/>
              <w:rPr>
                <w:color w:val="000000"/>
                <w:szCs w:val="21"/>
              </w:rPr>
            </w:pPr>
            <w:r>
              <w:rPr>
                <w:rFonts w:hint="eastAsia" w:ascii="宋体" w:hAnsi="宋体"/>
                <w:color w:val="000000"/>
                <w:szCs w:val="21"/>
              </w:rPr>
              <w:t>板、墙、壳</w:t>
            </w:r>
          </w:p>
        </w:tc>
        <w:tc>
          <w:tcPr>
            <w:tcW w:w="1593" w:type="dxa"/>
            <w:tcBorders>
              <w:top w:val="inset" w:color="auto" w:sz="6" w:space="0"/>
              <w:left w:val="nil"/>
              <w:bottom w:val="inset" w:color="auto" w:sz="6" w:space="0"/>
              <w:right w:val="inset" w:color="auto" w:sz="6" w:space="0"/>
            </w:tcBorders>
            <w:vAlign w:val="center"/>
          </w:tcPr>
          <w:p w14:paraId="405D8B2C">
            <w:pPr>
              <w:spacing w:line="360" w:lineRule="auto"/>
              <w:jc w:val="center"/>
              <w:rPr>
                <w:color w:val="000000"/>
                <w:szCs w:val="21"/>
              </w:rPr>
            </w:pPr>
            <w:r>
              <w:rPr>
                <w:rFonts w:hint="eastAsia" w:ascii="宋体" w:hAnsi="宋体"/>
                <w:color w:val="000000"/>
                <w:szCs w:val="21"/>
              </w:rPr>
              <w:t>±</w:t>
            </w:r>
            <w:r>
              <w:rPr>
                <w:color w:val="000000"/>
                <w:szCs w:val="21"/>
              </w:rPr>
              <w:t>3</w:t>
            </w:r>
          </w:p>
        </w:tc>
        <w:tc>
          <w:tcPr>
            <w:tcW w:w="2742" w:type="dxa"/>
            <w:tcBorders>
              <w:top w:val="inset" w:color="auto" w:sz="6" w:space="0"/>
              <w:left w:val="nil"/>
              <w:bottom w:val="inset" w:color="auto" w:sz="6" w:space="0"/>
              <w:right w:val="inset" w:color="auto" w:sz="6" w:space="0"/>
            </w:tcBorders>
            <w:vAlign w:val="center"/>
          </w:tcPr>
          <w:p w14:paraId="33B4306A">
            <w:pPr>
              <w:spacing w:line="360" w:lineRule="auto"/>
              <w:jc w:val="center"/>
              <w:rPr>
                <w:color w:val="000000"/>
                <w:szCs w:val="21"/>
              </w:rPr>
            </w:pPr>
            <w:r>
              <w:rPr>
                <w:rFonts w:hint="eastAsia" w:ascii="宋体" w:hAnsi="宋体"/>
                <w:color w:val="000000"/>
                <w:szCs w:val="21"/>
              </w:rPr>
              <w:t>钢尺检查</w:t>
            </w:r>
          </w:p>
        </w:tc>
      </w:tr>
      <w:tr w14:paraId="60146C3C">
        <w:tblPrEx>
          <w:tblCellMar>
            <w:top w:w="0" w:type="dxa"/>
            <w:left w:w="0" w:type="dxa"/>
            <w:bottom w:w="0" w:type="dxa"/>
            <w:right w:w="0" w:type="dxa"/>
          </w:tblCellMar>
        </w:tblPrEx>
        <w:trPr>
          <w:trHeight w:val="450" w:hRule="atLeast"/>
        </w:trPr>
        <w:tc>
          <w:tcPr>
            <w:tcW w:w="4695" w:type="dxa"/>
            <w:gridSpan w:val="3"/>
            <w:tcBorders>
              <w:top w:val="inset" w:color="auto" w:sz="6" w:space="0"/>
              <w:left w:val="inset" w:color="auto" w:sz="6" w:space="0"/>
              <w:bottom w:val="inset" w:color="auto" w:sz="6" w:space="0"/>
              <w:right w:val="inset" w:color="auto" w:sz="6" w:space="0"/>
            </w:tcBorders>
            <w:vAlign w:val="center"/>
          </w:tcPr>
          <w:p w14:paraId="4183C392">
            <w:pPr>
              <w:spacing w:line="360" w:lineRule="auto"/>
              <w:jc w:val="center"/>
              <w:rPr>
                <w:color w:val="000000"/>
                <w:szCs w:val="21"/>
              </w:rPr>
            </w:pPr>
            <w:r>
              <w:rPr>
                <w:rFonts w:hint="eastAsia" w:ascii="宋体" w:hAnsi="宋体"/>
                <w:color w:val="000000"/>
                <w:szCs w:val="21"/>
              </w:rPr>
              <w:t>绑扎箍筋、横向钢筋间距</w:t>
            </w:r>
          </w:p>
        </w:tc>
        <w:tc>
          <w:tcPr>
            <w:tcW w:w="1593" w:type="dxa"/>
            <w:tcBorders>
              <w:top w:val="inset" w:color="auto" w:sz="6" w:space="0"/>
              <w:left w:val="nil"/>
              <w:bottom w:val="inset" w:color="auto" w:sz="6" w:space="0"/>
              <w:right w:val="inset" w:color="auto" w:sz="6" w:space="0"/>
            </w:tcBorders>
            <w:vAlign w:val="center"/>
          </w:tcPr>
          <w:p w14:paraId="6F343316">
            <w:pPr>
              <w:spacing w:line="360" w:lineRule="auto"/>
              <w:jc w:val="center"/>
              <w:rPr>
                <w:color w:val="000000"/>
                <w:szCs w:val="21"/>
              </w:rPr>
            </w:pPr>
            <w:r>
              <w:rPr>
                <w:rFonts w:hint="eastAsia" w:ascii="宋体" w:hAnsi="宋体"/>
                <w:color w:val="000000"/>
                <w:szCs w:val="21"/>
              </w:rPr>
              <w:t>±</w:t>
            </w:r>
            <w:r>
              <w:rPr>
                <w:color w:val="000000"/>
                <w:szCs w:val="21"/>
              </w:rPr>
              <w:t>20</w:t>
            </w:r>
          </w:p>
        </w:tc>
        <w:tc>
          <w:tcPr>
            <w:tcW w:w="2742" w:type="dxa"/>
            <w:tcBorders>
              <w:top w:val="inset" w:color="auto" w:sz="6" w:space="0"/>
              <w:left w:val="nil"/>
              <w:bottom w:val="inset" w:color="auto" w:sz="6" w:space="0"/>
              <w:right w:val="inset" w:color="auto" w:sz="6" w:space="0"/>
            </w:tcBorders>
            <w:vAlign w:val="center"/>
          </w:tcPr>
          <w:p w14:paraId="0AABCA25">
            <w:pPr>
              <w:spacing w:line="360" w:lineRule="auto"/>
              <w:jc w:val="center"/>
              <w:rPr>
                <w:color w:val="000000"/>
                <w:szCs w:val="21"/>
              </w:rPr>
            </w:pPr>
            <w:r>
              <w:rPr>
                <w:rFonts w:hint="eastAsia" w:ascii="宋体" w:hAnsi="宋体"/>
                <w:color w:val="000000"/>
                <w:szCs w:val="21"/>
              </w:rPr>
              <w:t>钢尺量连接三档，取最大值</w:t>
            </w:r>
          </w:p>
        </w:tc>
      </w:tr>
      <w:tr w14:paraId="58FD4E74">
        <w:tblPrEx>
          <w:tblCellMar>
            <w:top w:w="0" w:type="dxa"/>
            <w:left w:w="0" w:type="dxa"/>
            <w:bottom w:w="0" w:type="dxa"/>
            <w:right w:w="0" w:type="dxa"/>
          </w:tblCellMar>
        </w:tblPrEx>
        <w:trPr>
          <w:trHeight w:val="345" w:hRule="atLeast"/>
        </w:trPr>
        <w:tc>
          <w:tcPr>
            <w:tcW w:w="4695" w:type="dxa"/>
            <w:gridSpan w:val="3"/>
            <w:tcBorders>
              <w:top w:val="inset" w:color="auto" w:sz="6" w:space="0"/>
              <w:left w:val="inset" w:color="auto" w:sz="6" w:space="0"/>
              <w:bottom w:val="inset" w:color="auto" w:sz="6" w:space="0"/>
              <w:right w:val="inset" w:color="auto" w:sz="6" w:space="0"/>
            </w:tcBorders>
            <w:vAlign w:val="center"/>
          </w:tcPr>
          <w:p w14:paraId="09B52927">
            <w:pPr>
              <w:spacing w:line="360" w:lineRule="auto"/>
              <w:jc w:val="center"/>
              <w:rPr>
                <w:color w:val="000000"/>
                <w:szCs w:val="21"/>
              </w:rPr>
            </w:pPr>
            <w:r>
              <w:rPr>
                <w:rFonts w:hint="eastAsia" w:ascii="宋体" w:hAnsi="宋体"/>
                <w:color w:val="000000"/>
                <w:szCs w:val="21"/>
              </w:rPr>
              <w:t>钢筋弯起点位置</w:t>
            </w:r>
          </w:p>
        </w:tc>
        <w:tc>
          <w:tcPr>
            <w:tcW w:w="1593" w:type="dxa"/>
            <w:tcBorders>
              <w:top w:val="inset" w:color="auto" w:sz="6" w:space="0"/>
              <w:left w:val="nil"/>
              <w:bottom w:val="inset" w:color="auto" w:sz="6" w:space="0"/>
              <w:right w:val="inset" w:color="auto" w:sz="6" w:space="0"/>
            </w:tcBorders>
            <w:vAlign w:val="center"/>
          </w:tcPr>
          <w:p w14:paraId="64CD0231">
            <w:pPr>
              <w:spacing w:line="360" w:lineRule="auto"/>
              <w:jc w:val="center"/>
              <w:rPr>
                <w:color w:val="000000"/>
                <w:szCs w:val="21"/>
              </w:rPr>
            </w:pPr>
            <w:r>
              <w:rPr>
                <w:color w:val="000000"/>
                <w:szCs w:val="21"/>
              </w:rPr>
              <w:t>20</w:t>
            </w:r>
          </w:p>
        </w:tc>
        <w:tc>
          <w:tcPr>
            <w:tcW w:w="2742" w:type="dxa"/>
            <w:tcBorders>
              <w:top w:val="inset" w:color="auto" w:sz="6" w:space="0"/>
              <w:left w:val="nil"/>
              <w:bottom w:val="inset" w:color="auto" w:sz="6" w:space="0"/>
              <w:right w:val="inset" w:color="auto" w:sz="6" w:space="0"/>
            </w:tcBorders>
            <w:vAlign w:val="center"/>
          </w:tcPr>
          <w:p w14:paraId="0EBB7390">
            <w:pPr>
              <w:spacing w:line="360" w:lineRule="auto"/>
              <w:jc w:val="center"/>
              <w:rPr>
                <w:color w:val="000000"/>
                <w:szCs w:val="21"/>
              </w:rPr>
            </w:pPr>
            <w:r>
              <w:rPr>
                <w:rFonts w:hint="eastAsia" w:ascii="宋体" w:hAnsi="宋体"/>
                <w:color w:val="000000"/>
                <w:szCs w:val="21"/>
              </w:rPr>
              <w:t>钢尺检查</w:t>
            </w:r>
          </w:p>
        </w:tc>
      </w:tr>
      <w:tr w14:paraId="3CF2B571">
        <w:tblPrEx>
          <w:tblCellMar>
            <w:top w:w="0" w:type="dxa"/>
            <w:left w:w="0" w:type="dxa"/>
            <w:bottom w:w="0" w:type="dxa"/>
            <w:right w:w="0" w:type="dxa"/>
          </w:tblCellMar>
        </w:tblPrEx>
        <w:trPr>
          <w:cantSplit/>
          <w:trHeight w:val="390" w:hRule="atLeast"/>
        </w:trPr>
        <w:tc>
          <w:tcPr>
            <w:tcW w:w="2541" w:type="dxa"/>
            <w:vMerge w:val="restart"/>
            <w:tcBorders>
              <w:top w:val="nil"/>
              <w:left w:val="inset" w:color="auto" w:sz="6" w:space="0"/>
              <w:bottom w:val="inset" w:color="auto" w:sz="6" w:space="0"/>
              <w:right w:val="inset" w:color="auto" w:sz="6" w:space="0"/>
            </w:tcBorders>
            <w:vAlign w:val="center"/>
          </w:tcPr>
          <w:p w14:paraId="14366DAA">
            <w:pPr>
              <w:spacing w:line="360" w:lineRule="auto"/>
              <w:jc w:val="center"/>
              <w:rPr>
                <w:color w:val="000000"/>
                <w:szCs w:val="21"/>
              </w:rPr>
            </w:pPr>
            <w:r>
              <w:rPr>
                <w:rFonts w:hint="eastAsia" w:ascii="宋体" w:hAnsi="宋体"/>
                <w:color w:val="000000"/>
                <w:szCs w:val="21"/>
              </w:rPr>
              <w:t>预埋件</w:t>
            </w:r>
          </w:p>
        </w:tc>
        <w:tc>
          <w:tcPr>
            <w:tcW w:w="2154" w:type="dxa"/>
            <w:gridSpan w:val="2"/>
            <w:tcBorders>
              <w:top w:val="inset" w:color="auto" w:sz="6" w:space="0"/>
              <w:left w:val="nil"/>
              <w:bottom w:val="inset" w:color="auto" w:sz="6" w:space="0"/>
              <w:right w:val="inset" w:color="auto" w:sz="6" w:space="0"/>
            </w:tcBorders>
            <w:vAlign w:val="center"/>
          </w:tcPr>
          <w:p w14:paraId="20C83116">
            <w:pPr>
              <w:spacing w:line="360" w:lineRule="auto"/>
              <w:jc w:val="center"/>
              <w:rPr>
                <w:color w:val="000000"/>
                <w:szCs w:val="21"/>
              </w:rPr>
            </w:pPr>
            <w:r>
              <w:rPr>
                <w:rFonts w:hint="eastAsia" w:ascii="宋体" w:hAnsi="宋体"/>
                <w:color w:val="000000"/>
                <w:szCs w:val="21"/>
              </w:rPr>
              <w:t>中心线位置</w:t>
            </w:r>
          </w:p>
        </w:tc>
        <w:tc>
          <w:tcPr>
            <w:tcW w:w="1593" w:type="dxa"/>
            <w:tcBorders>
              <w:top w:val="inset" w:color="auto" w:sz="6" w:space="0"/>
              <w:left w:val="nil"/>
              <w:bottom w:val="inset" w:color="auto" w:sz="6" w:space="0"/>
              <w:right w:val="inset" w:color="auto" w:sz="6" w:space="0"/>
            </w:tcBorders>
            <w:vAlign w:val="center"/>
          </w:tcPr>
          <w:p w14:paraId="3BBF8766">
            <w:pPr>
              <w:spacing w:line="360" w:lineRule="auto"/>
              <w:jc w:val="center"/>
              <w:rPr>
                <w:color w:val="000000"/>
                <w:szCs w:val="21"/>
              </w:rPr>
            </w:pPr>
            <w:r>
              <w:rPr>
                <w:color w:val="000000"/>
                <w:szCs w:val="21"/>
              </w:rPr>
              <w:t>5</w:t>
            </w:r>
          </w:p>
        </w:tc>
        <w:tc>
          <w:tcPr>
            <w:tcW w:w="2742" w:type="dxa"/>
            <w:tcBorders>
              <w:top w:val="inset" w:color="auto" w:sz="6" w:space="0"/>
              <w:left w:val="nil"/>
              <w:bottom w:val="inset" w:color="auto" w:sz="6" w:space="0"/>
              <w:right w:val="inset" w:color="auto" w:sz="6" w:space="0"/>
            </w:tcBorders>
            <w:vAlign w:val="center"/>
          </w:tcPr>
          <w:p w14:paraId="56100CD2">
            <w:pPr>
              <w:spacing w:line="360" w:lineRule="auto"/>
              <w:jc w:val="center"/>
              <w:rPr>
                <w:color w:val="000000"/>
                <w:szCs w:val="21"/>
              </w:rPr>
            </w:pPr>
            <w:r>
              <w:rPr>
                <w:rFonts w:hint="eastAsia" w:ascii="宋体" w:hAnsi="宋体"/>
                <w:color w:val="000000"/>
                <w:szCs w:val="21"/>
              </w:rPr>
              <w:t>钢尺检查</w:t>
            </w:r>
          </w:p>
        </w:tc>
      </w:tr>
      <w:tr w14:paraId="204EECA1">
        <w:tblPrEx>
          <w:tblCellMar>
            <w:top w:w="0" w:type="dxa"/>
            <w:left w:w="0" w:type="dxa"/>
            <w:bottom w:w="0" w:type="dxa"/>
            <w:right w:w="0" w:type="dxa"/>
          </w:tblCellMar>
        </w:tblPrEx>
        <w:trPr>
          <w:cantSplit/>
          <w:trHeight w:val="420" w:hRule="atLeast"/>
        </w:trPr>
        <w:tc>
          <w:tcPr>
            <w:tcW w:w="0" w:type="auto"/>
            <w:vMerge w:val="continue"/>
            <w:tcBorders>
              <w:top w:val="nil"/>
              <w:left w:val="inset" w:color="auto" w:sz="6" w:space="0"/>
              <w:bottom w:val="inset" w:color="auto" w:sz="6" w:space="0"/>
              <w:right w:val="inset" w:color="auto" w:sz="6" w:space="0"/>
            </w:tcBorders>
            <w:vAlign w:val="center"/>
          </w:tcPr>
          <w:p w14:paraId="40666EEC">
            <w:pPr>
              <w:widowControl/>
              <w:jc w:val="left"/>
              <w:rPr>
                <w:color w:val="000000"/>
                <w:szCs w:val="21"/>
              </w:rPr>
            </w:pPr>
          </w:p>
        </w:tc>
        <w:tc>
          <w:tcPr>
            <w:tcW w:w="2154" w:type="dxa"/>
            <w:gridSpan w:val="2"/>
            <w:tcBorders>
              <w:top w:val="inset" w:color="auto" w:sz="6" w:space="0"/>
              <w:left w:val="nil"/>
              <w:bottom w:val="inset" w:color="auto" w:sz="6" w:space="0"/>
              <w:right w:val="inset" w:color="auto" w:sz="6" w:space="0"/>
            </w:tcBorders>
            <w:vAlign w:val="center"/>
          </w:tcPr>
          <w:p w14:paraId="6FEE94FE">
            <w:pPr>
              <w:spacing w:line="360" w:lineRule="auto"/>
              <w:jc w:val="center"/>
              <w:rPr>
                <w:color w:val="000000"/>
                <w:szCs w:val="21"/>
              </w:rPr>
            </w:pPr>
            <w:r>
              <w:rPr>
                <w:rFonts w:hint="eastAsia" w:ascii="宋体" w:hAnsi="宋体"/>
                <w:color w:val="000000"/>
                <w:szCs w:val="21"/>
              </w:rPr>
              <w:t>水平高差</w:t>
            </w:r>
          </w:p>
        </w:tc>
        <w:tc>
          <w:tcPr>
            <w:tcW w:w="1593" w:type="dxa"/>
            <w:tcBorders>
              <w:top w:val="inset" w:color="auto" w:sz="6" w:space="0"/>
              <w:left w:val="nil"/>
              <w:bottom w:val="inset" w:color="auto" w:sz="6" w:space="0"/>
              <w:right w:val="inset" w:color="auto" w:sz="6" w:space="0"/>
            </w:tcBorders>
            <w:vAlign w:val="center"/>
          </w:tcPr>
          <w:p w14:paraId="1E2F001E">
            <w:pPr>
              <w:spacing w:line="360" w:lineRule="auto"/>
              <w:jc w:val="center"/>
              <w:rPr>
                <w:color w:val="000000"/>
                <w:szCs w:val="21"/>
              </w:rPr>
            </w:pPr>
            <w:r>
              <w:rPr>
                <w:color w:val="000000"/>
                <w:szCs w:val="21"/>
              </w:rPr>
              <w:t>+3</w:t>
            </w:r>
            <w:r>
              <w:rPr>
                <w:rFonts w:hint="eastAsia" w:ascii="宋体" w:hAnsi="宋体"/>
                <w:color w:val="000000"/>
                <w:szCs w:val="21"/>
              </w:rPr>
              <w:t>，</w:t>
            </w:r>
            <w:r>
              <w:rPr>
                <w:color w:val="000000"/>
                <w:szCs w:val="21"/>
              </w:rPr>
              <w:t>0</w:t>
            </w:r>
          </w:p>
        </w:tc>
        <w:tc>
          <w:tcPr>
            <w:tcW w:w="2742" w:type="dxa"/>
            <w:tcBorders>
              <w:top w:val="inset" w:color="auto" w:sz="6" w:space="0"/>
              <w:left w:val="nil"/>
              <w:bottom w:val="inset" w:color="auto" w:sz="6" w:space="0"/>
              <w:right w:val="inset" w:color="auto" w:sz="6" w:space="0"/>
            </w:tcBorders>
            <w:vAlign w:val="center"/>
          </w:tcPr>
          <w:p w14:paraId="12B493A5">
            <w:pPr>
              <w:spacing w:line="360" w:lineRule="auto"/>
              <w:jc w:val="center"/>
              <w:rPr>
                <w:color w:val="000000"/>
                <w:szCs w:val="21"/>
              </w:rPr>
            </w:pPr>
            <w:r>
              <w:rPr>
                <w:rFonts w:hint="eastAsia" w:ascii="宋体" w:hAnsi="宋体"/>
                <w:color w:val="000000"/>
                <w:szCs w:val="21"/>
              </w:rPr>
              <w:t>钢尺和塞尺检查</w:t>
            </w:r>
          </w:p>
        </w:tc>
      </w:tr>
    </w:tbl>
    <w:p w14:paraId="05D39EFD">
      <w:pPr>
        <w:pStyle w:val="112"/>
        <w:numPr>
          <w:ilvl w:val="0"/>
          <w:numId w:val="0"/>
        </w:numPr>
        <w:ind w:left="964"/>
        <w:jc w:val="left"/>
      </w:pPr>
      <w:r>
        <w:rPr>
          <w:rFonts w:hint="eastAsia"/>
        </w:rPr>
        <w:t>（5）外墙板饰面砖、石材粘贴应符合下表规定。</w:t>
      </w:r>
    </w:p>
    <w:p w14:paraId="041E2373">
      <w:pPr>
        <w:pStyle w:val="112"/>
        <w:numPr>
          <w:ilvl w:val="0"/>
          <w:numId w:val="0"/>
        </w:numPr>
        <w:ind w:left="964"/>
        <w:jc w:val="left"/>
      </w:pPr>
      <w:r>
        <w:rPr>
          <w:rFonts w:hint="eastAsia"/>
        </w:rPr>
        <w:t>检查数量：全数检查</w:t>
      </w:r>
    </w:p>
    <w:p w14:paraId="0D9CE62A">
      <w:pPr>
        <w:pStyle w:val="112"/>
        <w:numPr>
          <w:ilvl w:val="0"/>
          <w:numId w:val="0"/>
        </w:numPr>
        <w:ind w:left="964"/>
        <w:jc w:val="left"/>
      </w:pPr>
      <w:r>
        <w:rPr>
          <w:rFonts w:hint="eastAsia"/>
        </w:rPr>
        <w:t>检验方法：观察</w:t>
      </w:r>
    </w:p>
    <w:p w14:paraId="5A42ACCD">
      <w:pPr>
        <w:pStyle w:val="112"/>
        <w:numPr>
          <w:ilvl w:val="0"/>
          <w:numId w:val="0"/>
        </w:numPr>
        <w:ind w:left="964" w:firstLine="1620" w:firstLineChars="900"/>
        <w:jc w:val="left"/>
      </w:pPr>
      <w:r>
        <w:rPr>
          <w:rFonts w:hint="eastAsia"/>
        </w:rPr>
        <w:t>外墙板饰面砖粘贴的允许偏差和检验方法</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586"/>
        <w:gridCol w:w="1936"/>
        <w:gridCol w:w="4005"/>
      </w:tblGrid>
      <w:tr w14:paraId="6108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14:paraId="25881109">
            <w:pPr>
              <w:spacing w:line="360" w:lineRule="auto"/>
              <w:jc w:val="center"/>
              <w:rPr>
                <w:rFonts w:ascii="宋体" w:hAnsi="宋体"/>
                <w:bCs/>
                <w:color w:val="000000"/>
                <w:szCs w:val="21"/>
              </w:rPr>
            </w:pPr>
            <w:r>
              <w:rPr>
                <w:rFonts w:hint="eastAsia" w:ascii="宋体" w:hAnsi="宋体"/>
                <w:bCs/>
                <w:color w:val="000000"/>
                <w:szCs w:val="21"/>
              </w:rPr>
              <w:t>项次</w:t>
            </w:r>
          </w:p>
        </w:tc>
        <w:tc>
          <w:tcPr>
            <w:tcW w:w="951" w:type="pct"/>
            <w:tcBorders>
              <w:top w:val="single" w:color="auto" w:sz="4" w:space="0"/>
              <w:left w:val="single" w:color="auto" w:sz="4" w:space="0"/>
              <w:bottom w:val="single" w:color="auto" w:sz="4" w:space="0"/>
              <w:right w:val="single" w:color="auto" w:sz="4" w:space="0"/>
            </w:tcBorders>
            <w:vAlign w:val="center"/>
          </w:tcPr>
          <w:p w14:paraId="43223E33">
            <w:pPr>
              <w:spacing w:line="360" w:lineRule="auto"/>
              <w:jc w:val="center"/>
              <w:rPr>
                <w:rFonts w:ascii="宋体" w:hAnsi="宋体"/>
                <w:bCs/>
                <w:color w:val="000000"/>
                <w:szCs w:val="21"/>
              </w:rPr>
            </w:pPr>
            <w:r>
              <w:rPr>
                <w:rFonts w:hint="eastAsia" w:ascii="宋体" w:hAnsi="宋体"/>
                <w:bCs/>
                <w:color w:val="000000"/>
                <w:szCs w:val="21"/>
              </w:rPr>
              <w:t>项目</w:t>
            </w:r>
          </w:p>
        </w:tc>
        <w:tc>
          <w:tcPr>
            <w:tcW w:w="1161" w:type="pct"/>
            <w:tcBorders>
              <w:top w:val="single" w:color="auto" w:sz="4" w:space="0"/>
              <w:left w:val="single" w:color="auto" w:sz="4" w:space="0"/>
              <w:bottom w:val="single" w:color="auto" w:sz="4" w:space="0"/>
              <w:right w:val="single" w:color="auto" w:sz="4" w:space="0"/>
            </w:tcBorders>
            <w:vAlign w:val="center"/>
          </w:tcPr>
          <w:p w14:paraId="7E780913">
            <w:pPr>
              <w:spacing w:line="360" w:lineRule="auto"/>
              <w:jc w:val="center"/>
              <w:rPr>
                <w:rFonts w:ascii="宋体" w:hAnsi="宋体"/>
                <w:bCs/>
                <w:color w:val="000000"/>
                <w:szCs w:val="21"/>
              </w:rPr>
            </w:pPr>
            <w:r>
              <w:rPr>
                <w:rFonts w:hint="eastAsia" w:ascii="宋体" w:hAnsi="宋体"/>
                <w:bCs/>
                <w:color w:val="000000"/>
                <w:szCs w:val="21"/>
              </w:rPr>
              <w:t>允许偏差（</w:t>
            </w:r>
            <w:r>
              <w:rPr>
                <w:rFonts w:hint="eastAsia"/>
                <w:bCs/>
                <w:color w:val="000000"/>
                <w:szCs w:val="21"/>
              </w:rPr>
              <w:t>mm</w:t>
            </w:r>
            <w:r>
              <w:rPr>
                <w:rFonts w:hint="eastAsia" w:ascii="宋体" w:hAnsi="宋体"/>
                <w:bCs/>
                <w:color w:val="000000"/>
                <w:szCs w:val="21"/>
              </w:rPr>
              <w:t>）</w:t>
            </w:r>
          </w:p>
        </w:tc>
        <w:tc>
          <w:tcPr>
            <w:tcW w:w="2402" w:type="pct"/>
            <w:tcBorders>
              <w:top w:val="single" w:color="auto" w:sz="4" w:space="0"/>
              <w:left w:val="single" w:color="auto" w:sz="4" w:space="0"/>
              <w:bottom w:val="single" w:color="auto" w:sz="4" w:space="0"/>
              <w:right w:val="single" w:color="auto" w:sz="4" w:space="0"/>
            </w:tcBorders>
            <w:vAlign w:val="center"/>
          </w:tcPr>
          <w:p w14:paraId="534187DA">
            <w:pPr>
              <w:spacing w:line="360" w:lineRule="auto"/>
              <w:jc w:val="center"/>
              <w:rPr>
                <w:rFonts w:ascii="宋体" w:hAnsi="宋体"/>
                <w:bCs/>
                <w:color w:val="000000"/>
                <w:szCs w:val="21"/>
              </w:rPr>
            </w:pPr>
            <w:r>
              <w:rPr>
                <w:rFonts w:hint="eastAsia" w:ascii="宋体" w:hAnsi="宋体"/>
                <w:bCs/>
                <w:color w:val="000000"/>
                <w:szCs w:val="21"/>
              </w:rPr>
              <w:t>检验方法</w:t>
            </w:r>
          </w:p>
        </w:tc>
      </w:tr>
      <w:tr w14:paraId="6FC1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14:paraId="7B06D041">
            <w:pPr>
              <w:spacing w:line="360" w:lineRule="auto"/>
              <w:jc w:val="center"/>
              <w:rPr>
                <w:rFonts w:ascii="宋体" w:hAnsi="宋体"/>
                <w:bCs/>
                <w:color w:val="000000"/>
                <w:szCs w:val="21"/>
              </w:rPr>
            </w:pPr>
            <w:r>
              <w:rPr>
                <w:rFonts w:hint="eastAsia"/>
                <w:bCs/>
                <w:color w:val="000000"/>
                <w:szCs w:val="21"/>
              </w:rPr>
              <w:t>1</w:t>
            </w:r>
          </w:p>
        </w:tc>
        <w:tc>
          <w:tcPr>
            <w:tcW w:w="951" w:type="pct"/>
            <w:tcBorders>
              <w:top w:val="single" w:color="auto" w:sz="4" w:space="0"/>
              <w:left w:val="single" w:color="auto" w:sz="4" w:space="0"/>
              <w:bottom w:val="single" w:color="auto" w:sz="4" w:space="0"/>
              <w:right w:val="single" w:color="auto" w:sz="4" w:space="0"/>
            </w:tcBorders>
            <w:vAlign w:val="center"/>
          </w:tcPr>
          <w:p w14:paraId="4C58A144">
            <w:pPr>
              <w:spacing w:line="360" w:lineRule="auto"/>
              <w:jc w:val="center"/>
              <w:rPr>
                <w:rFonts w:ascii="宋体" w:hAnsi="宋体"/>
                <w:bCs/>
                <w:color w:val="000000"/>
                <w:szCs w:val="21"/>
              </w:rPr>
            </w:pPr>
            <w:r>
              <w:rPr>
                <w:rFonts w:hint="eastAsia" w:ascii="宋体" w:hAnsi="宋体"/>
                <w:bCs/>
                <w:color w:val="000000"/>
                <w:szCs w:val="21"/>
              </w:rPr>
              <w:t>立面垂直度</w:t>
            </w:r>
          </w:p>
        </w:tc>
        <w:tc>
          <w:tcPr>
            <w:tcW w:w="1161" w:type="pct"/>
            <w:tcBorders>
              <w:top w:val="single" w:color="auto" w:sz="4" w:space="0"/>
              <w:left w:val="single" w:color="auto" w:sz="4" w:space="0"/>
              <w:bottom w:val="single" w:color="auto" w:sz="4" w:space="0"/>
              <w:right w:val="single" w:color="auto" w:sz="4" w:space="0"/>
            </w:tcBorders>
            <w:vAlign w:val="center"/>
          </w:tcPr>
          <w:p w14:paraId="7DCF5A17">
            <w:pPr>
              <w:spacing w:line="360" w:lineRule="auto"/>
              <w:jc w:val="center"/>
              <w:rPr>
                <w:rFonts w:ascii="宋体" w:hAnsi="宋体"/>
                <w:bCs/>
                <w:color w:val="000000"/>
                <w:szCs w:val="21"/>
              </w:rPr>
            </w:pPr>
            <w:r>
              <w:rPr>
                <w:rFonts w:hint="eastAsia"/>
                <w:bCs/>
                <w:color w:val="000000"/>
                <w:szCs w:val="21"/>
              </w:rPr>
              <w:t>3</w:t>
            </w:r>
          </w:p>
        </w:tc>
        <w:tc>
          <w:tcPr>
            <w:tcW w:w="2402" w:type="pct"/>
            <w:tcBorders>
              <w:top w:val="single" w:color="auto" w:sz="4" w:space="0"/>
              <w:left w:val="single" w:color="auto" w:sz="4" w:space="0"/>
              <w:bottom w:val="single" w:color="auto" w:sz="4" w:space="0"/>
              <w:right w:val="single" w:color="auto" w:sz="4" w:space="0"/>
            </w:tcBorders>
            <w:vAlign w:val="center"/>
          </w:tcPr>
          <w:p w14:paraId="3E9C702C">
            <w:pPr>
              <w:spacing w:line="360" w:lineRule="auto"/>
              <w:jc w:val="center"/>
              <w:rPr>
                <w:rFonts w:ascii="宋体" w:hAnsi="宋体"/>
                <w:bCs/>
                <w:color w:val="000000"/>
                <w:szCs w:val="21"/>
              </w:rPr>
            </w:pPr>
            <w:r>
              <w:rPr>
                <w:rFonts w:hint="eastAsia" w:ascii="宋体" w:hAnsi="宋体"/>
                <w:bCs/>
                <w:color w:val="000000"/>
                <w:szCs w:val="21"/>
              </w:rPr>
              <w:t>用</w:t>
            </w:r>
            <w:r>
              <w:rPr>
                <w:rFonts w:hint="eastAsia"/>
                <w:bCs/>
                <w:color w:val="000000"/>
                <w:szCs w:val="21"/>
              </w:rPr>
              <w:t>2m</w:t>
            </w:r>
            <w:r>
              <w:rPr>
                <w:rFonts w:hint="eastAsia" w:ascii="宋体" w:hAnsi="宋体"/>
                <w:bCs/>
                <w:color w:val="000000"/>
                <w:szCs w:val="21"/>
              </w:rPr>
              <w:t>直检测尺检查</w:t>
            </w:r>
          </w:p>
        </w:tc>
      </w:tr>
      <w:tr w14:paraId="0B3D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14:paraId="091D9887">
            <w:pPr>
              <w:spacing w:line="360" w:lineRule="auto"/>
              <w:jc w:val="center"/>
              <w:rPr>
                <w:rFonts w:ascii="宋体" w:hAnsi="宋体"/>
                <w:bCs/>
                <w:color w:val="000000"/>
                <w:szCs w:val="21"/>
              </w:rPr>
            </w:pPr>
            <w:r>
              <w:rPr>
                <w:rFonts w:hint="eastAsia"/>
                <w:bCs/>
                <w:color w:val="000000"/>
                <w:szCs w:val="21"/>
              </w:rPr>
              <w:t>2</w:t>
            </w:r>
          </w:p>
        </w:tc>
        <w:tc>
          <w:tcPr>
            <w:tcW w:w="951" w:type="pct"/>
            <w:tcBorders>
              <w:top w:val="single" w:color="auto" w:sz="4" w:space="0"/>
              <w:left w:val="single" w:color="auto" w:sz="4" w:space="0"/>
              <w:bottom w:val="single" w:color="auto" w:sz="4" w:space="0"/>
              <w:right w:val="single" w:color="auto" w:sz="4" w:space="0"/>
            </w:tcBorders>
            <w:vAlign w:val="center"/>
          </w:tcPr>
          <w:p w14:paraId="700E7102">
            <w:pPr>
              <w:spacing w:line="360" w:lineRule="auto"/>
              <w:jc w:val="center"/>
              <w:rPr>
                <w:rFonts w:ascii="宋体" w:hAnsi="宋体"/>
                <w:bCs/>
                <w:color w:val="000000"/>
                <w:szCs w:val="21"/>
              </w:rPr>
            </w:pPr>
            <w:r>
              <w:rPr>
                <w:rFonts w:hint="eastAsia" w:ascii="宋体" w:hAnsi="宋体"/>
                <w:bCs/>
                <w:color w:val="000000"/>
                <w:szCs w:val="21"/>
              </w:rPr>
              <w:t>表面平整度</w:t>
            </w:r>
          </w:p>
        </w:tc>
        <w:tc>
          <w:tcPr>
            <w:tcW w:w="1161" w:type="pct"/>
            <w:tcBorders>
              <w:top w:val="single" w:color="auto" w:sz="4" w:space="0"/>
              <w:left w:val="single" w:color="auto" w:sz="4" w:space="0"/>
              <w:bottom w:val="single" w:color="auto" w:sz="4" w:space="0"/>
              <w:right w:val="single" w:color="auto" w:sz="4" w:space="0"/>
            </w:tcBorders>
            <w:vAlign w:val="center"/>
          </w:tcPr>
          <w:p w14:paraId="0FBA6820">
            <w:pPr>
              <w:spacing w:line="360" w:lineRule="auto"/>
              <w:jc w:val="center"/>
              <w:rPr>
                <w:rFonts w:ascii="宋体" w:hAnsi="宋体"/>
                <w:bCs/>
                <w:color w:val="000000"/>
                <w:szCs w:val="21"/>
              </w:rPr>
            </w:pPr>
            <w:r>
              <w:rPr>
                <w:rFonts w:hint="eastAsia"/>
                <w:bCs/>
                <w:color w:val="000000"/>
                <w:szCs w:val="21"/>
              </w:rPr>
              <w:t>2</w:t>
            </w:r>
          </w:p>
        </w:tc>
        <w:tc>
          <w:tcPr>
            <w:tcW w:w="2402" w:type="pct"/>
            <w:tcBorders>
              <w:top w:val="single" w:color="auto" w:sz="4" w:space="0"/>
              <w:left w:val="single" w:color="auto" w:sz="4" w:space="0"/>
              <w:bottom w:val="single" w:color="auto" w:sz="4" w:space="0"/>
              <w:right w:val="single" w:color="auto" w:sz="4" w:space="0"/>
            </w:tcBorders>
            <w:vAlign w:val="center"/>
          </w:tcPr>
          <w:p w14:paraId="0C801D82">
            <w:pPr>
              <w:spacing w:line="360" w:lineRule="auto"/>
              <w:jc w:val="center"/>
              <w:rPr>
                <w:rFonts w:ascii="宋体" w:hAnsi="宋体"/>
                <w:bCs/>
                <w:color w:val="000000"/>
                <w:szCs w:val="21"/>
              </w:rPr>
            </w:pPr>
            <w:r>
              <w:rPr>
                <w:rFonts w:hint="eastAsia" w:ascii="宋体" w:hAnsi="宋体"/>
                <w:bCs/>
                <w:color w:val="000000"/>
                <w:szCs w:val="21"/>
              </w:rPr>
              <w:t>用</w:t>
            </w:r>
            <w:r>
              <w:rPr>
                <w:rFonts w:hint="eastAsia"/>
                <w:bCs/>
                <w:color w:val="000000"/>
                <w:szCs w:val="21"/>
              </w:rPr>
              <w:t>2m</w:t>
            </w:r>
            <w:r>
              <w:rPr>
                <w:rFonts w:hint="eastAsia" w:ascii="宋体" w:hAnsi="宋体"/>
                <w:bCs/>
                <w:color w:val="000000"/>
                <w:szCs w:val="21"/>
              </w:rPr>
              <w:t>靠尺和塞尺检查</w:t>
            </w:r>
          </w:p>
        </w:tc>
      </w:tr>
      <w:tr w14:paraId="711F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14:paraId="0854D6FE">
            <w:pPr>
              <w:spacing w:line="360" w:lineRule="auto"/>
              <w:jc w:val="center"/>
              <w:rPr>
                <w:rFonts w:ascii="宋体" w:hAnsi="宋体"/>
                <w:bCs/>
                <w:color w:val="000000"/>
                <w:szCs w:val="21"/>
              </w:rPr>
            </w:pPr>
            <w:r>
              <w:rPr>
                <w:rFonts w:hint="eastAsia"/>
                <w:bCs/>
                <w:color w:val="000000"/>
                <w:szCs w:val="21"/>
              </w:rPr>
              <w:t>3</w:t>
            </w:r>
          </w:p>
        </w:tc>
        <w:tc>
          <w:tcPr>
            <w:tcW w:w="951" w:type="pct"/>
            <w:tcBorders>
              <w:top w:val="single" w:color="auto" w:sz="4" w:space="0"/>
              <w:left w:val="single" w:color="auto" w:sz="4" w:space="0"/>
              <w:bottom w:val="single" w:color="auto" w:sz="4" w:space="0"/>
              <w:right w:val="single" w:color="auto" w:sz="4" w:space="0"/>
            </w:tcBorders>
            <w:vAlign w:val="center"/>
          </w:tcPr>
          <w:p w14:paraId="2C16C86F">
            <w:pPr>
              <w:spacing w:line="360" w:lineRule="auto"/>
              <w:jc w:val="center"/>
              <w:rPr>
                <w:rFonts w:ascii="宋体" w:hAnsi="宋体"/>
                <w:bCs/>
                <w:color w:val="000000"/>
                <w:szCs w:val="21"/>
              </w:rPr>
            </w:pPr>
            <w:r>
              <w:rPr>
                <w:rFonts w:hint="eastAsia" w:ascii="宋体" w:hAnsi="宋体"/>
                <w:bCs/>
                <w:color w:val="000000"/>
                <w:szCs w:val="21"/>
              </w:rPr>
              <w:t>阳角方正</w:t>
            </w:r>
          </w:p>
        </w:tc>
        <w:tc>
          <w:tcPr>
            <w:tcW w:w="1161" w:type="pct"/>
            <w:tcBorders>
              <w:top w:val="single" w:color="auto" w:sz="4" w:space="0"/>
              <w:left w:val="single" w:color="auto" w:sz="4" w:space="0"/>
              <w:bottom w:val="single" w:color="auto" w:sz="4" w:space="0"/>
              <w:right w:val="single" w:color="auto" w:sz="4" w:space="0"/>
            </w:tcBorders>
            <w:vAlign w:val="center"/>
          </w:tcPr>
          <w:p w14:paraId="4D837EF9">
            <w:pPr>
              <w:spacing w:line="360" w:lineRule="auto"/>
              <w:jc w:val="center"/>
              <w:rPr>
                <w:rFonts w:ascii="宋体" w:hAnsi="宋体"/>
                <w:bCs/>
                <w:color w:val="000000"/>
                <w:szCs w:val="21"/>
              </w:rPr>
            </w:pPr>
            <w:r>
              <w:rPr>
                <w:rFonts w:hint="eastAsia"/>
                <w:bCs/>
                <w:color w:val="000000"/>
                <w:szCs w:val="21"/>
              </w:rPr>
              <w:t>2</w:t>
            </w:r>
          </w:p>
        </w:tc>
        <w:tc>
          <w:tcPr>
            <w:tcW w:w="2402" w:type="pct"/>
            <w:tcBorders>
              <w:top w:val="single" w:color="auto" w:sz="4" w:space="0"/>
              <w:left w:val="single" w:color="auto" w:sz="4" w:space="0"/>
              <w:bottom w:val="single" w:color="auto" w:sz="4" w:space="0"/>
              <w:right w:val="single" w:color="auto" w:sz="4" w:space="0"/>
            </w:tcBorders>
            <w:vAlign w:val="center"/>
          </w:tcPr>
          <w:p w14:paraId="0D53502E">
            <w:pPr>
              <w:spacing w:line="360" w:lineRule="auto"/>
              <w:jc w:val="center"/>
              <w:rPr>
                <w:rFonts w:ascii="宋体" w:hAnsi="宋体"/>
                <w:bCs/>
                <w:color w:val="000000"/>
                <w:szCs w:val="21"/>
              </w:rPr>
            </w:pPr>
            <w:r>
              <w:rPr>
                <w:rFonts w:hint="eastAsia" w:ascii="宋体" w:hAnsi="宋体"/>
                <w:bCs/>
                <w:color w:val="000000"/>
                <w:szCs w:val="21"/>
              </w:rPr>
              <w:t>用直角检测尺检查</w:t>
            </w:r>
          </w:p>
        </w:tc>
      </w:tr>
      <w:tr w14:paraId="0A72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6" w:type="pct"/>
            <w:tcBorders>
              <w:top w:val="single" w:color="auto" w:sz="4" w:space="0"/>
              <w:left w:val="single" w:color="auto" w:sz="4" w:space="0"/>
              <w:bottom w:val="single" w:color="auto" w:sz="4" w:space="0"/>
              <w:right w:val="single" w:color="auto" w:sz="4" w:space="0"/>
            </w:tcBorders>
            <w:vAlign w:val="center"/>
          </w:tcPr>
          <w:p w14:paraId="2F2A2D67">
            <w:pPr>
              <w:spacing w:line="360" w:lineRule="auto"/>
              <w:jc w:val="center"/>
              <w:rPr>
                <w:rFonts w:ascii="宋体" w:hAnsi="宋体"/>
                <w:bCs/>
                <w:color w:val="000000"/>
                <w:szCs w:val="21"/>
              </w:rPr>
            </w:pPr>
            <w:r>
              <w:rPr>
                <w:rFonts w:hint="eastAsia"/>
                <w:bCs/>
                <w:color w:val="000000"/>
                <w:szCs w:val="21"/>
              </w:rPr>
              <w:t>4</w:t>
            </w:r>
          </w:p>
        </w:tc>
        <w:tc>
          <w:tcPr>
            <w:tcW w:w="951" w:type="pct"/>
            <w:tcBorders>
              <w:top w:val="single" w:color="auto" w:sz="4" w:space="0"/>
              <w:left w:val="single" w:color="auto" w:sz="4" w:space="0"/>
              <w:bottom w:val="single" w:color="auto" w:sz="4" w:space="0"/>
              <w:right w:val="single" w:color="auto" w:sz="4" w:space="0"/>
            </w:tcBorders>
            <w:vAlign w:val="center"/>
          </w:tcPr>
          <w:p w14:paraId="47823529">
            <w:pPr>
              <w:spacing w:line="360" w:lineRule="auto"/>
              <w:jc w:val="center"/>
              <w:rPr>
                <w:rFonts w:ascii="宋体" w:hAnsi="宋体"/>
                <w:bCs/>
                <w:color w:val="000000"/>
                <w:szCs w:val="21"/>
              </w:rPr>
            </w:pPr>
            <w:r>
              <w:rPr>
                <w:rFonts w:hint="eastAsia" w:ascii="宋体" w:hAnsi="宋体"/>
                <w:bCs/>
                <w:color w:val="000000"/>
                <w:szCs w:val="21"/>
              </w:rPr>
              <w:t>墙裙上口平直</w:t>
            </w:r>
          </w:p>
        </w:tc>
        <w:tc>
          <w:tcPr>
            <w:tcW w:w="1161" w:type="pct"/>
            <w:tcBorders>
              <w:top w:val="single" w:color="auto" w:sz="4" w:space="0"/>
              <w:left w:val="single" w:color="auto" w:sz="4" w:space="0"/>
              <w:bottom w:val="single" w:color="auto" w:sz="4" w:space="0"/>
              <w:right w:val="single" w:color="auto" w:sz="4" w:space="0"/>
            </w:tcBorders>
            <w:vAlign w:val="center"/>
          </w:tcPr>
          <w:p w14:paraId="0BBF08ED">
            <w:pPr>
              <w:spacing w:line="360" w:lineRule="auto"/>
              <w:jc w:val="center"/>
              <w:rPr>
                <w:rFonts w:ascii="宋体" w:hAnsi="宋体"/>
                <w:bCs/>
                <w:color w:val="000000"/>
                <w:szCs w:val="21"/>
              </w:rPr>
            </w:pPr>
            <w:r>
              <w:rPr>
                <w:rFonts w:hint="eastAsia"/>
                <w:bCs/>
                <w:color w:val="000000"/>
                <w:szCs w:val="21"/>
              </w:rPr>
              <w:t>2</w:t>
            </w:r>
          </w:p>
        </w:tc>
        <w:tc>
          <w:tcPr>
            <w:tcW w:w="2402" w:type="pct"/>
            <w:vMerge w:val="restart"/>
            <w:tcBorders>
              <w:top w:val="nil"/>
              <w:left w:val="single" w:color="auto" w:sz="4" w:space="0"/>
              <w:bottom w:val="single" w:color="auto" w:sz="4" w:space="0"/>
              <w:right w:val="single" w:color="auto" w:sz="4" w:space="0"/>
            </w:tcBorders>
            <w:vAlign w:val="center"/>
          </w:tcPr>
          <w:p w14:paraId="49A127DA">
            <w:pPr>
              <w:spacing w:line="360" w:lineRule="auto"/>
              <w:rPr>
                <w:rFonts w:ascii="宋体" w:hAnsi="宋体"/>
                <w:bCs/>
                <w:color w:val="000000"/>
                <w:szCs w:val="21"/>
              </w:rPr>
            </w:pPr>
            <w:r>
              <w:rPr>
                <w:rFonts w:hint="eastAsia" w:ascii="宋体" w:hAnsi="宋体"/>
                <w:bCs/>
                <w:color w:val="000000"/>
                <w:szCs w:val="21"/>
              </w:rPr>
              <w:t>拉</w:t>
            </w:r>
            <w:r>
              <w:rPr>
                <w:rFonts w:hint="eastAsia"/>
                <w:bCs/>
                <w:color w:val="000000"/>
                <w:szCs w:val="21"/>
              </w:rPr>
              <w:t>5m</w:t>
            </w:r>
            <w:r>
              <w:rPr>
                <w:rFonts w:hint="eastAsia" w:ascii="宋体" w:hAnsi="宋体"/>
                <w:bCs/>
                <w:color w:val="000000"/>
                <w:szCs w:val="21"/>
              </w:rPr>
              <w:t>线，不足</w:t>
            </w:r>
            <w:r>
              <w:rPr>
                <w:rFonts w:hint="eastAsia"/>
                <w:bCs/>
                <w:color w:val="000000"/>
                <w:szCs w:val="21"/>
              </w:rPr>
              <w:t>5m</w:t>
            </w:r>
            <w:r>
              <w:rPr>
                <w:rFonts w:hint="eastAsia" w:ascii="宋体" w:hAnsi="宋体"/>
                <w:bCs/>
                <w:color w:val="000000"/>
                <w:szCs w:val="21"/>
              </w:rPr>
              <w:t>拉通线，用钢直尺检查</w:t>
            </w:r>
          </w:p>
        </w:tc>
      </w:tr>
      <w:tr w14:paraId="502F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6" w:type="pct"/>
            <w:tcBorders>
              <w:top w:val="single" w:color="auto" w:sz="4" w:space="0"/>
              <w:left w:val="single" w:color="auto" w:sz="4" w:space="0"/>
              <w:bottom w:val="single" w:color="auto" w:sz="4" w:space="0"/>
              <w:right w:val="single" w:color="auto" w:sz="4" w:space="0"/>
            </w:tcBorders>
            <w:vAlign w:val="center"/>
          </w:tcPr>
          <w:p w14:paraId="6CB8A309">
            <w:pPr>
              <w:spacing w:line="360" w:lineRule="auto"/>
              <w:jc w:val="center"/>
              <w:rPr>
                <w:rFonts w:ascii="宋体" w:hAnsi="宋体"/>
                <w:bCs/>
                <w:color w:val="000000"/>
                <w:szCs w:val="21"/>
              </w:rPr>
            </w:pPr>
            <w:r>
              <w:rPr>
                <w:rFonts w:hint="eastAsia"/>
                <w:bCs/>
                <w:color w:val="000000"/>
                <w:szCs w:val="21"/>
              </w:rPr>
              <w:t>4</w:t>
            </w:r>
          </w:p>
        </w:tc>
        <w:tc>
          <w:tcPr>
            <w:tcW w:w="951" w:type="pct"/>
            <w:tcBorders>
              <w:top w:val="single" w:color="auto" w:sz="4" w:space="0"/>
              <w:left w:val="single" w:color="auto" w:sz="4" w:space="0"/>
              <w:bottom w:val="single" w:color="auto" w:sz="4" w:space="0"/>
              <w:right w:val="single" w:color="auto" w:sz="4" w:space="0"/>
            </w:tcBorders>
            <w:vAlign w:val="center"/>
          </w:tcPr>
          <w:p w14:paraId="736F3267">
            <w:pPr>
              <w:spacing w:line="360" w:lineRule="auto"/>
              <w:jc w:val="center"/>
              <w:rPr>
                <w:rFonts w:ascii="宋体" w:hAnsi="宋体"/>
                <w:bCs/>
                <w:color w:val="000000"/>
                <w:szCs w:val="21"/>
              </w:rPr>
            </w:pPr>
            <w:r>
              <w:rPr>
                <w:rFonts w:hint="eastAsia" w:ascii="宋体" w:hAnsi="宋体"/>
                <w:bCs/>
                <w:color w:val="000000"/>
                <w:szCs w:val="21"/>
              </w:rPr>
              <w:t>接缝直线度</w:t>
            </w:r>
          </w:p>
        </w:tc>
        <w:tc>
          <w:tcPr>
            <w:tcW w:w="1161" w:type="pct"/>
            <w:tcBorders>
              <w:top w:val="single" w:color="auto" w:sz="4" w:space="0"/>
              <w:left w:val="single" w:color="auto" w:sz="4" w:space="0"/>
              <w:bottom w:val="single" w:color="auto" w:sz="4" w:space="0"/>
              <w:right w:val="single" w:color="auto" w:sz="4" w:space="0"/>
            </w:tcBorders>
            <w:vAlign w:val="center"/>
          </w:tcPr>
          <w:p w14:paraId="6771F6EB">
            <w:pPr>
              <w:spacing w:line="360" w:lineRule="auto"/>
              <w:jc w:val="center"/>
              <w:rPr>
                <w:rFonts w:ascii="宋体" w:hAnsi="宋体"/>
                <w:bCs/>
                <w:color w:val="000000"/>
                <w:szCs w:val="21"/>
              </w:rPr>
            </w:pPr>
            <w:r>
              <w:rPr>
                <w:rFonts w:hint="eastAsia"/>
                <w:bCs/>
                <w:color w:val="000000"/>
                <w:szCs w:val="21"/>
              </w:rPr>
              <w:t>3</w:t>
            </w:r>
          </w:p>
        </w:tc>
        <w:tc>
          <w:tcPr>
            <w:tcW w:w="0" w:type="auto"/>
            <w:vMerge w:val="continue"/>
            <w:tcBorders>
              <w:top w:val="nil"/>
              <w:left w:val="single" w:color="auto" w:sz="4" w:space="0"/>
              <w:bottom w:val="single" w:color="auto" w:sz="4" w:space="0"/>
              <w:right w:val="single" w:color="auto" w:sz="4" w:space="0"/>
            </w:tcBorders>
            <w:vAlign w:val="center"/>
          </w:tcPr>
          <w:p w14:paraId="3A941381">
            <w:pPr>
              <w:widowControl/>
              <w:jc w:val="left"/>
              <w:rPr>
                <w:rFonts w:ascii="宋体" w:hAnsi="宋体"/>
                <w:bCs/>
                <w:color w:val="000000"/>
                <w:szCs w:val="21"/>
              </w:rPr>
            </w:pPr>
          </w:p>
        </w:tc>
      </w:tr>
      <w:tr w14:paraId="7600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14:paraId="41C42FAE">
            <w:pPr>
              <w:spacing w:line="360" w:lineRule="auto"/>
              <w:jc w:val="center"/>
              <w:rPr>
                <w:rFonts w:ascii="宋体" w:hAnsi="宋体"/>
                <w:bCs/>
                <w:color w:val="000000"/>
                <w:szCs w:val="21"/>
              </w:rPr>
            </w:pPr>
            <w:r>
              <w:rPr>
                <w:rFonts w:hint="eastAsia"/>
                <w:bCs/>
                <w:color w:val="000000"/>
                <w:szCs w:val="21"/>
              </w:rPr>
              <w:t>5</w:t>
            </w:r>
          </w:p>
        </w:tc>
        <w:tc>
          <w:tcPr>
            <w:tcW w:w="951" w:type="pct"/>
            <w:tcBorders>
              <w:top w:val="single" w:color="auto" w:sz="4" w:space="0"/>
              <w:left w:val="single" w:color="auto" w:sz="4" w:space="0"/>
              <w:bottom w:val="single" w:color="auto" w:sz="4" w:space="0"/>
              <w:right w:val="single" w:color="auto" w:sz="4" w:space="0"/>
            </w:tcBorders>
            <w:vAlign w:val="center"/>
          </w:tcPr>
          <w:p w14:paraId="5BC1A52D">
            <w:pPr>
              <w:spacing w:line="360" w:lineRule="auto"/>
              <w:jc w:val="center"/>
              <w:rPr>
                <w:rFonts w:ascii="宋体" w:hAnsi="宋体"/>
                <w:bCs/>
                <w:color w:val="000000"/>
                <w:szCs w:val="21"/>
              </w:rPr>
            </w:pPr>
            <w:r>
              <w:rPr>
                <w:rFonts w:hint="eastAsia" w:ascii="宋体" w:hAnsi="宋体"/>
                <w:bCs/>
                <w:color w:val="000000"/>
                <w:szCs w:val="21"/>
              </w:rPr>
              <w:t>接缝高低差</w:t>
            </w:r>
          </w:p>
        </w:tc>
        <w:tc>
          <w:tcPr>
            <w:tcW w:w="1161" w:type="pct"/>
            <w:tcBorders>
              <w:top w:val="single" w:color="auto" w:sz="4" w:space="0"/>
              <w:left w:val="single" w:color="auto" w:sz="4" w:space="0"/>
              <w:bottom w:val="single" w:color="auto" w:sz="4" w:space="0"/>
              <w:right w:val="single" w:color="auto" w:sz="4" w:space="0"/>
            </w:tcBorders>
            <w:vAlign w:val="center"/>
          </w:tcPr>
          <w:p w14:paraId="3D779F47">
            <w:pPr>
              <w:spacing w:line="360" w:lineRule="auto"/>
              <w:jc w:val="center"/>
              <w:rPr>
                <w:rFonts w:ascii="宋体" w:hAnsi="宋体"/>
                <w:bCs/>
                <w:color w:val="000000"/>
                <w:szCs w:val="21"/>
              </w:rPr>
            </w:pPr>
            <w:r>
              <w:rPr>
                <w:rFonts w:hint="eastAsia"/>
                <w:bCs/>
                <w:color w:val="000000"/>
                <w:szCs w:val="21"/>
              </w:rPr>
              <w:t>1</w:t>
            </w:r>
          </w:p>
        </w:tc>
        <w:tc>
          <w:tcPr>
            <w:tcW w:w="2402" w:type="pct"/>
            <w:tcBorders>
              <w:top w:val="single" w:color="auto" w:sz="4" w:space="0"/>
              <w:left w:val="single" w:color="auto" w:sz="4" w:space="0"/>
              <w:bottom w:val="single" w:color="auto" w:sz="4" w:space="0"/>
              <w:right w:val="single" w:color="auto" w:sz="4" w:space="0"/>
            </w:tcBorders>
            <w:vAlign w:val="center"/>
          </w:tcPr>
          <w:p w14:paraId="5A207282">
            <w:pPr>
              <w:spacing w:line="360" w:lineRule="auto"/>
              <w:jc w:val="center"/>
              <w:rPr>
                <w:rFonts w:ascii="宋体" w:hAnsi="宋体"/>
                <w:bCs/>
                <w:color w:val="000000"/>
                <w:szCs w:val="21"/>
              </w:rPr>
            </w:pPr>
            <w:r>
              <w:rPr>
                <w:rFonts w:hint="eastAsia" w:ascii="宋体" w:hAnsi="宋体"/>
                <w:bCs/>
                <w:color w:val="000000"/>
                <w:szCs w:val="21"/>
              </w:rPr>
              <w:t>用钢直尺和塞尺检查</w:t>
            </w:r>
          </w:p>
        </w:tc>
      </w:tr>
      <w:tr w14:paraId="6005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14:paraId="03C199AB">
            <w:pPr>
              <w:spacing w:line="360" w:lineRule="auto"/>
              <w:jc w:val="center"/>
              <w:rPr>
                <w:rFonts w:ascii="宋体" w:hAnsi="宋体"/>
                <w:bCs/>
                <w:color w:val="000000"/>
                <w:szCs w:val="21"/>
              </w:rPr>
            </w:pPr>
            <w:r>
              <w:rPr>
                <w:rFonts w:hint="eastAsia"/>
                <w:bCs/>
                <w:color w:val="000000"/>
                <w:szCs w:val="21"/>
              </w:rPr>
              <w:t>6</w:t>
            </w:r>
          </w:p>
        </w:tc>
        <w:tc>
          <w:tcPr>
            <w:tcW w:w="951" w:type="pct"/>
            <w:tcBorders>
              <w:top w:val="single" w:color="auto" w:sz="4" w:space="0"/>
              <w:left w:val="single" w:color="auto" w:sz="4" w:space="0"/>
              <w:bottom w:val="single" w:color="auto" w:sz="4" w:space="0"/>
              <w:right w:val="single" w:color="auto" w:sz="4" w:space="0"/>
            </w:tcBorders>
            <w:vAlign w:val="center"/>
          </w:tcPr>
          <w:p w14:paraId="6CE685B2">
            <w:pPr>
              <w:spacing w:line="360" w:lineRule="auto"/>
              <w:jc w:val="center"/>
              <w:rPr>
                <w:rFonts w:ascii="宋体" w:hAnsi="宋体"/>
                <w:bCs/>
                <w:color w:val="000000"/>
                <w:szCs w:val="21"/>
              </w:rPr>
            </w:pPr>
            <w:r>
              <w:rPr>
                <w:rFonts w:hint="eastAsia" w:ascii="宋体" w:hAnsi="宋体"/>
                <w:bCs/>
                <w:color w:val="000000"/>
                <w:szCs w:val="21"/>
              </w:rPr>
              <w:t>接缝宽度</w:t>
            </w:r>
          </w:p>
        </w:tc>
        <w:tc>
          <w:tcPr>
            <w:tcW w:w="1161" w:type="pct"/>
            <w:tcBorders>
              <w:top w:val="single" w:color="auto" w:sz="4" w:space="0"/>
              <w:left w:val="single" w:color="auto" w:sz="4" w:space="0"/>
              <w:bottom w:val="single" w:color="auto" w:sz="4" w:space="0"/>
              <w:right w:val="single" w:color="auto" w:sz="4" w:space="0"/>
            </w:tcBorders>
            <w:vAlign w:val="center"/>
          </w:tcPr>
          <w:p w14:paraId="2A5438E6">
            <w:pPr>
              <w:spacing w:line="360" w:lineRule="auto"/>
              <w:jc w:val="center"/>
              <w:rPr>
                <w:rFonts w:ascii="宋体" w:hAnsi="宋体"/>
                <w:bCs/>
                <w:color w:val="000000"/>
                <w:szCs w:val="21"/>
              </w:rPr>
            </w:pPr>
            <w:r>
              <w:rPr>
                <w:rFonts w:hint="eastAsia"/>
                <w:bCs/>
                <w:color w:val="000000"/>
                <w:szCs w:val="21"/>
              </w:rPr>
              <w:t>1</w:t>
            </w:r>
          </w:p>
        </w:tc>
        <w:tc>
          <w:tcPr>
            <w:tcW w:w="2402" w:type="pct"/>
            <w:tcBorders>
              <w:top w:val="single" w:color="auto" w:sz="4" w:space="0"/>
              <w:left w:val="single" w:color="auto" w:sz="4" w:space="0"/>
              <w:bottom w:val="single" w:color="auto" w:sz="4" w:space="0"/>
              <w:right w:val="single" w:color="auto" w:sz="4" w:space="0"/>
            </w:tcBorders>
            <w:vAlign w:val="center"/>
          </w:tcPr>
          <w:p w14:paraId="14058141">
            <w:pPr>
              <w:spacing w:line="360" w:lineRule="auto"/>
              <w:jc w:val="center"/>
              <w:rPr>
                <w:rFonts w:ascii="宋体" w:hAnsi="宋体"/>
                <w:bCs/>
                <w:color w:val="000000"/>
                <w:szCs w:val="21"/>
              </w:rPr>
            </w:pPr>
            <w:r>
              <w:rPr>
                <w:rFonts w:hint="eastAsia" w:ascii="宋体" w:hAnsi="宋体"/>
                <w:bCs/>
                <w:color w:val="000000"/>
                <w:szCs w:val="21"/>
              </w:rPr>
              <w:t>用钢直尺检查</w:t>
            </w:r>
          </w:p>
        </w:tc>
      </w:tr>
    </w:tbl>
    <w:p w14:paraId="17AD12C5">
      <w:pPr>
        <w:pStyle w:val="112"/>
        <w:numPr>
          <w:ilvl w:val="0"/>
          <w:numId w:val="0"/>
        </w:numPr>
        <w:ind w:left="964"/>
        <w:jc w:val="left"/>
      </w:pPr>
      <w:r>
        <w:rPr>
          <w:rFonts w:hint="eastAsia"/>
        </w:rPr>
        <w:t>（6）门框和窗框安装位置应住建检验，门框和窗框安装位置允许偏差应符合下表规定。</w:t>
      </w:r>
    </w:p>
    <w:p w14:paraId="5F2F8529">
      <w:pPr>
        <w:pStyle w:val="112"/>
        <w:numPr>
          <w:ilvl w:val="0"/>
          <w:numId w:val="0"/>
        </w:numPr>
        <w:ind w:left="964"/>
        <w:jc w:val="left"/>
      </w:pPr>
      <w:r>
        <w:rPr>
          <w:rFonts w:hint="eastAsia"/>
        </w:rPr>
        <w:t>检查数量：全数检查</w:t>
      </w:r>
    </w:p>
    <w:p w14:paraId="150DD6B9">
      <w:pPr>
        <w:pStyle w:val="112"/>
        <w:numPr>
          <w:ilvl w:val="0"/>
          <w:numId w:val="0"/>
        </w:numPr>
        <w:ind w:left="964"/>
        <w:jc w:val="left"/>
      </w:pPr>
      <w:r>
        <w:rPr>
          <w:rFonts w:hint="eastAsia"/>
        </w:rPr>
        <w:t>检验方法：观察</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2343"/>
        <w:gridCol w:w="1369"/>
        <w:gridCol w:w="2283"/>
      </w:tblGrid>
      <w:tr w14:paraId="5FDC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pct"/>
            <w:gridSpan w:val="2"/>
            <w:tcBorders>
              <w:top w:val="single" w:color="auto" w:sz="4" w:space="0"/>
              <w:left w:val="single" w:color="auto" w:sz="4" w:space="0"/>
              <w:bottom w:val="single" w:color="auto" w:sz="4" w:space="0"/>
              <w:right w:val="single" w:color="auto" w:sz="4" w:space="0"/>
            </w:tcBorders>
            <w:vAlign w:val="center"/>
          </w:tcPr>
          <w:p w14:paraId="7E6A4334">
            <w:pPr>
              <w:spacing w:line="360" w:lineRule="auto"/>
              <w:jc w:val="center"/>
              <w:rPr>
                <w:rFonts w:ascii="宋体" w:hAnsi="宋体"/>
                <w:bCs/>
                <w:color w:val="000000"/>
                <w:szCs w:val="21"/>
              </w:rPr>
            </w:pPr>
            <w:r>
              <w:rPr>
                <w:rFonts w:hint="eastAsia" w:ascii="宋体" w:hAnsi="宋体"/>
                <w:bCs/>
                <w:color w:val="000000"/>
                <w:szCs w:val="21"/>
              </w:rPr>
              <w:t>项目</w:t>
            </w:r>
          </w:p>
        </w:tc>
        <w:tc>
          <w:tcPr>
            <w:tcW w:w="821" w:type="pct"/>
            <w:tcBorders>
              <w:top w:val="single" w:color="auto" w:sz="4" w:space="0"/>
              <w:left w:val="single" w:color="auto" w:sz="4" w:space="0"/>
              <w:bottom w:val="single" w:color="auto" w:sz="4" w:space="0"/>
              <w:right w:val="single" w:color="auto" w:sz="4" w:space="0"/>
            </w:tcBorders>
            <w:vAlign w:val="center"/>
          </w:tcPr>
          <w:p w14:paraId="5C2C8CB1">
            <w:pPr>
              <w:spacing w:line="360" w:lineRule="auto"/>
              <w:jc w:val="center"/>
              <w:rPr>
                <w:rFonts w:ascii="宋体" w:hAnsi="宋体"/>
                <w:bCs/>
                <w:color w:val="000000"/>
                <w:szCs w:val="21"/>
              </w:rPr>
            </w:pPr>
            <w:r>
              <w:rPr>
                <w:rFonts w:hint="eastAsia" w:ascii="宋体" w:hAnsi="宋体"/>
                <w:bCs/>
                <w:color w:val="000000"/>
                <w:szCs w:val="21"/>
              </w:rPr>
              <w:t>允许偏差（</w:t>
            </w:r>
            <w:r>
              <w:rPr>
                <w:rFonts w:hint="eastAsia"/>
                <w:bCs/>
                <w:color w:val="000000"/>
                <w:szCs w:val="21"/>
              </w:rPr>
              <w:t>mm</w:t>
            </w:r>
            <w:r>
              <w:rPr>
                <w:rFonts w:hint="eastAsia" w:ascii="宋体" w:hAnsi="宋体"/>
                <w:bCs/>
                <w:color w:val="000000"/>
                <w:szCs w:val="21"/>
              </w:rPr>
              <w:t>）</w:t>
            </w:r>
          </w:p>
        </w:tc>
        <w:tc>
          <w:tcPr>
            <w:tcW w:w="1369" w:type="pct"/>
            <w:tcBorders>
              <w:top w:val="single" w:color="auto" w:sz="4" w:space="0"/>
              <w:left w:val="single" w:color="auto" w:sz="4" w:space="0"/>
              <w:bottom w:val="single" w:color="auto" w:sz="4" w:space="0"/>
              <w:right w:val="single" w:color="auto" w:sz="4" w:space="0"/>
            </w:tcBorders>
            <w:vAlign w:val="center"/>
          </w:tcPr>
          <w:p w14:paraId="5297D2CD">
            <w:pPr>
              <w:spacing w:line="360" w:lineRule="auto"/>
              <w:jc w:val="center"/>
              <w:rPr>
                <w:rFonts w:ascii="宋体" w:hAnsi="宋体"/>
                <w:bCs/>
                <w:color w:val="000000"/>
                <w:szCs w:val="21"/>
              </w:rPr>
            </w:pPr>
            <w:r>
              <w:rPr>
                <w:rFonts w:hint="eastAsia" w:ascii="宋体" w:hAnsi="宋体"/>
                <w:bCs/>
                <w:color w:val="000000"/>
                <w:szCs w:val="21"/>
              </w:rPr>
              <w:t>检验方法</w:t>
            </w:r>
          </w:p>
        </w:tc>
      </w:tr>
      <w:tr w14:paraId="7BBD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pct"/>
            <w:vMerge w:val="restart"/>
            <w:tcBorders>
              <w:top w:val="single" w:color="auto" w:sz="4" w:space="0"/>
              <w:left w:val="single" w:color="auto" w:sz="4" w:space="0"/>
              <w:right w:val="single" w:color="auto" w:sz="4" w:space="0"/>
            </w:tcBorders>
            <w:vAlign w:val="center"/>
          </w:tcPr>
          <w:p w14:paraId="08ECB143">
            <w:pPr>
              <w:spacing w:line="360" w:lineRule="auto"/>
              <w:jc w:val="center"/>
              <w:rPr>
                <w:rFonts w:ascii="宋体" w:hAnsi="宋体"/>
                <w:bCs/>
                <w:color w:val="000000"/>
                <w:szCs w:val="21"/>
              </w:rPr>
            </w:pPr>
            <w:r>
              <w:rPr>
                <w:rFonts w:hint="eastAsia" w:ascii="宋体" w:hAnsi="宋体"/>
                <w:bCs/>
                <w:color w:val="000000"/>
                <w:szCs w:val="21"/>
              </w:rPr>
              <w:t>锚固脚片</w:t>
            </w:r>
          </w:p>
        </w:tc>
        <w:tc>
          <w:tcPr>
            <w:tcW w:w="1405" w:type="pct"/>
            <w:tcBorders>
              <w:top w:val="single" w:color="auto" w:sz="4" w:space="0"/>
              <w:left w:val="single" w:color="auto" w:sz="4" w:space="0"/>
              <w:bottom w:val="single" w:color="auto" w:sz="4" w:space="0"/>
              <w:right w:val="single" w:color="auto" w:sz="4" w:space="0"/>
            </w:tcBorders>
            <w:vAlign w:val="center"/>
          </w:tcPr>
          <w:p w14:paraId="589A9998">
            <w:pPr>
              <w:spacing w:line="360" w:lineRule="auto"/>
              <w:jc w:val="center"/>
              <w:rPr>
                <w:rFonts w:ascii="宋体" w:hAnsi="宋体"/>
                <w:bCs/>
                <w:color w:val="000000"/>
                <w:szCs w:val="21"/>
              </w:rPr>
            </w:pPr>
            <w:r>
              <w:rPr>
                <w:rFonts w:hint="eastAsia" w:ascii="宋体" w:hAnsi="宋体"/>
                <w:bCs/>
                <w:color w:val="000000"/>
                <w:szCs w:val="21"/>
              </w:rPr>
              <w:t>中心线位置</w:t>
            </w:r>
          </w:p>
        </w:tc>
        <w:tc>
          <w:tcPr>
            <w:tcW w:w="821" w:type="pct"/>
            <w:tcBorders>
              <w:top w:val="single" w:color="auto" w:sz="4" w:space="0"/>
              <w:left w:val="single" w:color="auto" w:sz="4" w:space="0"/>
              <w:bottom w:val="single" w:color="auto" w:sz="4" w:space="0"/>
              <w:right w:val="single" w:color="auto" w:sz="4" w:space="0"/>
            </w:tcBorders>
            <w:vAlign w:val="center"/>
          </w:tcPr>
          <w:p w14:paraId="5FF2CE4F">
            <w:pPr>
              <w:spacing w:line="360" w:lineRule="auto"/>
              <w:jc w:val="center"/>
              <w:rPr>
                <w:rFonts w:ascii="宋体" w:hAnsi="宋体"/>
                <w:bCs/>
                <w:color w:val="000000"/>
                <w:szCs w:val="21"/>
              </w:rPr>
            </w:pPr>
            <w:r>
              <w:rPr>
                <w:bCs/>
                <w:color w:val="000000"/>
                <w:szCs w:val="21"/>
              </w:rPr>
              <w:t>5</w:t>
            </w:r>
          </w:p>
        </w:tc>
        <w:tc>
          <w:tcPr>
            <w:tcW w:w="1369" w:type="pct"/>
            <w:tcBorders>
              <w:top w:val="single" w:color="auto" w:sz="4" w:space="0"/>
              <w:left w:val="single" w:color="auto" w:sz="4" w:space="0"/>
              <w:bottom w:val="single" w:color="auto" w:sz="4" w:space="0"/>
              <w:right w:val="single" w:color="auto" w:sz="4" w:space="0"/>
            </w:tcBorders>
            <w:vAlign w:val="center"/>
          </w:tcPr>
          <w:p w14:paraId="39629026">
            <w:pPr>
              <w:spacing w:line="360" w:lineRule="auto"/>
              <w:jc w:val="center"/>
              <w:rPr>
                <w:rFonts w:ascii="宋体" w:hAnsi="宋体"/>
                <w:bCs/>
                <w:color w:val="000000"/>
                <w:szCs w:val="21"/>
              </w:rPr>
            </w:pPr>
            <w:r>
              <w:rPr>
                <w:rFonts w:hint="eastAsia" w:ascii="宋体" w:hAnsi="宋体"/>
                <w:bCs/>
                <w:color w:val="000000"/>
                <w:szCs w:val="21"/>
              </w:rPr>
              <w:t>钢尺检查</w:t>
            </w:r>
          </w:p>
        </w:tc>
      </w:tr>
      <w:tr w14:paraId="01E6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pct"/>
            <w:vMerge w:val="continue"/>
            <w:tcBorders>
              <w:left w:val="single" w:color="auto" w:sz="4" w:space="0"/>
              <w:bottom w:val="single" w:color="auto" w:sz="4" w:space="0"/>
              <w:right w:val="single" w:color="auto" w:sz="4" w:space="0"/>
            </w:tcBorders>
          </w:tcPr>
          <w:p w14:paraId="000874A6">
            <w:pPr>
              <w:spacing w:line="360" w:lineRule="auto"/>
              <w:jc w:val="center"/>
              <w:rPr>
                <w:rFonts w:ascii="宋体" w:hAnsi="宋体"/>
                <w:bCs/>
                <w:color w:val="000000"/>
                <w:szCs w:val="21"/>
              </w:rPr>
            </w:pPr>
          </w:p>
        </w:tc>
        <w:tc>
          <w:tcPr>
            <w:tcW w:w="1405" w:type="pct"/>
            <w:tcBorders>
              <w:top w:val="single" w:color="auto" w:sz="4" w:space="0"/>
              <w:left w:val="single" w:color="auto" w:sz="4" w:space="0"/>
              <w:bottom w:val="single" w:color="auto" w:sz="4" w:space="0"/>
              <w:right w:val="single" w:color="auto" w:sz="4" w:space="0"/>
            </w:tcBorders>
            <w:vAlign w:val="center"/>
          </w:tcPr>
          <w:p w14:paraId="2B4324F3">
            <w:pPr>
              <w:spacing w:line="360" w:lineRule="auto"/>
              <w:jc w:val="center"/>
              <w:rPr>
                <w:rFonts w:ascii="宋体" w:hAnsi="宋体"/>
                <w:bCs/>
                <w:color w:val="000000"/>
                <w:szCs w:val="21"/>
              </w:rPr>
            </w:pPr>
            <w:r>
              <w:rPr>
                <w:rFonts w:hint="eastAsia" w:ascii="宋体" w:hAnsi="宋体"/>
                <w:bCs/>
                <w:color w:val="000000"/>
                <w:szCs w:val="21"/>
              </w:rPr>
              <w:t>外露长度</w:t>
            </w:r>
          </w:p>
        </w:tc>
        <w:tc>
          <w:tcPr>
            <w:tcW w:w="821" w:type="pct"/>
            <w:tcBorders>
              <w:top w:val="single" w:color="auto" w:sz="4" w:space="0"/>
              <w:left w:val="single" w:color="auto" w:sz="4" w:space="0"/>
              <w:bottom w:val="single" w:color="auto" w:sz="4" w:space="0"/>
              <w:right w:val="single" w:color="auto" w:sz="4" w:space="0"/>
            </w:tcBorders>
            <w:vAlign w:val="center"/>
          </w:tcPr>
          <w:p w14:paraId="4DB6983C">
            <w:pPr>
              <w:spacing w:line="360" w:lineRule="auto"/>
              <w:jc w:val="center"/>
              <w:rPr>
                <w:rFonts w:ascii="宋体" w:hAnsi="宋体"/>
                <w:bCs/>
                <w:color w:val="000000"/>
                <w:szCs w:val="21"/>
              </w:rPr>
            </w:pPr>
            <w:r>
              <w:rPr>
                <w:bCs/>
                <w:color w:val="000000"/>
                <w:szCs w:val="21"/>
              </w:rPr>
              <w:t>+5</w:t>
            </w:r>
            <w:r>
              <w:rPr>
                <w:rFonts w:hint="eastAsia"/>
                <w:bCs/>
                <w:color w:val="000000"/>
                <w:szCs w:val="21"/>
              </w:rPr>
              <w:t>,0</w:t>
            </w:r>
          </w:p>
        </w:tc>
        <w:tc>
          <w:tcPr>
            <w:tcW w:w="1369" w:type="pct"/>
            <w:tcBorders>
              <w:top w:val="single" w:color="auto" w:sz="4" w:space="0"/>
              <w:left w:val="single" w:color="auto" w:sz="4" w:space="0"/>
              <w:bottom w:val="single" w:color="auto" w:sz="4" w:space="0"/>
              <w:right w:val="single" w:color="auto" w:sz="4" w:space="0"/>
            </w:tcBorders>
            <w:vAlign w:val="center"/>
          </w:tcPr>
          <w:p w14:paraId="39F3285B">
            <w:pPr>
              <w:spacing w:line="360" w:lineRule="auto"/>
              <w:jc w:val="center"/>
              <w:rPr>
                <w:rFonts w:ascii="宋体" w:hAnsi="宋体"/>
                <w:bCs/>
                <w:color w:val="000000"/>
                <w:szCs w:val="21"/>
              </w:rPr>
            </w:pPr>
            <w:r>
              <w:rPr>
                <w:rFonts w:hint="eastAsia" w:ascii="宋体" w:hAnsi="宋体"/>
                <w:bCs/>
                <w:color w:val="000000"/>
                <w:szCs w:val="21"/>
              </w:rPr>
              <w:t>钢尺检查</w:t>
            </w:r>
          </w:p>
        </w:tc>
      </w:tr>
      <w:tr w14:paraId="7812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pct"/>
            <w:gridSpan w:val="2"/>
            <w:tcBorders>
              <w:top w:val="single" w:color="auto" w:sz="4" w:space="0"/>
              <w:left w:val="single" w:color="auto" w:sz="4" w:space="0"/>
              <w:bottom w:val="single" w:color="auto" w:sz="4" w:space="0"/>
              <w:right w:val="single" w:color="auto" w:sz="4" w:space="0"/>
            </w:tcBorders>
          </w:tcPr>
          <w:p w14:paraId="410A2AE5">
            <w:pPr>
              <w:spacing w:line="360" w:lineRule="auto"/>
              <w:jc w:val="center"/>
              <w:rPr>
                <w:rFonts w:ascii="宋体" w:hAnsi="宋体"/>
                <w:bCs/>
                <w:color w:val="000000"/>
                <w:szCs w:val="21"/>
              </w:rPr>
            </w:pPr>
            <w:r>
              <w:rPr>
                <w:rFonts w:hint="eastAsia" w:ascii="宋体" w:hAnsi="宋体"/>
                <w:bCs/>
                <w:color w:val="000000"/>
                <w:szCs w:val="21"/>
              </w:rPr>
              <w:t>门窗框定位</w:t>
            </w:r>
          </w:p>
        </w:tc>
        <w:tc>
          <w:tcPr>
            <w:tcW w:w="821" w:type="pct"/>
            <w:tcBorders>
              <w:top w:val="single" w:color="auto" w:sz="4" w:space="0"/>
              <w:left w:val="single" w:color="auto" w:sz="4" w:space="0"/>
              <w:bottom w:val="single" w:color="auto" w:sz="4" w:space="0"/>
              <w:right w:val="single" w:color="auto" w:sz="4" w:space="0"/>
            </w:tcBorders>
            <w:vAlign w:val="center"/>
          </w:tcPr>
          <w:p w14:paraId="5116B839">
            <w:pPr>
              <w:spacing w:line="360" w:lineRule="auto"/>
              <w:jc w:val="center"/>
              <w:rPr>
                <w:rFonts w:ascii="宋体" w:hAnsi="宋体"/>
                <w:bCs/>
                <w:color w:val="000000"/>
                <w:szCs w:val="21"/>
              </w:rPr>
            </w:pPr>
            <w:r>
              <w:rPr>
                <w:rFonts w:hint="eastAsia"/>
                <w:bCs/>
                <w:color w:val="000000"/>
                <w:szCs w:val="21"/>
              </w:rPr>
              <w:t>2</w:t>
            </w:r>
          </w:p>
        </w:tc>
        <w:tc>
          <w:tcPr>
            <w:tcW w:w="1369" w:type="pct"/>
            <w:tcBorders>
              <w:top w:val="single" w:color="auto" w:sz="4" w:space="0"/>
              <w:left w:val="single" w:color="auto" w:sz="4" w:space="0"/>
              <w:bottom w:val="single" w:color="auto" w:sz="4" w:space="0"/>
              <w:right w:val="single" w:color="auto" w:sz="4" w:space="0"/>
            </w:tcBorders>
            <w:vAlign w:val="center"/>
          </w:tcPr>
          <w:p w14:paraId="00BE8978">
            <w:pPr>
              <w:spacing w:line="360" w:lineRule="auto"/>
              <w:jc w:val="center"/>
              <w:rPr>
                <w:rFonts w:ascii="宋体" w:hAnsi="宋体"/>
                <w:bCs/>
                <w:color w:val="000000"/>
                <w:szCs w:val="21"/>
              </w:rPr>
            </w:pPr>
            <w:r>
              <w:rPr>
                <w:rFonts w:hint="eastAsia" w:ascii="宋体" w:hAnsi="宋体"/>
                <w:bCs/>
                <w:color w:val="000000"/>
                <w:szCs w:val="21"/>
              </w:rPr>
              <w:t>钢尺检查</w:t>
            </w:r>
          </w:p>
        </w:tc>
      </w:tr>
      <w:tr w14:paraId="072C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810" w:type="pct"/>
            <w:gridSpan w:val="2"/>
            <w:tcBorders>
              <w:top w:val="single" w:color="auto" w:sz="4" w:space="0"/>
              <w:left w:val="single" w:color="auto" w:sz="4" w:space="0"/>
              <w:bottom w:val="single" w:color="auto" w:sz="4" w:space="0"/>
              <w:right w:val="single" w:color="auto" w:sz="4" w:space="0"/>
            </w:tcBorders>
          </w:tcPr>
          <w:p w14:paraId="1D4299DB">
            <w:pPr>
              <w:spacing w:line="360" w:lineRule="auto"/>
              <w:jc w:val="center"/>
              <w:rPr>
                <w:rFonts w:ascii="宋体" w:hAnsi="宋体"/>
                <w:bCs/>
                <w:color w:val="000000"/>
                <w:szCs w:val="21"/>
              </w:rPr>
            </w:pPr>
            <w:r>
              <w:rPr>
                <w:rFonts w:hint="eastAsia" w:ascii="宋体" w:hAnsi="宋体"/>
                <w:bCs/>
                <w:color w:val="000000"/>
                <w:szCs w:val="21"/>
              </w:rPr>
              <w:t>门窗框对角线</w:t>
            </w:r>
          </w:p>
        </w:tc>
        <w:tc>
          <w:tcPr>
            <w:tcW w:w="821" w:type="pct"/>
            <w:tcBorders>
              <w:top w:val="single" w:color="auto" w:sz="4" w:space="0"/>
              <w:left w:val="single" w:color="auto" w:sz="4" w:space="0"/>
              <w:bottom w:val="single" w:color="auto" w:sz="4" w:space="0"/>
              <w:right w:val="single" w:color="auto" w:sz="4" w:space="0"/>
            </w:tcBorders>
            <w:vAlign w:val="center"/>
          </w:tcPr>
          <w:p w14:paraId="59F6E5EA">
            <w:pPr>
              <w:spacing w:line="360" w:lineRule="auto"/>
              <w:jc w:val="center"/>
              <w:rPr>
                <w:rFonts w:ascii="宋体" w:hAnsi="宋体"/>
                <w:bCs/>
                <w:color w:val="000000"/>
                <w:szCs w:val="21"/>
              </w:rPr>
            </w:pPr>
            <w:r>
              <w:rPr>
                <w:rFonts w:hint="eastAsia"/>
                <w:bCs/>
                <w:color w:val="000000"/>
                <w:szCs w:val="21"/>
              </w:rPr>
              <w:t>2</w:t>
            </w:r>
          </w:p>
        </w:tc>
        <w:tc>
          <w:tcPr>
            <w:tcW w:w="1369" w:type="pct"/>
            <w:vMerge w:val="restart"/>
            <w:tcBorders>
              <w:top w:val="nil"/>
              <w:left w:val="single" w:color="auto" w:sz="4" w:space="0"/>
              <w:bottom w:val="single" w:color="auto" w:sz="4" w:space="0"/>
              <w:right w:val="single" w:color="auto" w:sz="4" w:space="0"/>
            </w:tcBorders>
            <w:vAlign w:val="center"/>
          </w:tcPr>
          <w:p w14:paraId="4EF46153">
            <w:pPr>
              <w:spacing w:line="360" w:lineRule="auto"/>
              <w:jc w:val="center"/>
              <w:rPr>
                <w:rFonts w:ascii="宋体" w:hAnsi="宋体"/>
                <w:bCs/>
                <w:color w:val="000000"/>
                <w:szCs w:val="21"/>
              </w:rPr>
            </w:pPr>
            <w:r>
              <w:rPr>
                <w:rFonts w:hint="eastAsia" w:ascii="宋体" w:hAnsi="宋体"/>
                <w:bCs/>
                <w:color w:val="000000"/>
                <w:szCs w:val="21"/>
              </w:rPr>
              <w:t>钢尺检查</w:t>
            </w:r>
          </w:p>
        </w:tc>
      </w:tr>
      <w:tr w14:paraId="63AC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810" w:type="pct"/>
            <w:gridSpan w:val="2"/>
            <w:tcBorders>
              <w:top w:val="single" w:color="auto" w:sz="4" w:space="0"/>
              <w:left w:val="single" w:color="auto" w:sz="4" w:space="0"/>
              <w:bottom w:val="single" w:color="auto" w:sz="4" w:space="0"/>
              <w:right w:val="single" w:color="auto" w:sz="4" w:space="0"/>
            </w:tcBorders>
          </w:tcPr>
          <w:p w14:paraId="5732CDDF">
            <w:pPr>
              <w:spacing w:line="360" w:lineRule="auto"/>
              <w:jc w:val="center"/>
              <w:rPr>
                <w:rFonts w:ascii="宋体" w:hAnsi="宋体"/>
                <w:bCs/>
                <w:color w:val="000000"/>
                <w:szCs w:val="21"/>
              </w:rPr>
            </w:pPr>
            <w:r>
              <w:rPr>
                <w:rFonts w:hint="eastAsia" w:ascii="宋体" w:hAnsi="宋体"/>
                <w:bCs/>
                <w:color w:val="000000"/>
                <w:szCs w:val="21"/>
              </w:rPr>
              <w:t>门窗框的水平度</w:t>
            </w:r>
          </w:p>
        </w:tc>
        <w:tc>
          <w:tcPr>
            <w:tcW w:w="821" w:type="pct"/>
            <w:tcBorders>
              <w:top w:val="single" w:color="auto" w:sz="4" w:space="0"/>
              <w:left w:val="single" w:color="auto" w:sz="4" w:space="0"/>
              <w:bottom w:val="single" w:color="auto" w:sz="4" w:space="0"/>
              <w:right w:val="single" w:color="auto" w:sz="4" w:space="0"/>
            </w:tcBorders>
            <w:vAlign w:val="center"/>
          </w:tcPr>
          <w:p w14:paraId="17D5542A">
            <w:pPr>
              <w:spacing w:line="360" w:lineRule="auto"/>
              <w:jc w:val="center"/>
              <w:rPr>
                <w:rFonts w:ascii="宋体" w:hAnsi="宋体"/>
                <w:bCs/>
                <w:color w:val="000000"/>
                <w:szCs w:val="21"/>
              </w:rPr>
            </w:pPr>
            <w:r>
              <w:rPr>
                <w:rFonts w:hint="eastAsia"/>
                <w:bCs/>
                <w:color w:val="000000"/>
                <w:szCs w:val="21"/>
              </w:rPr>
              <w:t>3</w:t>
            </w:r>
          </w:p>
        </w:tc>
        <w:tc>
          <w:tcPr>
            <w:tcW w:w="1369" w:type="pct"/>
            <w:vMerge w:val="continue"/>
            <w:tcBorders>
              <w:top w:val="nil"/>
              <w:left w:val="single" w:color="auto" w:sz="4" w:space="0"/>
              <w:bottom w:val="single" w:color="auto" w:sz="4" w:space="0"/>
              <w:right w:val="single" w:color="auto" w:sz="4" w:space="0"/>
            </w:tcBorders>
            <w:vAlign w:val="center"/>
          </w:tcPr>
          <w:p w14:paraId="4AEA1755">
            <w:pPr>
              <w:widowControl/>
              <w:jc w:val="left"/>
              <w:rPr>
                <w:rFonts w:ascii="宋体" w:hAnsi="宋体"/>
                <w:bCs/>
                <w:color w:val="000000"/>
                <w:szCs w:val="21"/>
              </w:rPr>
            </w:pPr>
          </w:p>
        </w:tc>
      </w:tr>
    </w:tbl>
    <w:p w14:paraId="428175F9">
      <w:pPr>
        <w:pStyle w:val="112"/>
        <w:numPr>
          <w:ilvl w:val="0"/>
          <w:numId w:val="0"/>
        </w:numPr>
        <w:ind w:left="964"/>
        <w:jc w:val="left"/>
      </w:pPr>
      <w:r>
        <w:rPr>
          <w:rFonts w:hint="eastAsia"/>
        </w:rPr>
        <w:t>（7）预制构件的外观质量不宜有一版缺陷，构件的外观质量应符合下表规定，对已经出现的一般缺陷，应按技术处理方案进行处理，并重新检查验收，</w:t>
      </w:r>
    </w:p>
    <w:p w14:paraId="12C28FA9">
      <w:pPr>
        <w:pStyle w:val="112"/>
        <w:numPr>
          <w:ilvl w:val="0"/>
          <w:numId w:val="0"/>
        </w:numPr>
        <w:ind w:left="964"/>
        <w:jc w:val="left"/>
      </w:pPr>
      <w:r>
        <w:rPr>
          <w:rFonts w:hint="eastAsia"/>
        </w:rPr>
        <w:t>检查数量：全数检查</w:t>
      </w:r>
    </w:p>
    <w:p w14:paraId="0F13726A">
      <w:pPr>
        <w:pStyle w:val="112"/>
        <w:numPr>
          <w:ilvl w:val="0"/>
          <w:numId w:val="0"/>
        </w:numPr>
        <w:ind w:left="964"/>
        <w:jc w:val="left"/>
      </w:pPr>
      <w:r>
        <w:rPr>
          <w:rFonts w:hint="eastAsia"/>
        </w:rPr>
        <w:t>检验方法：观察，检查技术处理方案。</w:t>
      </w:r>
    </w:p>
    <w:p w14:paraId="61093294">
      <w:pPr>
        <w:pStyle w:val="112"/>
        <w:numPr>
          <w:ilvl w:val="0"/>
          <w:numId w:val="0"/>
        </w:numPr>
        <w:ind w:left="964" w:firstLine="2520" w:firstLineChars="1400"/>
        <w:jc w:val="left"/>
      </w:pPr>
      <w:r>
        <w:rPr>
          <w:rFonts w:hint="eastAsia"/>
        </w:rPr>
        <w:t>预制构件外观质量允许范围</w:t>
      </w:r>
    </w:p>
    <w:tbl>
      <w:tblPr>
        <w:tblStyle w:val="37"/>
        <w:tblW w:w="9523" w:type="dxa"/>
        <w:tblInd w:w="108" w:type="dxa"/>
        <w:tblLayout w:type="autofit"/>
        <w:tblCellMar>
          <w:top w:w="0" w:type="dxa"/>
          <w:left w:w="0" w:type="dxa"/>
          <w:bottom w:w="0" w:type="dxa"/>
          <w:right w:w="0" w:type="dxa"/>
        </w:tblCellMar>
      </w:tblPr>
      <w:tblGrid>
        <w:gridCol w:w="945"/>
        <w:gridCol w:w="3617"/>
        <w:gridCol w:w="1843"/>
        <w:gridCol w:w="3118"/>
      </w:tblGrid>
      <w:tr w14:paraId="19EE37B5">
        <w:tblPrEx>
          <w:tblCellMar>
            <w:top w:w="0" w:type="dxa"/>
            <w:left w:w="0" w:type="dxa"/>
            <w:bottom w:w="0" w:type="dxa"/>
            <w:right w:w="0" w:type="dxa"/>
          </w:tblCellMar>
        </w:tblPrEx>
        <w:trPr>
          <w:trHeight w:val="375" w:hRule="atLeast"/>
        </w:trPr>
        <w:tc>
          <w:tcPr>
            <w:tcW w:w="945" w:type="dxa"/>
            <w:tcBorders>
              <w:top w:val="inset" w:color="auto" w:sz="6" w:space="0"/>
              <w:left w:val="inset" w:color="auto" w:sz="6" w:space="0"/>
              <w:bottom w:val="inset" w:color="auto" w:sz="6" w:space="0"/>
              <w:right w:val="inset" w:color="auto" w:sz="6" w:space="0"/>
            </w:tcBorders>
            <w:vAlign w:val="center"/>
          </w:tcPr>
          <w:p w14:paraId="6E175E8F">
            <w:pPr>
              <w:spacing w:line="264" w:lineRule="auto"/>
              <w:jc w:val="center"/>
              <w:rPr>
                <w:color w:val="000000"/>
                <w:szCs w:val="21"/>
              </w:rPr>
            </w:pPr>
            <w:r>
              <w:rPr>
                <w:rFonts w:hint="eastAsia" w:ascii="宋体" w:hAnsi="宋体"/>
                <w:color w:val="000000"/>
                <w:szCs w:val="21"/>
              </w:rPr>
              <w:t>名称</w:t>
            </w:r>
          </w:p>
        </w:tc>
        <w:tc>
          <w:tcPr>
            <w:tcW w:w="3617" w:type="dxa"/>
            <w:tcBorders>
              <w:top w:val="inset" w:color="auto" w:sz="6" w:space="0"/>
              <w:left w:val="nil"/>
              <w:bottom w:val="inset" w:color="auto" w:sz="6" w:space="0"/>
              <w:right w:val="inset" w:color="auto" w:sz="6" w:space="0"/>
            </w:tcBorders>
            <w:vAlign w:val="center"/>
          </w:tcPr>
          <w:p w14:paraId="5556BF6D">
            <w:pPr>
              <w:spacing w:line="264" w:lineRule="auto"/>
              <w:jc w:val="center"/>
              <w:rPr>
                <w:color w:val="000000"/>
                <w:szCs w:val="21"/>
              </w:rPr>
            </w:pPr>
            <w:r>
              <w:rPr>
                <w:rFonts w:hint="eastAsia" w:ascii="宋体" w:hAnsi="宋体"/>
                <w:color w:val="000000"/>
                <w:szCs w:val="21"/>
              </w:rPr>
              <w:t>现象</w:t>
            </w:r>
          </w:p>
        </w:tc>
        <w:tc>
          <w:tcPr>
            <w:tcW w:w="1843" w:type="dxa"/>
            <w:tcBorders>
              <w:top w:val="inset" w:color="auto" w:sz="6" w:space="0"/>
              <w:left w:val="nil"/>
              <w:bottom w:val="inset" w:color="auto" w:sz="6" w:space="0"/>
              <w:right w:val="inset" w:color="auto" w:sz="6" w:space="0"/>
            </w:tcBorders>
            <w:vAlign w:val="center"/>
          </w:tcPr>
          <w:p w14:paraId="51D8C8B0">
            <w:pPr>
              <w:spacing w:line="264" w:lineRule="auto"/>
              <w:jc w:val="center"/>
              <w:rPr>
                <w:color w:val="000000"/>
                <w:szCs w:val="21"/>
              </w:rPr>
            </w:pPr>
            <w:r>
              <w:rPr>
                <w:rFonts w:hint="eastAsia" w:ascii="宋体" w:hAnsi="宋体"/>
                <w:color w:val="000000"/>
                <w:szCs w:val="21"/>
              </w:rPr>
              <w:t>一般缺陷</w:t>
            </w:r>
          </w:p>
        </w:tc>
        <w:tc>
          <w:tcPr>
            <w:tcW w:w="3118" w:type="dxa"/>
            <w:tcBorders>
              <w:top w:val="inset" w:color="auto" w:sz="6" w:space="0"/>
              <w:left w:val="nil"/>
              <w:bottom w:val="inset" w:color="auto" w:sz="6" w:space="0"/>
              <w:right w:val="inset" w:color="auto" w:sz="6" w:space="0"/>
            </w:tcBorders>
            <w:vAlign w:val="center"/>
          </w:tcPr>
          <w:p w14:paraId="6C4332C7">
            <w:pPr>
              <w:spacing w:line="264" w:lineRule="auto"/>
              <w:jc w:val="center"/>
              <w:rPr>
                <w:color w:val="000000"/>
                <w:szCs w:val="21"/>
              </w:rPr>
            </w:pPr>
            <w:r>
              <w:rPr>
                <w:rFonts w:hint="eastAsia" w:ascii="宋体" w:hAnsi="宋体"/>
                <w:color w:val="000000"/>
                <w:szCs w:val="21"/>
              </w:rPr>
              <w:t>允许范围</w:t>
            </w:r>
          </w:p>
        </w:tc>
      </w:tr>
      <w:tr w14:paraId="4A7C3EEF">
        <w:tblPrEx>
          <w:tblCellMar>
            <w:top w:w="0" w:type="dxa"/>
            <w:left w:w="0" w:type="dxa"/>
            <w:bottom w:w="0" w:type="dxa"/>
            <w:right w:w="0" w:type="dxa"/>
          </w:tblCellMar>
        </w:tblPrEx>
        <w:trPr>
          <w:trHeight w:val="585" w:hRule="atLeast"/>
        </w:trPr>
        <w:tc>
          <w:tcPr>
            <w:tcW w:w="945" w:type="dxa"/>
            <w:tcBorders>
              <w:top w:val="inset" w:color="auto" w:sz="6" w:space="0"/>
              <w:left w:val="inset" w:color="auto" w:sz="6" w:space="0"/>
              <w:bottom w:val="inset" w:color="auto" w:sz="6" w:space="0"/>
              <w:right w:val="inset" w:color="auto" w:sz="6" w:space="0"/>
            </w:tcBorders>
            <w:vAlign w:val="center"/>
          </w:tcPr>
          <w:p w14:paraId="13AF4675">
            <w:pPr>
              <w:spacing w:line="264" w:lineRule="auto"/>
              <w:jc w:val="center"/>
              <w:rPr>
                <w:color w:val="000000"/>
                <w:szCs w:val="21"/>
              </w:rPr>
            </w:pPr>
            <w:r>
              <w:rPr>
                <w:rFonts w:hint="eastAsia" w:ascii="宋体" w:hAnsi="宋体"/>
                <w:color w:val="000000"/>
                <w:szCs w:val="21"/>
              </w:rPr>
              <w:t>露筋</w:t>
            </w:r>
          </w:p>
        </w:tc>
        <w:tc>
          <w:tcPr>
            <w:tcW w:w="3617" w:type="dxa"/>
            <w:tcBorders>
              <w:top w:val="inset" w:color="auto" w:sz="6" w:space="0"/>
              <w:left w:val="nil"/>
              <w:bottom w:val="inset" w:color="auto" w:sz="6" w:space="0"/>
              <w:right w:val="inset" w:color="auto" w:sz="6" w:space="0"/>
            </w:tcBorders>
            <w:vAlign w:val="center"/>
          </w:tcPr>
          <w:p w14:paraId="19ED2DBE">
            <w:pPr>
              <w:spacing w:line="264" w:lineRule="auto"/>
              <w:rPr>
                <w:color w:val="000000"/>
                <w:szCs w:val="21"/>
              </w:rPr>
            </w:pPr>
            <w:r>
              <w:rPr>
                <w:rFonts w:hint="eastAsia" w:ascii="宋体" w:hAnsi="宋体"/>
                <w:color w:val="000000"/>
                <w:szCs w:val="21"/>
              </w:rPr>
              <w:t>构件内钢筋未被混凝土包裹而外露</w:t>
            </w:r>
          </w:p>
        </w:tc>
        <w:tc>
          <w:tcPr>
            <w:tcW w:w="1843" w:type="dxa"/>
            <w:tcBorders>
              <w:top w:val="inset" w:color="auto" w:sz="6" w:space="0"/>
              <w:left w:val="nil"/>
              <w:bottom w:val="inset" w:color="auto" w:sz="6" w:space="0"/>
              <w:right w:val="inset" w:color="auto" w:sz="6" w:space="0"/>
            </w:tcBorders>
            <w:vAlign w:val="center"/>
          </w:tcPr>
          <w:p w14:paraId="589F720B">
            <w:pPr>
              <w:spacing w:line="264" w:lineRule="auto"/>
              <w:jc w:val="center"/>
              <w:rPr>
                <w:color w:val="000000"/>
                <w:szCs w:val="21"/>
              </w:rPr>
            </w:pPr>
            <w:r>
              <w:rPr>
                <w:rFonts w:hint="eastAsia" w:ascii="宋体" w:hAnsi="宋体"/>
                <w:color w:val="000000"/>
                <w:szCs w:val="21"/>
              </w:rPr>
              <w:t>有少量露筋</w:t>
            </w:r>
          </w:p>
        </w:tc>
        <w:tc>
          <w:tcPr>
            <w:tcW w:w="3118" w:type="dxa"/>
            <w:tcBorders>
              <w:top w:val="inset" w:color="auto" w:sz="6" w:space="0"/>
              <w:left w:val="nil"/>
              <w:bottom w:val="inset" w:color="auto" w:sz="6" w:space="0"/>
              <w:right w:val="inset" w:color="auto" w:sz="6" w:space="0"/>
            </w:tcBorders>
            <w:vAlign w:val="center"/>
          </w:tcPr>
          <w:p w14:paraId="390B32B9">
            <w:pPr>
              <w:spacing w:line="264" w:lineRule="auto"/>
              <w:rPr>
                <w:color w:val="000000"/>
                <w:szCs w:val="21"/>
              </w:rPr>
            </w:pPr>
            <w:r>
              <w:rPr>
                <w:rFonts w:hint="eastAsia" w:ascii="宋体" w:hAnsi="宋体"/>
                <w:color w:val="000000"/>
                <w:szCs w:val="21"/>
              </w:rPr>
              <w:t>禁止露筋</w:t>
            </w:r>
          </w:p>
        </w:tc>
      </w:tr>
      <w:tr w14:paraId="1551D7B0">
        <w:tblPrEx>
          <w:tblCellMar>
            <w:top w:w="0" w:type="dxa"/>
            <w:left w:w="0" w:type="dxa"/>
            <w:bottom w:w="0" w:type="dxa"/>
            <w:right w:w="0" w:type="dxa"/>
          </w:tblCellMar>
        </w:tblPrEx>
        <w:trPr>
          <w:trHeight w:val="668" w:hRule="atLeast"/>
        </w:trPr>
        <w:tc>
          <w:tcPr>
            <w:tcW w:w="945" w:type="dxa"/>
            <w:tcBorders>
              <w:top w:val="inset" w:color="auto" w:sz="6" w:space="0"/>
              <w:left w:val="inset" w:color="auto" w:sz="6" w:space="0"/>
              <w:bottom w:val="inset" w:color="auto" w:sz="6" w:space="0"/>
              <w:right w:val="inset" w:color="auto" w:sz="6" w:space="0"/>
            </w:tcBorders>
            <w:vAlign w:val="center"/>
          </w:tcPr>
          <w:p w14:paraId="36683C7A">
            <w:pPr>
              <w:spacing w:line="264" w:lineRule="auto"/>
              <w:jc w:val="center"/>
              <w:rPr>
                <w:color w:val="000000"/>
                <w:szCs w:val="21"/>
              </w:rPr>
            </w:pPr>
            <w:r>
              <w:rPr>
                <w:rFonts w:hint="eastAsia" w:ascii="宋体" w:hAnsi="宋体"/>
                <w:color w:val="000000"/>
                <w:szCs w:val="21"/>
              </w:rPr>
              <w:t>蜂窝</w:t>
            </w:r>
          </w:p>
        </w:tc>
        <w:tc>
          <w:tcPr>
            <w:tcW w:w="3617" w:type="dxa"/>
            <w:tcBorders>
              <w:top w:val="inset" w:color="auto" w:sz="6" w:space="0"/>
              <w:left w:val="nil"/>
              <w:bottom w:val="inset" w:color="auto" w:sz="6" w:space="0"/>
              <w:right w:val="inset" w:color="auto" w:sz="6" w:space="0"/>
            </w:tcBorders>
            <w:vAlign w:val="center"/>
          </w:tcPr>
          <w:p w14:paraId="6DB888CB">
            <w:pPr>
              <w:spacing w:line="264" w:lineRule="auto"/>
              <w:rPr>
                <w:color w:val="000000"/>
                <w:szCs w:val="21"/>
              </w:rPr>
            </w:pPr>
            <w:r>
              <w:rPr>
                <w:rFonts w:hint="eastAsia" w:ascii="宋体" w:hAnsi="宋体"/>
                <w:color w:val="000000"/>
                <w:szCs w:val="21"/>
              </w:rPr>
              <w:t>混凝土表面缺少水泥砂浆而形成石子外露</w:t>
            </w:r>
          </w:p>
        </w:tc>
        <w:tc>
          <w:tcPr>
            <w:tcW w:w="1843" w:type="dxa"/>
            <w:tcBorders>
              <w:top w:val="inset" w:color="auto" w:sz="6" w:space="0"/>
              <w:left w:val="nil"/>
              <w:bottom w:val="inset" w:color="auto" w:sz="6" w:space="0"/>
              <w:right w:val="inset" w:color="auto" w:sz="6" w:space="0"/>
            </w:tcBorders>
            <w:vAlign w:val="center"/>
          </w:tcPr>
          <w:p w14:paraId="4C09E02F">
            <w:pPr>
              <w:spacing w:line="264" w:lineRule="auto"/>
              <w:jc w:val="center"/>
              <w:rPr>
                <w:color w:val="000000"/>
                <w:szCs w:val="21"/>
              </w:rPr>
            </w:pPr>
            <w:r>
              <w:rPr>
                <w:rFonts w:hint="eastAsia" w:ascii="宋体" w:hAnsi="宋体"/>
                <w:color w:val="000000"/>
                <w:szCs w:val="21"/>
              </w:rPr>
              <w:t>有少量蜂窝</w:t>
            </w:r>
          </w:p>
        </w:tc>
        <w:tc>
          <w:tcPr>
            <w:tcW w:w="3118" w:type="dxa"/>
            <w:tcBorders>
              <w:top w:val="inset" w:color="auto" w:sz="6" w:space="0"/>
              <w:left w:val="nil"/>
              <w:bottom w:val="inset" w:color="auto" w:sz="6" w:space="0"/>
              <w:right w:val="inset" w:color="auto" w:sz="6" w:space="0"/>
            </w:tcBorders>
            <w:vAlign w:val="center"/>
          </w:tcPr>
          <w:p w14:paraId="1545B9CF">
            <w:pPr>
              <w:spacing w:line="264" w:lineRule="auto"/>
              <w:rPr>
                <w:color w:val="000000"/>
                <w:szCs w:val="21"/>
              </w:rPr>
            </w:pPr>
            <w:r>
              <w:rPr>
                <w:rFonts w:hint="eastAsia" w:ascii="宋体" w:hAnsi="宋体"/>
                <w:color w:val="000000"/>
                <w:szCs w:val="21"/>
              </w:rPr>
              <w:t>禁止蜂窝</w:t>
            </w:r>
          </w:p>
        </w:tc>
      </w:tr>
      <w:tr w14:paraId="3E35E5CE">
        <w:tblPrEx>
          <w:tblCellMar>
            <w:top w:w="0" w:type="dxa"/>
            <w:left w:w="0" w:type="dxa"/>
            <w:bottom w:w="0" w:type="dxa"/>
            <w:right w:w="0" w:type="dxa"/>
          </w:tblCellMar>
        </w:tblPrEx>
        <w:trPr>
          <w:trHeight w:val="975" w:hRule="atLeast"/>
        </w:trPr>
        <w:tc>
          <w:tcPr>
            <w:tcW w:w="945" w:type="dxa"/>
            <w:tcBorders>
              <w:top w:val="inset" w:color="auto" w:sz="6" w:space="0"/>
              <w:left w:val="inset" w:color="auto" w:sz="6" w:space="0"/>
              <w:bottom w:val="inset" w:color="auto" w:sz="6" w:space="0"/>
              <w:right w:val="inset" w:color="auto" w:sz="6" w:space="0"/>
            </w:tcBorders>
            <w:vAlign w:val="center"/>
          </w:tcPr>
          <w:p w14:paraId="58D54091">
            <w:pPr>
              <w:spacing w:line="264" w:lineRule="auto"/>
              <w:jc w:val="center"/>
              <w:rPr>
                <w:color w:val="000000"/>
                <w:szCs w:val="21"/>
              </w:rPr>
            </w:pPr>
            <w:r>
              <w:rPr>
                <w:rFonts w:hint="eastAsia" w:ascii="宋体" w:hAnsi="宋体"/>
                <w:color w:val="000000"/>
                <w:szCs w:val="21"/>
              </w:rPr>
              <w:t>孔洞</w:t>
            </w:r>
          </w:p>
        </w:tc>
        <w:tc>
          <w:tcPr>
            <w:tcW w:w="3617" w:type="dxa"/>
            <w:tcBorders>
              <w:top w:val="inset" w:color="auto" w:sz="6" w:space="0"/>
              <w:left w:val="nil"/>
              <w:bottom w:val="inset" w:color="auto" w:sz="6" w:space="0"/>
              <w:right w:val="inset" w:color="auto" w:sz="6" w:space="0"/>
            </w:tcBorders>
            <w:vAlign w:val="center"/>
          </w:tcPr>
          <w:p w14:paraId="6EB69CAB">
            <w:pPr>
              <w:spacing w:line="264" w:lineRule="auto"/>
              <w:rPr>
                <w:color w:val="000000"/>
                <w:szCs w:val="21"/>
              </w:rPr>
            </w:pPr>
            <w:r>
              <w:rPr>
                <w:rFonts w:hint="eastAsia" w:ascii="宋体" w:hAnsi="宋体"/>
                <w:color w:val="000000"/>
                <w:szCs w:val="21"/>
              </w:rPr>
              <w:t>混凝土中孔穴深度和长度均超过保护层厚度</w:t>
            </w:r>
          </w:p>
        </w:tc>
        <w:tc>
          <w:tcPr>
            <w:tcW w:w="1843" w:type="dxa"/>
            <w:tcBorders>
              <w:top w:val="inset" w:color="auto" w:sz="6" w:space="0"/>
              <w:left w:val="nil"/>
              <w:bottom w:val="inset" w:color="auto" w:sz="6" w:space="0"/>
              <w:right w:val="inset" w:color="auto" w:sz="6" w:space="0"/>
            </w:tcBorders>
            <w:vAlign w:val="center"/>
          </w:tcPr>
          <w:p w14:paraId="5F9763A7">
            <w:pPr>
              <w:spacing w:line="264" w:lineRule="auto"/>
              <w:jc w:val="center"/>
              <w:rPr>
                <w:color w:val="000000"/>
                <w:szCs w:val="21"/>
              </w:rPr>
            </w:pPr>
            <w:r>
              <w:rPr>
                <w:rFonts w:hint="eastAsia" w:ascii="宋体" w:hAnsi="宋体"/>
                <w:color w:val="000000"/>
                <w:szCs w:val="21"/>
              </w:rPr>
              <w:t>有少量孔洞</w:t>
            </w:r>
          </w:p>
        </w:tc>
        <w:tc>
          <w:tcPr>
            <w:tcW w:w="3118" w:type="dxa"/>
            <w:tcBorders>
              <w:top w:val="inset" w:color="auto" w:sz="6" w:space="0"/>
              <w:left w:val="nil"/>
              <w:bottom w:val="inset" w:color="auto" w:sz="6" w:space="0"/>
              <w:right w:val="inset" w:color="auto" w:sz="6" w:space="0"/>
            </w:tcBorders>
            <w:vAlign w:val="center"/>
          </w:tcPr>
          <w:p w14:paraId="3E6B0815">
            <w:pPr>
              <w:spacing w:line="264" w:lineRule="auto"/>
              <w:rPr>
                <w:color w:val="000000"/>
                <w:szCs w:val="21"/>
              </w:rPr>
            </w:pPr>
            <w:r>
              <w:rPr>
                <w:rFonts w:hint="eastAsia" w:ascii="宋体" w:hAnsi="宋体"/>
                <w:color w:val="000000"/>
                <w:szCs w:val="21"/>
              </w:rPr>
              <w:t>允许极少量孔洞</w:t>
            </w:r>
          </w:p>
        </w:tc>
      </w:tr>
      <w:tr w14:paraId="3AB73716">
        <w:tblPrEx>
          <w:tblCellMar>
            <w:top w:w="0" w:type="dxa"/>
            <w:left w:w="0" w:type="dxa"/>
            <w:bottom w:w="0" w:type="dxa"/>
            <w:right w:w="0" w:type="dxa"/>
          </w:tblCellMar>
        </w:tblPrEx>
        <w:trPr>
          <w:trHeight w:val="1095" w:hRule="atLeast"/>
        </w:trPr>
        <w:tc>
          <w:tcPr>
            <w:tcW w:w="945" w:type="dxa"/>
            <w:tcBorders>
              <w:top w:val="inset" w:color="auto" w:sz="6" w:space="0"/>
              <w:left w:val="inset" w:color="auto" w:sz="6" w:space="0"/>
              <w:bottom w:val="inset" w:color="auto" w:sz="6" w:space="0"/>
              <w:right w:val="inset" w:color="auto" w:sz="6" w:space="0"/>
            </w:tcBorders>
            <w:vAlign w:val="center"/>
          </w:tcPr>
          <w:p w14:paraId="3B8DB404">
            <w:pPr>
              <w:spacing w:line="264" w:lineRule="auto"/>
              <w:jc w:val="center"/>
              <w:rPr>
                <w:color w:val="000000"/>
                <w:szCs w:val="21"/>
              </w:rPr>
            </w:pPr>
            <w:r>
              <w:rPr>
                <w:rFonts w:hint="eastAsia" w:ascii="宋体" w:hAnsi="宋体"/>
                <w:color w:val="000000"/>
                <w:szCs w:val="21"/>
              </w:rPr>
              <w:t>夹渣</w:t>
            </w:r>
          </w:p>
        </w:tc>
        <w:tc>
          <w:tcPr>
            <w:tcW w:w="3617" w:type="dxa"/>
            <w:tcBorders>
              <w:top w:val="inset" w:color="auto" w:sz="6" w:space="0"/>
              <w:left w:val="nil"/>
              <w:bottom w:val="inset" w:color="auto" w:sz="6" w:space="0"/>
              <w:right w:val="inset" w:color="auto" w:sz="6" w:space="0"/>
            </w:tcBorders>
            <w:vAlign w:val="center"/>
          </w:tcPr>
          <w:p w14:paraId="53B80398">
            <w:pPr>
              <w:spacing w:line="264" w:lineRule="auto"/>
              <w:rPr>
                <w:color w:val="000000"/>
                <w:szCs w:val="21"/>
              </w:rPr>
            </w:pPr>
            <w:r>
              <w:rPr>
                <w:rFonts w:hint="eastAsia" w:ascii="宋体" w:hAnsi="宋体"/>
                <w:color w:val="000000"/>
                <w:szCs w:val="21"/>
              </w:rPr>
              <w:t>混凝土中夹有杂物且深度超过保护层厚度</w:t>
            </w:r>
          </w:p>
        </w:tc>
        <w:tc>
          <w:tcPr>
            <w:tcW w:w="1843" w:type="dxa"/>
            <w:tcBorders>
              <w:top w:val="inset" w:color="auto" w:sz="6" w:space="0"/>
              <w:left w:val="nil"/>
              <w:bottom w:val="inset" w:color="auto" w:sz="6" w:space="0"/>
              <w:right w:val="inset" w:color="auto" w:sz="6" w:space="0"/>
            </w:tcBorders>
            <w:vAlign w:val="center"/>
          </w:tcPr>
          <w:p w14:paraId="65C4E31C">
            <w:pPr>
              <w:spacing w:line="264" w:lineRule="auto"/>
              <w:jc w:val="center"/>
              <w:rPr>
                <w:color w:val="000000"/>
                <w:szCs w:val="21"/>
              </w:rPr>
            </w:pPr>
            <w:r>
              <w:rPr>
                <w:rFonts w:hint="eastAsia" w:ascii="宋体" w:hAnsi="宋体"/>
                <w:color w:val="000000"/>
                <w:szCs w:val="21"/>
              </w:rPr>
              <w:t>有少量夹渣</w:t>
            </w:r>
          </w:p>
        </w:tc>
        <w:tc>
          <w:tcPr>
            <w:tcW w:w="3118" w:type="dxa"/>
            <w:tcBorders>
              <w:top w:val="inset" w:color="auto" w:sz="6" w:space="0"/>
              <w:left w:val="nil"/>
              <w:bottom w:val="inset" w:color="auto" w:sz="6" w:space="0"/>
              <w:right w:val="inset" w:color="auto" w:sz="6" w:space="0"/>
            </w:tcBorders>
            <w:vAlign w:val="center"/>
          </w:tcPr>
          <w:p w14:paraId="7D113F9D">
            <w:pPr>
              <w:spacing w:line="264" w:lineRule="auto"/>
              <w:rPr>
                <w:color w:val="000000"/>
                <w:szCs w:val="21"/>
              </w:rPr>
            </w:pPr>
            <w:r>
              <w:rPr>
                <w:rFonts w:hint="eastAsia" w:ascii="宋体" w:hAnsi="宋体"/>
                <w:color w:val="000000"/>
                <w:szCs w:val="21"/>
              </w:rPr>
              <w:t>禁止夹渣</w:t>
            </w:r>
          </w:p>
        </w:tc>
      </w:tr>
      <w:tr w14:paraId="67DFF4B3">
        <w:tblPrEx>
          <w:tblCellMar>
            <w:top w:w="0" w:type="dxa"/>
            <w:left w:w="0" w:type="dxa"/>
            <w:bottom w:w="0" w:type="dxa"/>
            <w:right w:w="0" w:type="dxa"/>
          </w:tblCellMar>
        </w:tblPrEx>
        <w:trPr>
          <w:trHeight w:val="795" w:hRule="atLeast"/>
        </w:trPr>
        <w:tc>
          <w:tcPr>
            <w:tcW w:w="945" w:type="dxa"/>
            <w:tcBorders>
              <w:top w:val="inset" w:color="auto" w:sz="6" w:space="0"/>
              <w:left w:val="inset" w:color="auto" w:sz="6" w:space="0"/>
              <w:bottom w:val="inset" w:color="auto" w:sz="6" w:space="0"/>
              <w:right w:val="inset" w:color="auto" w:sz="6" w:space="0"/>
            </w:tcBorders>
            <w:vAlign w:val="center"/>
          </w:tcPr>
          <w:p w14:paraId="39796308">
            <w:pPr>
              <w:spacing w:line="264" w:lineRule="auto"/>
              <w:jc w:val="center"/>
              <w:rPr>
                <w:color w:val="000000"/>
                <w:szCs w:val="21"/>
              </w:rPr>
            </w:pPr>
            <w:r>
              <w:rPr>
                <w:rFonts w:hint="eastAsia" w:ascii="宋体" w:hAnsi="宋体"/>
                <w:color w:val="000000"/>
                <w:szCs w:val="21"/>
              </w:rPr>
              <w:t>疏松</w:t>
            </w:r>
          </w:p>
        </w:tc>
        <w:tc>
          <w:tcPr>
            <w:tcW w:w="3617" w:type="dxa"/>
            <w:tcBorders>
              <w:top w:val="inset" w:color="auto" w:sz="6" w:space="0"/>
              <w:left w:val="nil"/>
              <w:bottom w:val="inset" w:color="auto" w:sz="6" w:space="0"/>
              <w:right w:val="inset" w:color="auto" w:sz="6" w:space="0"/>
            </w:tcBorders>
            <w:vAlign w:val="center"/>
          </w:tcPr>
          <w:p w14:paraId="0918CB94">
            <w:pPr>
              <w:spacing w:line="264" w:lineRule="auto"/>
              <w:rPr>
                <w:color w:val="000000"/>
                <w:szCs w:val="21"/>
              </w:rPr>
            </w:pPr>
            <w:r>
              <w:rPr>
                <w:rFonts w:hint="eastAsia" w:ascii="宋体" w:hAnsi="宋体"/>
                <w:color w:val="000000"/>
                <w:szCs w:val="21"/>
              </w:rPr>
              <w:t>混凝土中局部不密实</w:t>
            </w:r>
          </w:p>
        </w:tc>
        <w:tc>
          <w:tcPr>
            <w:tcW w:w="1843" w:type="dxa"/>
            <w:tcBorders>
              <w:top w:val="inset" w:color="auto" w:sz="6" w:space="0"/>
              <w:left w:val="nil"/>
              <w:bottom w:val="inset" w:color="auto" w:sz="6" w:space="0"/>
              <w:right w:val="inset" w:color="auto" w:sz="6" w:space="0"/>
            </w:tcBorders>
            <w:vAlign w:val="center"/>
          </w:tcPr>
          <w:p w14:paraId="4BABA026">
            <w:pPr>
              <w:spacing w:line="264" w:lineRule="auto"/>
              <w:jc w:val="center"/>
              <w:rPr>
                <w:color w:val="000000"/>
                <w:szCs w:val="21"/>
              </w:rPr>
            </w:pPr>
            <w:r>
              <w:rPr>
                <w:rFonts w:hint="eastAsia" w:ascii="宋体" w:hAnsi="宋体"/>
                <w:color w:val="000000"/>
                <w:szCs w:val="21"/>
              </w:rPr>
              <w:t>有少量疏松</w:t>
            </w:r>
          </w:p>
        </w:tc>
        <w:tc>
          <w:tcPr>
            <w:tcW w:w="3118" w:type="dxa"/>
            <w:tcBorders>
              <w:top w:val="inset" w:color="auto" w:sz="6" w:space="0"/>
              <w:left w:val="nil"/>
              <w:bottom w:val="inset" w:color="auto" w:sz="6" w:space="0"/>
              <w:right w:val="inset" w:color="auto" w:sz="6" w:space="0"/>
            </w:tcBorders>
            <w:vAlign w:val="center"/>
          </w:tcPr>
          <w:p w14:paraId="0CEBFB45">
            <w:pPr>
              <w:spacing w:line="264" w:lineRule="auto"/>
              <w:rPr>
                <w:color w:val="000000"/>
                <w:szCs w:val="21"/>
              </w:rPr>
            </w:pPr>
            <w:r>
              <w:rPr>
                <w:rFonts w:hint="eastAsia" w:ascii="宋体" w:hAnsi="宋体"/>
                <w:color w:val="000000"/>
                <w:szCs w:val="21"/>
              </w:rPr>
              <w:t>允许极少量疏松</w:t>
            </w:r>
          </w:p>
        </w:tc>
      </w:tr>
      <w:tr w14:paraId="49CE25A3">
        <w:tblPrEx>
          <w:tblCellMar>
            <w:top w:w="0" w:type="dxa"/>
            <w:left w:w="0" w:type="dxa"/>
            <w:bottom w:w="0" w:type="dxa"/>
            <w:right w:w="0" w:type="dxa"/>
          </w:tblCellMar>
        </w:tblPrEx>
        <w:trPr>
          <w:trHeight w:val="1140" w:hRule="atLeast"/>
        </w:trPr>
        <w:tc>
          <w:tcPr>
            <w:tcW w:w="945" w:type="dxa"/>
            <w:tcBorders>
              <w:top w:val="inset" w:color="auto" w:sz="6" w:space="0"/>
              <w:left w:val="inset" w:color="auto" w:sz="6" w:space="0"/>
              <w:bottom w:val="inset" w:color="auto" w:sz="6" w:space="0"/>
              <w:right w:val="inset" w:color="auto" w:sz="6" w:space="0"/>
            </w:tcBorders>
            <w:vAlign w:val="center"/>
          </w:tcPr>
          <w:p w14:paraId="74A5BC5C">
            <w:pPr>
              <w:spacing w:line="264" w:lineRule="auto"/>
              <w:jc w:val="center"/>
              <w:rPr>
                <w:color w:val="000000"/>
                <w:szCs w:val="21"/>
              </w:rPr>
            </w:pPr>
            <w:r>
              <w:rPr>
                <w:rFonts w:hint="eastAsia" w:ascii="宋体" w:hAnsi="宋体"/>
                <w:color w:val="000000"/>
                <w:szCs w:val="21"/>
              </w:rPr>
              <w:t>裂缝</w:t>
            </w:r>
          </w:p>
        </w:tc>
        <w:tc>
          <w:tcPr>
            <w:tcW w:w="3617" w:type="dxa"/>
            <w:tcBorders>
              <w:top w:val="inset" w:color="auto" w:sz="6" w:space="0"/>
              <w:left w:val="nil"/>
              <w:bottom w:val="inset" w:color="auto" w:sz="6" w:space="0"/>
              <w:right w:val="inset" w:color="auto" w:sz="6" w:space="0"/>
            </w:tcBorders>
            <w:vAlign w:val="center"/>
          </w:tcPr>
          <w:p w14:paraId="78CA528D">
            <w:pPr>
              <w:spacing w:line="264" w:lineRule="auto"/>
              <w:rPr>
                <w:color w:val="000000"/>
                <w:szCs w:val="21"/>
              </w:rPr>
            </w:pPr>
            <w:r>
              <w:rPr>
                <w:rFonts w:hint="eastAsia" w:ascii="宋体" w:hAnsi="宋体"/>
                <w:color w:val="000000"/>
                <w:szCs w:val="21"/>
              </w:rPr>
              <w:t>缝隙从混凝土表面延伸至混凝土内部</w:t>
            </w:r>
          </w:p>
        </w:tc>
        <w:tc>
          <w:tcPr>
            <w:tcW w:w="1843" w:type="dxa"/>
            <w:tcBorders>
              <w:top w:val="inset" w:color="auto" w:sz="6" w:space="0"/>
              <w:left w:val="nil"/>
              <w:bottom w:val="inset" w:color="auto" w:sz="6" w:space="0"/>
              <w:right w:val="inset" w:color="auto" w:sz="6" w:space="0"/>
            </w:tcBorders>
            <w:vAlign w:val="center"/>
          </w:tcPr>
          <w:p w14:paraId="15F57F1F">
            <w:pPr>
              <w:spacing w:line="264" w:lineRule="auto"/>
              <w:jc w:val="center"/>
              <w:rPr>
                <w:color w:val="000000"/>
                <w:szCs w:val="21"/>
              </w:rPr>
            </w:pPr>
            <w:r>
              <w:rPr>
                <w:rFonts w:hint="eastAsia" w:ascii="宋体" w:hAnsi="宋体"/>
                <w:color w:val="000000"/>
                <w:szCs w:val="21"/>
              </w:rPr>
              <w:t>少量不影响结构性能或使用功能的裂缝</w:t>
            </w:r>
          </w:p>
        </w:tc>
        <w:tc>
          <w:tcPr>
            <w:tcW w:w="3118" w:type="dxa"/>
            <w:tcBorders>
              <w:top w:val="inset" w:color="auto" w:sz="6" w:space="0"/>
              <w:left w:val="nil"/>
              <w:bottom w:val="inset" w:color="auto" w:sz="6" w:space="0"/>
              <w:right w:val="inset" w:color="auto" w:sz="6" w:space="0"/>
            </w:tcBorders>
            <w:vAlign w:val="center"/>
          </w:tcPr>
          <w:p w14:paraId="303F1041">
            <w:pPr>
              <w:spacing w:line="264" w:lineRule="auto"/>
              <w:rPr>
                <w:color w:val="000000"/>
                <w:szCs w:val="21"/>
              </w:rPr>
            </w:pPr>
            <w:r>
              <w:rPr>
                <w:rFonts w:hint="eastAsia" w:ascii="宋体" w:hAnsi="宋体"/>
                <w:color w:val="000000"/>
                <w:szCs w:val="21"/>
              </w:rPr>
              <w:t>允许极少量不影响结构性能或使用功能的细微裂缝</w:t>
            </w:r>
          </w:p>
        </w:tc>
      </w:tr>
      <w:tr w14:paraId="7D380D91">
        <w:tblPrEx>
          <w:tblCellMar>
            <w:top w:w="0" w:type="dxa"/>
            <w:left w:w="0" w:type="dxa"/>
            <w:bottom w:w="0" w:type="dxa"/>
            <w:right w:w="0" w:type="dxa"/>
          </w:tblCellMar>
        </w:tblPrEx>
        <w:trPr>
          <w:trHeight w:val="1170" w:hRule="atLeast"/>
        </w:trPr>
        <w:tc>
          <w:tcPr>
            <w:tcW w:w="945" w:type="dxa"/>
            <w:tcBorders>
              <w:top w:val="inset" w:color="auto" w:sz="6" w:space="0"/>
              <w:left w:val="inset" w:color="auto" w:sz="6" w:space="0"/>
              <w:bottom w:val="inset" w:color="auto" w:sz="6" w:space="0"/>
              <w:right w:val="inset" w:color="auto" w:sz="6" w:space="0"/>
            </w:tcBorders>
            <w:vAlign w:val="center"/>
          </w:tcPr>
          <w:p w14:paraId="4F857D35">
            <w:pPr>
              <w:spacing w:line="264" w:lineRule="auto"/>
              <w:jc w:val="center"/>
              <w:rPr>
                <w:color w:val="000000"/>
                <w:szCs w:val="21"/>
              </w:rPr>
            </w:pPr>
            <w:r>
              <w:rPr>
                <w:rFonts w:hint="eastAsia" w:ascii="宋体" w:hAnsi="宋体"/>
                <w:color w:val="000000"/>
                <w:szCs w:val="21"/>
              </w:rPr>
              <w:t>连接部位缺陷</w:t>
            </w:r>
          </w:p>
        </w:tc>
        <w:tc>
          <w:tcPr>
            <w:tcW w:w="3617" w:type="dxa"/>
            <w:tcBorders>
              <w:top w:val="inset" w:color="auto" w:sz="6" w:space="0"/>
              <w:left w:val="nil"/>
              <w:bottom w:val="inset" w:color="auto" w:sz="6" w:space="0"/>
              <w:right w:val="inset" w:color="auto" w:sz="6" w:space="0"/>
            </w:tcBorders>
            <w:vAlign w:val="center"/>
          </w:tcPr>
          <w:p w14:paraId="378265FA">
            <w:pPr>
              <w:spacing w:line="264" w:lineRule="auto"/>
              <w:rPr>
                <w:color w:val="000000"/>
                <w:szCs w:val="21"/>
              </w:rPr>
            </w:pPr>
            <w:r>
              <w:rPr>
                <w:rFonts w:hint="eastAsia" w:ascii="宋体" w:hAnsi="宋体"/>
                <w:color w:val="000000"/>
                <w:szCs w:val="21"/>
              </w:rPr>
              <w:t>构件连接处混凝土缺陷及连接钢筋、连接件松动</w:t>
            </w:r>
          </w:p>
        </w:tc>
        <w:tc>
          <w:tcPr>
            <w:tcW w:w="1843" w:type="dxa"/>
            <w:tcBorders>
              <w:top w:val="inset" w:color="auto" w:sz="6" w:space="0"/>
              <w:left w:val="nil"/>
              <w:bottom w:val="inset" w:color="auto" w:sz="6" w:space="0"/>
              <w:right w:val="inset" w:color="auto" w:sz="6" w:space="0"/>
            </w:tcBorders>
            <w:vAlign w:val="center"/>
          </w:tcPr>
          <w:p w14:paraId="20E93998">
            <w:pPr>
              <w:spacing w:line="264" w:lineRule="auto"/>
              <w:jc w:val="center"/>
              <w:rPr>
                <w:color w:val="000000"/>
                <w:szCs w:val="21"/>
              </w:rPr>
            </w:pPr>
            <w:r>
              <w:rPr>
                <w:rFonts w:hint="eastAsia" w:ascii="宋体" w:hAnsi="宋体"/>
                <w:color w:val="000000"/>
                <w:szCs w:val="21"/>
              </w:rPr>
              <w:t>连接部位有基本不影响结构传力性能的缺陷</w:t>
            </w:r>
          </w:p>
        </w:tc>
        <w:tc>
          <w:tcPr>
            <w:tcW w:w="3118" w:type="dxa"/>
            <w:tcBorders>
              <w:top w:val="inset" w:color="auto" w:sz="6" w:space="0"/>
              <w:left w:val="nil"/>
              <w:bottom w:val="inset" w:color="auto" w:sz="6" w:space="0"/>
              <w:right w:val="inset" w:color="auto" w:sz="6" w:space="0"/>
            </w:tcBorders>
            <w:vAlign w:val="center"/>
          </w:tcPr>
          <w:p w14:paraId="13B4A59C">
            <w:pPr>
              <w:spacing w:line="264" w:lineRule="auto"/>
              <w:rPr>
                <w:color w:val="000000"/>
                <w:szCs w:val="21"/>
              </w:rPr>
            </w:pPr>
            <w:r>
              <w:rPr>
                <w:rFonts w:hint="eastAsia" w:ascii="宋体" w:hAnsi="宋体"/>
                <w:color w:val="000000"/>
                <w:szCs w:val="21"/>
              </w:rPr>
              <w:t>不应有</w:t>
            </w:r>
          </w:p>
        </w:tc>
      </w:tr>
      <w:tr w14:paraId="4988FA80">
        <w:tblPrEx>
          <w:tblCellMar>
            <w:top w:w="0" w:type="dxa"/>
            <w:left w:w="0" w:type="dxa"/>
            <w:bottom w:w="0" w:type="dxa"/>
            <w:right w:w="0" w:type="dxa"/>
          </w:tblCellMar>
        </w:tblPrEx>
        <w:trPr>
          <w:trHeight w:val="1170" w:hRule="atLeast"/>
        </w:trPr>
        <w:tc>
          <w:tcPr>
            <w:tcW w:w="945" w:type="dxa"/>
            <w:tcBorders>
              <w:top w:val="inset" w:color="auto" w:sz="6" w:space="0"/>
              <w:left w:val="inset" w:color="auto" w:sz="6" w:space="0"/>
              <w:bottom w:val="inset" w:color="auto" w:sz="6" w:space="0"/>
              <w:right w:val="inset" w:color="auto" w:sz="6" w:space="0"/>
            </w:tcBorders>
            <w:vAlign w:val="center"/>
          </w:tcPr>
          <w:p w14:paraId="3C0FDD8F">
            <w:pPr>
              <w:spacing w:line="264" w:lineRule="auto"/>
              <w:jc w:val="center"/>
              <w:rPr>
                <w:color w:val="000000"/>
                <w:szCs w:val="21"/>
              </w:rPr>
            </w:pPr>
            <w:r>
              <w:rPr>
                <w:rFonts w:hint="eastAsia" w:ascii="宋体" w:hAnsi="宋体"/>
                <w:color w:val="000000"/>
                <w:szCs w:val="21"/>
              </w:rPr>
              <w:t>外形缺陷</w:t>
            </w:r>
          </w:p>
        </w:tc>
        <w:tc>
          <w:tcPr>
            <w:tcW w:w="3617" w:type="dxa"/>
            <w:tcBorders>
              <w:top w:val="inset" w:color="auto" w:sz="6" w:space="0"/>
              <w:left w:val="nil"/>
              <w:bottom w:val="inset" w:color="auto" w:sz="6" w:space="0"/>
              <w:right w:val="inset" w:color="auto" w:sz="6" w:space="0"/>
            </w:tcBorders>
            <w:vAlign w:val="center"/>
          </w:tcPr>
          <w:p w14:paraId="4DBA4AC7">
            <w:pPr>
              <w:spacing w:line="264" w:lineRule="auto"/>
              <w:rPr>
                <w:rFonts w:ascii="宋体" w:hAnsi="宋体"/>
                <w:color w:val="000000"/>
                <w:szCs w:val="21"/>
              </w:rPr>
            </w:pPr>
            <w:r>
              <w:rPr>
                <w:rFonts w:hint="eastAsia" w:ascii="宋体" w:hAnsi="宋体"/>
                <w:color w:val="000000"/>
                <w:szCs w:val="21"/>
              </w:rPr>
              <w:t>内表面缺棱掉角、棱角不直、翘曲不平、民边凸肋等</w:t>
            </w:r>
          </w:p>
          <w:p w14:paraId="7AA3E047">
            <w:pPr>
              <w:spacing w:line="264" w:lineRule="auto"/>
              <w:rPr>
                <w:rFonts w:ascii="宋体" w:hAnsi="宋体"/>
                <w:color w:val="000000"/>
                <w:szCs w:val="21"/>
              </w:rPr>
            </w:pPr>
            <w:r>
              <w:rPr>
                <w:rFonts w:hint="eastAsia" w:ascii="宋体" w:hAnsi="宋体"/>
                <w:color w:val="000000"/>
                <w:szCs w:val="21"/>
              </w:rPr>
              <w:t>外表面面砖粘结不牢、位置偏差、面砖嵌缝没有达到横平竖直，转角面砖棱角不直、面砖表面翘曲不平等</w:t>
            </w:r>
          </w:p>
        </w:tc>
        <w:tc>
          <w:tcPr>
            <w:tcW w:w="1843" w:type="dxa"/>
            <w:tcBorders>
              <w:top w:val="inset" w:color="auto" w:sz="6" w:space="0"/>
              <w:left w:val="nil"/>
              <w:bottom w:val="inset" w:color="auto" w:sz="6" w:space="0"/>
              <w:right w:val="inset" w:color="auto" w:sz="6" w:space="0"/>
            </w:tcBorders>
            <w:vAlign w:val="center"/>
          </w:tcPr>
          <w:p w14:paraId="30E1FC4E">
            <w:pPr>
              <w:spacing w:line="264" w:lineRule="auto"/>
              <w:jc w:val="center"/>
              <w:rPr>
                <w:color w:val="000000"/>
                <w:szCs w:val="21"/>
              </w:rPr>
            </w:pPr>
            <w:r>
              <w:rPr>
                <w:rFonts w:hint="eastAsia" w:ascii="宋体" w:hAnsi="宋体"/>
                <w:color w:val="000000"/>
                <w:szCs w:val="21"/>
              </w:rPr>
              <w:t>有不影响使用功能的外形缺陷</w:t>
            </w:r>
          </w:p>
        </w:tc>
        <w:tc>
          <w:tcPr>
            <w:tcW w:w="3118" w:type="dxa"/>
            <w:tcBorders>
              <w:top w:val="inset" w:color="auto" w:sz="6" w:space="0"/>
              <w:left w:val="nil"/>
              <w:bottom w:val="inset" w:color="auto" w:sz="6" w:space="0"/>
              <w:right w:val="inset" w:color="auto" w:sz="6" w:space="0"/>
            </w:tcBorders>
            <w:vAlign w:val="center"/>
          </w:tcPr>
          <w:p w14:paraId="53DE0B03">
            <w:pPr>
              <w:spacing w:line="264" w:lineRule="auto"/>
              <w:rPr>
                <w:rFonts w:ascii="宋体" w:hAnsi="宋体"/>
                <w:color w:val="000000"/>
                <w:szCs w:val="21"/>
              </w:rPr>
            </w:pPr>
            <w:r>
              <w:rPr>
                <w:rFonts w:hint="eastAsia" w:ascii="宋体" w:hAnsi="宋体"/>
                <w:color w:val="000000"/>
                <w:szCs w:val="21"/>
              </w:rPr>
              <w:t>内表面缺陷基本不允许，要求达到预制构件允许偏差</w:t>
            </w:r>
          </w:p>
          <w:p w14:paraId="0E3FEDB8">
            <w:pPr>
              <w:spacing w:line="264" w:lineRule="auto"/>
              <w:rPr>
                <w:color w:val="000000"/>
                <w:szCs w:val="21"/>
              </w:rPr>
            </w:pPr>
            <w:r>
              <w:rPr>
                <w:rFonts w:hint="eastAsia" w:ascii="宋体" w:hAnsi="宋体"/>
                <w:color w:val="000000"/>
                <w:szCs w:val="21"/>
              </w:rPr>
              <w:t>外表面仅允许极少量缺陷，但禁止面砖粘结不牢、位置偏差、面砖翘曲不平不得超过允许值</w:t>
            </w:r>
          </w:p>
        </w:tc>
      </w:tr>
      <w:tr w14:paraId="12F395A1">
        <w:tblPrEx>
          <w:tblCellMar>
            <w:top w:w="0" w:type="dxa"/>
            <w:left w:w="0" w:type="dxa"/>
            <w:bottom w:w="0" w:type="dxa"/>
            <w:right w:w="0" w:type="dxa"/>
          </w:tblCellMar>
        </w:tblPrEx>
        <w:trPr>
          <w:trHeight w:val="960" w:hRule="atLeast"/>
        </w:trPr>
        <w:tc>
          <w:tcPr>
            <w:tcW w:w="945" w:type="dxa"/>
            <w:tcBorders>
              <w:top w:val="inset" w:color="auto" w:sz="6" w:space="0"/>
              <w:left w:val="inset" w:color="auto" w:sz="6" w:space="0"/>
              <w:bottom w:val="inset" w:color="auto" w:sz="6" w:space="0"/>
              <w:right w:val="inset" w:color="auto" w:sz="6" w:space="0"/>
            </w:tcBorders>
            <w:vAlign w:val="center"/>
          </w:tcPr>
          <w:p w14:paraId="51C29E2A">
            <w:pPr>
              <w:spacing w:line="264" w:lineRule="auto"/>
              <w:jc w:val="center"/>
              <w:rPr>
                <w:color w:val="000000"/>
                <w:szCs w:val="21"/>
              </w:rPr>
            </w:pPr>
            <w:r>
              <w:rPr>
                <w:rFonts w:hint="eastAsia" w:ascii="宋体" w:hAnsi="宋体"/>
                <w:color w:val="000000"/>
                <w:szCs w:val="21"/>
              </w:rPr>
              <w:t>外表缺陷</w:t>
            </w:r>
          </w:p>
        </w:tc>
        <w:tc>
          <w:tcPr>
            <w:tcW w:w="3617" w:type="dxa"/>
            <w:tcBorders>
              <w:top w:val="inset" w:color="auto" w:sz="6" w:space="0"/>
              <w:left w:val="nil"/>
              <w:bottom w:val="inset" w:color="auto" w:sz="6" w:space="0"/>
              <w:right w:val="inset" w:color="auto" w:sz="6" w:space="0"/>
            </w:tcBorders>
            <w:vAlign w:val="center"/>
          </w:tcPr>
          <w:p w14:paraId="0E9A03D0">
            <w:pPr>
              <w:spacing w:line="264" w:lineRule="auto"/>
              <w:rPr>
                <w:rFonts w:ascii="宋体" w:hAnsi="宋体"/>
                <w:color w:val="000000"/>
                <w:szCs w:val="21"/>
              </w:rPr>
            </w:pPr>
            <w:r>
              <w:rPr>
                <w:rFonts w:hint="eastAsia" w:ascii="宋体" w:hAnsi="宋体"/>
                <w:color w:val="000000"/>
                <w:szCs w:val="21"/>
              </w:rPr>
              <w:t>构件内表面麻面、掉皮、起砂、沾污等</w:t>
            </w:r>
          </w:p>
          <w:p w14:paraId="6D63659D">
            <w:pPr>
              <w:spacing w:line="264" w:lineRule="auto"/>
              <w:rPr>
                <w:color w:val="000000"/>
                <w:szCs w:val="21"/>
              </w:rPr>
            </w:pPr>
            <w:r>
              <w:rPr>
                <w:rFonts w:hint="eastAsia" w:ascii="宋体" w:hAnsi="宋体"/>
                <w:color w:val="000000"/>
                <w:szCs w:val="21"/>
              </w:rPr>
              <w:t>外表面面砖污染、铝窗框保护纸破坏</w:t>
            </w:r>
          </w:p>
        </w:tc>
        <w:tc>
          <w:tcPr>
            <w:tcW w:w="1843" w:type="dxa"/>
            <w:tcBorders>
              <w:top w:val="inset" w:color="auto" w:sz="6" w:space="0"/>
              <w:left w:val="nil"/>
              <w:bottom w:val="inset" w:color="auto" w:sz="6" w:space="0"/>
              <w:right w:val="inset" w:color="auto" w:sz="6" w:space="0"/>
            </w:tcBorders>
            <w:vAlign w:val="center"/>
          </w:tcPr>
          <w:p w14:paraId="22809576">
            <w:pPr>
              <w:spacing w:line="264" w:lineRule="auto"/>
              <w:jc w:val="center"/>
              <w:rPr>
                <w:color w:val="000000"/>
                <w:szCs w:val="21"/>
              </w:rPr>
            </w:pPr>
            <w:r>
              <w:rPr>
                <w:rFonts w:hint="eastAsia" w:ascii="宋体" w:hAnsi="宋体"/>
                <w:color w:val="000000"/>
                <w:szCs w:val="21"/>
              </w:rPr>
              <w:t>有不影响使用功能的外表缺陷</w:t>
            </w:r>
          </w:p>
        </w:tc>
        <w:tc>
          <w:tcPr>
            <w:tcW w:w="3118" w:type="dxa"/>
            <w:tcBorders>
              <w:top w:val="inset" w:color="auto" w:sz="6" w:space="0"/>
              <w:left w:val="nil"/>
              <w:bottom w:val="inset" w:color="auto" w:sz="6" w:space="0"/>
              <w:right w:val="inset" w:color="auto" w:sz="6" w:space="0"/>
            </w:tcBorders>
          </w:tcPr>
          <w:p w14:paraId="55E497EA">
            <w:pPr>
              <w:spacing w:line="264" w:lineRule="auto"/>
              <w:rPr>
                <w:color w:val="000000"/>
                <w:szCs w:val="21"/>
              </w:rPr>
            </w:pPr>
            <w:r>
              <w:rPr>
                <w:rFonts w:hint="eastAsia" w:ascii="宋体" w:hAnsi="宋体"/>
                <w:color w:val="000000"/>
                <w:szCs w:val="21"/>
              </w:rPr>
              <w:t>外表面不允许任何外表缺陷，内表面允许少量沾污等不影响结构使用功能和结构尺寸的缺陷</w:t>
            </w:r>
          </w:p>
        </w:tc>
      </w:tr>
    </w:tbl>
    <w:p w14:paraId="71EE1B86">
      <w:pPr>
        <w:pStyle w:val="112"/>
        <w:numPr>
          <w:ilvl w:val="0"/>
          <w:numId w:val="0"/>
        </w:numPr>
        <w:ind w:left="964"/>
        <w:jc w:val="left"/>
      </w:pPr>
    </w:p>
    <w:p w14:paraId="4DD523CF">
      <w:pPr>
        <w:pStyle w:val="112"/>
        <w:numPr>
          <w:ilvl w:val="0"/>
          <w:numId w:val="0"/>
        </w:numPr>
        <w:ind w:left="964"/>
        <w:jc w:val="left"/>
      </w:pPr>
      <w:r>
        <w:rPr>
          <w:rFonts w:hint="eastAsia"/>
        </w:rPr>
        <w:t>（8）构件的尺寸偏差应符合下表的规定</w:t>
      </w:r>
    </w:p>
    <w:p w14:paraId="4F587E2F">
      <w:pPr>
        <w:pStyle w:val="112"/>
        <w:numPr>
          <w:ilvl w:val="0"/>
          <w:numId w:val="0"/>
        </w:numPr>
        <w:ind w:left="964"/>
        <w:jc w:val="left"/>
      </w:pPr>
      <w:r>
        <w:rPr>
          <w:rFonts w:hint="eastAsia"/>
        </w:rPr>
        <w:t>检查数量：当同一规格（品种）、同一个工作班生产的构件连续时间检验合格时，可按批检验。同一规格（品种）、同一个工作班为一检验批，每检验批抽检不应少于30</w:t>
      </w:r>
      <w:r>
        <w:t>%</w:t>
      </w:r>
      <w:r>
        <w:rPr>
          <w:rFonts w:hint="eastAsia"/>
        </w:rPr>
        <w:t>，且不少于5件。</w:t>
      </w:r>
    </w:p>
    <w:p w14:paraId="3071EDAA">
      <w:pPr>
        <w:pStyle w:val="112"/>
        <w:numPr>
          <w:ilvl w:val="0"/>
          <w:numId w:val="0"/>
        </w:numPr>
        <w:ind w:left="964"/>
        <w:jc w:val="left"/>
      </w:pPr>
      <w:r>
        <w:rPr>
          <w:rFonts w:hint="eastAsia"/>
        </w:rPr>
        <w:t>检验方法：钢尺检查。</w:t>
      </w:r>
    </w:p>
    <w:p w14:paraId="3922A39C">
      <w:pPr>
        <w:pStyle w:val="112"/>
        <w:numPr>
          <w:ilvl w:val="0"/>
          <w:numId w:val="0"/>
        </w:numPr>
        <w:ind w:left="964" w:firstLine="2160" w:firstLineChars="1200"/>
        <w:jc w:val="left"/>
      </w:pPr>
      <w:r>
        <w:rPr>
          <w:rFonts w:hint="eastAsia"/>
        </w:rPr>
        <w:t>构件尺寸允许偏差（mm）</w:t>
      </w:r>
    </w:p>
    <w:tbl>
      <w:tblPr>
        <w:tblStyle w:val="3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992"/>
        <w:gridCol w:w="1843"/>
        <w:gridCol w:w="1559"/>
        <w:gridCol w:w="2744"/>
      </w:tblGrid>
      <w:tr w14:paraId="2BC7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gridSpan w:val="3"/>
            <w:tcBorders>
              <w:top w:val="single" w:color="auto" w:sz="4" w:space="0"/>
              <w:left w:val="single" w:color="auto" w:sz="4" w:space="0"/>
              <w:bottom w:val="single" w:color="auto" w:sz="4" w:space="0"/>
              <w:right w:val="single" w:color="auto" w:sz="4" w:space="0"/>
            </w:tcBorders>
            <w:vAlign w:val="center"/>
          </w:tcPr>
          <w:p w14:paraId="6B5803AD">
            <w:pPr>
              <w:spacing w:line="320" w:lineRule="exact"/>
              <w:ind w:left="240"/>
              <w:jc w:val="left"/>
              <w:rPr>
                <w:szCs w:val="21"/>
              </w:rPr>
            </w:pPr>
            <w:r>
              <w:rPr>
                <w:rFonts w:ascii="宋体" w:hAnsi="宋体"/>
                <w:szCs w:val="21"/>
              </w:rPr>
              <w:t>项目</w:t>
            </w:r>
          </w:p>
        </w:tc>
        <w:tc>
          <w:tcPr>
            <w:tcW w:w="1559" w:type="dxa"/>
            <w:tcBorders>
              <w:top w:val="single" w:color="auto" w:sz="4" w:space="0"/>
              <w:left w:val="single" w:color="auto" w:sz="4" w:space="0"/>
              <w:bottom w:val="single" w:color="auto" w:sz="4" w:space="0"/>
              <w:right w:val="single" w:color="auto" w:sz="4" w:space="0"/>
            </w:tcBorders>
            <w:vAlign w:val="center"/>
          </w:tcPr>
          <w:p w14:paraId="64208129">
            <w:pPr>
              <w:spacing w:line="320" w:lineRule="exact"/>
              <w:ind w:left="240"/>
              <w:jc w:val="left"/>
              <w:rPr>
                <w:szCs w:val="21"/>
              </w:rPr>
            </w:pPr>
            <w:r>
              <w:rPr>
                <w:rFonts w:ascii="宋体" w:hAnsi="宋体"/>
                <w:szCs w:val="21"/>
              </w:rPr>
              <w:t>允许偏差（</w:t>
            </w:r>
            <w:r>
              <w:rPr>
                <w:szCs w:val="21"/>
              </w:rPr>
              <w:t>mm</w:t>
            </w:r>
            <w:r>
              <w:rPr>
                <w:rFonts w:ascii="宋体" w:hAnsi="宋体"/>
                <w:szCs w:val="21"/>
              </w:rPr>
              <w:t>）</w:t>
            </w:r>
          </w:p>
        </w:tc>
        <w:tc>
          <w:tcPr>
            <w:tcW w:w="2744" w:type="dxa"/>
            <w:tcBorders>
              <w:top w:val="single" w:color="auto" w:sz="4" w:space="0"/>
              <w:left w:val="single" w:color="auto" w:sz="4" w:space="0"/>
              <w:bottom w:val="single" w:color="auto" w:sz="4" w:space="0"/>
              <w:right w:val="single" w:color="auto" w:sz="4" w:space="0"/>
            </w:tcBorders>
            <w:vAlign w:val="center"/>
          </w:tcPr>
          <w:p w14:paraId="4AC3293B">
            <w:pPr>
              <w:spacing w:line="320" w:lineRule="exact"/>
              <w:jc w:val="left"/>
              <w:rPr>
                <w:sz w:val="20"/>
                <w:szCs w:val="20"/>
              </w:rPr>
            </w:pPr>
            <w:r>
              <w:rPr>
                <w:rFonts w:ascii="宋体" w:hAnsi="宋体"/>
                <w:sz w:val="20"/>
                <w:szCs w:val="20"/>
              </w:rPr>
              <w:t>检查方法</w:t>
            </w:r>
          </w:p>
        </w:tc>
      </w:tr>
      <w:tr w14:paraId="3470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294A982C">
            <w:pPr>
              <w:spacing w:line="320" w:lineRule="exact"/>
              <w:ind w:left="240"/>
              <w:jc w:val="left"/>
              <w:rPr>
                <w:szCs w:val="21"/>
              </w:rPr>
            </w:pPr>
            <w:r>
              <w:rPr>
                <w:rFonts w:ascii="宋体" w:hAnsi="宋体"/>
                <w:szCs w:val="21"/>
              </w:rPr>
              <w:t>长度</w:t>
            </w:r>
          </w:p>
        </w:tc>
        <w:tc>
          <w:tcPr>
            <w:tcW w:w="992" w:type="dxa"/>
            <w:vMerge w:val="restart"/>
            <w:tcBorders>
              <w:top w:val="nil"/>
              <w:left w:val="single" w:color="auto" w:sz="4" w:space="0"/>
              <w:bottom w:val="single" w:color="auto" w:sz="4" w:space="0"/>
              <w:right w:val="single" w:color="auto" w:sz="4" w:space="0"/>
            </w:tcBorders>
            <w:vAlign w:val="center"/>
          </w:tcPr>
          <w:p w14:paraId="5CA5B7AB">
            <w:pPr>
              <w:spacing w:line="320" w:lineRule="exact"/>
              <w:ind w:left="240"/>
              <w:jc w:val="left"/>
              <w:rPr>
                <w:szCs w:val="21"/>
              </w:rPr>
            </w:pPr>
            <w:r>
              <w:rPr>
                <w:rFonts w:ascii="宋体" w:hAnsi="宋体"/>
                <w:szCs w:val="21"/>
              </w:rPr>
              <w:t>板、梁、柱、桁架</w:t>
            </w:r>
          </w:p>
        </w:tc>
        <w:tc>
          <w:tcPr>
            <w:tcW w:w="1843" w:type="dxa"/>
            <w:tcBorders>
              <w:top w:val="single" w:color="auto" w:sz="4" w:space="0"/>
              <w:left w:val="single" w:color="auto" w:sz="4" w:space="0"/>
              <w:bottom w:val="single" w:color="auto" w:sz="4" w:space="0"/>
              <w:right w:val="single" w:color="auto" w:sz="4" w:space="0"/>
            </w:tcBorders>
            <w:vAlign w:val="center"/>
          </w:tcPr>
          <w:p w14:paraId="2B2F0C01">
            <w:pPr>
              <w:spacing w:line="320" w:lineRule="exact"/>
              <w:ind w:left="240"/>
              <w:jc w:val="left"/>
              <w:rPr>
                <w:szCs w:val="21"/>
              </w:rPr>
            </w:pPr>
            <w:r>
              <w:rPr>
                <w:rFonts w:ascii="宋体" w:hAnsi="宋体"/>
                <w:szCs w:val="21"/>
              </w:rPr>
              <w:t>＜</w:t>
            </w:r>
            <w:r>
              <w:rPr>
                <w:szCs w:val="21"/>
              </w:rPr>
              <w:t>12m</w:t>
            </w:r>
          </w:p>
        </w:tc>
        <w:tc>
          <w:tcPr>
            <w:tcW w:w="1559" w:type="dxa"/>
            <w:tcBorders>
              <w:top w:val="single" w:color="auto" w:sz="4" w:space="0"/>
              <w:left w:val="single" w:color="auto" w:sz="4" w:space="0"/>
              <w:bottom w:val="single" w:color="auto" w:sz="4" w:space="0"/>
              <w:right w:val="single" w:color="auto" w:sz="4" w:space="0"/>
            </w:tcBorders>
            <w:vAlign w:val="center"/>
          </w:tcPr>
          <w:p w14:paraId="20B717B0">
            <w:pPr>
              <w:spacing w:line="320" w:lineRule="exact"/>
              <w:ind w:left="240"/>
              <w:jc w:val="left"/>
              <w:rPr>
                <w:szCs w:val="21"/>
              </w:rPr>
            </w:pPr>
            <w:r>
              <w:rPr>
                <w:szCs w:val="21"/>
              </w:rPr>
              <w:t>±5</w:t>
            </w:r>
          </w:p>
        </w:tc>
        <w:tc>
          <w:tcPr>
            <w:tcW w:w="2744" w:type="dxa"/>
            <w:vMerge w:val="restart"/>
            <w:tcBorders>
              <w:top w:val="single" w:color="auto" w:sz="4" w:space="0"/>
              <w:left w:val="single" w:color="auto" w:sz="4" w:space="0"/>
              <w:bottom w:val="single" w:color="auto" w:sz="4" w:space="0"/>
              <w:right w:val="single" w:color="auto" w:sz="4" w:space="0"/>
            </w:tcBorders>
            <w:vAlign w:val="center"/>
          </w:tcPr>
          <w:p w14:paraId="3F919799">
            <w:pPr>
              <w:spacing w:line="320" w:lineRule="exact"/>
              <w:ind w:firstLine="500" w:firstLineChars="250"/>
              <w:jc w:val="left"/>
              <w:rPr>
                <w:sz w:val="20"/>
                <w:szCs w:val="20"/>
              </w:rPr>
            </w:pPr>
            <w:r>
              <w:rPr>
                <w:rFonts w:ascii="宋体" w:hAnsi="宋体"/>
                <w:sz w:val="20"/>
                <w:szCs w:val="20"/>
              </w:rPr>
              <w:t>尺量检查</w:t>
            </w:r>
          </w:p>
        </w:tc>
      </w:tr>
      <w:tr w14:paraId="6CE1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36EAAD8D">
            <w:pPr>
              <w:widowControl/>
              <w:jc w:val="left"/>
              <w:rPr>
                <w:szCs w:val="21"/>
              </w:rPr>
            </w:pPr>
          </w:p>
        </w:tc>
        <w:tc>
          <w:tcPr>
            <w:tcW w:w="2835" w:type="dxa"/>
            <w:vMerge w:val="continue"/>
            <w:tcBorders>
              <w:top w:val="nil"/>
              <w:left w:val="single" w:color="auto" w:sz="4" w:space="0"/>
              <w:bottom w:val="single" w:color="auto" w:sz="4" w:space="0"/>
              <w:right w:val="single" w:color="auto" w:sz="4" w:space="0"/>
            </w:tcBorders>
            <w:vAlign w:val="center"/>
          </w:tcPr>
          <w:p w14:paraId="65412E98">
            <w:pPr>
              <w:widowControl/>
              <w:jc w:val="left"/>
              <w:rPr>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1187AEF0">
            <w:pPr>
              <w:spacing w:line="320" w:lineRule="exact"/>
              <w:ind w:left="240"/>
              <w:jc w:val="left"/>
              <w:rPr>
                <w:szCs w:val="21"/>
              </w:rPr>
            </w:pPr>
            <w:r>
              <w:rPr>
                <w:szCs w:val="21"/>
              </w:rPr>
              <w:t>≥12m</w:t>
            </w:r>
            <w:r>
              <w:rPr>
                <w:rFonts w:ascii="宋体" w:hAnsi="宋体"/>
                <w:szCs w:val="21"/>
              </w:rPr>
              <w:t>且＜</w:t>
            </w:r>
            <w:r>
              <w:rPr>
                <w:szCs w:val="21"/>
              </w:rPr>
              <w:t>18m</w:t>
            </w:r>
          </w:p>
        </w:tc>
        <w:tc>
          <w:tcPr>
            <w:tcW w:w="1559" w:type="dxa"/>
            <w:tcBorders>
              <w:top w:val="single" w:color="auto" w:sz="4" w:space="0"/>
              <w:left w:val="single" w:color="auto" w:sz="4" w:space="0"/>
              <w:bottom w:val="single" w:color="auto" w:sz="4" w:space="0"/>
              <w:right w:val="single" w:color="auto" w:sz="4" w:space="0"/>
            </w:tcBorders>
            <w:vAlign w:val="center"/>
          </w:tcPr>
          <w:p w14:paraId="751F97C1">
            <w:pPr>
              <w:spacing w:line="320" w:lineRule="exact"/>
              <w:ind w:left="240"/>
              <w:jc w:val="left"/>
              <w:rPr>
                <w:szCs w:val="21"/>
              </w:rPr>
            </w:pPr>
            <w:r>
              <w:rPr>
                <w:szCs w:val="21"/>
              </w:rPr>
              <w:t>±10</w:t>
            </w:r>
          </w:p>
        </w:tc>
        <w:tc>
          <w:tcPr>
            <w:tcW w:w="2744" w:type="dxa"/>
            <w:vMerge w:val="continue"/>
            <w:tcBorders>
              <w:top w:val="single" w:color="auto" w:sz="4" w:space="0"/>
              <w:left w:val="single" w:color="auto" w:sz="4" w:space="0"/>
              <w:bottom w:val="single" w:color="auto" w:sz="4" w:space="0"/>
              <w:right w:val="single" w:color="auto" w:sz="4" w:space="0"/>
            </w:tcBorders>
            <w:vAlign w:val="center"/>
          </w:tcPr>
          <w:p w14:paraId="7A16729C">
            <w:pPr>
              <w:widowControl/>
              <w:jc w:val="left"/>
              <w:rPr>
                <w:sz w:val="20"/>
                <w:szCs w:val="20"/>
              </w:rPr>
            </w:pPr>
          </w:p>
        </w:tc>
      </w:tr>
      <w:tr w14:paraId="7768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4DAC656B">
            <w:pPr>
              <w:widowControl/>
              <w:jc w:val="left"/>
              <w:rPr>
                <w:szCs w:val="21"/>
              </w:rPr>
            </w:pPr>
          </w:p>
        </w:tc>
        <w:tc>
          <w:tcPr>
            <w:tcW w:w="2835" w:type="dxa"/>
            <w:vMerge w:val="continue"/>
            <w:tcBorders>
              <w:top w:val="nil"/>
              <w:left w:val="single" w:color="auto" w:sz="4" w:space="0"/>
              <w:bottom w:val="single" w:color="auto" w:sz="4" w:space="0"/>
              <w:right w:val="single" w:color="auto" w:sz="4" w:space="0"/>
            </w:tcBorders>
            <w:vAlign w:val="center"/>
          </w:tcPr>
          <w:p w14:paraId="3929B91B">
            <w:pPr>
              <w:widowControl/>
              <w:jc w:val="left"/>
              <w:rPr>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07283360">
            <w:pPr>
              <w:spacing w:line="320" w:lineRule="exact"/>
              <w:ind w:left="240"/>
              <w:jc w:val="left"/>
              <w:rPr>
                <w:szCs w:val="21"/>
              </w:rPr>
            </w:pPr>
            <w:r>
              <w:rPr>
                <w:szCs w:val="21"/>
              </w:rPr>
              <w:t>≥18m</w:t>
            </w:r>
          </w:p>
        </w:tc>
        <w:tc>
          <w:tcPr>
            <w:tcW w:w="1559" w:type="dxa"/>
            <w:tcBorders>
              <w:top w:val="single" w:color="auto" w:sz="4" w:space="0"/>
              <w:left w:val="single" w:color="auto" w:sz="4" w:space="0"/>
              <w:bottom w:val="single" w:color="auto" w:sz="4" w:space="0"/>
              <w:right w:val="single" w:color="auto" w:sz="4" w:space="0"/>
            </w:tcBorders>
            <w:vAlign w:val="center"/>
          </w:tcPr>
          <w:p w14:paraId="144FD486">
            <w:pPr>
              <w:spacing w:line="320" w:lineRule="exact"/>
              <w:ind w:left="240"/>
              <w:jc w:val="left"/>
              <w:rPr>
                <w:szCs w:val="21"/>
              </w:rPr>
            </w:pPr>
            <w:r>
              <w:rPr>
                <w:szCs w:val="21"/>
              </w:rPr>
              <w:t>±20</w:t>
            </w:r>
          </w:p>
        </w:tc>
        <w:tc>
          <w:tcPr>
            <w:tcW w:w="2744" w:type="dxa"/>
            <w:vMerge w:val="continue"/>
            <w:tcBorders>
              <w:top w:val="single" w:color="auto" w:sz="4" w:space="0"/>
              <w:left w:val="single" w:color="auto" w:sz="4" w:space="0"/>
              <w:bottom w:val="single" w:color="auto" w:sz="4" w:space="0"/>
              <w:right w:val="single" w:color="auto" w:sz="4" w:space="0"/>
            </w:tcBorders>
            <w:vAlign w:val="center"/>
          </w:tcPr>
          <w:p w14:paraId="3706F3B1">
            <w:pPr>
              <w:widowControl/>
              <w:jc w:val="left"/>
              <w:rPr>
                <w:sz w:val="20"/>
                <w:szCs w:val="20"/>
              </w:rPr>
            </w:pPr>
          </w:p>
        </w:tc>
      </w:tr>
      <w:tr w14:paraId="6164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142D1EB6">
            <w:pPr>
              <w:spacing w:line="320" w:lineRule="exact"/>
              <w:ind w:left="240"/>
              <w:jc w:val="left"/>
              <w:rPr>
                <w:szCs w:val="21"/>
              </w:rPr>
            </w:pPr>
            <w:r>
              <w:rPr>
                <w:rFonts w:ascii="宋体" w:hAnsi="宋体"/>
                <w:szCs w:val="21"/>
              </w:rPr>
              <w:t>宽度、高（厚）度</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B6C22B7">
            <w:pPr>
              <w:spacing w:line="320" w:lineRule="exact"/>
              <w:ind w:left="240"/>
              <w:jc w:val="left"/>
              <w:rPr>
                <w:szCs w:val="21"/>
              </w:rPr>
            </w:pPr>
            <w:r>
              <w:rPr>
                <w:rFonts w:ascii="宋体" w:hAnsi="宋体"/>
                <w:szCs w:val="21"/>
              </w:rPr>
              <w:t>板、梁、柱、桁架截面尺寸</w:t>
            </w:r>
          </w:p>
        </w:tc>
        <w:tc>
          <w:tcPr>
            <w:tcW w:w="1559" w:type="dxa"/>
            <w:tcBorders>
              <w:top w:val="single" w:color="auto" w:sz="4" w:space="0"/>
              <w:left w:val="single" w:color="auto" w:sz="4" w:space="0"/>
              <w:bottom w:val="single" w:color="auto" w:sz="4" w:space="0"/>
              <w:right w:val="single" w:color="auto" w:sz="4" w:space="0"/>
            </w:tcBorders>
            <w:vAlign w:val="center"/>
          </w:tcPr>
          <w:p w14:paraId="2F4FD3B7">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7665D61D">
            <w:pPr>
              <w:spacing w:line="320" w:lineRule="exact"/>
              <w:ind w:left="240"/>
              <w:jc w:val="left"/>
              <w:rPr>
                <w:szCs w:val="21"/>
              </w:rPr>
            </w:pPr>
            <w:r>
              <w:rPr>
                <w:rFonts w:ascii="宋体" w:hAnsi="宋体"/>
                <w:szCs w:val="21"/>
              </w:rPr>
              <w:t>钢尺量一端及中部，取其中偏差绝对值较大处</w:t>
            </w:r>
          </w:p>
        </w:tc>
      </w:tr>
      <w:tr w14:paraId="6651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2725B024">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55C889D3">
            <w:pPr>
              <w:spacing w:line="320" w:lineRule="exact"/>
              <w:ind w:left="240"/>
              <w:jc w:val="left"/>
              <w:rPr>
                <w:szCs w:val="21"/>
              </w:rPr>
            </w:pPr>
            <w:r>
              <w:rPr>
                <w:rFonts w:ascii="宋体" w:hAnsi="宋体"/>
                <w:szCs w:val="21"/>
              </w:rPr>
              <w:t>墙板的高度、厚度</w:t>
            </w:r>
          </w:p>
        </w:tc>
        <w:tc>
          <w:tcPr>
            <w:tcW w:w="1559" w:type="dxa"/>
            <w:tcBorders>
              <w:top w:val="single" w:color="auto" w:sz="4" w:space="0"/>
              <w:left w:val="single" w:color="auto" w:sz="4" w:space="0"/>
              <w:bottom w:val="single" w:color="auto" w:sz="4" w:space="0"/>
              <w:right w:val="single" w:color="auto" w:sz="4" w:space="0"/>
            </w:tcBorders>
            <w:vAlign w:val="center"/>
          </w:tcPr>
          <w:p w14:paraId="7677E2CA">
            <w:pPr>
              <w:spacing w:line="320" w:lineRule="exact"/>
              <w:ind w:left="240"/>
              <w:jc w:val="left"/>
              <w:rPr>
                <w:szCs w:val="21"/>
              </w:rPr>
            </w:pPr>
            <w:r>
              <w:rPr>
                <w:szCs w:val="21"/>
              </w:rPr>
              <w:t>±3</w:t>
            </w:r>
          </w:p>
        </w:tc>
        <w:tc>
          <w:tcPr>
            <w:tcW w:w="2744" w:type="dxa"/>
            <w:vMerge w:val="continue"/>
            <w:tcBorders>
              <w:top w:val="nil"/>
              <w:left w:val="single" w:color="auto" w:sz="4" w:space="0"/>
              <w:bottom w:val="single" w:color="auto" w:sz="4" w:space="0"/>
              <w:right w:val="single" w:color="auto" w:sz="4" w:space="0"/>
            </w:tcBorders>
            <w:vAlign w:val="center"/>
          </w:tcPr>
          <w:p w14:paraId="6B311078">
            <w:pPr>
              <w:widowControl/>
              <w:jc w:val="left"/>
              <w:rPr>
                <w:szCs w:val="21"/>
              </w:rPr>
            </w:pPr>
          </w:p>
        </w:tc>
      </w:tr>
      <w:tr w14:paraId="0E07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33886F88">
            <w:pPr>
              <w:spacing w:line="320" w:lineRule="exact"/>
              <w:ind w:left="240"/>
              <w:jc w:val="left"/>
              <w:rPr>
                <w:szCs w:val="21"/>
              </w:rPr>
            </w:pPr>
            <w:r>
              <w:rPr>
                <w:rFonts w:ascii="宋体" w:hAnsi="宋体"/>
                <w:szCs w:val="21"/>
              </w:rPr>
              <w:t>表面平整度</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47F37ECF">
            <w:pPr>
              <w:spacing w:line="320" w:lineRule="exact"/>
              <w:ind w:left="240"/>
              <w:jc w:val="left"/>
              <w:rPr>
                <w:szCs w:val="21"/>
              </w:rPr>
            </w:pPr>
            <w:r>
              <w:rPr>
                <w:rFonts w:ascii="宋体" w:hAnsi="宋体"/>
                <w:szCs w:val="21"/>
              </w:rPr>
              <w:t>板、梁、柱、墙板内表面</w:t>
            </w:r>
          </w:p>
        </w:tc>
        <w:tc>
          <w:tcPr>
            <w:tcW w:w="1559" w:type="dxa"/>
            <w:tcBorders>
              <w:top w:val="single" w:color="auto" w:sz="4" w:space="0"/>
              <w:left w:val="single" w:color="auto" w:sz="4" w:space="0"/>
              <w:bottom w:val="single" w:color="auto" w:sz="4" w:space="0"/>
              <w:right w:val="single" w:color="auto" w:sz="4" w:space="0"/>
            </w:tcBorders>
            <w:vAlign w:val="center"/>
          </w:tcPr>
          <w:p w14:paraId="6891064A">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21189253">
            <w:pPr>
              <w:spacing w:line="320" w:lineRule="exact"/>
              <w:ind w:left="240"/>
              <w:jc w:val="left"/>
              <w:rPr>
                <w:szCs w:val="21"/>
              </w:rPr>
            </w:pPr>
            <w:r>
              <w:rPr>
                <w:szCs w:val="21"/>
              </w:rPr>
              <w:t>2m</w:t>
            </w:r>
            <w:r>
              <w:rPr>
                <w:rFonts w:ascii="宋体" w:hAnsi="宋体"/>
                <w:szCs w:val="21"/>
              </w:rPr>
              <w:t>靠尺和塞尺检查</w:t>
            </w:r>
          </w:p>
        </w:tc>
      </w:tr>
      <w:tr w14:paraId="785C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143705D0">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7BB7904A">
            <w:pPr>
              <w:spacing w:line="320" w:lineRule="exact"/>
              <w:ind w:left="240"/>
              <w:jc w:val="left"/>
              <w:rPr>
                <w:szCs w:val="21"/>
              </w:rPr>
            </w:pPr>
            <w:r>
              <w:rPr>
                <w:rFonts w:ascii="宋体" w:hAnsi="宋体"/>
                <w:szCs w:val="21"/>
              </w:rPr>
              <w:t>墙板外表面</w:t>
            </w:r>
          </w:p>
        </w:tc>
        <w:tc>
          <w:tcPr>
            <w:tcW w:w="1559" w:type="dxa"/>
            <w:tcBorders>
              <w:top w:val="single" w:color="auto" w:sz="4" w:space="0"/>
              <w:left w:val="single" w:color="auto" w:sz="4" w:space="0"/>
              <w:bottom w:val="single" w:color="auto" w:sz="4" w:space="0"/>
              <w:right w:val="single" w:color="auto" w:sz="4" w:space="0"/>
            </w:tcBorders>
            <w:vAlign w:val="center"/>
          </w:tcPr>
          <w:p w14:paraId="104F2530">
            <w:pPr>
              <w:spacing w:line="320" w:lineRule="exact"/>
              <w:ind w:left="240"/>
              <w:jc w:val="left"/>
              <w:rPr>
                <w:szCs w:val="21"/>
              </w:rPr>
            </w:pPr>
            <w:r>
              <w:rPr>
                <w:szCs w:val="21"/>
              </w:rPr>
              <w:t>3</w:t>
            </w:r>
          </w:p>
        </w:tc>
        <w:tc>
          <w:tcPr>
            <w:tcW w:w="2744" w:type="dxa"/>
            <w:vMerge w:val="continue"/>
            <w:tcBorders>
              <w:top w:val="nil"/>
              <w:left w:val="single" w:color="auto" w:sz="4" w:space="0"/>
              <w:bottom w:val="single" w:color="auto" w:sz="4" w:space="0"/>
              <w:right w:val="single" w:color="auto" w:sz="4" w:space="0"/>
            </w:tcBorders>
            <w:vAlign w:val="center"/>
          </w:tcPr>
          <w:p w14:paraId="15F3F3BB">
            <w:pPr>
              <w:widowControl/>
              <w:jc w:val="left"/>
              <w:rPr>
                <w:szCs w:val="21"/>
              </w:rPr>
            </w:pPr>
          </w:p>
        </w:tc>
      </w:tr>
      <w:tr w14:paraId="2CE4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5FD76287">
            <w:pPr>
              <w:spacing w:line="320" w:lineRule="exact"/>
              <w:ind w:left="240"/>
              <w:jc w:val="left"/>
              <w:rPr>
                <w:szCs w:val="21"/>
              </w:rPr>
            </w:pPr>
            <w:r>
              <w:rPr>
                <w:rFonts w:ascii="宋体" w:hAnsi="宋体"/>
                <w:szCs w:val="21"/>
              </w:rPr>
              <w:t>侧向弯曲</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39C88B4">
            <w:pPr>
              <w:spacing w:line="320" w:lineRule="exact"/>
              <w:ind w:left="240"/>
              <w:jc w:val="left"/>
              <w:rPr>
                <w:szCs w:val="21"/>
              </w:rPr>
            </w:pPr>
            <w:r>
              <w:rPr>
                <w:rFonts w:ascii="宋体" w:hAnsi="宋体"/>
                <w:szCs w:val="21"/>
              </w:rPr>
              <w:t>板、梁、柱</w:t>
            </w:r>
          </w:p>
        </w:tc>
        <w:tc>
          <w:tcPr>
            <w:tcW w:w="1559" w:type="dxa"/>
            <w:tcBorders>
              <w:top w:val="single" w:color="auto" w:sz="4" w:space="0"/>
              <w:left w:val="single" w:color="auto" w:sz="4" w:space="0"/>
              <w:bottom w:val="single" w:color="auto" w:sz="4" w:space="0"/>
              <w:right w:val="single" w:color="auto" w:sz="4" w:space="0"/>
            </w:tcBorders>
            <w:vAlign w:val="center"/>
          </w:tcPr>
          <w:p w14:paraId="6A36E4FC">
            <w:pPr>
              <w:spacing w:line="320" w:lineRule="exact"/>
              <w:ind w:left="240"/>
              <w:jc w:val="left"/>
              <w:rPr>
                <w:szCs w:val="21"/>
              </w:rPr>
            </w:pPr>
            <w:r>
              <w:rPr>
                <w:szCs w:val="21"/>
              </w:rPr>
              <w:t>L/750</w:t>
            </w:r>
            <w:r>
              <w:rPr>
                <w:rFonts w:ascii="宋体" w:hAnsi="宋体"/>
                <w:szCs w:val="21"/>
              </w:rPr>
              <w:t>且</w:t>
            </w:r>
            <w:r>
              <w:rPr>
                <w:szCs w:val="21"/>
              </w:rPr>
              <w:t>≤20</w:t>
            </w:r>
          </w:p>
        </w:tc>
        <w:tc>
          <w:tcPr>
            <w:tcW w:w="2744" w:type="dxa"/>
            <w:vMerge w:val="restart"/>
            <w:tcBorders>
              <w:top w:val="nil"/>
              <w:left w:val="single" w:color="auto" w:sz="4" w:space="0"/>
              <w:bottom w:val="single" w:color="auto" w:sz="4" w:space="0"/>
              <w:right w:val="single" w:color="auto" w:sz="4" w:space="0"/>
            </w:tcBorders>
            <w:vAlign w:val="center"/>
          </w:tcPr>
          <w:p w14:paraId="3075428E">
            <w:pPr>
              <w:spacing w:line="320" w:lineRule="exact"/>
              <w:ind w:left="240"/>
              <w:jc w:val="left"/>
              <w:rPr>
                <w:szCs w:val="21"/>
              </w:rPr>
            </w:pPr>
            <w:r>
              <w:rPr>
                <w:rFonts w:ascii="宋体" w:hAnsi="宋体"/>
                <w:szCs w:val="21"/>
              </w:rPr>
              <w:t>拉线、钢尺量最大侧向弯曲</w:t>
            </w:r>
          </w:p>
        </w:tc>
      </w:tr>
      <w:tr w14:paraId="1747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7C70DD0E">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4DC45DDD">
            <w:pPr>
              <w:spacing w:line="320" w:lineRule="exact"/>
              <w:ind w:left="240"/>
              <w:jc w:val="left"/>
              <w:rPr>
                <w:szCs w:val="21"/>
              </w:rPr>
            </w:pPr>
            <w:r>
              <w:rPr>
                <w:rFonts w:ascii="宋体" w:hAnsi="宋体"/>
                <w:szCs w:val="21"/>
              </w:rPr>
              <w:t>墙板、桁架</w:t>
            </w:r>
          </w:p>
        </w:tc>
        <w:tc>
          <w:tcPr>
            <w:tcW w:w="1559" w:type="dxa"/>
            <w:tcBorders>
              <w:top w:val="single" w:color="auto" w:sz="4" w:space="0"/>
              <w:left w:val="single" w:color="auto" w:sz="4" w:space="0"/>
              <w:bottom w:val="single" w:color="auto" w:sz="4" w:space="0"/>
              <w:right w:val="single" w:color="auto" w:sz="4" w:space="0"/>
            </w:tcBorders>
            <w:vAlign w:val="center"/>
          </w:tcPr>
          <w:p w14:paraId="3582814C">
            <w:pPr>
              <w:spacing w:line="320" w:lineRule="exact"/>
              <w:ind w:left="240"/>
              <w:jc w:val="left"/>
              <w:rPr>
                <w:szCs w:val="21"/>
              </w:rPr>
            </w:pPr>
            <w:r>
              <w:rPr>
                <w:szCs w:val="21"/>
              </w:rPr>
              <w:t>L/1000</w:t>
            </w:r>
            <w:r>
              <w:rPr>
                <w:rFonts w:ascii="宋体" w:hAnsi="宋体"/>
                <w:szCs w:val="21"/>
              </w:rPr>
              <w:t>且</w:t>
            </w:r>
            <w:r>
              <w:rPr>
                <w:szCs w:val="21"/>
              </w:rPr>
              <w:t>≤20</w:t>
            </w:r>
          </w:p>
        </w:tc>
        <w:tc>
          <w:tcPr>
            <w:tcW w:w="2744" w:type="dxa"/>
            <w:vMerge w:val="continue"/>
            <w:tcBorders>
              <w:top w:val="nil"/>
              <w:left w:val="single" w:color="auto" w:sz="4" w:space="0"/>
              <w:bottom w:val="single" w:color="auto" w:sz="4" w:space="0"/>
              <w:right w:val="single" w:color="auto" w:sz="4" w:space="0"/>
            </w:tcBorders>
            <w:vAlign w:val="center"/>
          </w:tcPr>
          <w:p w14:paraId="2AB79A77">
            <w:pPr>
              <w:widowControl/>
              <w:jc w:val="left"/>
              <w:rPr>
                <w:szCs w:val="21"/>
              </w:rPr>
            </w:pPr>
          </w:p>
        </w:tc>
      </w:tr>
      <w:tr w14:paraId="10E5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3D228616">
            <w:pPr>
              <w:spacing w:line="320" w:lineRule="exact"/>
              <w:ind w:left="240"/>
              <w:jc w:val="left"/>
              <w:rPr>
                <w:szCs w:val="21"/>
              </w:rPr>
            </w:pPr>
            <w:r>
              <w:rPr>
                <w:rFonts w:ascii="宋体" w:hAnsi="宋体"/>
                <w:szCs w:val="21"/>
              </w:rPr>
              <w:t>翘曲</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E81A98B">
            <w:pPr>
              <w:spacing w:line="320" w:lineRule="exact"/>
              <w:ind w:left="240"/>
              <w:jc w:val="left"/>
              <w:rPr>
                <w:szCs w:val="21"/>
              </w:rPr>
            </w:pPr>
            <w:r>
              <w:rPr>
                <w:rFonts w:ascii="宋体" w:hAnsi="宋体"/>
                <w:szCs w:val="21"/>
              </w:rPr>
              <w:t>板</w:t>
            </w:r>
          </w:p>
        </w:tc>
        <w:tc>
          <w:tcPr>
            <w:tcW w:w="1559" w:type="dxa"/>
            <w:tcBorders>
              <w:top w:val="single" w:color="auto" w:sz="4" w:space="0"/>
              <w:left w:val="single" w:color="auto" w:sz="4" w:space="0"/>
              <w:bottom w:val="single" w:color="auto" w:sz="4" w:space="0"/>
              <w:right w:val="single" w:color="auto" w:sz="4" w:space="0"/>
            </w:tcBorders>
            <w:vAlign w:val="center"/>
          </w:tcPr>
          <w:p w14:paraId="03AA6B33">
            <w:pPr>
              <w:spacing w:line="320" w:lineRule="exact"/>
              <w:ind w:left="240"/>
              <w:jc w:val="left"/>
              <w:rPr>
                <w:szCs w:val="21"/>
              </w:rPr>
            </w:pPr>
            <w:r>
              <w:rPr>
                <w:i/>
                <w:szCs w:val="21"/>
              </w:rPr>
              <w:t>L</w:t>
            </w:r>
            <w:r>
              <w:rPr>
                <w:szCs w:val="21"/>
              </w:rPr>
              <w:t>/750</w:t>
            </w:r>
          </w:p>
        </w:tc>
        <w:tc>
          <w:tcPr>
            <w:tcW w:w="2744" w:type="dxa"/>
            <w:vMerge w:val="restart"/>
            <w:tcBorders>
              <w:top w:val="nil"/>
              <w:left w:val="single" w:color="auto" w:sz="4" w:space="0"/>
              <w:bottom w:val="single" w:color="auto" w:sz="4" w:space="0"/>
              <w:right w:val="single" w:color="auto" w:sz="4" w:space="0"/>
            </w:tcBorders>
            <w:vAlign w:val="center"/>
          </w:tcPr>
          <w:p w14:paraId="5CE1D665">
            <w:pPr>
              <w:spacing w:line="320" w:lineRule="exact"/>
              <w:ind w:left="240"/>
              <w:jc w:val="left"/>
              <w:rPr>
                <w:szCs w:val="21"/>
              </w:rPr>
            </w:pPr>
            <w:r>
              <w:rPr>
                <w:rFonts w:ascii="宋体" w:hAnsi="宋体"/>
                <w:szCs w:val="21"/>
              </w:rPr>
              <w:t>调平尺在两端量测</w:t>
            </w:r>
          </w:p>
        </w:tc>
      </w:tr>
      <w:tr w14:paraId="73C6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09F87876">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DF3A5E0">
            <w:pPr>
              <w:spacing w:line="320" w:lineRule="exact"/>
              <w:ind w:left="240"/>
              <w:jc w:val="left"/>
              <w:rPr>
                <w:szCs w:val="21"/>
              </w:rPr>
            </w:pPr>
            <w:r>
              <w:rPr>
                <w:rFonts w:ascii="宋体" w:hAnsi="宋体"/>
                <w:szCs w:val="21"/>
              </w:rPr>
              <w:t>墙板</w:t>
            </w:r>
          </w:p>
        </w:tc>
        <w:tc>
          <w:tcPr>
            <w:tcW w:w="1559" w:type="dxa"/>
            <w:tcBorders>
              <w:top w:val="single" w:color="auto" w:sz="4" w:space="0"/>
              <w:left w:val="single" w:color="auto" w:sz="4" w:space="0"/>
              <w:bottom w:val="single" w:color="auto" w:sz="4" w:space="0"/>
              <w:right w:val="single" w:color="auto" w:sz="4" w:space="0"/>
            </w:tcBorders>
            <w:vAlign w:val="center"/>
          </w:tcPr>
          <w:p w14:paraId="6C6C7847">
            <w:pPr>
              <w:spacing w:line="320" w:lineRule="exact"/>
              <w:ind w:left="240"/>
              <w:jc w:val="left"/>
              <w:rPr>
                <w:szCs w:val="21"/>
              </w:rPr>
            </w:pPr>
            <w:r>
              <w:rPr>
                <w:i/>
                <w:szCs w:val="21"/>
              </w:rPr>
              <w:t>L</w:t>
            </w:r>
            <w:r>
              <w:rPr>
                <w:szCs w:val="21"/>
              </w:rPr>
              <w:t>/1000</w:t>
            </w:r>
          </w:p>
        </w:tc>
        <w:tc>
          <w:tcPr>
            <w:tcW w:w="2744" w:type="dxa"/>
            <w:vMerge w:val="continue"/>
            <w:tcBorders>
              <w:top w:val="nil"/>
              <w:left w:val="single" w:color="auto" w:sz="4" w:space="0"/>
              <w:bottom w:val="single" w:color="auto" w:sz="4" w:space="0"/>
              <w:right w:val="single" w:color="auto" w:sz="4" w:space="0"/>
            </w:tcBorders>
            <w:vAlign w:val="center"/>
          </w:tcPr>
          <w:p w14:paraId="1A0BC6F7">
            <w:pPr>
              <w:widowControl/>
              <w:jc w:val="left"/>
              <w:rPr>
                <w:szCs w:val="21"/>
              </w:rPr>
            </w:pPr>
          </w:p>
        </w:tc>
      </w:tr>
      <w:tr w14:paraId="0E03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594713DB">
            <w:pPr>
              <w:spacing w:line="320" w:lineRule="exact"/>
              <w:ind w:left="240"/>
              <w:jc w:val="left"/>
              <w:rPr>
                <w:szCs w:val="21"/>
              </w:rPr>
            </w:pPr>
            <w:r>
              <w:rPr>
                <w:rFonts w:ascii="宋体" w:hAnsi="宋体"/>
                <w:szCs w:val="21"/>
              </w:rPr>
              <w:t>对角线差</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60FDB4B">
            <w:pPr>
              <w:spacing w:line="320" w:lineRule="exact"/>
              <w:ind w:left="240"/>
              <w:jc w:val="left"/>
              <w:rPr>
                <w:szCs w:val="21"/>
              </w:rPr>
            </w:pPr>
            <w:r>
              <w:rPr>
                <w:rFonts w:ascii="宋体" w:hAnsi="宋体"/>
                <w:szCs w:val="21"/>
              </w:rPr>
              <w:t>板</w:t>
            </w:r>
          </w:p>
        </w:tc>
        <w:tc>
          <w:tcPr>
            <w:tcW w:w="1559" w:type="dxa"/>
            <w:tcBorders>
              <w:top w:val="single" w:color="auto" w:sz="4" w:space="0"/>
              <w:left w:val="single" w:color="auto" w:sz="4" w:space="0"/>
              <w:bottom w:val="single" w:color="auto" w:sz="4" w:space="0"/>
              <w:right w:val="single" w:color="auto" w:sz="4" w:space="0"/>
            </w:tcBorders>
            <w:vAlign w:val="center"/>
          </w:tcPr>
          <w:p w14:paraId="4CE8BFB7">
            <w:pPr>
              <w:spacing w:line="320" w:lineRule="exact"/>
              <w:ind w:left="240"/>
              <w:jc w:val="left"/>
              <w:rPr>
                <w:szCs w:val="21"/>
              </w:rPr>
            </w:pPr>
            <w:r>
              <w:rPr>
                <w:szCs w:val="21"/>
              </w:rPr>
              <w:t>10</w:t>
            </w:r>
          </w:p>
        </w:tc>
        <w:tc>
          <w:tcPr>
            <w:tcW w:w="2744" w:type="dxa"/>
            <w:vMerge w:val="restart"/>
            <w:tcBorders>
              <w:top w:val="nil"/>
              <w:left w:val="single" w:color="auto" w:sz="4" w:space="0"/>
              <w:bottom w:val="single" w:color="auto" w:sz="4" w:space="0"/>
              <w:right w:val="single" w:color="auto" w:sz="4" w:space="0"/>
            </w:tcBorders>
            <w:vAlign w:val="center"/>
          </w:tcPr>
          <w:p w14:paraId="5D21A412">
            <w:pPr>
              <w:spacing w:line="320" w:lineRule="exact"/>
              <w:ind w:left="240"/>
              <w:jc w:val="left"/>
              <w:rPr>
                <w:szCs w:val="21"/>
              </w:rPr>
            </w:pPr>
            <w:r>
              <w:rPr>
                <w:rFonts w:ascii="宋体" w:hAnsi="宋体"/>
                <w:szCs w:val="21"/>
              </w:rPr>
              <w:t>钢尺量两个对角线</w:t>
            </w:r>
          </w:p>
        </w:tc>
      </w:tr>
      <w:tr w14:paraId="1FA3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212F7E91">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6CD65455">
            <w:pPr>
              <w:spacing w:line="320" w:lineRule="exact"/>
              <w:ind w:left="240"/>
              <w:jc w:val="left"/>
              <w:rPr>
                <w:szCs w:val="21"/>
              </w:rPr>
            </w:pPr>
            <w:r>
              <w:rPr>
                <w:rFonts w:ascii="宋体" w:hAnsi="宋体"/>
                <w:szCs w:val="21"/>
              </w:rPr>
              <w:t>墙板、门窗口</w:t>
            </w:r>
          </w:p>
        </w:tc>
        <w:tc>
          <w:tcPr>
            <w:tcW w:w="1559" w:type="dxa"/>
            <w:tcBorders>
              <w:top w:val="single" w:color="auto" w:sz="4" w:space="0"/>
              <w:left w:val="single" w:color="auto" w:sz="4" w:space="0"/>
              <w:bottom w:val="single" w:color="auto" w:sz="4" w:space="0"/>
              <w:right w:val="single" w:color="auto" w:sz="4" w:space="0"/>
            </w:tcBorders>
            <w:vAlign w:val="center"/>
          </w:tcPr>
          <w:p w14:paraId="2ADF80CE">
            <w:pPr>
              <w:spacing w:line="320" w:lineRule="exact"/>
              <w:ind w:left="240"/>
              <w:jc w:val="left"/>
              <w:rPr>
                <w:szCs w:val="21"/>
              </w:rPr>
            </w:pP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3CF59EF2">
            <w:pPr>
              <w:widowControl/>
              <w:jc w:val="left"/>
              <w:rPr>
                <w:szCs w:val="21"/>
              </w:rPr>
            </w:pPr>
          </w:p>
        </w:tc>
      </w:tr>
      <w:tr w14:paraId="29D8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4243CADF">
            <w:pPr>
              <w:spacing w:line="320" w:lineRule="exact"/>
              <w:ind w:left="240"/>
              <w:jc w:val="left"/>
              <w:rPr>
                <w:szCs w:val="21"/>
              </w:rPr>
            </w:pPr>
            <w:r>
              <w:rPr>
                <w:rFonts w:ascii="宋体" w:hAnsi="宋体"/>
                <w:szCs w:val="21"/>
              </w:rPr>
              <w:t>挠度变形</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89AA55B">
            <w:pPr>
              <w:spacing w:line="320" w:lineRule="exact"/>
              <w:ind w:left="240"/>
              <w:jc w:val="left"/>
              <w:rPr>
                <w:szCs w:val="21"/>
              </w:rPr>
            </w:pPr>
            <w:r>
              <w:rPr>
                <w:rFonts w:ascii="宋体" w:hAnsi="宋体"/>
                <w:szCs w:val="21"/>
              </w:rPr>
              <w:t>梁、板、桁架设计起拱</w:t>
            </w:r>
          </w:p>
        </w:tc>
        <w:tc>
          <w:tcPr>
            <w:tcW w:w="1559" w:type="dxa"/>
            <w:tcBorders>
              <w:top w:val="single" w:color="auto" w:sz="4" w:space="0"/>
              <w:left w:val="single" w:color="auto" w:sz="4" w:space="0"/>
              <w:bottom w:val="single" w:color="auto" w:sz="4" w:space="0"/>
              <w:right w:val="single" w:color="auto" w:sz="4" w:space="0"/>
            </w:tcBorders>
            <w:vAlign w:val="center"/>
          </w:tcPr>
          <w:p w14:paraId="4A296D94">
            <w:pPr>
              <w:spacing w:line="320" w:lineRule="exact"/>
              <w:ind w:left="240"/>
              <w:jc w:val="left"/>
              <w:rPr>
                <w:szCs w:val="21"/>
              </w:rPr>
            </w:pPr>
            <w:r>
              <w:rPr>
                <w:szCs w:val="21"/>
              </w:rPr>
              <w:t>±10</w:t>
            </w:r>
          </w:p>
        </w:tc>
        <w:tc>
          <w:tcPr>
            <w:tcW w:w="2744" w:type="dxa"/>
            <w:vMerge w:val="restart"/>
            <w:tcBorders>
              <w:top w:val="nil"/>
              <w:left w:val="single" w:color="auto" w:sz="4" w:space="0"/>
              <w:bottom w:val="single" w:color="auto" w:sz="4" w:space="0"/>
              <w:right w:val="single" w:color="auto" w:sz="4" w:space="0"/>
            </w:tcBorders>
            <w:vAlign w:val="center"/>
          </w:tcPr>
          <w:p w14:paraId="133CE001">
            <w:pPr>
              <w:spacing w:line="320" w:lineRule="exact"/>
              <w:ind w:left="240"/>
              <w:jc w:val="left"/>
              <w:rPr>
                <w:szCs w:val="21"/>
              </w:rPr>
            </w:pPr>
            <w:r>
              <w:rPr>
                <w:rFonts w:ascii="宋体" w:hAnsi="宋体"/>
                <w:szCs w:val="21"/>
              </w:rPr>
              <w:t>拉线、钢尺量最大弯曲处</w:t>
            </w:r>
          </w:p>
        </w:tc>
      </w:tr>
      <w:tr w14:paraId="1B48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726BA2F6">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E1169E7">
            <w:pPr>
              <w:spacing w:line="320" w:lineRule="exact"/>
              <w:ind w:left="240"/>
              <w:jc w:val="left"/>
              <w:rPr>
                <w:szCs w:val="21"/>
              </w:rPr>
            </w:pPr>
            <w:r>
              <w:rPr>
                <w:rFonts w:ascii="宋体" w:hAnsi="宋体"/>
                <w:szCs w:val="21"/>
              </w:rPr>
              <w:t>梁、板、桁架下垂</w:t>
            </w:r>
          </w:p>
        </w:tc>
        <w:tc>
          <w:tcPr>
            <w:tcW w:w="1559" w:type="dxa"/>
            <w:tcBorders>
              <w:top w:val="single" w:color="auto" w:sz="4" w:space="0"/>
              <w:left w:val="single" w:color="auto" w:sz="4" w:space="0"/>
              <w:bottom w:val="single" w:color="auto" w:sz="4" w:space="0"/>
              <w:right w:val="single" w:color="auto" w:sz="4" w:space="0"/>
            </w:tcBorders>
            <w:vAlign w:val="center"/>
          </w:tcPr>
          <w:p w14:paraId="3A2341F8">
            <w:pPr>
              <w:spacing w:line="320" w:lineRule="exact"/>
              <w:ind w:left="240"/>
              <w:jc w:val="left"/>
              <w:rPr>
                <w:szCs w:val="21"/>
              </w:rPr>
            </w:pPr>
            <w:r>
              <w:rPr>
                <w:szCs w:val="21"/>
              </w:rPr>
              <w:t>0</w:t>
            </w:r>
          </w:p>
        </w:tc>
        <w:tc>
          <w:tcPr>
            <w:tcW w:w="2744" w:type="dxa"/>
            <w:vMerge w:val="continue"/>
            <w:tcBorders>
              <w:top w:val="nil"/>
              <w:left w:val="single" w:color="auto" w:sz="4" w:space="0"/>
              <w:bottom w:val="single" w:color="auto" w:sz="4" w:space="0"/>
              <w:right w:val="single" w:color="auto" w:sz="4" w:space="0"/>
            </w:tcBorders>
            <w:vAlign w:val="center"/>
          </w:tcPr>
          <w:p w14:paraId="32C42831">
            <w:pPr>
              <w:widowControl/>
              <w:jc w:val="left"/>
              <w:rPr>
                <w:szCs w:val="21"/>
              </w:rPr>
            </w:pPr>
          </w:p>
        </w:tc>
      </w:tr>
      <w:tr w14:paraId="5823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03CD97AE">
            <w:pPr>
              <w:spacing w:line="320" w:lineRule="exact"/>
              <w:ind w:left="240"/>
              <w:jc w:val="left"/>
              <w:rPr>
                <w:szCs w:val="21"/>
              </w:rPr>
            </w:pPr>
            <w:r>
              <w:rPr>
                <w:rFonts w:ascii="宋体" w:hAnsi="宋体"/>
                <w:szCs w:val="21"/>
              </w:rPr>
              <w:t>预留孔</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40E43030">
            <w:pPr>
              <w:spacing w:line="320" w:lineRule="exact"/>
              <w:ind w:left="240"/>
              <w:jc w:val="left"/>
              <w:rPr>
                <w:szCs w:val="21"/>
              </w:rPr>
            </w:pPr>
            <w:r>
              <w:rPr>
                <w:rFonts w:ascii="宋体" w:hAnsi="宋体"/>
                <w:szCs w:val="21"/>
              </w:rPr>
              <w:t>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45020F85">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6A24D156">
            <w:pPr>
              <w:spacing w:line="320" w:lineRule="exact"/>
              <w:ind w:left="240"/>
              <w:jc w:val="left"/>
              <w:rPr>
                <w:szCs w:val="21"/>
              </w:rPr>
            </w:pPr>
            <w:r>
              <w:rPr>
                <w:rFonts w:ascii="宋体" w:hAnsi="宋体"/>
                <w:szCs w:val="21"/>
              </w:rPr>
              <w:t>尺量检查</w:t>
            </w:r>
          </w:p>
        </w:tc>
      </w:tr>
      <w:tr w14:paraId="3E8B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2617E2BE">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173ED2AC">
            <w:pPr>
              <w:spacing w:line="320" w:lineRule="exact"/>
              <w:ind w:left="240"/>
              <w:jc w:val="left"/>
              <w:rPr>
                <w:szCs w:val="21"/>
              </w:rPr>
            </w:pPr>
            <w:r>
              <w:rPr>
                <w:rFonts w:ascii="宋体" w:hAnsi="宋体"/>
                <w:szCs w:val="21"/>
              </w:rPr>
              <w:t>孔尺寸</w:t>
            </w:r>
          </w:p>
        </w:tc>
        <w:tc>
          <w:tcPr>
            <w:tcW w:w="1559" w:type="dxa"/>
            <w:tcBorders>
              <w:top w:val="single" w:color="auto" w:sz="4" w:space="0"/>
              <w:left w:val="single" w:color="auto" w:sz="4" w:space="0"/>
              <w:bottom w:val="single" w:color="auto" w:sz="4" w:space="0"/>
              <w:right w:val="single" w:color="auto" w:sz="4" w:space="0"/>
            </w:tcBorders>
            <w:vAlign w:val="center"/>
          </w:tcPr>
          <w:p w14:paraId="043F87CE">
            <w:pPr>
              <w:spacing w:line="320" w:lineRule="exact"/>
              <w:ind w:left="240"/>
              <w:jc w:val="left"/>
              <w:rPr>
                <w:szCs w:val="21"/>
              </w:rPr>
            </w:pP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7156F727">
            <w:pPr>
              <w:widowControl/>
              <w:jc w:val="left"/>
              <w:rPr>
                <w:szCs w:val="21"/>
              </w:rPr>
            </w:pPr>
          </w:p>
        </w:tc>
      </w:tr>
      <w:tr w14:paraId="397C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7E46CC9C">
            <w:pPr>
              <w:spacing w:line="320" w:lineRule="exact"/>
              <w:ind w:left="240"/>
              <w:jc w:val="left"/>
              <w:rPr>
                <w:szCs w:val="21"/>
              </w:rPr>
            </w:pPr>
            <w:r>
              <w:rPr>
                <w:rFonts w:ascii="宋体" w:hAnsi="宋体"/>
                <w:szCs w:val="21"/>
              </w:rPr>
              <w:t>预留洞</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25CF8307">
            <w:pPr>
              <w:spacing w:line="320" w:lineRule="exact"/>
              <w:ind w:left="240"/>
              <w:jc w:val="left"/>
              <w:rPr>
                <w:szCs w:val="21"/>
              </w:rPr>
            </w:pPr>
            <w:r>
              <w:rPr>
                <w:rFonts w:ascii="宋体" w:hAnsi="宋体"/>
                <w:szCs w:val="21"/>
              </w:rPr>
              <w:t>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61A30B3A">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0A2B19EE">
            <w:pPr>
              <w:spacing w:line="320" w:lineRule="exact"/>
              <w:ind w:left="240"/>
              <w:jc w:val="left"/>
              <w:rPr>
                <w:szCs w:val="21"/>
              </w:rPr>
            </w:pPr>
            <w:r>
              <w:rPr>
                <w:rFonts w:ascii="宋体" w:hAnsi="宋体"/>
                <w:szCs w:val="21"/>
              </w:rPr>
              <w:t>尺量检查</w:t>
            </w:r>
          </w:p>
        </w:tc>
      </w:tr>
      <w:tr w14:paraId="2D11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666F0442">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5E44FE31">
            <w:pPr>
              <w:spacing w:line="320" w:lineRule="exact"/>
              <w:ind w:left="240"/>
              <w:jc w:val="left"/>
              <w:rPr>
                <w:szCs w:val="21"/>
              </w:rPr>
            </w:pPr>
            <w:r>
              <w:rPr>
                <w:rFonts w:ascii="宋体" w:hAnsi="宋体"/>
                <w:szCs w:val="21"/>
              </w:rPr>
              <w:t>洞口尺寸、深度</w:t>
            </w:r>
          </w:p>
        </w:tc>
        <w:tc>
          <w:tcPr>
            <w:tcW w:w="1559" w:type="dxa"/>
            <w:tcBorders>
              <w:top w:val="single" w:color="auto" w:sz="4" w:space="0"/>
              <w:left w:val="single" w:color="auto" w:sz="4" w:space="0"/>
              <w:bottom w:val="single" w:color="auto" w:sz="4" w:space="0"/>
              <w:right w:val="single" w:color="auto" w:sz="4" w:space="0"/>
            </w:tcBorders>
            <w:vAlign w:val="center"/>
          </w:tcPr>
          <w:p w14:paraId="5FFE609D">
            <w:pPr>
              <w:spacing w:line="320" w:lineRule="exact"/>
              <w:ind w:left="240"/>
              <w:jc w:val="left"/>
              <w:rPr>
                <w:szCs w:val="21"/>
              </w:rPr>
            </w:pP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75ED7BAC">
            <w:pPr>
              <w:widowControl/>
              <w:jc w:val="left"/>
              <w:rPr>
                <w:szCs w:val="21"/>
              </w:rPr>
            </w:pPr>
          </w:p>
        </w:tc>
      </w:tr>
      <w:tr w14:paraId="58AD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39FCF2DF">
            <w:pPr>
              <w:spacing w:line="320" w:lineRule="exact"/>
              <w:ind w:left="240"/>
              <w:jc w:val="left"/>
              <w:rPr>
                <w:szCs w:val="21"/>
              </w:rPr>
            </w:pPr>
            <w:r>
              <w:rPr>
                <w:rFonts w:ascii="宋体" w:hAnsi="宋体"/>
                <w:szCs w:val="21"/>
              </w:rPr>
              <w:t>门窗口</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04274F5B">
            <w:pPr>
              <w:spacing w:line="320" w:lineRule="exact"/>
              <w:ind w:left="240"/>
              <w:jc w:val="left"/>
              <w:rPr>
                <w:szCs w:val="21"/>
              </w:rPr>
            </w:pPr>
            <w:r>
              <w:rPr>
                <w:rFonts w:ascii="宋体" w:hAnsi="宋体"/>
                <w:szCs w:val="21"/>
              </w:rPr>
              <w:t>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774E1955">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5C8DE5C5">
            <w:pPr>
              <w:spacing w:line="320" w:lineRule="exact"/>
              <w:ind w:left="240"/>
              <w:jc w:val="left"/>
              <w:rPr>
                <w:szCs w:val="21"/>
              </w:rPr>
            </w:pPr>
            <w:r>
              <w:rPr>
                <w:rFonts w:ascii="宋体" w:hAnsi="宋体"/>
                <w:szCs w:val="21"/>
              </w:rPr>
              <w:t>尺量检查</w:t>
            </w:r>
          </w:p>
        </w:tc>
      </w:tr>
      <w:tr w14:paraId="333B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269F75C8">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990CCF3">
            <w:pPr>
              <w:spacing w:line="320" w:lineRule="exact"/>
              <w:ind w:left="240"/>
              <w:jc w:val="left"/>
              <w:rPr>
                <w:szCs w:val="21"/>
              </w:rPr>
            </w:pPr>
            <w:r>
              <w:rPr>
                <w:rFonts w:ascii="宋体" w:hAnsi="宋体"/>
                <w:szCs w:val="21"/>
              </w:rPr>
              <w:t>宽度、高度</w:t>
            </w:r>
          </w:p>
        </w:tc>
        <w:tc>
          <w:tcPr>
            <w:tcW w:w="1559" w:type="dxa"/>
            <w:tcBorders>
              <w:top w:val="single" w:color="auto" w:sz="4" w:space="0"/>
              <w:left w:val="single" w:color="auto" w:sz="4" w:space="0"/>
              <w:bottom w:val="single" w:color="auto" w:sz="4" w:space="0"/>
              <w:right w:val="single" w:color="auto" w:sz="4" w:space="0"/>
            </w:tcBorders>
            <w:vAlign w:val="center"/>
          </w:tcPr>
          <w:p w14:paraId="0E357EEA">
            <w:pPr>
              <w:spacing w:line="320" w:lineRule="exact"/>
              <w:ind w:left="240"/>
              <w:jc w:val="left"/>
              <w:rPr>
                <w:szCs w:val="21"/>
              </w:rPr>
            </w:pPr>
            <w:r>
              <w:rPr>
                <w:szCs w:val="21"/>
              </w:rPr>
              <w:t>±3</w:t>
            </w:r>
          </w:p>
        </w:tc>
        <w:tc>
          <w:tcPr>
            <w:tcW w:w="2744" w:type="dxa"/>
            <w:vMerge w:val="continue"/>
            <w:tcBorders>
              <w:top w:val="nil"/>
              <w:left w:val="single" w:color="auto" w:sz="4" w:space="0"/>
              <w:bottom w:val="single" w:color="auto" w:sz="4" w:space="0"/>
              <w:right w:val="single" w:color="auto" w:sz="4" w:space="0"/>
            </w:tcBorders>
            <w:vAlign w:val="center"/>
          </w:tcPr>
          <w:p w14:paraId="10BE9FF5">
            <w:pPr>
              <w:widowControl/>
              <w:jc w:val="left"/>
              <w:rPr>
                <w:szCs w:val="21"/>
              </w:rPr>
            </w:pPr>
          </w:p>
        </w:tc>
      </w:tr>
      <w:tr w14:paraId="5777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02F28D4C">
            <w:pPr>
              <w:spacing w:line="320" w:lineRule="exact"/>
              <w:ind w:left="240"/>
              <w:jc w:val="left"/>
              <w:rPr>
                <w:szCs w:val="21"/>
              </w:rPr>
            </w:pPr>
            <w:r>
              <w:rPr>
                <w:rFonts w:ascii="宋体" w:hAnsi="宋体"/>
                <w:szCs w:val="21"/>
              </w:rPr>
              <w:t>预埋件</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57E71C7">
            <w:pPr>
              <w:spacing w:line="320" w:lineRule="exact"/>
              <w:ind w:left="240"/>
              <w:jc w:val="left"/>
              <w:rPr>
                <w:szCs w:val="21"/>
              </w:rPr>
            </w:pPr>
            <w:r>
              <w:rPr>
                <w:rFonts w:ascii="宋体" w:hAnsi="宋体"/>
                <w:szCs w:val="21"/>
              </w:rPr>
              <w:t>预埋件钢筋锚固板中心线位置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2C342A72">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0EFDF169">
            <w:pPr>
              <w:spacing w:line="320" w:lineRule="exact"/>
              <w:ind w:left="240"/>
              <w:jc w:val="left"/>
              <w:rPr>
                <w:szCs w:val="21"/>
              </w:rPr>
            </w:pPr>
            <w:r>
              <w:rPr>
                <w:rFonts w:ascii="宋体" w:hAnsi="宋体"/>
                <w:szCs w:val="21"/>
              </w:rPr>
              <w:t>尺量检查</w:t>
            </w:r>
          </w:p>
        </w:tc>
      </w:tr>
      <w:tr w14:paraId="085F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439662B6">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69677B7">
            <w:pPr>
              <w:spacing w:line="320" w:lineRule="exact"/>
              <w:ind w:left="240"/>
              <w:jc w:val="left"/>
              <w:rPr>
                <w:szCs w:val="21"/>
              </w:rPr>
            </w:pPr>
            <w:r>
              <w:rPr>
                <w:rFonts w:ascii="宋体" w:hAnsi="宋体"/>
                <w:szCs w:val="21"/>
              </w:rPr>
              <w:t>预埋件钢筋锚固板与混凝土面平面高差</w:t>
            </w:r>
          </w:p>
        </w:tc>
        <w:tc>
          <w:tcPr>
            <w:tcW w:w="1559" w:type="dxa"/>
            <w:tcBorders>
              <w:top w:val="single" w:color="auto" w:sz="4" w:space="0"/>
              <w:left w:val="single" w:color="auto" w:sz="4" w:space="0"/>
              <w:bottom w:val="single" w:color="auto" w:sz="4" w:space="0"/>
              <w:right w:val="single" w:color="auto" w:sz="4" w:space="0"/>
            </w:tcBorders>
            <w:vAlign w:val="center"/>
          </w:tcPr>
          <w:p w14:paraId="518C2330">
            <w:pPr>
              <w:spacing w:line="320" w:lineRule="exact"/>
              <w:ind w:left="240"/>
              <w:jc w:val="left"/>
              <w:rPr>
                <w:szCs w:val="21"/>
              </w:rPr>
            </w:pPr>
            <w:r>
              <w:rPr>
                <w:szCs w:val="21"/>
              </w:rPr>
              <w:t>0</w:t>
            </w:r>
            <w:r>
              <w:rPr>
                <w:rFonts w:ascii="宋体" w:hAnsi="宋体"/>
                <w:szCs w:val="21"/>
              </w:rPr>
              <w:t>，</w:t>
            </w: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01E1243D">
            <w:pPr>
              <w:widowControl/>
              <w:jc w:val="left"/>
              <w:rPr>
                <w:szCs w:val="21"/>
              </w:rPr>
            </w:pPr>
          </w:p>
        </w:tc>
      </w:tr>
      <w:tr w14:paraId="4018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2401569D">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67C7433">
            <w:pPr>
              <w:spacing w:line="320" w:lineRule="exact"/>
              <w:ind w:left="240"/>
              <w:jc w:val="left"/>
              <w:rPr>
                <w:szCs w:val="21"/>
              </w:rPr>
            </w:pPr>
            <w:r>
              <w:rPr>
                <w:rFonts w:ascii="宋体" w:hAnsi="宋体"/>
                <w:szCs w:val="21"/>
              </w:rPr>
              <w:t>预埋螺栓中心线位置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22D8F487">
            <w:pPr>
              <w:spacing w:line="320" w:lineRule="exact"/>
              <w:ind w:left="240"/>
              <w:jc w:val="left"/>
              <w:rPr>
                <w:szCs w:val="21"/>
              </w:rPr>
            </w:pPr>
            <w:r>
              <w:rPr>
                <w:szCs w:val="21"/>
              </w:rPr>
              <w:t>2</w:t>
            </w:r>
          </w:p>
        </w:tc>
        <w:tc>
          <w:tcPr>
            <w:tcW w:w="2744" w:type="dxa"/>
            <w:vMerge w:val="continue"/>
            <w:tcBorders>
              <w:top w:val="nil"/>
              <w:left w:val="single" w:color="auto" w:sz="4" w:space="0"/>
              <w:bottom w:val="single" w:color="auto" w:sz="4" w:space="0"/>
              <w:right w:val="single" w:color="auto" w:sz="4" w:space="0"/>
            </w:tcBorders>
            <w:vAlign w:val="center"/>
          </w:tcPr>
          <w:p w14:paraId="7AB9190A">
            <w:pPr>
              <w:widowControl/>
              <w:jc w:val="left"/>
              <w:rPr>
                <w:szCs w:val="21"/>
              </w:rPr>
            </w:pPr>
          </w:p>
        </w:tc>
      </w:tr>
      <w:tr w14:paraId="480F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71B49C8C">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04A496DB">
            <w:pPr>
              <w:spacing w:line="320" w:lineRule="exact"/>
              <w:ind w:left="240"/>
              <w:jc w:val="left"/>
              <w:rPr>
                <w:szCs w:val="21"/>
              </w:rPr>
            </w:pPr>
            <w:r>
              <w:rPr>
                <w:rFonts w:ascii="宋体" w:hAnsi="宋体"/>
                <w:szCs w:val="21"/>
              </w:rPr>
              <w:t>预埋螺栓外露长度</w:t>
            </w:r>
          </w:p>
        </w:tc>
        <w:tc>
          <w:tcPr>
            <w:tcW w:w="1559" w:type="dxa"/>
            <w:tcBorders>
              <w:top w:val="single" w:color="auto" w:sz="4" w:space="0"/>
              <w:left w:val="single" w:color="auto" w:sz="4" w:space="0"/>
              <w:bottom w:val="single" w:color="auto" w:sz="4" w:space="0"/>
              <w:right w:val="single" w:color="auto" w:sz="4" w:space="0"/>
            </w:tcBorders>
            <w:vAlign w:val="center"/>
          </w:tcPr>
          <w:p w14:paraId="0F40F18D">
            <w:pPr>
              <w:spacing w:line="320" w:lineRule="exact"/>
              <w:ind w:left="240"/>
              <w:jc w:val="left"/>
              <w:rPr>
                <w:szCs w:val="21"/>
              </w:rPr>
            </w:pP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2B22D4C4">
            <w:pPr>
              <w:widowControl/>
              <w:jc w:val="left"/>
              <w:rPr>
                <w:szCs w:val="21"/>
              </w:rPr>
            </w:pPr>
          </w:p>
        </w:tc>
      </w:tr>
      <w:tr w14:paraId="130E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0FD51515">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0F31AB90">
            <w:pPr>
              <w:spacing w:line="320" w:lineRule="exact"/>
              <w:ind w:left="240"/>
              <w:jc w:val="left"/>
              <w:rPr>
                <w:szCs w:val="21"/>
              </w:rPr>
            </w:pPr>
            <w:r>
              <w:rPr>
                <w:rFonts w:ascii="宋体" w:hAnsi="宋体"/>
                <w:szCs w:val="21"/>
              </w:rPr>
              <w:t>预埋套筒、螺母中心线位置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33714ED3">
            <w:pPr>
              <w:spacing w:line="320" w:lineRule="exact"/>
              <w:ind w:left="240"/>
              <w:jc w:val="left"/>
              <w:rPr>
                <w:szCs w:val="21"/>
              </w:rPr>
            </w:pPr>
            <w:r>
              <w:rPr>
                <w:szCs w:val="21"/>
              </w:rPr>
              <w:t>2</w:t>
            </w:r>
          </w:p>
        </w:tc>
        <w:tc>
          <w:tcPr>
            <w:tcW w:w="2744" w:type="dxa"/>
            <w:vMerge w:val="continue"/>
            <w:tcBorders>
              <w:top w:val="nil"/>
              <w:left w:val="single" w:color="auto" w:sz="4" w:space="0"/>
              <w:bottom w:val="single" w:color="auto" w:sz="4" w:space="0"/>
              <w:right w:val="single" w:color="auto" w:sz="4" w:space="0"/>
            </w:tcBorders>
            <w:vAlign w:val="center"/>
          </w:tcPr>
          <w:p w14:paraId="7C168D8A">
            <w:pPr>
              <w:widowControl/>
              <w:jc w:val="left"/>
              <w:rPr>
                <w:szCs w:val="21"/>
              </w:rPr>
            </w:pPr>
          </w:p>
        </w:tc>
      </w:tr>
      <w:tr w14:paraId="0DED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652F07E6">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9F262FC">
            <w:pPr>
              <w:spacing w:line="320" w:lineRule="exact"/>
              <w:ind w:left="240"/>
              <w:jc w:val="left"/>
              <w:rPr>
                <w:szCs w:val="21"/>
              </w:rPr>
            </w:pPr>
            <w:r>
              <w:rPr>
                <w:rFonts w:ascii="宋体" w:hAnsi="宋体"/>
                <w:szCs w:val="21"/>
              </w:rPr>
              <w:t>预埋套筒、螺母与混凝土面平面高差</w:t>
            </w:r>
          </w:p>
        </w:tc>
        <w:tc>
          <w:tcPr>
            <w:tcW w:w="1559" w:type="dxa"/>
            <w:tcBorders>
              <w:top w:val="single" w:color="auto" w:sz="4" w:space="0"/>
              <w:left w:val="single" w:color="auto" w:sz="4" w:space="0"/>
              <w:bottom w:val="single" w:color="auto" w:sz="4" w:space="0"/>
              <w:right w:val="single" w:color="auto" w:sz="4" w:space="0"/>
            </w:tcBorders>
            <w:vAlign w:val="center"/>
          </w:tcPr>
          <w:p w14:paraId="6F5DB1C3">
            <w:pPr>
              <w:spacing w:line="320" w:lineRule="exact"/>
              <w:ind w:left="240"/>
              <w:jc w:val="left"/>
              <w:rPr>
                <w:szCs w:val="21"/>
              </w:rPr>
            </w:pPr>
            <w:r>
              <w:rPr>
                <w:szCs w:val="21"/>
              </w:rPr>
              <w:t>0</w:t>
            </w:r>
            <w:r>
              <w:rPr>
                <w:rFonts w:ascii="宋体" w:hAnsi="宋体"/>
                <w:szCs w:val="21"/>
              </w:rPr>
              <w:t>，</w:t>
            </w: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1CB4CD3C">
            <w:pPr>
              <w:widowControl/>
              <w:jc w:val="left"/>
              <w:rPr>
                <w:szCs w:val="21"/>
              </w:rPr>
            </w:pPr>
          </w:p>
        </w:tc>
      </w:tr>
      <w:tr w14:paraId="67DB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097E282D">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2ECA4A0">
            <w:pPr>
              <w:spacing w:line="320" w:lineRule="exact"/>
              <w:ind w:left="240"/>
              <w:jc w:val="left"/>
              <w:rPr>
                <w:szCs w:val="21"/>
              </w:rPr>
            </w:pPr>
            <w:r>
              <w:rPr>
                <w:rFonts w:ascii="宋体" w:hAnsi="宋体"/>
                <w:szCs w:val="21"/>
              </w:rPr>
              <w:t>线管、电盒、木砖、吊环在构件平面的中心线位置偏差</w:t>
            </w:r>
          </w:p>
        </w:tc>
        <w:tc>
          <w:tcPr>
            <w:tcW w:w="1559" w:type="dxa"/>
            <w:tcBorders>
              <w:top w:val="single" w:color="auto" w:sz="4" w:space="0"/>
              <w:left w:val="single" w:color="auto" w:sz="4" w:space="0"/>
              <w:bottom w:val="single" w:color="auto" w:sz="4" w:space="0"/>
              <w:right w:val="single" w:color="auto" w:sz="4" w:space="0"/>
            </w:tcBorders>
            <w:vAlign w:val="center"/>
          </w:tcPr>
          <w:p w14:paraId="10800CD9">
            <w:pPr>
              <w:spacing w:line="320" w:lineRule="exact"/>
              <w:ind w:left="240"/>
              <w:jc w:val="left"/>
              <w:rPr>
                <w:szCs w:val="21"/>
              </w:rPr>
            </w:pPr>
            <w:r>
              <w:rPr>
                <w:szCs w:val="21"/>
              </w:rPr>
              <w:t>20</w:t>
            </w:r>
          </w:p>
        </w:tc>
        <w:tc>
          <w:tcPr>
            <w:tcW w:w="2744" w:type="dxa"/>
            <w:vMerge w:val="continue"/>
            <w:tcBorders>
              <w:top w:val="nil"/>
              <w:left w:val="single" w:color="auto" w:sz="4" w:space="0"/>
              <w:bottom w:val="single" w:color="auto" w:sz="4" w:space="0"/>
              <w:right w:val="single" w:color="auto" w:sz="4" w:space="0"/>
            </w:tcBorders>
            <w:vAlign w:val="center"/>
          </w:tcPr>
          <w:p w14:paraId="51647170">
            <w:pPr>
              <w:widowControl/>
              <w:jc w:val="left"/>
              <w:rPr>
                <w:szCs w:val="21"/>
              </w:rPr>
            </w:pPr>
          </w:p>
        </w:tc>
      </w:tr>
      <w:tr w14:paraId="60A9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6DEE3A0C">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1023E85B">
            <w:pPr>
              <w:spacing w:line="320" w:lineRule="exact"/>
              <w:ind w:left="240"/>
              <w:jc w:val="left"/>
              <w:rPr>
                <w:szCs w:val="21"/>
              </w:rPr>
            </w:pPr>
            <w:r>
              <w:rPr>
                <w:rFonts w:ascii="宋体" w:hAnsi="宋体"/>
                <w:szCs w:val="21"/>
              </w:rPr>
              <w:t>线管、电盒、木砖、吊环与构件表面混凝土高差</w:t>
            </w:r>
          </w:p>
        </w:tc>
        <w:tc>
          <w:tcPr>
            <w:tcW w:w="1559" w:type="dxa"/>
            <w:tcBorders>
              <w:top w:val="single" w:color="auto" w:sz="4" w:space="0"/>
              <w:left w:val="single" w:color="auto" w:sz="4" w:space="0"/>
              <w:bottom w:val="single" w:color="auto" w:sz="4" w:space="0"/>
              <w:right w:val="single" w:color="auto" w:sz="4" w:space="0"/>
            </w:tcBorders>
            <w:vAlign w:val="center"/>
          </w:tcPr>
          <w:p w14:paraId="784F1317">
            <w:pPr>
              <w:spacing w:line="320" w:lineRule="exact"/>
              <w:ind w:left="240"/>
              <w:jc w:val="left"/>
              <w:rPr>
                <w:szCs w:val="21"/>
              </w:rPr>
            </w:pPr>
            <w:r>
              <w:rPr>
                <w:szCs w:val="21"/>
              </w:rPr>
              <w:t>0</w:t>
            </w:r>
            <w:r>
              <w:rPr>
                <w:rFonts w:ascii="宋体" w:hAnsi="宋体"/>
                <w:szCs w:val="21"/>
              </w:rPr>
              <w:t>，</w:t>
            </w:r>
            <w:r>
              <w:rPr>
                <w:szCs w:val="21"/>
              </w:rPr>
              <w:t>-10</w:t>
            </w:r>
          </w:p>
        </w:tc>
        <w:tc>
          <w:tcPr>
            <w:tcW w:w="2744" w:type="dxa"/>
            <w:vMerge w:val="continue"/>
            <w:tcBorders>
              <w:top w:val="nil"/>
              <w:left w:val="single" w:color="auto" w:sz="4" w:space="0"/>
              <w:bottom w:val="single" w:color="auto" w:sz="4" w:space="0"/>
              <w:right w:val="single" w:color="auto" w:sz="4" w:space="0"/>
            </w:tcBorders>
            <w:vAlign w:val="center"/>
          </w:tcPr>
          <w:p w14:paraId="0F8194B8">
            <w:pPr>
              <w:widowControl/>
              <w:jc w:val="left"/>
              <w:rPr>
                <w:szCs w:val="21"/>
              </w:rPr>
            </w:pPr>
          </w:p>
        </w:tc>
      </w:tr>
      <w:tr w14:paraId="4243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31C96727">
            <w:pPr>
              <w:spacing w:line="320" w:lineRule="exact"/>
              <w:ind w:left="240"/>
              <w:jc w:val="left"/>
              <w:rPr>
                <w:szCs w:val="21"/>
              </w:rPr>
            </w:pPr>
            <w:r>
              <w:rPr>
                <w:rFonts w:ascii="宋体" w:hAnsi="宋体"/>
                <w:szCs w:val="21"/>
              </w:rPr>
              <w:t>预留插筋</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6D9BDFFD">
            <w:pPr>
              <w:spacing w:line="320" w:lineRule="exact"/>
              <w:ind w:left="240"/>
              <w:jc w:val="left"/>
              <w:rPr>
                <w:szCs w:val="21"/>
              </w:rPr>
            </w:pPr>
            <w:r>
              <w:rPr>
                <w:rFonts w:ascii="宋体" w:hAnsi="宋体"/>
                <w:szCs w:val="21"/>
              </w:rPr>
              <w:t>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1BDA0F79">
            <w:pPr>
              <w:spacing w:line="320" w:lineRule="exact"/>
              <w:ind w:left="240"/>
              <w:jc w:val="left"/>
              <w:rPr>
                <w:szCs w:val="21"/>
              </w:rPr>
            </w:pPr>
            <w:r>
              <w:rPr>
                <w:szCs w:val="21"/>
              </w:rPr>
              <w:t>3</w:t>
            </w:r>
          </w:p>
        </w:tc>
        <w:tc>
          <w:tcPr>
            <w:tcW w:w="2744" w:type="dxa"/>
            <w:vMerge w:val="restart"/>
            <w:tcBorders>
              <w:top w:val="nil"/>
              <w:left w:val="single" w:color="auto" w:sz="4" w:space="0"/>
              <w:bottom w:val="single" w:color="auto" w:sz="4" w:space="0"/>
              <w:right w:val="single" w:color="auto" w:sz="4" w:space="0"/>
            </w:tcBorders>
            <w:vAlign w:val="center"/>
          </w:tcPr>
          <w:p w14:paraId="50926520">
            <w:pPr>
              <w:spacing w:line="320" w:lineRule="exact"/>
              <w:ind w:left="240"/>
              <w:jc w:val="left"/>
              <w:rPr>
                <w:szCs w:val="21"/>
              </w:rPr>
            </w:pPr>
            <w:r>
              <w:rPr>
                <w:rFonts w:ascii="宋体" w:hAnsi="宋体"/>
                <w:szCs w:val="21"/>
              </w:rPr>
              <w:t>尺量检查</w:t>
            </w:r>
          </w:p>
        </w:tc>
      </w:tr>
      <w:tr w14:paraId="1A3F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501C791E">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7EF9AECC">
            <w:pPr>
              <w:spacing w:line="320" w:lineRule="exact"/>
              <w:ind w:left="240"/>
              <w:jc w:val="left"/>
              <w:rPr>
                <w:szCs w:val="21"/>
              </w:rPr>
            </w:pPr>
            <w:r>
              <w:rPr>
                <w:rFonts w:ascii="宋体" w:hAnsi="宋体"/>
                <w:szCs w:val="21"/>
              </w:rPr>
              <w:t>外露长度</w:t>
            </w:r>
          </w:p>
        </w:tc>
        <w:tc>
          <w:tcPr>
            <w:tcW w:w="1559" w:type="dxa"/>
            <w:tcBorders>
              <w:top w:val="single" w:color="auto" w:sz="4" w:space="0"/>
              <w:left w:val="single" w:color="auto" w:sz="4" w:space="0"/>
              <w:bottom w:val="single" w:color="auto" w:sz="4" w:space="0"/>
              <w:right w:val="single" w:color="auto" w:sz="4" w:space="0"/>
            </w:tcBorders>
            <w:vAlign w:val="center"/>
          </w:tcPr>
          <w:p w14:paraId="08E6CD6E">
            <w:pPr>
              <w:spacing w:line="320" w:lineRule="exact"/>
              <w:ind w:left="240"/>
              <w:jc w:val="left"/>
              <w:rPr>
                <w:szCs w:val="21"/>
              </w:rPr>
            </w:pPr>
            <w:r>
              <w:rPr>
                <w:szCs w:val="21"/>
              </w:rPr>
              <w:t>+5</w:t>
            </w:r>
            <w:r>
              <w:rPr>
                <w:rFonts w:ascii="宋体" w:hAnsi="宋体"/>
                <w:szCs w:val="21"/>
              </w:rPr>
              <w:t>，</w:t>
            </w:r>
            <w:r>
              <w:rPr>
                <w:szCs w:val="21"/>
              </w:rPr>
              <w:t>0</w:t>
            </w:r>
          </w:p>
        </w:tc>
        <w:tc>
          <w:tcPr>
            <w:tcW w:w="2744" w:type="dxa"/>
            <w:vMerge w:val="continue"/>
            <w:tcBorders>
              <w:top w:val="nil"/>
              <w:left w:val="single" w:color="auto" w:sz="4" w:space="0"/>
              <w:bottom w:val="single" w:color="auto" w:sz="4" w:space="0"/>
              <w:right w:val="single" w:color="auto" w:sz="4" w:space="0"/>
            </w:tcBorders>
            <w:vAlign w:val="center"/>
          </w:tcPr>
          <w:p w14:paraId="3B6A7305">
            <w:pPr>
              <w:widowControl/>
              <w:jc w:val="left"/>
              <w:rPr>
                <w:szCs w:val="21"/>
              </w:rPr>
            </w:pPr>
          </w:p>
        </w:tc>
      </w:tr>
      <w:tr w14:paraId="3A4D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nil"/>
              <w:left w:val="single" w:color="auto" w:sz="4" w:space="0"/>
              <w:bottom w:val="single" w:color="auto" w:sz="4" w:space="0"/>
              <w:right w:val="single" w:color="auto" w:sz="4" w:space="0"/>
            </w:tcBorders>
            <w:vAlign w:val="center"/>
          </w:tcPr>
          <w:p w14:paraId="3749E9C5">
            <w:pPr>
              <w:spacing w:line="320" w:lineRule="exact"/>
              <w:ind w:left="240"/>
              <w:jc w:val="left"/>
              <w:rPr>
                <w:szCs w:val="21"/>
              </w:rPr>
            </w:pPr>
            <w:r>
              <w:rPr>
                <w:rFonts w:ascii="宋体" w:hAnsi="宋体"/>
                <w:szCs w:val="21"/>
              </w:rPr>
              <w:t>键槽</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45FA4412">
            <w:pPr>
              <w:spacing w:line="320" w:lineRule="exact"/>
              <w:ind w:left="240"/>
              <w:jc w:val="left"/>
              <w:rPr>
                <w:szCs w:val="21"/>
              </w:rPr>
            </w:pPr>
            <w:r>
              <w:rPr>
                <w:rFonts w:ascii="宋体" w:hAnsi="宋体"/>
                <w:szCs w:val="21"/>
              </w:rPr>
              <w:t>中心线位置</w:t>
            </w:r>
          </w:p>
        </w:tc>
        <w:tc>
          <w:tcPr>
            <w:tcW w:w="1559" w:type="dxa"/>
            <w:tcBorders>
              <w:top w:val="single" w:color="auto" w:sz="4" w:space="0"/>
              <w:left w:val="single" w:color="auto" w:sz="4" w:space="0"/>
              <w:bottom w:val="single" w:color="auto" w:sz="4" w:space="0"/>
              <w:right w:val="single" w:color="auto" w:sz="4" w:space="0"/>
            </w:tcBorders>
            <w:vAlign w:val="center"/>
          </w:tcPr>
          <w:p w14:paraId="265155C9">
            <w:pPr>
              <w:spacing w:line="320" w:lineRule="exact"/>
              <w:ind w:left="240"/>
              <w:jc w:val="left"/>
              <w:rPr>
                <w:szCs w:val="21"/>
              </w:rPr>
            </w:pPr>
            <w:r>
              <w:rPr>
                <w:szCs w:val="21"/>
              </w:rPr>
              <w:t>5</w:t>
            </w:r>
          </w:p>
        </w:tc>
        <w:tc>
          <w:tcPr>
            <w:tcW w:w="2744" w:type="dxa"/>
            <w:vMerge w:val="restart"/>
            <w:tcBorders>
              <w:top w:val="nil"/>
              <w:left w:val="single" w:color="auto" w:sz="4" w:space="0"/>
              <w:bottom w:val="single" w:color="auto" w:sz="4" w:space="0"/>
              <w:right w:val="single" w:color="auto" w:sz="4" w:space="0"/>
            </w:tcBorders>
            <w:vAlign w:val="center"/>
          </w:tcPr>
          <w:p w14:paraId="38CEFE80">
            <w:pPr>
              <w:spacing w:line="320" w:lineRule="exact"/>
              <w:ind w:left="240"/>
              <w:jc w:val="left"/>
              <w:rPr>
                <w:szCs w:val="21"/>
              </w:rPr>
            </w:pPr>
            <w:r>
              <w:rPr>
                <w:rFonts w:ascii="宋体" w:hAnsi="宋体"/>
                <w:szCs w:val="21"/>
              </w:rPr>
              <w:t>尺量检查</w:t>
            </w:r>
          </w:p>
        </w:tc>
      </w:tr>
      <w:tr w14:paraId="703B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Merge w:val="continue"/>
            <w:tcBorders>
              <w:top w:val="nil"/>
              <w:left w:val="single" w:color="auto" w:sz="4" w:space="0"/>
              <w:bottom w:val="single" w:color="auto" w:sz="4" w:space="0"/>
              <w:right w:val="single" w:color="auto" w:sz="4" w:space="0"/>
            </w:tcBorders>
            <w:vAlign w:val="center"/>
          </w:tcPr>
          <w:p w14:paraId="2608F8FA">
            <w:pPr>
              <w:widowControl/>
              <w:jc w:val="left"/>
              <w:rPr>
                <w:szCs w:val="21"/>
              </w:rPr>
            </w:pP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76146423">
            <w:pPr>
              <w:spacing w:line="320" w:lineRule="exact"/>
              <w:ind w:left="240"/>
              <w:jc w:val="left"/>
              <w:rPr>
                <w:szCs w:val="21"/>
              </w:rPr>
            </w:pPr>
            <w:r>
              <w:rPr>
                <w:rFonts w:ascii="宋体" w:hAnsi="宋体"/>
                <w:szCs w:val="21"/>
              </w:rPr>
              <w:t>长度、宽度、深度</w:t>
            </w:r>
          </w:p>
        </w:tc>
        <w:tc>
          <w:tcPr>
            <w:tcW w:w="1559" w:type="dxa"/>
            <w:tcBorders>
              <w:top w:val="single" w:color="auto" w:sz="4" w:space="0"/>
              <w:left w:val="single" w:color="auto" w:sz="4" w:space="0"/>
              <w:bottom w:val="single" w:color="auto" w:sz="4" w:space="0"/>
              <w:right w:val="single" w:color="auto" w:sz="4" w:space="0"/>
            </w:tcBorders>
            <w:vAlign w:val="center"/>
          </w:tcPr>
          <w:p w14:paraId="4A8ADC80">
            <w:pPr>
              <w:spacing w:line="320" w:lineRule="exact"/>
              <w:ind w:left="240"/>
              <w:jc w:val="left"/>
              <w:rPr>
                <w:szCs w:val="21"/>
              </w:rPr>
            </w:pPr>
            <w:r>
              <w:rPr>
                <w:szCs w:val="21"/>
              </w:rPr>
              <w:t>±5</w:t>
            </w:r>
          </w:p>
        </w:tc>
        <w:tc>
          <w:tcPr>
            <w:tcW w:w="2744" w:type="dxa"/>
            <w:vMerge w:val="continue"/>
            <w:tcBorders>
              <w:top w:val="nil"/>
              <w:left w:val="single" w:color="auto" w:sz="4" w:space="0"/>
              <w:bottom w:val="single" w:color="auto" w:sz="4" w:space="0"/>
              <w:right w:val="single" w:color="auto" w:sz="4" w:space="0"/>
            </w:tcBorders>
            <w:vAlign w:val="center"/>
          </w:tcPr>
          <w:p w14:paraId="3B09F553">
            <w:pPr>
              <w:widowControl/>
              <w:jc w:val="left"/>
              <w:rPr>
                <w:szCs w:val="21"/>
              </w:rPr>
            </w:pPr>
          </w:p>
        </w:tc>
      </w:tr>
    </w:tbl>
    <w:p w14:paraId="7091E6A4">
      <w:pPr>
        <w:pStyle w:val="110"/>
        <w:rPr>
          <w:b/>
        </w:rPr>
      </w:pPr>
      <w:r>
        <w:rPr>
          <w:rFonts w:hint="eastAsia"/>
          <w:b/>
        </w:rPr>
        <w:t>预制构件脱模及吊装时的混凝土强度要求</w:t>
      </w:r>
    </w:p>
    <w:tbl>
      <w:tblPr>
        <w:tblStyle w:val="37"/>
        <w:tblW w:w="0" w:type="auto"/>
        <w:tblInd w:w="108" w:type="dxa"/>
        <w:tblLayout w:type="autofit"/>
        <w:tblCellMar>
          <w:top w:w="0" w:type="dxa"/>
          <w:left w:w="0" w:type="dxa"/>
          <w:bottom w:w="0" w:type="dxa"/>
          <w:right w:w="0" w:type="dxa"/>
        </w:tblCellMar>
      </w:tblPr>
      <w:tblGrid>
        <w:gridCol w:w="2064"/>
        <w:gridCol w:w="1836"/>
        <w:gridCol w:w="4121"/>
      </w:tblGrid>
      <w:tr w14:paraId="6CC37ED8">
        <w:trPr>
          <w:trHeight w:val="765" w:hRule="atLeast"/>
        </w:trPr>
        <w:tc>
          <w:tcPr>
            <w:tcW w:w="2133" w:type="dxa"/>
            <w:tcBorders>
              <w:top w:val="inset" w:color="auto" w:sz="6" w:space="0"/>
              <w:left w:val="inset" w:color="auto" w:sz="6" w:space="0"/>
              <w:bottom w:val="inset" w:color="auto" w:sz="6" w:space="0"/>
              <w:right w:val="inset" w:color="auto" w:sz="6" w:space="0"/>
            </w:tcBorders>
            <w:vAlign w:val="center"/>
          </w:tcPr>
          <w:p w14:paraId="6804C8C1">
            <w:pPr>
              <w:spacing w:line="360" w:lineRule="auto"/>
              <w:jc w:val="center"/>
              <w:rPr>
                <w:color w:val="000000"/>
                <w:szCs w:val="21"/>
              </w:rPr>
            </w:pPr>
            <w:r>
              <w:rPr>
                <w:rFonts w:hint="eastAsia" w:ascii="宋体" w:hAnsi="宋体"/>
                <w:color w:val="000000"/>
                <w:szCs w:val="21"/>
              </w:rPr>
              <w:t>构件类型</w:t>
            </w:r>
          </w:p>
        </w:tc>
        <w:tc>
          <w:tcPr>
            <w:tcW w:w="1900" w:type="dxa"/>
            <w:tcBorders>
              <w:top w:val="inset" w:color="auto" w:sz="6" w:space="0"/>
              <w:left w:val="nil"/>
              <w:bottom w:val="inset" w:color="auto" w:sz="6" w:space="0"/>
              <w:right w:val="inset" w:color="auto" w:sz="6" w:space="0"/>
            </w:tcBorders>
            <w:vAlign w:val="center"/>
          </w:tcPr>
          <w:p w14:paraId="33C1BCB9">
            <w:pPr>
              <w:spacing w:line="360" w:lineRule="auto"/>
              <w:jc w:val="center"/>
              <w:rPr>
                <w:color w:val="000000"/>
                <w:szCs w:val="21"/>
              </w:rPr>
            </w:pPr>
            <w:r>
              <w:rPr>
                <w:rFonts w:hint="eastAsia" w:ascii="宋体" w:hAnsi="宋体"/>
                <w:color w:val="000000"/>
                <w:szCs w:val="21"/>
              </w:rPr>
              <w:t>构件跨度</w:t>
            </w:r>
            <w:r>
              <w:rPr>
                <w:color w:val="000000"/>
                <w:szCs w:val="21"/>
              </w:rPr>
              <w:t>(m)</w:t>
            </w:r>
          </w:p>
        </w:tc>
        <w:tc>
          <w:tcPr>
            <w:tcW w:w="4281" w:type="dxa"/>
            <w:tcBorders>
              <w:top w:val="inset" w:color="auto" w:sz="6" w:space="0"/>
              <w:left w:val="nil"/>
              <w:bottom w:val="inset" w:color="auto" w:sz="6" w:space="0"/>
              <w:right w:val="inset" w:color="auto" w:sz="6" w:space="0"/>
            </w:tcBorders>
            <w:vAlign w:val="center"/>
          </w:tcPr>
          <w:p w14:paraId="782C6BE3">
            <w:pPr>
              <w:jc w:val="center"/>
              <w:rPr>
                <w:color w:val="000000"/>
                <w:szCs w:val="21"/>
              </w:rPr>
            </w:pPr>
            <w:r>
              <w:rPr>
                <w:rFonts w:hint="eastAsia" w:ascii="宋体" w:hAnsi="宋体"/>
                <w:color w:val="000000"/>
                <w:szCs w:val="21"/>
              </w:rPr>
              <w:t>达到设计的混凝土立方体抗压强度</w:t>
            </w:r>
          </w:p>
          <w:p w14:paraId="70EBB0B9">
            <w:pPr>
              <w:jc w:val="center"/>
              <w:rPr>
                <w:color w:val="000000"/>
                <w:szCs w:val="21"/>
              </w:rPr>
            </w:pPr>
            <w:r>
              <w:rPr>
                <w:rFonts w:hint="eastAsia" w:ascii="宋体" w:hAnsi="宋体"/>
                <w:color w:val="000000"/>
                <w:szCs w:val="21"/>
              </w:rPr>
              <w:t>标准值的百分率</w:t>
            </w:r>
            <w:r>
              <w:rPr>
                <w:color w:val="000000"/>
                <w:szCs w:val="21"/>
              </w:rPr>
              <w:t>(%)</w:t>
            </w:r>
          </w:p>
        </w:tc>
      </w:tr>
      <w:tr w14:paraId="6DB9B219">
        <w:tblPrEx>
          <w:tblCellMar>
            <w:top w:w="0" w:type="dxa"/>
            <w:left w:w="0" w:type="dxa"/>
            <w:bottom w:w="0" w:type="dxa"/>
            <w:right w:w="0" w:type="dxa"/>
          </w:tblCellMar>
        </w:tblPrEx>
        <w:trPr>
          <w:cantSplit/>
          <w:trHeight w:val="375" w:hRule="atLeast"/>
        </w:trPr>
        <w:tc>
          <w:tcPr>
            <w:tcW w:w="2133" w:type="dxa"/>
            <w:vMerge w:val="restart"/>
            <w:tcBorders>
              <w:top w:val="nil"/>
              <w:left w:val="inset" w:color="auto" w:sz="6" w:space="0"/>
              <w:bottom w:val="inset" w:color="auto" w:sz="6" w:space="0"/>
              <w:right w:val="inset" w:color="auto" w:sz="6" w:space="0"/>
            </w:tcBorders>
            <w:vAlign w:val="center"/>
          </w:tcPr>
          <w:p w14:paraId="4891B566">
            <w:pPr>
              <w:spacing w:line="360" w:lineRule="auto"/>
              <w:jc w:val="center"/>
              <w:rPr>
                <w:color w:val="000000"/>
                <w:szCs w:val="21"/>
              </w:rPr>
            </w:pPr>
            <w:r>
              <w:rPr>
                <w:rFonts w:hint="eastAsia" w:ascii="宋体" w:hAnsi="宋体"/>
                <w:color w:val="000000"/>
                <w:szCs w:val="21"/>
              </w:rPr>
              <w:t>预制外墙板</w:t>
            </w:r>
          </w:p>
        </w:tc>
        <w:tc>
          <w:tcPr>
            <w:tcW w:w="1900" w:type="dxa"/>
            <w:tcBorders>
              <w:top w:val="inset" w:color="auto" w:sz="6" w:space="0"/>
              <w:left w:val="nil"/>
              <w:bottom w:val="inset" w:color="auto" w:sz="6" w:space="0"/>
              <w:right w:val="inset" w:color="auto" w:sz="6" w:space="0"/>
            </w:tcBorders>
            <w:vAlign w:val="center"/>
          </w:tcPr>
          <w:p w14:paraId="08686929">
            <w:pPr>
              <w:spacing w:line="360" w:lineRule="auto"/>
              <w:jc w:val="center"/>
              <w:rPr>
                <w:color w:val="000000"/>
                <w:szCs w:val="21"/>
              </w:rPr>
            </w:pPr>
            <w:r>
              <w:rPr>
                <w:rFonts w:hint="eastAsia" w:ascii="宋体" w:hAnsi="宋体"/>
                <w:color w:val="000000"/>
                <w:szCs w:val="21"/>
              </w:rPr>
              <w:t>≤</w:t>
            </w:r>
            <w:r>
              <w:rPr>
                <w:color w:val="000000"/>
                <w:szCs w:val="21"/>
              </w:rPr>
              <w:t>2</w:t>
            </w:r>
          </w:p>
        </w:tc>
        <w:tc>
          <w:tcPr>
            <w:tcW w:w="4281" w:type="dxa"/>
            <w:tcBorders>
              <w:top w:val="inset" w:color="auto" w:sz="6" w:space="0"/>
              <w:left w:val="nil"/>
              <w:bottom w:val="inset" w:color="auto" w:sz="6" w:space="0"/>
              <w:right w:val="inset" w:color="auto" w:sz="6" w:space="0"/>
            </w:tcBorders>
            <w:vAlign w:val="center"/>
          </w:tcPr>
          <w:p w14:paraId="3F1826D4">
            <w:pPr>
              <w:spacing w:line="360" w:lineRule="auto"/>
              <w:jc w:val="center"/>
              <w:rPr>
                <w:color w:val="000000"/>
                <w:szCs w:val="21"/>
              </w:rPr>
            </w:pPr>
            <w:r>
              <w:rPr>
                <w:rFonts w:hint="eastAsia" w:ascii="宋体" w:hAnsi="宋体"/>
                <w:color w:val="000000"/>
                <w:szCs w:val="21"/>
              </w:rPr>
              <w:t>≥</w:t>
            </w:r>
            <w:r>
              <w:rPr>
                <w:color w:val="000000"/>
                <w:szCs w:val="21"/>
              </w:rPr>
              <w:t>50</w:t>
            </w:r>
          </w:p>
        </w:tc>
      </w:tr>
      <w:tr w14:paraId="7B720AE4">
        <w:tblPrEx>
          <w:tblCellMar>
            <w:top w:w="0" w:type="dxa"/>
            <w:left w:w="0" w:type="dxa"/>
            <w:bottom w:w="0" w:type="dxa"/>
            <w:right w:w="0" w:type="dxa"/>
          </w:tblCellMar>
        </w:tblPrEx>
        <w:trPr>
          <w:cantSplit/>
          <w:trHeight w:val="375" w:hRule="atLeast"/>
        </w:trPr>
        <w:tc>
          <w:tcPr>
            <w:tcW w:w="0" w:type="auto"/>
            <w:vMerge w:val="continue"/>
            <w:tcBorders>
              <w:top w:val="nil"/>
              <w:left w:val="inset" w:color="auto" w:sz="6" w:space="0"/>
              <w:bottom w:val="inset" w:color="auto" w:sz="6" w:space="0"/>
              <w:right w:val="inset" w:color="auto" w:sz="6" w:space="0"/>
            </w:tcBorders>
            <w:vAlign w:val="center"/>
          </w:tcPr>
          <w:p w14:paraId="06E49E84">
            <w:pPr>
              <w:widowControl/>
              <w:jc w:val="left"/>
              <w:rPr>
                <w:color w:val="000000"/>
                <w:szCs w:val="21"/>
              </w:rPr>
            </w:pPr>
          </w:p>
        </w:tc>
        <w:tc>
          <w:tcPr>
            <w:tcW w:w="1900" w:type="dxa"/>
            <w:tcBorders>
              <w:top w:val="inset" w:color="auto" w:sz="6" w:space="0"/>
              <w:left w:val="nil"/>
              <w:bottom w:val="inset" w:color="auto" w:sz="6" w:space="0"/>
              <w:right w:val="inset" w:color="auto" w:sz="6" w:space="0"/>
            </w:tcBorders>
            <w:vAlign w:val="center"/>
          </w:tcPr>
          <w:p w14:paraId="4C6629D9">
            <w:pPr>
              <w:spacing w:line="360" w:lineRule="auto"/>
              <w:jc w:val="center"/>
              <w:rPr>
                <w:color w:val="000000"/>
                <w:szCs w:val="21"/>
              </w:rPr>
            </w:pPr>
            <w:r>
              <w:rPr>
                <w:color w:val="000000"/>
                <w:szCs w:val="21"/>
              </w:rPr>
              <w:t>&gt;2,</w:t>
            </w:r>
            <w:r>
              <w:rPr>
                <w:rFonts w:hint="eastAsia" w:ascii="宋体" w:hAnsi="宋体"/>
                <w:color w:val="000000"/>
                <w:szCs w:val="21"/>
              </w:rPr>
              <w:t>≤</w:t>
            </w:r>
            <w:r>
              <w:rPr>
                <w:color w:val="000000"/>
                <w:szCs w:val="21"/>
              </w:rPr>
              <w:t>8</w:t>
            </w:r>
          </w:p>
        </w:tc>
        <w:tc>
          <w:tcPr>
            <w:tcW w:w="4281" w:type="dxa"/>
            <w:tcBorders>
              <w:top w:val="inset" w:color="auto" w:sz="6" w:space="0"/>
              <w:left w:val="nil"/>
              <w:bottom w:val="inset" w:color="auto" w:sz="6" w:space="0"/>
              <w:right w:val="inset" w:color="auto" w:sz="6" w:space="0"/>
            </w:tcBorders>
            <w:vAlign w:val="center"/>
          </w:tcPr>
          <w:p w14:paraId="30066413">
            <w:pPr>
              <w:spacing w:line="360" w:lineRule="auto"/>
              <w:jc w:val="center"/>
              <w:rPr>
                <w:rFonts w:ascii="宋体" w:hAnsi="宋体"/>
                <w:color w:val="000000"/>
                <w:szCs w:val="21"/>
              </w:rPr>
            </w:pPr>
            <w:r>
              <w:rPr>
                <w:rFonts w:hint="eastAsia" w:ascii="宋体" w:hAnsi="宋体"/>
                <w:color w:val="000000"/>
                <w:szCs w:val="21"/>
              </w:rPr>
              <w:t>≥</w:t>
            </w:r>
            <w:r>
              <w:rPr>
                <w:rFonts w:hint="eastAsia"/>
                <w:color w:val="000000"/>
                <w:szCs w:val="21"/>
              </w:rPr>
              <w:t>80</w:t>
            </w:r>
          </w:p>
        </w:tc>
      </w:tr>
      <w:tr w14:paraId="3086B66E">
        <w:tblPrEx>
          <w:tblCellMar>
            <w:top w:w="0" w:type="dxa"/>
            <w:left w:w="0" w:type="dxa"/>
            <w:bottom w:w="0" w:type="dxa"/>
            <w:right w:w="0" w:type="dxa"/>
          </w:tblCellMar>
        </w:tblPrEx>
        <w:trPr>
          <w:cantSplit/>
          <w:trHeight w:val="315" w:hRule="atLeast"/>
        </w:trPr>
        <w:tc>
          <w:tcPr>
            <w:tcW w:w="0" w:type="auto"/>
            <w:vMerge w:val="continue"/>
            <w:tcBorders>
              <w:top w:val="nil"/>
              <w:left w:val="inset" w:color="auto" w:sz="6" w:space="0"/>
              <w:bottom w:val="inset" w:color="auto" w:sz="6" w:space="0"/>
              <w:right w:val="inset" w:color="auto" w:sz="6" w:space="0"/>
            </w:tcBorders>
            <w:vAlign w:val="center"/>
          </w:tcPr>
          <w:p w14:paraId="38D281EE">
            <w:pPr>
              <w:widowControl/>
              <w:jc w:val="left"/>
              <w:rPr>
                <w:color w:val="000000"/>
                <w:szCs w:val="21"/>
              </w:rPr>
            </w:pPr>
          </w:p>
        </w:tc>
        <w:tc>
          <w:tcPr>
            <w:tcW w:w="1900" w:type="dxa"/>
            <w:tcBorders>
              <w:top w:val="inset" w:color="auto" w:sz="6" w:space="0"/>
              <w:left w:val="nil"/>
              <w:bottom w:val="inset" w:color="auto" w:sz="6" w:space="0"/>
              <w:right w:val="inset" w:color="auto" w:sz="6" w:space="0"/>
            </w:tcBorders>
            <w:vAlign w:val="center"/>
          </w:tcPr>
          <w:p w14:paraId="28A70330">
            <w:pPr>
              <w:spacing w:line="360" w:lineRule="auto"/>
              <w:jc w:val="center"/>
              <w:rPr>
                <w:color w:val="000000"/>
                <w:szCs w:val="21"/>
              </w:rPr>
            </w:pPr>
            <w:r>
              <w:rPr>
                <w:color w:val="000000"/>
                <w:szCs w:val="21"/>
              </w:rPr>
              <w:t>&gt;8</w:t>
            </w:r>
          </w:p>
        </w:tc>
        <w:tc>
          <w:tcPr>
            <w:tcW w:w="4281" w:type="dxa"/>
            <w:tcBorders>
              <w:top w:val="inset" w:color="auto" w:sz="6" w:space="0"/>
              <w:left w:val="nil"/>
              <w:bottom w:val="inset" w:color="auto" w:sz="6" w:space="0"/>
              <w:right w:val="inset" w:color="auto" w:sz="6" w:space="0"/>
            </w:tcBorders>
            <w:vAlign w:val="center"/>
          </w:tcPr>
          <w:p w14:paraId="016BE5F2">
            <w:pPr>
              <w:spacing w:line="360" w:lineRule="auto"/>
              <w:jc w:val="center"/>
              <w:rPr>
                <w:color w:val="000000"/>
                <w:szCs w:val="21"/>
              </w:rPr>
            </w:pPr>
            <w:r>
              <w:rPr>
                <w:rFonts w:hint="eastAsia" w:ascii="宋体" w:hAnsi="宋体"/>
                <w:color w:val="000000"/>
                <w:szCs w:val="21"/>
              </w:rPr>
              <w:t>≥</w:t>
            </w:r>
            <w:r>
              <w:rPr>
                <w:color w:val="000000"/>
                <w:szCs w:val="21"/>
              </w:rPr>
              <w:t>100</w:t>
            </w:r>
          </w:p>
        </w:tc>
      </w:tr>
      <w:tr w14:paraId="36F6ADC0">
        <w:tblPrEx>
          <w:tblCellMar>
            <w:top w:w="0" w:type="dxa"/>
            <w:left w:w="0" w:type="dxa"/>
            <w:bottom w:w="0" w:type="dxa"/>
            <w:right w:w="0" w:type="dxa"/>
          </w:tblCellMar>
        </w:tblPrEx>
        <w:trPr>
          <w:cantSplit/>
          <w:trHeight w:val="345" w:hRule="atLeast"/>
        </w:trPr>
        <w:tc>
          <w:tcPr>
            <w:tcW w:w="2133" w:type="dxa"/>
            <w:vMerge w:val="restart"/>
            <w:tcBorders>
              <w:top w:val="nil"/>
              <w:left w:val="inset" w:color="auto" w:sz="6" w:space="0"/>
              <w:bottom w:val="inset" w:color="auto" w:sz="6" w:space="0"/>
              <w:right w:val="inset" w:color="auto" w:sz="6" w:space="0"/>
            </w:tcBorders>
            <w:vAlign w:val="center"/>
          </w:tcPr>
          <w:p w14:paraId="29DBE865">
            <w:pPr>
              <w:spacing w:line="360" w:lineRule="auto"/>
              <w:jc w:val="center"/>
              <w:rPr>
                <w:rFonts w:ascii="宋体" w:hAnsi="宋体"/>
                <w:color w:val="000000"/>
                <w:szCs w:val="21"/>
              </w:rPr>
            </w:pPr>
            <w:r>
              <w:rPr>
                <w:rFonts w:hint="eastAsia" w:ascii="宋体" w:hAnsi="宋体"/>
                <w:color w:val="000000"/>
                <w:szCs w:val="21"/>
              </w:rPr>
              <w:t>预制叠合板、</w:t>
            </w:r>
          </w:p>
          <w:p w14:paraId="2C4E58EB">
            <w:pPr>
              <w:spacing w:line="360" w:lineRule="auto"/>
              <w:jc w:val="center"/>
              <w:rPr>
                <w:color w:val="000000"/>
                <w:szCs w:val="21"/>
              </w:rPr>
            </w:pPr>
            <w:r>
              <w:rPr>
                <w:rFonts w:hint="eastAsia" w:ascii="宋体" w:hAnsi="宋体"/>
                <w:color w:val="000000"/>
                <w:szCs w:val="21"/>
              </w:rPr>
              <w:t>预制阳台板、预制楼梯</w:t>
            </w:r>
          </w:p>
        </w:tc>
        <w:tc>
          <w:tcPr>
            <w:tcW w:w="1900" w:type="dxa"/>
            <w:tcBorders>
              <w:top w:val="inset" w:color="auto" w:sz="6" w:space="0"/>
              <w:left w:val="nil"/>
              <w:bottom w:val="inset" w:color="auto" w:sz="6" w:space="0"/>
              <w:right w:val="inset" w:color="auto" w:sz="6" w:space="0"/>
            </w:tcBorders>
            <w:vAlign w:val="center"/>
          </w:tcPr>
          <w:p w14:paraId="711997C2">
            <w:pPr>
              <w:spacing w:line="360" w:lineRule="auto"/>
              <w:jc w:val="center"/>
              <w:rPr>
                <w:color w:val="000000"/>
                <w:szCs w:val="21"/>
              </w:rPr>
            </w:pPr>
            <w:r>
              <w:rPr>
                <w:rFonts w:hint="eastAsia" w:ascii="宋体" w:hAnsi="宋体"/>
                <w:color w:val="000000"/>
                <w:szCs w:val="21"/>
              </w:rPr>
              <w:t>≤</w:t>
            </w:r>
            <w:r>
              <w:rPr>
                <w:color w:val="000000"/>
                <w:szCs w:val="21"/>
              </w:rPr>
              <w:t>8</w:t>
            </w:r>
          </w:p>
        </w:tc>
        <w:tc>
          <w:tcPr>
            <w:tcW w:w="4281" w:type="dxa"/>
            <w:tcBorders>
              <w:top w:val="inset" w:color="auto" w:sz="6" w:space="0"/>
              <w:left w:val="nil"/>
              <w:bottom w:val="inset" w:color="auto" w:sz="6" w:space="0"/>
              <w:right w:val="inset" w:color="auto" w:sz="6" w:space="0"/>
            </w:tcBorders>
            <w:vAlign w:val="center"/>
          </w:tcPr>
          <w:p w14:paraId="2A2C9CBF">
            <w:pPr>
              <w:spacing w:line="360" w:lineRule="auto"/>
              <w:jc w:val="center"/>
              <w:rPr>
                <w:rFonts w:ascii="宋体" w:hAnsi="宋体"/>
                <w:color w:val="000000"/>
                <w:szCs w:val="21"/>
              </w:rPr>
            </w:pPr>
            <w:r>
              <w:rPr>
                <w:rFonts w:hint="eastAsia" w:ascii="宋体" w:hAnsi="宋体"/>
                <w:color w:val="000000"/>
                <w:szCs w:val="21"/>
              </w:rPr>
              <w:t>≥</w:t>
            </w:r>
            <w:r>
              <w:rPr>
                <w:rFonts w:hint="eastAsia"/>
                <w:color w:val="000000"/>
                <w:szCs w:val="21"/>
              </w:rPr>
              <w:t>80</w:t>
            </w:r>
          </w:p>
        </w:tc>
      </w:tr>
      <w:tr w14:paraId="304F62B6">
        <w:tblPrEx>
          <w:tblCellMar>
            <w:top w:w="0" w:type="dxa"/>
            <w:left w:w="0" w:type="dxa"/>
            <w:bottom w:w="0" w:type="dxa"/>
            <w:right w:w="0" w:type="dxa"/>
          </w:tblCellMar>
        </w:tblPrEx>
        <w:trPr>
          <w:cantSplit/>
          <w:trHeight w:val="315" w:hRule="atLeast"/>
        </w:trPr>
        <w:tc>
          <w:tcPr>
            <w:tcW w:w="0" w:type="auto"/>
            <w:vMerge w:val="continue"/>
            <w:tcBorders>
              <w:top w:val="nil"/>
              <w:left w:val="inset" w:color="auto" w:sz="6" w:space="0"/>
              <w:bottom w:val="inset" w:color="auto" w:sz="6" w:space="0"/>
              <w:right w:val="inset" w:color="auto" w:sz="6" w:space="0"/>
            </w:tcBorders>
            <w:vAlign w:val="center"/>
          </w:tcPr>
          <w:p w14:paraId="1F1CD074">
            <w:pPr>
              <w:widowControl/>
              <w:jc w:val="left"/>
              <w:rPr>
                <w:color w:val="000000"/>
                <w:szCs w:val="21"/>
              </w:rPr>
            </w:pPr>
          </w:p>
        </w:tc>
        <w:tc>
          <w:tcPr>
            <w:tcW w:w="1900" w:type="dxa"/>
            <w:tcBorders>
              <w:top w:val="inset" w:color="auto" w:sz="6" w:space="0"/>
              <w:left w:val="nil"/>
              <w:bottom w:val="inset" w:color="auto" w:sz="6" w:space="0"/>
              <w:right w:val="inset" w:color="auto" w:sz="6" w:space="0"/>
            </w:tcBorders>
            <w:vAlign w:val="center"/>
          </w:tcPr>
          <w:p w14:paraId="302ACBE0">
            <w:pPr>
              <w:spacing w:line="360" w:lineRule="auto"/>
              <w:jc w:val="center"/>
              <w:rPr>
                <w:color w:val="000000"/>
                <w:szCs w:val="21"/>
              </w:rPr>
            </w:pPr>
            <w:r>
              <w:rPr>
                <w:color w:val="000000"/>
                <w:szCs w:val="21"/>
              </w:rPr>
              <w:t>&gt;8</w:t>
            </w:r>
          </w:p>
        </w:tc>
        <w:tc>
          <w:tcPr>
            <w:tcW w:w="4281" w:type="dxa"/>
            <w:tcBorders>
              <w:top w:val="inset" w:color="auto" w:sz="6" w:space="0"/>
              <w:left w:val="nil"/>
              <w:bottom w:val="inset" w:color="auto" w:sz="6" w:space="0"/>
              <w:right w:val="inset" w:color="auto" w:sz="6" w:space="0"/>
            </w:tcBorders>
            <w:vAlign w:val="center"/>
          </w:tcPr>
          <w:p w14:paraId="598DEB12">
            <w:pPr>
              <w:spacing w:line="360" w:lineRule="auto"/>
              <w:jc w:val="center"/>
              <w:rPr>
                <w:color w:val="000000"/>
                <w:szCs w:val="21"/>
              </w:rPr>
            </w:pPr>
            <w:r>
              <w:rPr>
                <w:rFonts w:hint="eastAsia" w:ascii="宋体" w:hAnsi="宋体"/>
                <w:color w:val="000000"/>
                <w:szCs w:val="21"/>
              </w:rPr>
              <w:t>≥</w:t>
            </w:r>
            <w:r>
              <w:rPr>
                <w:color w:val="000000"/>
                <w:szCs w:val="21"/>
              </w:rPr>
              <w:t>100</w:t>
            </w:r>
          </w:p>
        </w:tc>
      </w:tr>
      <w:tr w14:paraId="4D4D5447">
        <w:tblPrEx>
          <w:tblCellMar>
            <w:top w:w="0" w:type="dxa"/>
            <w:left w:w="0" w:type="dxa"/>
            <w:bottom w:w="0" w:type="dxa"/>
            <w:right w:w="0" w:type="dxa"/>
          </w:tblCellMar>
        </w:tblPrEx>
        <w:trPr>
          <w:trHeight w:val="315" w:hRule="atLeast"/>
        </w:trPr>
        <w:tc>
          <w:tcPr>
            <w:tcW w:w="2133" w:type="dxa"/>
            <w:tcBorders>
              <w:top w:val="inset" w:color="auto" w:sz="6" w:space="0"/>
              <w:left w:val="inset" w:color="auto" w:sz="6" w:space="0"/>
              <w:bottom w:val="inset" w:color="auto" w:sz="6" w:space="0"/>
              <w:right w:val="inset" w:color="auto" w:sz="6" w:space="0"/>
            </w:tcBorders>
            <w:vAlign w:val="center"/>
          </w:tcPr>
          <w:p w14:paraId="60FDAE1F">
            <w:pPr>
              <w:spacing w:line="360" w:lineRule="auto"/>
              <w:jc w:val="center"/>
              <w:rPr>
                <w:rFonts w:ascii="宋体" w:hAnsi="宋体"/>
                <w:color w:val="000000"/>
                <w:szCs w:val="21"/>
              </w:rPr>
            </w:pPr>
            <w:r>
              <w:rPr>
                <w:rFonts w:hint="eastAsia" w:ascii="宋体" w:hAnsi="宋体"/>
                <w:color w:val="000000"/>
                <w:szCs w:val="21"/>
              </w:rPr>
              <w:t>预制构件吊装时</w:t>
            </w:r>
          </w:p>
        </w:tc>
        <w:tc>
          <w:tcPr>
            <w:tcW w:w="1900" w:type="dxa"/>
            <w:tcBorders>
              <w:top w:val="inset" w:color="auto" w:sz="6" w:space="0"/>
              <w:left w:val="nil"/>
              <w:bottom w:val="inset" w:color="auto" w:sz="6" w:space="0"/>
              <w:right w:val="inset" w:color="auto" w:sz="6" w:space="0"/>
            </w:tcBorders>
            <w:vAlign w:val="center"/>
          </w:tcPr>
          <w:p w14:paraId="4DF2221C">
            <w:pPr>
              <w:spacing w:line="360" w:lineRule="auto"/>
              <w:jc w:val="center"/>
              <w:rPr>
                <w:color w:val="000000"/>
                <w:szCs w:val="21"/>
              </w:rPr>
            </w:pPr>
          </w:p>
        </w:tc>
        <w:tc>
          <w:tcPr>
            <w:tcW w:w="4281" w:type="dxa"/>
            <w:tcBorders>
              <w:top w:val="inset" w:color="auto" w:sz="6" w:space="0"/>
              <w:left w:val="nil"/>
              <w:bottom w:val="inset" w:color="auto" w:sz="6" w:space="0"/>
              <w:right w:val="inset" w:color="auto" w:sz="6" w:space="0"/>
            </w:tcBorders>
            <w:vAlign w:val="center"/>
          </w:tcPr>
          <w:p w14:paraId="5F0E7B3F">
            <w:pPr>
              <w:spacing w:line="360" w:lineRule="auto"/>
              <w:jc w:val="center"/>
              <w:rPr>
                <w:color w:val="000000"/>
                <w:szCs w:val="21"/>
              </w:rPr>
            </w:pPr>
            <w:r>
              <w:rPr>
                <w:rFonts w:hint="eastAsia" w:ascii="宋体" w:hAnsi="宋体"/>
                <w:color w:val="000000"/>
                <w:szCs w:val="21"/>
              </w:rPr>
              <w:t>≥</w:t>
            </w:r>
            <w:r>
              <w:rPr>
                <w:rFonts w:hint="eastAsia"/>
                <w:color w:val="000000"/>
                <w:szCs w:val="21"/>
              </w:rPr>
              <w:t>100</w:t>
            </w:r>
          </w:p>
        </w:tc>
      </w:tr>
    </w:tbl>
    <w:p w14:paraId="6928D887">
      <w:pPr>
        <w:pStyle w:val="110"/>
        <w:rPr>
          <w:b/>
        </w:rPr>
      </w:pPr>
      <w:r>
        <w:rPr>
          <w:rFonts w:hint="eastAsia"/>
          <w:b/>
        </w:rPr>
        <w:t>砼肋板验收标准</w:t>
      </w:r>
    </w:p>
    <w:p w14:paraId="37B37A79">
      <w:pPr>
        <w:pStyle w:val="112"/>
        <w:numPr>
          <w:ilvl w:val="0"/>
          <w:numId w:val="0"/>
        </w:numPr>
        <w:ind w:left="964"/>
        <w:jc w:val="left"/>
        <w:rPr>
          <w:rFonts w:hint="default"/>
          <w:lang w:val="en-US" w:eastAsia="zh-CN"/>
        </w:rPr>
      </w:pPr>
      <w:r>
        <w:rPr>
          <w:rFonts w:hint="eastAsia"/>
          <w:lang w:val="en-US" w:eastAsia="zh-CN"/>
        </w:rPr>
        <w:t>参考国家相关规范和标准。</w:t>
      </w:r>
    </w:p>
    <w:p w14:paraId="244B686D">
      <w:pPr>
        <w:pStyle w:val="122"/>
      </w:pPr>
      <w:r>
        <w:rPr>
          <w:rFonts w:hint="eastAsia"/>
        </w:rPr>
        <w:t>双面叠合剪力墙验收</w:t>
      </w:r>
    </w:p>
    <w:p w14:paraId="37235BE3">
      <w:pPr>
        <w:pStyle w:val="112"/>
        <w:numPr>
          <w:ilvl w:val="0"/>
          <w:numId w:val="0"/>
        </w:numPr>
        <w:ind w:left="964"/>
        <w:jc w:val="left"/>
      </w:pPr>
      <w:r>
        <w:rPr>
          <w:rFonts w:hint="eastAsia"/>
        </w:rPr>
        <w:t>1、叠合板式剪力墙结构体系建筑工程应按子单位工程进行验收。验收的内容、程序、组织、记录，应按照国家标准GB50300、GB50204、JGJ1-2014等相关规定进行。</w:t>
      </w:r>
    </w:p>
    <w:p w14:paraId="0B22D992">
      <w:pPr>
        <w:pStyle w:val="112"/>
        <w:numPr>
          <w:ilvl w:val="0"/>
          <w:numId w:val="0"/>
        </w:numPr>
        <w:ind w:left="964"/>
        <w:jc w:val="left"/>
      </w:pPr>
      <w:r>
        <w:rPr>
          <w:rFonts w:hint="eastAsia"/>
        </w:rPr>
        <w:t>2、双面叠合剪力墙结构与其相关的现浇混凝土结构应按混凝土结构子分部工程的分项工程进行验收，相应的分项工程、检验批划分和质量验收应符合现行国家标准《混凝土结构工程施工质量验收规范》GB 50204和《建筑工程施工质量验收统一标准》GB 50300的规定。</w:t>
      </w:r>
    </w:p>
    <w:p w14:paraId="117FF27F">
      <w:pPr>
        <w:pStyle w:val="112"/>
        <w:numPr>
          <w:ilvl w:val="0"/>
          <w:numId w:val="0"/>
        </w:numPr>
        <w:ind w:left="964"/>
        <w:jc w:val="left"/>
      </w:pPr>
      <w:r>
        <w:rPr>
          <w:rFonts w:hint="eastAsia"/>
        </w:rPr>
        <w:t>3、双面叠合剪力墙结构焊接、螺栓等连接用材料的进场验收应符合现行国家标准《钢结构工程施工质量验收规范》GB 50205的规定。</w:t>
      </w:r>
    </w:p>
    <w:p w14:paraId="1239C887">
      <w:pPr>
        <w:pStyle w:val="119"/>
      </w:pPr>
      <w:bookmarkStart w:id="49" w:name="_Toc136956842"/>
      <w:r>
        <w:rPr>
          <w:rFonts w:hint="eastAsia"/>
        </w:rPr>
        <w:t>预制混凝土构件吊装施工工艺</w:t>
      </w:r>
      <w:bookmarkEnd w:id="49"/>
    </w:p>
    <w:p w14:paraId="2AF068E5">
      <w:pPr>
        <w:pStyle w:val="112"/>
        <w:numPr>
          <w:ilvl w:val="0"/>
          <w:numId w:val="0"/>
        </w:numPr>
        <w:ind w:left="964"/>
        <w:jc w:val="left"/>
        <w:rPr>
          <w:rFonts w:hint="default"/>
          <w:lang w:val="en-US" w:eastAsia="zh-CN"/>
        </w:rPr>
      </w:pPr>
      <w:bookmarkStart w:id="50" w:name="_MON_1724142369"/>
      <w:bookmarkEnd w:id="50"/>
      <w:r>
        <w:rPr>
          <w:rFonts w:hint="eastAsia"/>
          <w:lang w:val="en-US" w:eastAsia="zh-CN"/>
        </w:rPr>
        <w:t>参考国家相关规范和标准。</w:t>
      </w:r>
    </w:p>
    <w:p w14:paraId="24402623">
      <w:pPr>
        <w:pStyle w:val="119"/>
      </w:pPr>
      <w:bookmarkStart w:id="51" w:name="_Toc136956843"/>
      <w:r>
        <w:rPr>
          <w:rFonts w:hint="eastAsia"/>
        </w:rPr>
        <w:t>装配式建筑吊装施工质量验收</w:t>
      </w:r>
      <w:bookmarkEnd w:id="51"/>
    </w:p>
    <w:p w14:paraId="2C46E6E1">
      <w:pPr>
        <w:pStyle w:val="122"/>
      </w:pPr>
      <w:r>
        <w:rPr>
          <w:rFonts w:hint="eastAsia"/>
        </w:rPr>
        <w:t>主控项目</w:t>
      </w:r>
    </w:p>
    <w:p w14:paraId="7A89970C">
      <w:pPr>
        <w:pStyle w:val="112"/>
        <w:numPr>
          <w:ilvl w:val="0"/>
          <w:numId w:val="0"/>
        </w:numPr>
        <w:ind w:left="964"/>
        <w:jc w:val="left"/>
      </w:pPr>
      <w:r>
        <w:rPr>
          <w:rFonts w:hint="eastAsia"/>
        </w:rPr>
        <w:t>1、进入现场的预制构件，其外观质量、尺寸偏差及结构性能应符合设计及相关技术标准要求。</w:t>
      </w:r>
    </w:p>
    <w:p w14:paraId="045A3C82">
      <w:pPr>
        <w:pStyle w:val="112"/>
        <w:numPr>
          <w:ilvl w:val="0"/>
          <w:numId w:val="0"/>
        </w:numPr>
        <w:ind w:left="964"/>
        <w:jc w:val="left"/>
      </w:pPr>
      <w:r>
        <w:rPr>
          <w:rFonts w:hint="eastAsia"/>
        </w:rPr>
        <w:t>检查数量：全数检查</w:t>
      </w:r>
    </w:p>
    <w:p w14:paraId="408DE29B">
      <w:pPr>
        <w:pStyle w:val="112"/>
        <w:numPr>
          <w:ilvl w:val="0"/>
          <w:numId w:val="0"/>
        </w:numPr>
        <w:ind w:left="964"/>
        <w:jc w:val="left"/>
      </w:pPr>
      <w:r>
        <w:rPr>
          <w:rFonts w:hint="eastAsia"/>
        </w:rPr>
        <w:t>检验方法：检查构件合格证</w:t>
      </w:r>
    </w:p>
    <w:p w14:paraId="1CF6A03D">
      <w:pPr>
        <w:pStyle w:val="112"/>
        <w:numPr>
          <w:ilvl w:val="0"/>
          <w:numId w:val="0"/>
        </w:numPr>
        <w:ind w:left="964"/>
        <w:jc w:val="left"/>
      </w:pPr>
      <w:r>
        <w:rPr>
          <w:rFonts w:hint="eastAsia"/>
        </w:rPr>
        <w:t>2、预制构件与结构之间的连接应符合设计要求</w:t>
      </w:r>
    </w:p>
    <w:p w14:paraId="1F7A9E23">
      <w:pPr>
        <w:pStyle w:val="112"/>
        <w:numPr>
          <w:ilvl w:val="0"/>
          <w:numId w:val="0"/>
        </w:numPr>
        <w:ind w:left="964"/>
        <w:jc w:val="left"/>
      </w:pPr>
      <w:r>
        <w:rPr>
          <w:rFonts w:hint="eastAsia"/>
        </w:rPr>
        <w:t>检查数量：全数检查。</w:t>
      </w:r>
    </w:p>
    <w:p w14:paraId="4BE5755D">
      <w:pPr>
        <w:pStyle w:val="112"/>
        <w:numPr>
          <w:ilvl w:val="0"/>
          <w:numId w:val="0"/>
        </w:numPr>
        <w:ind w:left="964"/>
        <w:jc w:val="left"/>
      </w:pPr>
      <w:r>
        <w:rPr>
          <w:rFonts w:hint="eastAsia"/>
        </w:rPr>
        <w:t>检验方法：检查构件合格证。</w:t>
      </w:r>
    </w:p>
    <w:p w14:paraId="1747C762">
      <w:pPr>
        <w:pStyle w:val="112"/>
        <w:numPr>
          <w:ilvl w:val="0"/>
          <w:numId w:val="0"/>
        </w:numPr>
        <w:ind w:left="964"/>
        <w:jc w:val="left"/>
      </w:pPr>
      <w:r>
        <w:rPr>
          <w:rFonts w:hint="eastAsia"/>
        </w:rPr>
        <w:t>3、预制构件临时吊装支撑应符合设计及相关技术标准要求，安装就位后，应采取保证构件稳定的临时固定措施。</w:t>
      </w:r>
    </w:p>
    <w:p w14:paraId="32246E5D">
      <w:pPr>
        <w:pStyle w:val="112"/>
        <w:numPr>
          <w:ilvl w:val="0"/>
          <w:numId w:val="0"/>
        </w:numPr>
        <w:ind w:left="964"/>
        <w:jc w:val="left"/>
      </w:pPr>
      <w:r>
        <w:rPr>
          <w:rFonts w:hint="eastAsia"/>
        </w:rPr>
        <w:t>检查数量：全数检查</w:t>
      </w:r>
    </w:p>
    <w:p w14:paraId="2F7D2446">
      <w:pPr>
        <w:pStyle w:val="112"/>
        <w:numPr>
          <w:ilvl w:val="0"/>
          <w:numId w:val="0"/>
        </w:numPr>
        <w:ind w:left="964"/>
        <w:jc w:val="left"/>
      </w:pPr>
      <w:r>
        <w:rPr>
          <w:rFonts w:hint="eastAsia"/>
        </w:rPr>
        <w:t>检验方法：观察、检查施工记录。</w:t>
      </w:r>
    </w:p>
    <w:p w14:paraId="794FE14C">
      <w:pPr>
        <w:pStyle w:val="112"/>
        <w:numPr>
          <w:ilvl w:val="0"/>
          <w:numId w:val="0"/>
        </w:numPr>
        <w:ind w:left="964"/>
        <w:jc w:val="left"/>
      </w:pPr>
      <w:r>
        <w:rPr>
          <w:rFonts w:hint="eastAsia"/>
        </w:rPr>
        <w:t>4、承受内里的后浇混凝土接头和拼缝，当其混凝土强度未达到设计要求时，不得吊装上一层结构构件；当设计无具体要求时，应在混凝土强度不小于1</w:t>
      </w:r>
      <w:r>
        <w:t>0N/</w:t>
      </w:r>
      <w:r>
        <w:rPr>
          <w:rFonts w:hint="eastAsia"/>
        </w:rPr>
        <w:t>mm²或具有足够的支承时方可吊装上一层结构构件。已安装完毕的装配整体式结构，应在混凝土强度达到设计要求后，方可承受全部设计荷载。</w:t>
      </w:r>
    </w:p>
    <w:p w14:paraId="1F047A7A">
      <w:pPr>
        <w:pStyle w:val="110"/>
      </w:pPr>
      <w:r>
        <w:rPr>
          <w:rFonts w:hint="eastAsia"/>
        </w:rPr>
        <w:t>一般项目</w:t>
      </w:r>
    </w:p>
    <w:p w14:paraId="5C9F7D80">
      <w:pPr>
        <w:pStyle w:val="112"/>
        <w:numPr>
          <w:ilvl w:val="0"/>
          <w:numId w:val="0"/>
        </w:numPr>
        <w:ind w:left="964"/>
        <w:jc w:val="left"/>
      </w:pPr>
      <w:r>
        <w:rPr>
          <w:rFonts w:hint="eastAsia"/>
        </w:rPr>
        <w:t>1、预制构件码放和运输时的支承位置和方法应符合标准图或设计的要求。</w:t>
      </w:r>
    </w:p>
    <w:p w14:paraId="07B2EC8B">
      <w:pPr>
        <w:pStyle w:val="112"/>
        <w:numPr>
          <w:ilvl w:val="0"/>
          <w:numId w:val="0"/>
        </w:numPr>
        <w:ind w:left="964"/>
        <w:jc w:val="left"/>
      </w:pPr>
      <w:r>
        <w:rPr>
          <w:rFonts w:hint="eastAsia"/>
        </w:rPr>
        <w:t>检查数量：全数检查</w:t>
      </w:r>
    </w:p>
    <w:p w14:paraId="0FF00DB6">
      <w:pPr>
        <w:pStyle w:val="112"/>
        <w:numPr>
          <w:ilvl w:val="0"/>
          <w:numId w:val="0"/>
        </w:numPr>
        <w:ind w:left="964"/>
        <w:jc w:val="left"/>
      </w:pPr>
      <w:r>
        <w:rPr>
          <w:rFonts w:hint="eastAsia"/>
        </w:rPr>
        <w:t>检验方法：观察检查。</w:t>
      </w:r>
    </w:p>
    <w:p w14:paraId="7B7BB399">
      <w:pPr>
        <w:pStyle w:val="112"/>
        <w:numPr>
          <w:ilvl w:val="0"/>
          <w:numId w:val="0"/>
        </w:numPr>
        <w:ind w:left="964"/>
        <w:jc w:val="left"/>
      </w:pPr>
      <w:r>
        <w:rPr>
          <w:rFonts w:hint="eastAsia"/>
        </w:rPr>
        <w:t>2、预制构件安装就位，应根据水准点和轴线矫正位置。预制构件吊装尺寸偏差应符合下表的规定。</w:t>
      </w:r>
    </w:p>
    <w:p w14:paraId="4742F9F7">
      <w:pPr>
        <w:pStyle w:val="112"/>
        <w:numPr>
          <w:ilvl w:val="0"/>
          <w:numId w:val="0"/>
        </w:numPr>
        <w:ind w:left="964"/>
        <w:jc w:val="left"/>
      </w:pPr>
      <w:r>
        <w:rPr>
          <w:rFonts w:hint="eastAsia"/>
        </w:rPr>
        <w:t>检查数量：全数检查</w:t>
      </w:r>
    </w:p>
    <w:p w14:paraId="062F01AD">
      <w:pPr>
        <w:pStyle w:val="112"/>
        <w:numPr>
          <w:ilvl w:val="0"/>
          <w:numId w:val="0"/>
        </w:numPr>
        <w:ind w:left="964"/>
        <w:jc w:val="left"/>
      </w:pPr>
      <w:r>
        <w:rPr>
          <w:rFonts w:hint="eastAsia"/>
        </w:rPr>
        <w:t>检验方法：观察，钢尺检查。</w:t>
      </w:r>
    </w:p>
    <w:p w14:paraId="14686F86">
      <w:pPr>
        <w:pStyle w:val="112"/>
        <w:numPr>
          <w:ilvl w:val="0"/>
          <w:numId w:val="0"/>
        </w:numPr>
        <w:ind w:left="964" w:firstLine="2700" w:firstLineChars="1500"/>
        <w:jc w:val="left"/>
      </w:pPr>
      <w:r>
        <w:rPr>
          <w:rFonts w:hint="eastAsia"/>
        </w:rPr>
        <w:t>吊装尺寸允许偏差表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2458"/>
        <w:gridCol w:w="2780"/>
      </w:tblGrid>
      <w:tr w14:paraId="1853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313A04DB">
            <w:pPr>
              <w:spacing w:line="264" w:lineRule="auto"/>
              <w:jc w:val="center"/>
              <w:rPr>
                <w:color w:val="000000"/>
                <w:szCs w:val="21"/>
              </w:rPr>
            </w:pPr>
            <w:r>
              <w:rPr>
                <w:rFonts w:hint="eastAsia" w:ascii="宋体" w:hAnsi="宋体"/>
                <w:color w:val="000000"/>
                <w:szCs w:val="21"/>
              </w:rPr>
              <w:t>项目</w:t>
            </w:r>
          </w:p>
        </w:tc>
        <w:tc>
          <w:tcPr>
            <w:tcW w:w="1474" w:type="pct"/>
            <w:tcBorders>
              <w:top w:val="single" w:color="auto" w:sz="4" w:space="0"/>
              <w:left w:val="single" w:color="auto" w:sz="4" w:space="0"/>
              <w:bottom w:val="single" w:color="auto" w:sz="4" w:space="0"/>
              <w:right w:val="single" w:color="auto" w:sz="4" w:space="0"/>
            </w:tcBorders>
            <w:vAlign w:val="center"/>
          </w:tcPr>
          <w:p w14:paraId="418B50D4">
            <w:pPr>
              <w:spacing w:line="264" w:lineRule="auto"/>
              <w:jc w:val="center"/>
              <w:rPr>
                <w:color w:val="000000"/>
                <w:szCs w:val="21"/>
              </w:rPr>
            </w:pPr>
            <w:r>
              <w:rPr>
                <w:rFonts w:hint="eastAsia" w:ascii="宋体" w:hAnsi="宋体"/>
                <w:color w:val="000000"/>
                <w:szCs w:val="21"/>
              </w:rPr>
              <w:t>允许偏差（</w:t>
            </w:r>
            <w:r>
              <w:rPr>
                <w:color w:val="000000"/>
                <w:szCs w:val="21"/>
              </w:rPr>
              <w:t>mm</w:t>
            </w:r>
            <w:r>
              <w:rPr>
                <w:rFonts w:hint="eastAsia" w:ascii="宋体" w:hAnsi="宋体"/>
                <w:color w:val="000000"/>
                <w:szCs w:val="21"/>
              </w:rPr>
              <w:t>）</w:t>
            </w:r>
          </w:p>
        </w:tc>
        <w:tc>
          <w:tcPr>
            <w:tcW w:w="1667" w:type="pct"/>
            <w:tcBorders>
              <w:top w:val="single" w:color="auto" w:sz="4" w:space="0"/>
              <w:left w:val="single" w:color="auto" w:sz="4" w:space="0"/>
              <w:bottom w:val="single" w:color="auto" w:sz="4" w:space="0"/>
              <w:right w:val="single" w:color="auto" w:sz="4" w:space="0"/>
            </w:tcBorders>
          </w:tcPr>
          <w:p w14:paraId="2567307C">
            <w:pPr>
              <w:spacing w:line="264" w:lineRule="auto"/>
              <w:jc w:val="center"/>
              <w:rPr>
                <w:rFonts w:ascii="宋体" w:hAnsi="宋体"/>
                <w:color w:val="000000"/>
                <w:szCs w:val="21"/>
              </w:rPr>
            </w:pPr>
            <w:r>
              <w:rPr>
                <w:rFonts w:hint="eastAsia" w:ascii="宋体" w:hAnsi="宋体"/>
                <w:color w:val="000000"/>
                <w:szCs w:val="21"/>
              </w:rPr>
              <w:t>检验方法</w:t>
            </w:r>
          </w:p>
        </w:tc>
      </w:tr>
      <w:tr w14:paraId="2921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17EA0139">
            <w:pPr>
              <w:spacing w:line="264" w:lineRule="auto"/>
              <w:jc w:val="center"/>
              <w:rPr>
                <w:color w:val="000000"/>
                <w:szCs w:val="21"/>
              </w:rPr>
            </w:pPr>
            <w:r>
              <w:rPr>
                <w:rFonts w:hint="eastAsia" w:ascii="宋体" w:hAnsi="宋体"/>
                <w:color w:val="000000"/>
                <w:szCs w:val="21"/>
              </w:rPr>
              <w:t>轴线位置</w:t>
            </w:r>
          </w:p>
        </w:tc>
        <w:tc>
          <w:tcPr>
            <w:tcW w:w="1474" w:type="pct"/>
            <w:tcBorders>
              <w:top w:val="single" w:color="auto" w:sz="4" w:space="0"/>
              <w:left w:val="single" w:color="auto" w:sz="4" w:space="0"/>
              <w:bottom w:val="single" w:color="auto" w:sz="4" w:space="0"/>
              <w:right w:val="single" w:color="auto" w:sz="4" w:space="0"/>
            </w:tcBorders>
            <w:vAlign w:val="center"/>
          </w:tcPr>
          <w:p w14:paraId="059824FE">
            <w:pPr>
              <w:spacing w:line="264" w:lineRule="auto"/>
              <w:jc w:val="center"/>
              <w:rPr>
                <w:color w:val="000000"/>
                <w:szCs w:val="21"/>
              </w:rPr>
            </w:pPr>
            <w:r>
              <w:rPr>
                <w:color w:val="000000"/>
                <w:szCs w:val="21"/>
              </w:rPr>
              <w:t>5</w:t>
            </w:r>
          </w:p>
        </w:tc>
        <w:tc>
          <w:tcPr>
            <w:tcW w:w="1667" w:type="pct"/>
            <w:tcBorders>
              <w:top w:val="single" w:color="auto" w:sz="4" w:space="0"/>
              <w:left w:val="single" w:color="auto" w:sz="4" w:space="0"/>
              <w:bottom w:val="single" w:color="auto" w:sz="4" w:space="0"/>
              <w:right w:val="single" w:color="auto" w:sz="4" w:space="0"/>
            </w:tcBorders>
            <w:vAlign w:val="center"/>
          </w:tcPr>
          <w:p w14:paraId="2111C570">
            <w:pPr>
              <w:spacing w:line="264" w:lineRule="auto"/>
              <w:jc w:val="center"/>
              <w:rPr>
                <w:color w:val="000000"/>
                <w:szCs w:val="21"/>
              </w:rPr>
            </w:pPr>
            <w:r>
              <w:rPr>
                <w:rFonts w:hint="eastAsia" w:ascii="宋体" w:hAnsi="宋体"/>
                <w:color w:val="000000"/>
                <w:szCs w:val="21"/>
              </w:rPr>
              <w:t>钢尺检查</w:t>
            </w:r>
          </w:p>
        </w:tc>
      </w:tr>
      <w:tr w14:paraId="09E0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6BAFEA29">
            <w:pPr>
              <w:spacing w:line="264" w:lineRule="auto"/>
              <w:jc w:val="center"/>
              <w:rPr>
                <w:color w:val="000000"/>
                <w:szCs w:val="21"/>
              </w:rPr>
            </w:pPr>
            <w:r>
              <w:rPr>
                <w:rFonts w:hint="eastAsia" w:ascii="宋体" w:hAnsi="宋体"/>
                <w:color w:val="000000"/>
                <w:szCs w:val="21"/>
              </w:rPr>
              <w:t>底模上表面标高</w:t>
            </w:r>
          </w:p>
        </w:tc>
        <w:tc>
          <w:tcPr>
            <w:tcW w:w="1474" w:type="pct"/>
            <w:tcBorders>
              <w:top w:val="single" w:color="auto" w:sz="4" w:space="0"/>
              <w:left w:val="single" w:color="auto" w:sz="4" w:space="0"/>
              <w:bottom w:val="single" w:color="auto" w:sz="4" w:space="0"/>
              <w:right w:val="single" w:color="auto" w:sz="4" w:space="0"/>
            </w:tcBorders>
            <w:vAlign w:val="center"/>
          </w:tcPr>
          <w:p w14:paraId="6BC45312">
            <w:pPr>
              <w:spacing w:line="264" w:lineRule="auto"/>
              <w:jc w:val="center"/>
              <w:rPr>
                <w:color w:val="000000"/>
                <w:szCs w:val="21"/>
              </w:rPr>
            </w:pPr>
            <w:r>
              <w:rPr>
                <w:rFonts w:hint="eastAsia" w:ascii="宋体" w:hAnsi="宋体"/>
                <w:color w:val="000000"/>
                <w:szCs w:val="21"/>
              </w:rPr>
              <w:t>±</w:t>
            </w:r>
            <w:r>
              <w:rPr>
                <w:color w:val="000000"/>
                <w:szCs w:val="21"/>
              </w:rPr>
              <w:t>5</w:t>
            </w:r>
          </w:p>
        </w:tc>
        <w:tc>
          <w:tcPr>
            <w:tcW w:w="1667" w:type="pct"/>
            <w:tcBorders>
              <w:top w:val="single" w:color="auto" w:sz="4" w:space="0"/>
              <w:left w:val="single" w:color="auto" w:sz="4" w:space="0"/>
              <w:bottom w:val="single" w:color="auto" w:sz="4" w:space="0"/>
              <w:right w:val="single" w:color="auto" w:sz="4" w:space="0"/>
            </w:tcBorders>
            <w:vAlign w:val="center"/>
          </w:tcPr>
          <w:p w14:paraId="47DCF52F">
            <w:pPr>
              <w:spacing w:line="264" w:lineRule="auto"/>
              <w:jc w:val="center"/>
              <w:rPr>
                <w:color w:val="000000"/>
                <w:szCs w:val="21"/>
              </w:rPr>
            </w:pPr>
            <w:r>
              <w:rPr>
                <w:rFonts w:hint="eastAsia" w:ascii="宋体" w:hAnsi="宋体"/>
                <w:color w:val="000000"/>
                <w:szCs w:val="21"/>
              </w:rPr>
              <w:t>水准仪或拉线、钢尺检查</w:t>
            </w:r>
          </w:p>
        </w:tc>
      </w:tr>
      <w:tr w14:paraId="6A78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782E3B0B">
            <w:pPr>
              <w:spacing w:line="264" w:lineRule="auto"/>
              <w:jc w:val="center"/>
              <w:rPr>
                <w:color w:val="000000"/>
                <w:szCs w:val="21"/>
              </w:rPr>
            </w:pPr>
            <w:r>
              <w:rPr>
                <w:rFonts w:hint="eastAsia" w:ascii="宋体" w:hAnsi="宋体"/>
                <w:color w:val="000000"/>
                <w:szCs w:val="21"/>
              </w:rPr>
              <w:t>每块外墙板垂直度</w:t>
            </w:r>
          </w:p>
        </w:tc>
        <w:tc>
          <w:tcPr>
            <w:tcW w:w="1474" w:type="pct"/>
            <w:tcBorders>
              <w:top w:val="single" w:color="auto" w:sz="4" w:space="0"/>
              <w:left w:val="single" w:color="auto" w:sz="4" w:space="0"/>
              <w:bottom w:val="single" w:color="auto" w:sz="4" w:space="0"/>
              <w:right w:val="single" w:color="auto" w:sz="4" w:space="0"/>
            </w:tcBorders>
            <w:vAlign w:val="center"/>
          </w:tcPr>
          <w:p w14:paraId="734CCF93">
            <w:pPr>
              <w:spacing w:line="264" w:lineRule="auto"/>
              <w:jc w:val="center"/>
              <w:rPr>
                <w:color w:val="000000"/>
                <w:szCs w:val="21"/>
              </w:rPr>
            </w:pPr>
            <w:r>
              <w:rPr>
                <w:color w:val="000000"/>
                <w:szCs w:val="21"/>
              </w:rPr>
              <w:t>6</w:t>
            </w:r>
          </w:p>
        </w:tc>
        <w:tc>
          <w:tcPr>
            <w:tcW w:w="1667" w:type="pct"/>
            <w:tcBorders>
              <w:top w:val="single" w:color="auto" w:sz="4" w:space="0"/>
              <w:left w:val="single" w:color="auto" w:sz="4" w:space="0"/>
              <w:bottom w:val="single" w:color="auto" w:sz="4" w:space="0"/>
              <w:right w:val="single" w:color="auto" w:sz="4" w:space="0"/>
            </w:tcBorders>
            <w:vAlign w:val="center"/>
          </w:tcPr>
          <w:p w14:paraId="0C1BF224">
            <w:pPr>
              <w:spacing w:line="264" w:lineRule="auto"/>
              <w:jc w:val="center"/>
              <w:rPr>
                <w:rFonts w:ascii="宋体" w:hAnsi="宋体"/>
                <w:color w:val="000000"/>
                <w:szCs w:val="21"/>
              </w:rPr>
            </w:pPr>
            <w:r>
              <w:rPr>
                <w:rFonts w:hint="eastAsia"/>
                <w:color w:val="000000"/>
                <w:szCs w:val="21"/>
              </w:rPr>
              <w:t>2m</w:t>
            </w:r>
            <w:r>
              <w:rPr>
                <w:rFonts w:hint="eastAsia" w:ascii="宋体" w:hAnsi="宋体"/>
                <w:color w:val="000000"/>
                <w:szCs w:val="21"/>
              </w:rPr>
              <w:t>靠尺检查</w:t>
            </w:r>
          </w:p>
          <w:p w14:paraId="367CCC1B">
            <w:pPr>
              <w:spacing w:line="264" w:lineRule="auto"/>
              <w:jc w:val="center"/>
              <w:rPr>
                <w:rFonts w:ascii="宋体" w:hAnsi="宋体"/>
                <w:color w:val="000000"/>
                <w:szCs w:val="21"/>
              </w:rPr>
            </w:pPr>
            <w:r>
              <w:rPr>
                <w:rFonts w:hint="eastAsia" w:ascii="宋体" w:hAnsi="宋体"/>
                <w:color w:val="000000"/>
                <w:szCs w:val="21"/>
              </w:rPr>
              <w:t>（四角预埋件限位）</w:t>
            </w:r>
          </w:p>
        </w:tc>
      </w:tr>
      <w:tr w14:paraId="2B9D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77DD65D5">
            <w:pPr>
              <w:spacing w:line="264" w:lineRule="auto"/>
              <w:jc w:val="center"/>
              <w:rPr>
                <w:color w:val="000000"/>
                <w:szCs w:val="21"/>
              </w:rPr>
            </w:pPr>
            <w:r>
              <w:rPr>
                <w:rFonts w:hint="eastAsia" w:ascii="宋体" w:hAnsi="宋体"/>
                <w:color w:val="000000"/>
                <w:szCs w:val="21"/>
              </w:rPr>
              <w:t>相邻两板表面高低差</w:t>
            </w:r>
          </w:p>
        </w:tc>
        <w:tc>
          <w:tcPr>
            <w:tcW w:w="1474" w:type="pct"/>
            <w:tcBorders>
              <w:top w:val="single" w:color="auto" w:sz="4" w:space="0"/>
              <w:left w:val="single" w:color="auto" w:sz="4" w:space="0"/>
              <w:bottom w:val="single" w:color="auto" w:sz="4" w:space="0"/>
              <w:right w:val="single" w:color="auto" w:sz="4" w:space="0"/>
            </w:tcBorders>
            <w:vAlign w:val="center"/>
          </w:tcPr>
          <w:p w14:paraId="756E942E">
            <w:pPr>
              <w:spacing w:line="264" w:lineRule="auto"/>
              <w:jc w:val="center"/>
              <w:rPr>
                <w:color w:val="000000"/>
                <w:szCs w:val="21"/>
              </w:rPr>
            </w:pPr>
            <w:r>
              <w:rPr>
                <w:color w:val="000000"/>
                <w:szCs w:val="21"/>
              </w:rPr>
              <w:t>2</w:t>
            </w:r>
          </w:p>
        </w:tc>
        <w:tc>
          <w:tcPr>
            <w:tcW w:w="1667" w:type="pct"/>
            <w:tcBorders>
              <w:top w:val="single" w:color="auto" w:sz="4" w:space="0"/>
              <w:left w:val="single" w:color="auto" w:sz="4" w:space="0"/>
              <w:bottom w:val="single" w:color="auto" w:sz="4" w:space="0"/>
              <w:right w:val="single" w:color="auto" w:sz="4" w:space="0"/>
            </w:tcBorders>
            <w:vAlign w:val="center"/>
          </w:tcPr>
          <w:p w14:paraId="394BB769">
            <w:pPr>
              <w:spacing w:line="264" w:lineRule="auto"/>
              <w:jc w:val="center"/>
              <w:rPr>
                <w:color w:val="000000"/>
                <w:szCs w:val="21"/>
              </w:rPr>
            </w:pPr>
            <w:r>
              <w:rPr>
                <w:rFonts w:hint="eastAsia"/>
                <w:color w:val="000000"/>
                <w:szCs w:val="21"/>
              </w:rPr>
              <w:t>2m</w:t>
            </w:r>
            <w:r>
              <w:rPr>
                <w:rFonts w:hint="eastAsia" w:ascii="宋体" w:hAnsi="宋体"/>
                <w:color w:val="000000"/>
                <w:szCs w:val="21"/>
              </w:rPr>
              <w:t>靠尺和塞尺检查</w:t>
            </w:r>
          </w:p>
        </w:tc>
      </w:tr>
      <w:tr w14:paraId="7726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6E0C1E72">
            <w:pPr>
              <w:spacing w:line="264" w:lineRule="auto"/>
              <w:jc w:val="center"/>
              <w:rPr>
                <w:color w:val="000000"/>
                <w:szCs w:val="21"/>
              </w:rPr>
            </w:pPr>
            <w:r>
              <w:rPr>
                <w:rFonts w:hint="eastAsia" w:ascii="宋体" w:hAnsi="宋体"/>
                <w:color w:val="000000"/>
                <w:szCs w:val="21"/>
              </w:rPr>
              <w:t>外墙板外表面平整度（含面砖）</w:t>
            </w:r>
          </w:p>
        </w:tc>
        <w:tc>
          <w:tcPr>
            <w:tcW w:w="1474" w:type="pct"/>
            <w:tcBorders>
              <w:top w:val="single" w:color="auto" w:sz="4" w:space="0"/>
              <w:left w:val="single" w:color="auto" w:sz="4" w:space="0"/>
              <w:bottom w:val="single" w:color="auto" w:sz="4" w:space="0"/>
              <w:right w:val="single" w:color="auto" w:sz="4" w:space="0"/>
            </w:tcBorders>
            <w:vAlign w:val="center"/>
          </w:tcPr>
          <w:p w14:paraId="0CDB5B21">
            <w:pPr>
              <w:spacing w:line="264" w:lineRule="auto"/>
              <w:jc w:val="center"/>
              <w:rPr>
                <w:color w:val="000000"/>
                <w:szCs w:val="21"/>
              </w:rPr>
            </w:pPr>
            <w:r>
              <w:rPr>
                <w:color w:val="000000"/>
                <w:szCs w:val="21"/>
              </w:rPr>
              <w:t>3</w:t>
            </w:r>
          </w:p>
        </w:tc>
        <w:tc>
          <w:tcPr>
            <w:tcW w:w="1667" w:type="pct"/>
            <w:tcBorders>
              <w:top w:val="single" w:color="auto" w:sz="4" w:space="0"/>
              <w:left w:val="single" w:color="auto" w:sz="4" w:space="0"/>
              <w:bottom w:val="single" w:color="auto" w:sz="4" w:space="0"/>
              <w:right w:val="single" w:color="auto" w:sz="4" w:space="0"/>
            </w:tcBorders>
            <w:vAlign w:val="center"/>
          </w:tcPr>
          <w:p w14:paraId="2BEEAADF">
            <w:pPr>
              <w:spacing w:line="264" w:lineRule="auto"/>
              <w:jc w:val="center"/>
              <w:rPr>
                <w:color w:val="000000"/>
                <w:szCs w:val="21"/>
              </w:rPr>
            </w:pPr>
            <w:r>
              <w:rPr>
                <w:color w:val="000000"/>
                <w:szCs w:val="21"/>
              </w:rPr>
              <w:t>2m</w:t>
            </w:r>
            <w:r>
              <w:rPr>
                <w:rFonts w:hint="eastAsia" w:ascii="宋体" w:hAnsi="宋体"/>
                <w:color w:val="000000"/>
                <w:szCs w:val="21"/>
              </w:rPr>
              <w:t>靠尺和塞尺检查</w:t>
            </w:r>
          </w:p>
        </w:tc>
      </w:tr>
      <w:tr w14:paraId="2083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19322DAC">
            <w:pPr>
              <w:spacing w:line="264" w:lineRule="auto"/>
              <w:jc w:val="center"/>
              <w:rPr>
                <w:color w:val="000000"/>
                <w:szCs w:val="21"/>
              </w:rPr>
            </w:pPr>
            <w:r>
              <w:rPr>
                <w:rFonts w:hint="eastAsia" w:ascii="宋体" w:hAnsi="宋体"/>
                <w:color w:val="000000"/>
                <w:szCs w:val="21"/>
              </w:rPr>
              <w:t>外墙板单边尺寸偏差</w:t>
            </w:r>
          </w:p>
        </w:tc>
        <w:tc>
          <w:tcPr>
            <w:tcW w:w="1474" w:type="pct"/>
            <w:tcBorders>
              <w:top w:val="single" w:color="auto" w:sz="4" w:space="0"/>
              <w:left w:val="single" w:color="auto" w:sz="4" w:space="0"/>
              <w:bottom w:val="single" w:color="auto" w:sz="4" w:space="0"/>
              <w:right w:val="single" w:color="auto" w:sz="4" w:space="0"/>
            </w:tcBorders>
            <w:vAlign w:val="center"/>
          </w:tcPr>
          <w:p w14:paraId="5A0DFE27">
            <w:pPr>
              <w:spacing w:line="264" w:lineRule="auto"/>
              <w:jc w:val="center"/>
              <w:rPr>
                <w:rFonts w:ascii="宋体" w:hAnsi="宋体"/>
                <w:color w:val="000000"/>
                <w:szCs w:val="21"/>
              </w:rPr>
            </w:pPr>
            <w:r>
              <w:rPr>
                <w:rFonts w:hint="eastAsia" w:ascii="宋体" w:hAnsi="宋体"/>
                <w:color w:val="000000"/>
                <w:szCs w:val="21"/>
              </w:rPr>
              <w:t>±</w:t>
            </w:r>
            <w:r>
              <w:rPr>
                <w:rFonts w:hint="eastAsia"/>
                <w:color w:val="000000"/>
                <w:szCs w:val="21"/>
              </w:rPr>
              <w:t>3</w:t>
            </w:r>
          </w:p>
        </w:tc>
        <w:tc>
          <w:tcPr>
            <w:tcW w:w="1667" w:type="pct"/>
            <w:tcBorders>
              <w:top w:val="single" w:color="auto" w:sz="4" w:space="0"/>
              <w:left w:val="single" w:color="auto" w:sz="4" w:space="0"/>
              <w:bottom w:val="single" w:color="auto" w:sz="4" w:space="0"/>
              <w:right w:val="single" w:color="auto" w:sz="4" w:space="0"/>
            </w:tcBorders>
            <w:vAlign w:val="center"/>
          </w:tcPr>
          <w:p w14:paraId="5837A21C">
            <w:pPr>
              <w:spacing w:line="264" w:lineRule="auto"/>
              <w:jc w:val="center"/>
              <w:rPr>
                <w:rFonts w:ascii="宋体" w:hAnsi="宋体"/>
                <w:color w:val="000000"/>
                <w:szCs w:val="21"/>
              </w:rPr>
            </w:pPr>
            <w:r>
              <w:rPr>
                <w:rFonts w:hint="eastAsia" w:ascii="宋体" w:hAnsi="宋体"/>
                <w:color w:val="000000"/>
                <w:szCs w:val="21"/>
              </w:rPr>
              <w:t>钢尺量一端及中部，</w:t>
            </w:r>
          </w:p>
          <w:p w14:paraId="61777BBE">
            <w:pPr>
              <w:spacing w:line="264" w:lineRule="auto"/>
              <w:jc w:val="center"/>
              <w:rPr>
                <w:color w:val="000000"/>
                <w:szCs w:val="21"/>
              </w:rPr>
            </w:pPr>
            <w:r>
              <w:rPr>
                <w:rFonts w:hint="eastAsia" w:ascii="宋体" w:hAnsi="宋体"/>
                <w:color w:val="000000"/>
                <w:szCs w:val="21"/>
              </w:rPr>
              <w:t>取其中较大值</w:t>
            </w:r>
          </w:p>
        </w:tc>
      </w:tr>
      <w:tr w14:paraId="000A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28152FD7">
            <w:pPr>
              <w:spacing w:line="264" w:lineRule="auto"/>
              <w:jc w:val="center"/>
              <w:rPr>
                <w:rFonts w:ascii="宋体" w:hAnsi="宋体"/>
                <w:color w:val="000000"/>
                <w:szCs w:val="21"/>
              </w:rPr>
            </w:pPr>
            <w:r>
              <w:rPr>
                <w:rFonts w:hint="eastAsia" w:ascii="宋体" w:hAnsi="宋体"/>
                <w:color w:val="000000"/>
                <w:szCs w:val="21"/>
              </w:rPr>
              <w:t>三角靠铁位置偏差</w:t>
            </w:r>
          </w:p>
        </w:tc>
        <w:tc>
          <w:tcPr>
            <w:tcW w:w="1474" w:type="pct"/>
            <w:tcBorders>
              <w:top w:val="single" w:color="auto" w:sz="4" w:space="0"/>
              <w:left w:val="single" w:color="auto" w:sz="4" w:space="0"/>
              <w:bottom w:val="single" w:color="auto" w:sz="4" w:space="0"/>
              <w:right w:val="single" w:color="auto" w:sz="4" w:space="0"/>
            </w:tcBorders>
            <w:vAlign w:val="center"/>
          </w:tcPr>
          <w:p w14:paraId="0583B84A">
            <w:pPr>
              <w:spacing w:line="264" w:lineRule="auto"/>
              <w:jc w:val="center"/>
              <w:rPr>
                <w:rFonts w:ascii="宋体" w:hAnsi="宋体"/>
                <w:color w:val="000000"/>
                <w:szCs w:val="21"/>
              </w:rPr>
            </w:pPr>
            <w:r>
              <w:rPr>
                <w:rFonts w:hint="eastAsia" w:ascii="宋体" w:hAnsi="宋体"/>
                <w:color w:val="000000"/>
                <w:szCs w:val="21"/>
              </w:rPr>
              <w:t>±</w:t>
            </w:r>
            <w:r>
              <w:rPr>
                <w:rFonts w:hint="eastAsia"/>
                <w:color w:val="000000"/>
                <w:szCs w:val="21"/>
              </w:rPr>
              <w:t>5</w:t>
            </w:r>
          </w:p>
        </w:tc>
        <w:tc>
          <w:tcPr>
            <w:tcW w:w="1667" w:type="pct"/>
            <w:tcBorders>
              <w:top w:val="single" w:color="auto" w:sz="4" w:space="0"/>
              <w:left w:val="single" w:color="auto" w:sz="4" w:space="0"/>
              <w:bottom w:val="single" w:color="auto" w:sz="4" w:space="0"/>
              <w:right w:val="single" w:color="auto" w:sz="4" w:space="0"/>
            </w:tcBorders>
            <w:vAlign w:val="center"/>
          </w:tcPr>
          <w:p w14:paraId="5C83C60E">
            <w:pPr>
              <w:spacing w:line="264" w:lineRule="auto"/>
              <w:jc w:val="center"/>
              <w:rPr>
                <w:color w:val="000000"/>
                <w:szCs w:val="21"/>
              </w:rPr>
            </w:pPr>
            <w:r>
              <w:rPr>
                <w:rFonts w:hint="eastAsia" w:ascii="宋体" w:hAnsi="宋体"/>
                <w:color w:val="000000"/>
                <w:szCs w:val="21"/>
              </w:rPr>
              <w:t>钢尺检查</w:t>
            </w:r>
          </w:p>
        </w:tc>
      </w:tr>
      <w:tr w14:paraId="1FA7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pct"/>
            <w:tcBorders>
              <w:top w:val="single" w:color="auto" w:sz="4" w:space="0"/>
              <w:left w:val="single" w:color="auto" w:sz="4" w:space="0"/>
              <w:bottom w:val="single" w:color="auto" w:sz="4" w:space="0"/>
              <w:right w:val="single" w:color="auto" w:sz="4" w:space="0"/>
            </w:tcBorders>
            <w:vAlign w:val="center"/>
          </w:tcPr>
          <w:p w14:paraId="207C8777">
            <w:pPr>
              <w:spacing w:line="264" w:lineRule="auto"/>
              <w:jc w:val="center"/>
              <w:rPr>
                <w:rFonts w:ascii="宋体" w:hAnsi="宋体"/>
                <w:color w:val="000000"/>
                <w:szCs w:val="21"/>
              </w:rPr>
            </w:pPr>
            <w:r>
              <w:rPr>
                <w:rFonts w:hint="eastAsia" w:ascii="宋体" w:hAnsi="宋体"/>
                <w:color w:val="000000"/>
                <w:szCs w:val="21"/>
              </w:rPr>
              <w:t>斜撑杆位置偏差</w:t>
            </w:r>
          </w:p>
        </w:tc>
        <w:tc>
          <w:tcPr>
            <w:tcW w:w="1474" w:type="pct"/>
            <w:tcBorders>
              <w:top w:val="single" w:color="auto" w:sz="4" w:space="0"/>
              <w:left w:val="single" w:color="auto" w:sz="4" w:space="0"/>
              <w:bottom w:val="single" w:color="auto" w:sz="4" w:space="0"/>
              <w:right w:val="single" w:color="auto" w:sz="4" w:space="0"/>
            </w:tcBorders>
            <w:vAlign w:val="center"/>
          </w:tcPr>
          <w:p w14:paraId="5A696811">
            <w:pPr>
              <w:spacing w:line="264" w:lineRule="auto"/>
              <w:jc w:val="center"/>
              <w:rPr>
                <w:rFonts w:ascii="宋体" w:hAnsi="宋体"/>
                <w:color w:val="000000"/>
                <w:szCs w:val="21"/>
              </w:rPr>
            </w:pPr>
            <w:r>
              <w:rPr>
                <w:rFonts w:hint="eastAsia" w:ascii="宋体" w:hAnsi="宋体"/>
                <w:color w:val="000000"/>
                <w:szCs w:val="21"/>
              </w:rPr>
              <w:t>±</w:t>
            </w:r>
            <w:r>
              <w:rPr>
                <w:rFonts w:hint="eastAsia"/>
                <w:color w:val="000000"/>
                <w:szCs w:val="21"/>
              </w:rPr>
              <w:t>20</w:t>
            </w:r>
          </w:p>
        </w:tc>
        <w:tc>
          <w:tcPr>
            <w:tcW w:w="1667" w:type="pct"/>
            <w:tcBorders>
              <w:top w:val="single" w:color="auto" w:sz="4" w:space="0"/>
              <w:left w:val="single" w:color="auto" w:sz="4" w:space="0"/>
              <w:bottom w:val="single" w:color="auto" w:sz="4" w:space="0"/>
              <w:right w:val="single" w:color="auto" w:sz="4" w:space="0"/>
            </w:tcBorders>
          </w:tcPr>
          <w:p w14:paraId="5CDFDB0F">
            <w:pPr>
              <w:spacing w:line="264" w:lineRule="auto"/>
              <w:jc w:val="center"/>
              <w:rPr>
                <w:color w:val="000000"/>
                <w:szCs w:val="21"/>
              </w:rPr>
            </w:pPr>
            <w:r>
              <w:rPr>
                <w:rFonts w:hint="eastAsia" w:ascii="宋体" w:hAnsi="宋体"/>
                <w:color w:val="000000"/>
                <w:szCs w:val="21"/>
              </w:rPr>
              <w:t>钢尺检查</w:t>
            </w:r>
          </w:p>
        </w:tc>
      </w:tr>
    </w:tbl>
    <w:p w14:paraId="75EE6460">
      <w:pPr>
        <w:pStyle w:val="112"/>
        <w:numPr>
          <w:ilvl w:val="0"/>
          <w:numId w:val="0"/>
        </w:numPr>
        <w:ind w:left="964" w:firstLine="180" w:firstLineChars="100"/>
        <w:jc w:val="left"/>
      </w:pPr>
      <w:r>
        <w:rPr>
          <w:rFonts w:hint="eastAsia"/>
        </w:rPr>
        <w:t>3、装配整体式结构中的接头和拼缝应符合设计要求，当设计无具体要求时，应符合下列规定：</w:t>
      </w:r>
    </w:p>
    <w:p w14:paraId="40E177AA">
      <w:pPr>
        <w:pStyle w:val="112"/>
        <w:numPr>
          <w:ilvl w:val="0"/>
          <w:numId w:val="0"/>
        </w:numPr>
        <w:ind w:left="964" w:firstLine="180" w:firstLineChars="100"/>
        <w:jc w:val="left"/>
      </w:pPr>
      <w:r>
        <w:rPr>
          <w:rFonts w:hint="eastAsia"/>
        </w:rPr>
        <w:t>（1）承受内力的接头和拼缝应采用混凝土浇筑，其强度等级应比构件混凝土强度等级提高一级。</w:t>
      </w:r>
    </w:p>
    <w:p w14:paraId="621389F0">
      <w:pPr>
        <w:pStyle w:val="112"/>
        <w:numPr>
          <w:ilvl w:val="0"/>
          <w:numId w:val="0"/>
        </w:numPr>
        <w:ind w:left="964" w:firstLine="180" w:firstLineChars="100"/>
        <w:jc w:val="left"/>
      </w:pPr>
      <w:r>
        <w:rPr>
          <w:rFonts w:hint="eastAsia"/>
        </w:rPr>
        <w:t>（2）不承受内力的接头和拼缝应采用混凝土或砂浆浇筑，混凝土强度等级不应低于C</w:t>
      </w:r>
      <w:r>
        <w:t>15</w:t>
      </w:r>
      <w:r>
        <w:rPr>
          <w:rFonts w:hint="eastAsia"/>
        </w:rPr>
        <w:t>，砂浆强度不应低于M</w:t>
      </w:r>
      <w:r>
        <w:t>15.</w:t>
      </w:r>
    </w:p>
    <w:p w14:paraId="5136D8F3">
      <w:pPr>
        <w:pStyle w:val="112"/>
        <w:numPr>
          <w:ilvl w:val="0"/>
          <w:numId w:val="0"/>
        </w:numPr>
        <w:ind w:left="964" w:firstLine="180" w:firstLineChars="100"/>
        <w:jc w:val="left"/>
      </w:pPr>
      <w:r>
        <w:rPr>
          <w:rFonts w:hint="eastAsia"/>
        </w:rPr>
        <w:t>（3）用于接头和拼缝的混凝土或砂浆，宜采取微膨胀和快硬混凝土或砂浆，在浇筑过程中应振捣密实，并应采取必要的养护措施。</w:t>
      </w:r>
    </w:p>
    <w:p w14:paraId="2AB7CB4D">
      <w:pPr>
        <w:pStyle w:val="112"/>
        <w:numPr>
          <w:ilvl w:val="0"/>
          <w:numId w:val="0"/>
        </w:numPr>
        <w:ind w:left="964" w:firstLine="180" w:firstLineChars="100"/>
        <w:jc w:val="left"/>
      </w:pPr>
      <w:r>
        <w:rPr>
          <w:rFonts w:hint="eastAsia"/>
        </w:rPr>
        <w:t>检查数量：全数检查</w:t>
      </w:r>
    </w:p>
    <w:p w14:paraId="32B7ED93">
      <w:pPr>
        <w:pStyle w:val="112"/>
        <w:numPr>
          <w:ilvl w:val="0"/>
          <w:numId w:val="0"/>
        </w:numPr>
        <w:ind w:left="964" w:firstLine="180" w:firstLineChars="100"/>
        <w:jc w:val="left"/>
      </w:pPr>
      <w:r>
        <w:rPr>
          <w:rFonts w:hint="eastAsia"/>
        </w:rPr>
        <w:t>检验方法：检查施工记录及试件强度试验报告</w:t>
      </w:r>
    </w:p>
    <w:p w14:paraId="50D73157">
      <w:pPr>
        <w:pStyle w:val="119"/>
      </w:pPr>
      <w:bookmarkStart w:id="52" w:name="_Toc136956844"/>
      <w:r>
        <w:rPr>
          <w:rFonts w:hint="eastAsia"/>
        </w:rPr>
        <w:t>装配式建筑连接部位施工工艺</w:t>
      </w:r>
      <w:bookmarkEnd w:id="52"/>
    </w:p>
    <w:p w14:paraId="68F76757">
      <w:pPr>
        <w:pStyle w:val="112"/>
        <w:numPr>
          <w:ilvl w:val="0"/>
          <w:numId w:val="0"/>
        </w:numPr>
        <w:ind w:left="964"/>
        <w:jc w:val="left"/>
        <w:rPr>
          <w:rFonts w:hint="default"/>
          <w:lang w:val="en-US" w:eastAsia="zh-CN"/>
        </w:rPr>
      </w:pPr>
      <w:bookmarkStart w:id="53" w:name="_MON_1724149114"/>
      <w:bookmarkEnd w:id="53"/>
      <w:r>
        <w:rPr>
          <w:rFonts w:hint="eastAsia"/>
          <w:lang w:val="en-US" w:eastAsia="zh-CN"/>
        </w:rPr>
        <w:t>参考国家相关规范和标准。</w:t>
      </w:r>
    </w:p>
    <w:p w14:paraId="323B971E">
      <w:pPr>
        <w:pStyle w:val="119"/>
      </w:pPr>
      <w:bookmarkStart w:id="54" w:name="_Toc136956845"/>
      <w:r>
        <w:rPr>
          <w:rFonts w:hint="eastAsia"/>
        </w:rPr>
        <w:t>装配式机电安装施工工艺</w:t>
      </w:r>
      <w:bookmarkEnd w:id="54"/>
    </w:p>
    <w:p w14:paraId="227EE881">
      <w:pPr>
        <w:pStyle w:val="112"/>
        <w:numPr>
          <w:ilvl w:val="0"/>
          <w:numId w:val="0"/>
        </w:numPr>
        <w:ind w:left="964"/>
        <w:jc w:val="left"/>
        <w:rPr>
          <w:rFonts w:hint="default"/>
          <w:lang w:val="en-US" w:eastAsia="zh-CN"/>
        </w:rPr>
      </w:pPr>
      <w:bookmarkStart w:id="55" w:name="_MON_1724149407"/>
      <w:bookmarkEnd w:id="55"/>
      <w:r>
        <w:rPr>
          <w:rFonts w:hint="eastAsia"/>
          <w:lang w:val="en-US" w:eastAsia="zh-CN"/>
        </w:rPr>
        <w:t>参考国家相关规范和标准。</w:t>
      </w:r>
    </w:p>
    <w:p w14:paraId="0B8250D0">
      <w:pPr>
        <w:pStyle w:val="119"/>
      </w:pPr>
      <w:bookmarkStart w:id="56" w:name="_Toc136956846"/>
      <w:r>
        <w:rPr>
          <w:rFonts w:hint="eastAsia"/>
        </w:rPr>
        <w:t>安全文明及特殊季节施工</w:t>
      </w:r>
      <w:bookmarkEnd w:id="56"/>
    </w:p>
    <w:p w14:paraId="3AF61E35">
      <w:pPr>
        <w:pStyle w:val="122"/>
        <w:numPr>
          <w:ilvl w:val="0"/>
          <w:numId w:val="0"/>
        </w:numPr>
        <w:ind w:left="992"/>
        <w:sectPr>
          <w:footerReference r:id="rId11" w:type="default"/>
          <w:type w:val="continuous"/>
          <w:pgSz w:w="11906" w:h="16838"/>
          <w:pgMar w:top="1440" w:right="1800" w:bottom="1440" w:left="1985" w:header="851" w:footer="992" w:gutter="0"/>
          <w:pgNumType w:fmt="decimal"/>
          <w:cols w:space="425" w:num="1"/>
          <w:docGrid w:type="lines" w:linePitch="312" w:charSpace="0"/>
        </w:sectPr>
      </w:pPr>
      <w:bookmarkStart w:id="57" w:name="_Toc136945770"/>
      <w:bookmarkEnd w:id="57"/>
      <w:bookmarkStart w:id="58" w:name="_Toc136945068"/>
      <w:bookmarkEnd w:id="58"/>
    </w:p>
    <w:p w14:paraId="75D844C8">
      <w:pPr>
        <w:pStyle w:val="112"/>
        <w:numPr>
          <w:ilvl w:val="0"/>
          <w:numId w:val="0"/>
        </w:numPr>
        <w:ind w:firstLine="1800" w:firstLineChars="1000"/>
        <w:jc w:val="left"/>
        <w:rPr>
          <w:rFonts w:hint="default"/>
          <w:lang w:val="en-US" w:eastAsia="zh-CN"/>
        </w:rPr>
      </w:pPr>
      <w:r>
        <w:rPr>
          <w:rFonts w:hint="eastAsia"/>
          <w:lang w:val="en-US" w:eastAsia="zh-CN"/>
        </w:rPr>
        <w:t>参考国家相关规范和标准。</w:t>
      </w:r>
    </w:p>
    <w:p w14:paraId="6E49C342">
      <w:pPr>
        <w:pStyle w:val="122"/>
        <w:numPr>
          <w:ilvl w:val="0"/>
          <w:numId w:val="0"/>
        </w:numPr>
        <w:ind w:left="992"/>
      </w:pPr>
    </w:p>
    <w:p w14:paraId="115F1343">
      <w:pPr>
        <w:pStyle w:val="122"/>
        <w:numPr>
          <w:ilvl w:val="0"/>
          <w:numId w:val="0"/>
        </w:numPr>
        <w:ind w:left="992"/>
      </w:pPr>
    </w:p>
    <w:p w14:paraId="7065B5B9">
      <w:pPr>
        <w:pStyle w:val="122"/>
        <w:numPr>
          <w:ilvl w:val="0"/>
          <w:numId w:val="0"/>
        </w:numPr>
        <w:ind w:left="992"/>
      </w:pPr>
    </w:p>
    <w:p w14:paraId="09E38DE5">
      <w:pPr>
        <w:pStyle w:val="122"/>
        <w:numPr>
          <w:ilvl w:val="0"/>
          <w:numId w:val="0"/>
        </w:numPr>
        <w:ind w:left="992"/>
      </w:pPr>
    </w:p>
    <w:p w14:paraId="3C3B02EE">
      <w:pPr>
        <w:pStyle w:val="122"/>
        <w:numPr>
          <w:ilvl w:val="0"/>
          <w:numId w:val="0"/>
        </w:numPr>
        <w:ind w:left="992"/>
      </w:pPr>
    </w:p>
    <w:p w14:paraId="64317FEB">
      <w:pPr>
        <w:pStyle w:val="122"/>
        <w:numPr>
          <w:ilvl w:val="0"/>
          <w:numId w:val="0"/>
        </w:numPr>
        <w:ind w:left="992"/>
      </w:pPr>
    </w:p>
    <w:p w14:paraId="39968DA9">
      <w:pPr>
        <w:pStyle w:val="120"/>
      </w:pPr>
      <w:bookmarkStart w:id="59" w:name="_Toc136956847"/>
      <w:bookmarkStart w:id="132" w:name="_GoBack"/>
      <w:bookmarkEnd w:id="132"/>
      <w:r>
        <w:rPr>
          <w:rFonts w:hint="eastAsia"/>
        </w:rPr>
        <w:t>钢结构工程技术要求</w:t>
      </w:r>
      <w:bookmarkEnd w:id="59"/>
    </w:p>
    <w:p w14:paraId="72E23794">
      <w:pPr>
        <w:pStyle w:val="119"/>
      </w:pPr>
      <w:bookmarkStart w:id="60" w:name="_Toc136956848"/>
      <w:bookmarkStart w:id="61" w:name="_Toc291153940"/>
      <w:r>
        <w:rPr>
          <w:rFonts w:hint="eastAsia"/>
        </w:rPr>
        <w:t>总则</w:t>
      </w:r>
      <w:bookmarkEnd w:id="60"/>
      <w:bookmarkEnd w:id="61"/>
    </w:p>
    <w:p w14:paraId="41C8F83A">
      <w:pPr>
        <w:rPr>
          <w:rFonts w:ascii="宋体" w:hAnsi="宋体"/>
          <w:sz w:val="22"/>
          <w:szCs w:val="22"/>
        </w:rPr>
      </w:pPr>
    </w:p>
    <w:p w14:paraId="4E920078">
      <w:pPr>
        <w:pStyle w:val="112"/>
        <w:rPr>
          <w:rFonts w:ascii="宋体" w:hAnsi="宋体"/>
        </w:rPr>
      </w:pPr>
      <w:r>
        <w:rPr>
          <w:rFonts w:hint="eastAsia"/>
        </w:rPr>
        <w:t>钢结构严格按照有关标准及规定进行设计，结构采用的荷载以及结构构件的强度、变形、稳定安全度，应满足中国有关现行最新技术标准及规范之要求</w:t>
      </w:r>
    </w:p>
    <w:p w14:paraId="730E07EB">
      <w:pPr>
        <w:pStyle w:val="112"/>
      </w:pPr>
      <w:r>
        <w:rPr>
          <w:rFonts w:hint="eastAsia" w:ascii="宋体" w:hAnsi="宋体"/>
        </w:rPr>
        <w:t>最终施工图与招标图有出入时，施工单位必须严格按最终施工图进行施工。</w:t>
      </w:r>
    </w:p>
    <w:p w14:paraId="15AB3116">
      <w:pPr>
        <w:pStyle w:val="112"/>
      </w:pPr>
      <w:r>
        <w:rPr>
          <w:rFonts w:hint="eastAsia" w:ascii="宋体" w:hAnsi="宋体"/>
        </w:rPr>
        <w:t>外立面建筑线角及空调机挑板采用与外墙混凝土相同等级的混凝土，且同时浇筑。尺寸及定位以建筑图为准。</w:t>
      </w:r>
    </w:p>
    <w:p w14:paraId="3BE37362">
      <w:pPr>
        <w:pStyle w:val="112"/>
      </w:pPr>
      <w:r>
        <w:rPr>
          <w:rFonts w:hint="eastAsia" w:ascii="宋体" w:hAnsi="宋体"/>
        </w:rPr>
        <w:t>所有的隔间墙、吊板、窗台及其它非结构构件的定位尺寸应参见建筑图，承包方应按有关抗震技术规定施工。</w:t>
      </w:r>
    </w:p>
    <w:p w14:paraId="701774AD">
      <w:pPr>
        <w:pStyle w:val="112"/>
      </w:pPr>
      <w:r>
        <w:rPr>
          <w:rFonts w:hint="eastAsia" w:ascii="宋体" w:hAnsi="宋体"/>
        </w:rPr>
        <w:t>承包方负责临时设施和结构的拆除，并保证所有临时结构不得影响永久结构的施工、使用和安全。</w:t>
      </w:r>
    </w:p>
    <w:p w14:paraId="6B6A607A">
      <w:pPr>
        <w:pStyle w:val="112"/>
      </w:pPr>
      <w:r>
        <w:rPr>
          <w:rFonts w:hint="eastAsia" w:ascii="宋体" w:hAnsi="宋体"/>
        </w:rPr>
        <w:t>施工荷载</w:t>
      </w:r>
      <w:r>
        <w:t>(</w:t>
      </w:r>
      <w:r>
        <w:rPr>
          <w:rFonts w:hint="eastAsia" w:ascii="宋体" w:hAnsi="宋体"/>
        </w:rPr>
        <w:t>包括堆载</w:t>
      </w:r>
      <w:r>
        <w:t>)</w:t>
      </w:r>
      <w:r>
        <w:rPr>
          <w:rFonts w:hint="eastAsia" w:ascii="宋体" w:hAnsi="宋体"/>
        </w:rPr>
        <w:t>不得大于结构的设计使用荷载。</w:t>
      </w:r>
    </w:p>
    <w:p w14:paraId="68AF2734">
      <w:pPr>
        <w:pStyle w:val="119"/>
      </w:pPr>
      <w:bookmarkStart w:id="62" w:name="_Toc136956849"/>
      <w:bookmarkStart w:id="63" w:name="_Toc291153941"/>
      <w:r>
        <w:rPr>
          <w:rFonts w:hint="eastAsia"/>
        </w:rPr>
        <w:t>主要的技术标准及规范名称</w:t>
      </w:r>
      <w:bookmarkEnd w:id="62"/>
      <w:bookmarkEnd w:id="63"/>
    </w:p>
    <w:p w14:paraId="33DDB72A">
      <w:pPr>
        <w:pStyle w:val="112"/>
      </w:pPr>
      <w:r>
        <w:rPr>
          <w:rFonts w:hint="eastAsia"/>
        </w:rPr>
        <w:t>工程</w:t>
      </w:r>
      <w:r>
        <w:t>结构</w:t>
      </w:r>
      <w:r>
        <w:rPr>
          <w:rFonts w:hint="eastAsia"/>
        </w:rPr>
        <w:t>可靠</w:t>
      </w:r>
      <w:r>
        <w:t>性</w:t>
      </w:r>
      <w:r>
        <w:rPr>
          <w:rFonts w:hint="eastAsia"/>
        </w:rPr>
        <w:t>设计</w:t>
      </w:r>
      <w:r>
        <w:t>统一标(GB50153-2008)</w:t>
      </w:r>
    </w:p>
    <w:p w14:paraId="2CBF6011">
      <w:pPr>
        <w:pStyle w:val="112"/>
      </w:pPr>
      <w:r>
        <w:rPr>
          <w:rFonts w:hint="eastAsia"/>
        </w:rPr>
        <w:t>钢结构设计规范</w:t>
      </w:r>
      <w:r>
        <w:rPr>
          <w:rFonts w:hint="eastAsia" w:eastAsia="PMingLiU"/>
          <w:lang w:eastAsia="zh-TW"/>
        </w:rPr>
        <w:t>(</w:t>
      </w:r>
      <w:r>
        <w:rPr>
          <w:rFonts w:hint="eastAsia"/>
        </w:rPr>
        <w:t>GB50017-2003</w:t>
      </w:r>
      <w:r>
        <w:rPr>
          <w:rFonts w:hint="eastAsia" w:eastAsia="PMingLiU"/>
          <w:lang w:eastAsia="zh-TW"/>
        </w:rPr>
        <w:t>)</w:t>
      </w:r>
    </w:p>
    <w:p w14:paraId="62DD0732">
      <w:pPr>
        <w:pStyle w:val="112"/>
      </w:pPr>
      <w:r>
        <w:rPr>
          <w:rFonts w:hint="eastAsia"/>
        </w:rPr>
        <w:t>建筑抗震设计规范</w:t>
      </w:r>
      <w:r>
        <w:t xml:space="preserve"> (GB50011-2010)</w:t>
      </w:r>
    </w:p>
    <w:p w14:paraId="34E70CF8">
      <w:pPr>
        <w:pStyle w:val="112"/>
      </w:pPr>
      <w:r>
        <w:rPr>
          <w:rFonts w:hint="eastAsia"/>
        </w:rPr>
        <w:t>高层民用建筑钢结构技术规程</w:t>
      </w:r>
      <w:r>
        <w:t>(JGJ99-98)</w:t>
      </w:r>
    </w:p>
    <w:p w14:paraId="0A75A274">
      <w:pPr>
        <w:pStyle w:val="112"/>
      </w:pPr>
      <w:r>
        <w:rPr>
          <w:rFonts w:hint="eastAsia"/>
        </w:rPr>
        <w:t>冷弯薄壁型钢结构技术规范(GBJ18-87)</w:t>
      </w:r>
    </w:p>
    <w:p w14:paraId="62E3936E">
      <w:pPr>
        <w:pStyle w:val="112"/>
      </w:pPr>
      <w:r>
        <w:rPr>
          <w:rFonts w:hint="eastAsia"/>
        </w:rPr>
        <w:t>钢结构工程施工及验收规范(GBJ50205-2001)</w:t>
      </w:r>
    </w:p>
    <w:p w14:paraId="53A04920">
      <w:pPr>
        <w:pStyle w:val="112"/>
      </w:pPr>
      <w:r>
        <w:rPr>
          <w:rFonts w:hint="eastAsia"/>
        </w:rPr>
        <w:t>炭素结构钢(GBJ700-88)</w:t>
      </w:r>
    </w:p>
    <w:p w14:paraId="61752761">
      <w:pPr>
        <w:pStyle w:val="112"/>
      </w:pPr>
      <w:r>
        <w:rPr>
          <w:rFonts w:hint="eastAsia"/>
        </w:rPr>
        <w:t>炭钢焊条(GBJ5117-85)</w:t>
      </w:r>
    </w:p>
    <w:p w14:paraId="4847A182">
      <w:pPr>
        <w:pStyle w:val="112"/>
      </w:pPr>
      <w:r>
        <w:rPr>
          <w:rFonts w:hint="eastAsia"/>
        </w:rPr>
        <w:t>钢结构高强度大六角螺栓型式与尺寸(GB1228-84)</w:t>
      </w:r>
    </w:p>
    <w:p w14:paraId="5F2E2948">
      <w:pPr>
        <w:pStyle w:val="112"/>
      </w:pPr>
      <w:r>
        <w:rPr>
          <w:rFonts w:hint="eastAsia"/>
        </w:rPr>
        <w:t>钢结构用高强度垫圈与尺寸（GB1230-84）</w:t>
      </w:r>
    </w:p>
    <w:p w14:paraId="16F0D19E">
      <w:pPr>
        <w:pStyle w:val="112"/>
      </w:pPr>
      <w:r>
        <w:rPr>
          <w:rFonts w:hint="eastAsia"/>
        </w:rPr>
        <w:t>钢结构高强度达六角螺栓，大牛角螺帽，垫圈技术条（GB1231-84）</w:t>
      </w:r>
    </w:p>
    <w:p w14:paraId="07E2DB6C">
      <w:pPr>
        <w:pStyle w:val="112"/>
      </w:pPr>
      <w:r>
        <w:rPr>
          <w:rFonts w:hint="eastAsia"/>
        </w:rPr>
        <w:t>C级六角螺栓（GB5780-86）</w:t>
      </w:r>
    </w:p>
    <w:p w14:paraId="57E360A5">
      <w:pPr>
        <w:pStyle w:val="112"/>
      </w:pPr>
      <w:r>
        <w:rPr>
          <w:rFonts w:hint="eastAsia"/>
        </w:rPr>
        <w:t>C级工型六角头螺母（GB41-86）</w:t>
      </w:r>
    </w:p>
    <w:p w14:paraId="16670229">
      <w:pPr>
        <w:pStyle w:val="112"/>
      </w:pPr>
      <w:r>
        <w:rPr>
          <w:rFonts w:hint="eastAsia"/>
        </w:rPr>
        <w:t>C级平垫圈（GB95-86）</w:t>
      </w:r>
    </w:p>
    <w:p w14:paraId="1C870397">
      <w:pPr>
        <w:pStyle w:val="112"/>
      </w:pPr>
      <w:r>
        <w:rPr>
          <w:rFonts w:hint="eastAsia"/>
        </w:rPr>
        <w:t>气焊手工电弧焊及气体保护焊焊接接头的基本形式与（GB985-88）</w:t>
      </w:r>
    </w:p>
    <w:p w14:paraId="495EAEB0">
      <w:pPr>
        <w:pStyle w:val="112"/>
      </w:pPr>
      <w:r>
        <w:rPr>
          <w:rFonts w:hint="eastAsia"/>
        </w:rPr>
        <w:t>埋弧焊焊接街头的基本形式与尺寸（GB8986-88）</w:t>
      </w:r>
    </w:p>
    <w:p w14:paraId="23946920">
      <w:pPr>
        <w:pStyle w:val="112"/>
      </w:pPr>
      <w:r>
        <w:rPr>
          <w:rFonts w:hint="eastAsia"/>
        </w:rPr>
        <w:t>涂装前钢材表面锈蚀等级和除锈等级（GB8923）</w:t>
      </w:r>
    </w:p>
    <w:p w14:paraId="07979EB9">
      <w:pPr>
        <w:pStyle w:val="112"/>
      </w:pPr>
      <w:r>
        <w:rPr>
          <w:rFonts w:hint="eastAsia"/>
        </w:rPr>
        <w:t>钢结构高强度螺栓施工验收规程</w:t>
      </w:r>
    </w:p>
    <w:p w14:paraId="26C041B2">
      <w:pPr>
        <w:pStyle w:val="112"/>
      </w:pPr>
      <w:r>
        <w:rPr>
          <w:rFonts w:hint="eastAsia"/>
        </w:rPr>
        <w:t>建筑钢结构焊接规程（GBJ81-91）</w:t>
      </w:r>
    </w:p>
    <w:p w14:paraId="6D87F2C4">
      <w:pPr>
        <w:pStyle w:val="112"/>
      </w:pPr>
      <w:r>
        <w:rPr>
          <w:rFonts w:hint="eastAsia"/>
        </w:rPr>
        <w:t>门式钢架轻型房屋钢结构技术规程（CECS102：98）</w:t>
      </w:r>
    </w:p>
    <w:p w14:paraId="5D9FF6FD">
      <w:pPr>
        <w:pStyle w:val="119"/>
      </w:pPr>
      <w:bookmarkStart w:id="64" w:name="_Toc136956850"/>
      <w:bookmarkStart w:id="65" w:name="_Toc291153942"/>
      <w:r>
        <w:rPr>
          <w:rFonts w:hint="eastAsia"/>
        </w:rPr>
        <w:t>钢结构材料的材质</w:t>
      </w:r>
      <w:bookmarkEnd w:id="64"/>
      <w:bookmarkEnd w:id="65"/>
    </w:p>
    <w:p w14:paraId="7E218940">
      <w:pPr>
        <w:pStyle w:val="112"/>
      </w:pPr>
      <w:r>
        <w:rPr>
          <w:rFonts w:hint="eastAsia"/>
        </w:rPr>
        <w:t>本钢结构工程所用之钢材详见设计图纸。</w:t>
      </w:r>
    </w:p>
    <w:p w14:paraId="68CEDFBD">
      <w:pPr>
        <w:pStyle w:val="112"/>
        <w:rPr>
          <w:rFonts w:ascii="宋体" w:hAnsi="宋体"/>
          <w:u w:val="single"/>
        </w:rPr>
      </w:pPr>
      <w:r>
        <w:rPr>
          <w:rFonts w:hint="eastAsia"/>
        </w:rPr>
        <w:t>所有材料其化学成分及力学性能均应符合国家规范的有关规定，所有钢材连接材料应有质量合格证明书。</w:t>
      </w:r>
    </w:p>
    <w:p w14:paraId="35B047C3">
      <w:pPr>
        <w:pStyle w:val="119"/>
      </w:pPr>
      <w:bookmarkStart w:id="66" w:name="_Toc136956851"/>
      <w:bookmarkStart w:id="67" w:name="_Toc291153943"/>
      <w:r>
        <w:rPr>
          <w:rFonts w:hint="eastAsia"/>
        </w:rPr>
        <w:t>防腐涂装技术要求</w:t>
      </w:r>
      <w:bookmarkEnd w:id="66"/>
      <w:bookmarkEnd w:id="67"/>
    </w:p>
    <w:p w14:paraId="05E3A13D">
      <w:pPr>
        <w:pStyle w:val="122"/>
        <w:rPr>
          <w:bCs/>
        </w:rPr>
      </w:pPr>
      <w:r>
        <w:rPr>
          <w:rFonts w:hint="eastAsia"/>
          <w:b w:val="0"/>
        </w:rPr>
        <w:t>一般规定</w:t>
      </w:r>
    </w:p>
    <w:p w14:paraId="4A24C5CE">
      <w:pPr>
        <w:pStyle w:val="110"/>
        <w:numPr>
          <w:ilvl w:val="0"/>
          <w:numId w:val="28"/>
        </w:numPr>
        <w:ind w:left="993" w:hanging="567"/>
        <w:rPr>
          <w:b/>
          <w:bCs/>
        </w:rPr>
      </w:pPr>
      <w:r>
        <w:rPr>
          <w:rFonts w:hint="eastAsia"/>
        </w:rPr>
        <w:t>建筑钢结构应根据环境条件、结构型式、使用要求、施工条件进行防腐设计</w:t>
      </w:r>
    </w:p>
    <w:p w14:paraId="2335C1EB">
      <w:pPr>
        <w:pStyle w:val="110"/>
        <w:numPr>
          <w:ilvl w:val="0"/>
          <w:numId w:val="28"/>
        </w:numPr>
        <w:ind w:left="993" w:hanging="567"/>
        <w:rPr>
          <w:b/>
          <w:bCs/>
        </w:rPr>
      </w:pPr>
      <w:r>
        <w:rPr>
          <w:rFonts w:hint="eastAsia"/>
        </w:rPr>
        <w:t>腐蚀等级的选用：一般条件下室内为Ⅲ级（</w:t>
      </w:r>
      <w:r>
        <w:t>C3</w:t>
      </w:r>
      <w:r>
        <w:rPr>
          <w:rFonts w:hint="eastAsia"/>
        </w:rPr>
        <w:t>级），室外为Ⅳ级（</w:t>
      </w:r>
      <w:r>
        <w:t>C4</w:t>
      </w:r>
      <w:r>
        <w:rPr>
          <w:rFonts w:hint="eastAsia"/>
        </w:rPr>
        <w:t>级）</w:t>
      </w:r>
    </w:p>
    <w:p w14:paraId="561EBE4D">
      <w:pPr>
        <w:pStyle w:val="110"/>
        <w:numPr>
          <w:ilvl w:val="0"/>
          <w:numId w:val="28"/>
        </w:numPr>
        <w:ind w:left="993" w:hanging="567"/>
        <w:rPr>
          <w:b/>
          <w:bCs/>
        </w:rPr>
      </w:pPr>
      <w:r>
        <w:rPr>
          <w:rFonts w:hint="eastAsia"/>
        </w:rPr>
        <w:t>钢结构防腐设计年限为</w:t>
      </w:r>
      <w:r>
        <w:t>15</w:t>
      </w:r>
      <w:r>
        <w:rPr>
          <w:rFonts w:hint="eastAsia"/>
        </w:rPr>
        <w:t>年，钢构件的除锈和涂装应在制作质量检验合格后进行</w:t>
      </w:r>
    </w:p>
    <w:p w14:paraId="09713A2D">
      <w:pPr>
        <w:pStyle w:val="122"/>
      </w:pPr>
      <w:r>
        <w:rPr>
          <w:rFonts w:hint="eastAsia"/>
          <w:b w:val="0"/>
        </w:rPr>
        <w:t>除锈</w:t>
      </w:r>
    </w:p>
    <w:p w14:paraId="1990F239">
      <w:pPr>
        <w:pStyle w:val="51"/>
        <w:widowControl/>
        <w:numPr>
          <w:ilvl w:val="0"/>
          <w:numId w:val="29"/>
        </w:numPr>
        <w:spacing w:after="83" w:line="360" w:lineRule="auto"/>
        <w:ind w:left="993" w:leftChars="203" w:hanging="567" w:hangingChars="315"/>
        <w:jc w:val="left"/>
        <w:rPr>
          <w:rFonts w:ascii="黑体" w:hAnsi="黑体" w:eastAsia="黑体"/>
          <w:kern w:val="0"/>
          <w:sz w:val="18"/>
          <w:szCs w:val="18"/>
        </w:rPr>
      </w:pPr>
      <w:r>
        <w:rPr>
          <w:rFonts w:hint="eastAsia" w:ascii="黑体" w:hAnsi="黑体" w:eastAsia="黑体"/>
          <w:kern w:val="0"/>
          <w:sz w:val="18"/>
          <w:szCs w:val="18"/>
        </w:rPr>
        <w:t>钢结构在涂装之前应进行表面处理，除锈等级及表面粗糙度达到要求。</w:t>
      </w:r>
    </w:p>
    <w:p w14:paraId="24D77777">
      <w:pPr>
        <w:pStyle w:val="51"/>
        <w:widowControl/>
        <w:numPr>
          <w:ilvl w:val="0"/>
          <w:numId w:val="29"/>
        </w:numPr>
        <w:spacing w:after="83" w:line="360" w:lineRule="auto"/>
        <w:ind w:left="993" w:leftChars="203" w:hanging="567" w:hangingChars="315"/>
        <w:jc w:val="left"/>
        <w:rPr>
          <w:rFonts w:ascii="黑体" w:hAnsi="黑体" w:eastAsia="黑体"/>
          <w:kern w:val="0"/>
          <w:sz w:val="18"/>
          <w:szCs w:val="18"/>
        </w:rPr>
      </w:pPr>
      <w:r>
        <w:rPr>
          <w:rFonts w:hint="eastAsia" w:ascii="黑体" w:hAnsi="黑体" w:eastAsia="黑体"/>
          <w:kern w:val="0"/>
          <w:sz w:val="18"/>
          <w:szCs w:val="18"/>
        </w:rPr>
        <w:t>钢结构在除锈处理前，应清除焊渣、毛刺和飞溅等附着物，对边角进行钝化处理，并应清除基体表面可见的油脂和其他污物。</w:t>
      </w:r>
      <w:r>
        <w:rPr>
          <w:rFonts w:ascii="黑体" w:hAnsi="黑体" w:eastAsia="黑体"/>
          <w:kern w:val="0"/>
          <w:sz w:val="18"/>
          <w:szCs w:val="18"/>
        </w:rPr>
        <w:t xml:space="preserve"> </w:t>
      </w:r>
    </w:p>
    <w:p w14:paraId="50DF137D">
      <w:pPr>
        <w:pStyle w:val="51"/>
        <w:widowControl/>
        <w:numPr>
          <w:ilvl w:val="0"/>
          <w:numId w:val="29"/>
        </w:numPr>
        <w:spacing w:after="83" w:line="360" w:lineRule="auto"/>
        <w:ind w:left="993" w:leftChars="203" w:hanging="567" w:hangingChars="315"/>
        <w:jc w:val="left"/>
        <w:rPr>
          <w:rFonts w:ascii="黑体" w:hAnsi="黑体" w:eastAsia="黑体"/>
          <w:sz w:val="18"/>
          <w:szCs w:val="18"/>
        </w:rPr>
      </w:pPr>
      <w:r>
        <w:rPr>
          <w:rFonts w:hint="eastAsia" w:ascii="黑体" w:hAnsi="黑体" w:eastAsia="黑体"/>
          <w:kern w:val="0"/>
          <w:sz w:val="18"/>
          <w:szCs w:val="18"/>
        </w:rPr>
        <w:t>涂装前，钢材表面采用喷砂除锈，除锈等级</w:t>
      </w:r>
      <w:r>
        <w:rPr>
          <w:rFonts w:ascii="黑体" w:hAnsi="黑体" w:eastAsia="黑体"/>
          <w:kern w:val="0"/>
          <w:sz w:val="18"/>
          <w:szCs w:val="18"/>
        </w:rPr>
        <w:t>Sa21/2,</w:t>
      </w:r>
      <w:r>
        <w:rPr>
          <w:rFonts w:hint="eastAsia" w:ascii="黑体" w:hAnsi="黑体" w:eastAsia="黑体"/>
          <w:kern w:val="0"/>
          <w:sz w:val="18"/>
          <w:szCs w:val="18"/>
        </w:rPr>
        <w:t>其质量要求应符合现行国家标准《涂覆涂料前钢</w:t>
      </w:r>
      <w:r>
        <w:rPr>
          <w:rFonts w:hint="eastAsia" w:ascii="黑体" w:hAnsi="黑体" w:eastAsia="黑体"/>
          <w:sz w:val="18"/>
          <w:szCs w:val="18"/>
        </w:rPr>
        <w:t>材表面处理</w:t>
      </w:r>
      <w:r>
        <w:rPr>
          <w:rFonts w:ascii="黑体" w:hAnsi="黑体" w:eastAsia="黑体"/>
          <w:sz w:val="18"/>
          <w:szCs w:val="18"/>
        </w:rPr>
        <w:t xml:space="preserve"> </w:t>
      </w:r>
      <w:r>
        <w:rPr>
          <w:rFonts w:hint="eastAsia" w:ascii="黑体" w:hAnsi="黑体" w:eastAsia="黑体"/>
          <w:sz w:val="18"/>
          <w:szCs w:val="18"/>
        </w:rPr>
        <w:t>表面清洁度的目视评定》</w:t>
      </w:r>
      <w:r>
        <w:rPr>
          <w:rFonts w:ascii="黑体" w:hAnsi="黑体" w:eastAsia="黑体"/>
          <w:sz w:val="18"/>
          <w:szCs w:val="18"/>
        </w:rPr>
        <w:t>GB</w:t>
      </w:r>
      <w:r>
        <w:rPr>
          <w:rFonts w:hint="eastAsia" w:ascii="黑体" w:hAnsi="黑体" w:eastAsia="黑体"/>
          <w:sz w:val="18"/>
          <w:szCs w:val="18"/>
        </w:rPr>
        <w:t>／</w:t>
      </w:r>
      <w:r>
        <w:rPr>
          <w:rFonts w:ascii="黑体" w:hAnsi="黑体" w:eastAsia="黑体"/>
          <w:sz w:val="18"/>
          <w:szCs w:val="18"/>
        </w:rPr>
        <w:t>T 8923</w:t>
      </w:r>
      <w:r>
        <w:rPr>
          <w:rFonts w:hint="eastAsia" w:ascii="黑体" w:hAnsi="黑体" w:eastAsia="黑体"/>
          <w:sz w:val="18"/>
          <w:szCs w:val="18"/>
        </w:rPr>
        <w:t>的规定。</w:t>
      </w:r>
    </w:p>
    <w:p w14:paraId="46C76ECD">
      <w:pPr>
        <w:pStyle w:val="51"/>
        <w:widowControl/>
        <w:numPr>
          <w:ilvl w:val="0"/>
          <w:numId w:val="29"/>
        </w:numPr>
        <w:spacing w:after="83" w:line="360" w:lineRule="auto"/>
        <w:ind w:left="993" w:leftChars="203" w:hanging="567" w:hangingChars="315"/>
        <w:jc w:val="left"/>
        <w:rPr>
          <w:rFonts w:ascii="黑体" w:hAnsi="黑体" w:eastAsia="黑体"/>
          <w:sz w:val="18"/>
          <w:szCs w:val="18"/>
        </w:rPr>
      </w:pPr>
      <w:r>
        <w:rPr>
          <w:rFonts w:hint="eastAsia" w:ascii="黑体" w:hAnsi="黑体" w:eastAsia="黑体"/>
          <w:sz w:val="18"/>
          <w:szCs w:val="18"/>
        </w:rPr>
        <w:t>现场补漆应采用风动或者电动工具除锈，除锈等级达到</w:t>
      </w:r>
      <w:r>
        <w:rPr>
          <w:rFonts w:ascii="黑体" w:hAnsi="黑体" w:eastAsia="黑体"/>
          <w:sz w:val="18"/>
          <w:szCs w:val="18"/>
        </w:rPr>
        <w:t>St3</w:t>
      </w:r>
      <w:r>
        <w:rPr>
          <w:rFonts w:hint="eastAsia" w:ascii="黑体" w:hAnsi="黑体" w:eastAsia="黑体"/>
          <w:sz w:val="18"/>
          <w:szCs w:val="18"/>
        </w:rPr>
        <w:t>级别。</w:t>
      </w:r>
    </w:p>
    <w:p w14:paraId="131B4BF4">
      <w:pPr>
        <w:pStyle w:val="51"/>
        <w:widowControl/>
        <w:numPr>
          <w:ilvl w:val="0"/>
          <w:numId w:val="29"/>
        </w:numPr>
        <w:spacing w:after="83" w:line="360" w:lineRule="auto"/>
        <w:ind w:left="993" w:leftChars="203" w:hanging="567" w:hangingChars="315"/>
        <w:jc w:val="left"/>
        <w:rPr>
          <w:rFonts w:ascii="黑体" w:hAnsi="黑体" w:eastAsia="黑体"/>
          <w:sz w:val="18"/>
          <w:szCs w:val="18"/>
        </w:rPr>
      </w:pPr>
      <w:r>
        <w:rPr>
          <w:rFonts w:hint="eastAsia" w:ascii="黑体" w:hAnsi="黑体" w:eastAsia="黑体"/>
          <w:sz w:val="18"/>
          <w:szCs w:val="18"/>
        </w:rPr>
        <w:t>表面粗糙度</w:t>
      </w:r>
      <w:r>
        <w:rPr>
          <w:rFonts w:ascii="黑体" w:hAnsi="黑体" w:eastAsia="黑体"/>
          <w:sz w:val="18"/>
          <w:szCs w:val="18"/>
        </w:rPr>
        <w:t>Rz</w:t>
      </w:r>
      <w:r>
        <w:rPr>
          <w:rFonts w:hint="eastAsia" w:ascii="黑体" w:hAnsi="黑体" w:eastAsia="黑体"/>
          <w:sz w:val="18"/>
          <w:szCs w:val="18"/>
        </w:rPr>
        <w:t>为</w:t>
      </w:r>
      <w:r>
        <w:rPr>
          <w:rFonts w:ascii="黑体" w:hAnsi="黑体" w:eastAsia="黑体"/>
          <w:sz w:val="18"/>
          <w:szCs w:val="18"/>
        </w:rPr>
        <w:t>40~75</w:t>
      </w:r>
      <w:r>
        <w:rPr>
          <w:rFonts w:hint="eastAsia" w:ascii="黑体" w:hAnsi="黑体" w:eastAsia="黑体"/>
          <w:sz w:val="18"/>
          <w:szCs w:val="18"/>
        </w:rPr>
        <w:t>μ</w:t>
      </w:r>
      <w:r>
        <w:rPr>
          <w:rFonts w:ascii="黑体" w:hAnsi="黑体" w:eastAsia="黑体"/>
          <w:sz w:val="18"/>
          <w:szCs w:val="18"/>
        </w:rPr>
        <w:t>m</w:t>
      </w:r>
      <w:r>
        <w:rPr>
          <w:rFonts w:hint="eastAsia" w:ascii="黑体" w:hAnsi="黑体" w:eastAsia="黑体"/>
          <w:sz w:val="18"/>
          <w:szCs w:val="18"/>
        </w:rPr>
        <w:t>，并不超过</w:t>
      </w:r>
      <w:r>
        <w:rPr>
          <w:rFonts w:ascii="黑体" w:hAnsi="黑体" w:eastAsia="黑体"/>
          <w:sz w:val="18"/>
          <w:szCs w:val="18"/>
        </w:rPr>
        <w:t>1/3</w:t>
      </w:r>
      <w:r>
        <w:rPr>
          <w:rFonts w:hint="eastAsia" w:ascii="黑体" w:hAnsi="黑体" w:eastAsia="黑体"/>
          <w:sz w:val="18"/>
          <w:szCs w:val="18"/>
        </w:rPr>
        <w:t>的防腐涂料干膜厚度。</w:t>
      </w:r>
    </w:p>
    <w:p w14:paraId="6E096FAF">
      <w:pPr>
        <w:pStyle w:val="122"/>
      </w:pPr>
      <w:r>
        <w:rPr>
          <w:rFonts w:hint="eastAsia"/>
          <w:b w:val="0"/>
        </w:rPr>
        <w:t>防腐涂装</w:t>
      </w:r>
    </w:p>
    <w:p w14:paraId="48CCB35A">
      <w:pPr>
        <w:pStyle w:val="51"/>
        <w:widowControl/>
        <w:numPr>
          <w:ilvl w:val="0"/>
          <w:numId w:val="30"/>
        </w:numPr>
        <w:spacing w:after="83" w:line="360" w:lineRule="auto"/>
        <w:ind w:left="993" w:hanging="567" w:firstLineChars="0"/>
        <w:jc w:val="left"/>
        <w:rPr>
          <w:rFonts w:ascii="黑体" w:hAnsi="黑体" w:eastAsia="黑体"/>
          <w:sz w:val="18"/>
          <w:szCs w:val="18"/>
        </w:rPr>
      </w:pPr>
      <w:r>
        <w:rPr>
          <w:rFonts w:hint="eastAsia" w:ascii="黑体" w:hAnsi="黑体" w:eastAsia="黑体"/>
          <w:sz w:val="18"/>
          <w:szCs w:val="18"/>
        </w:rPr>
        <w:t>所有钢构件（型钢混凝土中的钢构件、钢管混凝土钢构件内壁与混凝土的接触面除外）在出厂前均涂环氧富锌底漆</w:t>
      </w:r>
      <w:r>
        <w:rPr>
          <w:rFonts w:ascii="黑体" w:hAnsi="黑体" w:eastAsia="黑体"/>
          <w:sz w:val="18"/>
          <w:szCs w:val="18"/>
        </w:rPr>
        <w:t>(</w:t>
      </w:r>
      <w:r>
        <w:rPr>
          <w:rFonts w:hint="eastAsia" w:ascii="黑体" w:hAnsi="黑体" w:eastAsia="黑体"/>
          <w:sz w:val="18"/>
          <w:szCs w:val="18"/>
        </w:rPr>
        <w:t>耐盐雾试验不小于</w:t>
      </w:r>
      <w:r>
        <w:rPr>
          <w:rFonts w:ascii="黑体" w:hAnsi="黑体" w:eastAsia="黑体"/>
          <w:sz w:val="18"/>
          <w:szCs w:val="18"/>
        </w:rPr>
        <w:t>1440</w:t>
      </w:r>
      <w:r>
        <w:rPr>
          <w:rFonts w:hint="eastAsia" w:ascii="黑体" w:hAnsi="黑体" w:eastAsia="黑体"/>
          <w:sz w:val="18"/>
          <w:szCs w:val="18"/>
        </w:rPr>
        <w:t>小时</w:t>
      </w:r>
      <w:r>
        <w:rPr>
          <w:rFonts w:ascii="黑体" w:hAnsi="黑体" w:eastAsia="黑体"/>
          <w:sz w:val="18"/>
          <w:szCs w:val="18"/>
        </w:rPr>
        <w:t>),</w:t>
      </w:r>
      <w:r>
        <w:rPr>
          <w:rFonts w:hint="eastAsia" w:ascii="黑体" w:hAnsi="黑体" w:eastAsia="黑体"/>
          <w:sz w:val="18"/>
          <w:szCs w:val="18"/>
        </w:rPr>
        <w:t>富锌底漆不挥发分中金属锌含量不少于</w:t>
      </w:r>
      <w:r>
        <w:rPr>
          <w:rFonts w:ascii="黑体" w:hAnsi="黑体" w:eastAsia="黑体"/>
          <w:sz w:val="18"/>
          <w:szCs w:val="18"/>
        </w:rPr>
        <w:t>70%,</w:t>
      </w:r>
      <w:r>
        <w:rPr>
          <w:rFonts w:hint="eastAsia" w:ascii="黑体" w:hAnsi="黑体" w:eastAsia="黑体"/>
          <w:sz w:val="18"/>
          <w:szCs w:val="18"/>
        </w:rPr>
        <w:t>油漆附着力要求大于划格法一级；除锈完成后至底漆喷涂的时间间隔不得大于</w:t>
      </w:r>
      <w:r>
        <w:rPr>
          <w:rFonts w:ascii="黑体" w:hAnsi="黑体" w:eastAsia="黑体"/>
          <w:sz w:val="18"/>
          <w:szCs w:val="18"/>
        </w:rPr>
        <w:t>4</w:t>
      </w:r>
      <w:r>
        <w:rPr>
          <w:rFonts w:hint="eastAsia" w:ascii="黑体" w:hAnsi="黑体" w:eastAsia="黑体"/>
          <w:sz w:val="18"/>
          <w:szCs w:val="18"/>
        </w:rPr>
        <w:t>小时；中间漆也宜在出厂前涂装。</w:t>
      </w:r>
    </w:p>
    <w:p w14:paraId="65AB43F7">
      <w:pPr>
        <w:pStyle w:val="51"/>
        <w:widowControl/>
        <w:numPr>
          <w:ilvl w:val="0"/>
          <w:numId w:val="30"/>
        </w:numPr>
        <w:spacing w:after="83" w:line="360" w:lineRule="auto"/>
        <w:ind w:left="993" w:hanging="567" w:firstLineChars="0"/>
        <w:jc w:val="left"/>
        <w:rPr>
          <w:rFonts w:ascii="黑体" w:hAnsi="黑体" w:eastAsia="黑体"/>
          <w:sz w:val="18"/>
          <w:szCs w:val="18"/>
        </w:rPr>
      </w:pPr>
      <w:r>
        <w:rPr>
          <w:rFonts w:hint="eastAsia" w:ascii="黑体" w:hAnsi="黑体" w:eastAsia="黑体"/>
          <w:sz w:val="18"/>
          <w:szCs w:val="18"/>
        </w:rPr>
        <w:t>构件出厂安装前，钢结构表面摩擦连接面不能涂漆，现场焊缝两侧应预留</w:t>
      </w:r>
      <w:r>
        <w:rPr>
          <w:rFonts w:ascii="黑体" w:hAnsi="黑体" w:eastAsia="黑体"/>
          <w:sz w:val="18"/>
          <w:szCs w:val="18"/>
        </w:rPr>
        <w:t>100mm</w:t>
      </w:r>
      <w:r>
        <w:rPr>
          <w:rFonts w:hint="eastAsia" w:ascii="黑体" w:hAnsi="黑体" w:eastAsia="黑体"/>
          <w:sz w:val="18"/>
          <w:szCs w:val="18"/>
        </w:rPr>
        <w:t>～</w:t>
      </w:r>
      <w:r>
        <w:rPr>
          <w:rFonts w:ascii="黑体" w:hAnsi="黑体" w:eastAsia="黑体"/>
          <w:sz w:val="18"/>
          <w:szCs w:val="18"/>
        </w:rPr>
        <w:t>150mm</w:t>
      </w:r>
      <w:r>
        <w:rPr>
          <w:rFonts w:hint="eastAsia" w:ascii="黑体" w:hAnsi="黑体" w:eastAsia="黑体"/>
          <w:sz w:val="18"/>
          <w:szCs w:val="18"/>
        </w:rPr>
        <w:t>宽度涂刷车间底漆临时保护，待工地拼装焊接后，应对焊缝热影响区进行二次表面处理，再按设计要求重新进行表面清理和喷涂施工</w:t>
      </w:r>
    </w:p>
    <w:p w14:paraId="1E151E33">
      <w:pPr>
        <w:pStyle w:val="51"/>
        <w:widowControl/>
        <w:numPr>
          <w:ilvl w:val="0"/>
          <w:numId w:val="30"/>
        </w:numPr>
        <w:spacing w:after="83" w:line="360" w:lineRule="auto"/>
        <w:ind w:left="993" w:hanging="567" w:firstLineChars="0"/>
        <w:jc w:val="left"/>
        <w:rPr>
          <w:rFonts w:ascii="黑体" w:hAnsi="黑体" w:eastAsia="黑体"/>
          <w:sz w:val="18"/>
          <w:szCs w:val="18"/>
        </w:rPr>
      </w:pPr>
      <w:r>
        <w:rPr>
          <w:rFonts w:hint="eastAsia" w:ascii="黑体" w:hAnsi="黑体" w:eastAsia="黑体"/>
          <w:sz w:val="18"/>
          <w:szCs w:val="18"/>
        </w:rPr>
        <w:t>对于预留底漆部分及运输安装过程中损坏的底漆，应手工打磨后补足底漆厚度；高强度螺栓连接未涂涂料区应补涂。</w:t>
      </w:r>
    </w:p>
    <w:p w14:paraId="77D0C58C">
      <w:pPr>
        <w:pStyle w:val="51"/>
        <w:widowControl/>
        <w:numPr>
          <w:ilvl w:val="0"/>
          <w:numId w:val="30"/>
        </w:numPr>
        <w:spacing w:after="83" w:line="360" w:lineRule="auto"/>
        <w:ind w:left="993" w:hanging="567" w:firstLineChars="0"/>
        <w:jc w:val="left"/>
        <w:rPr>
          <w:rFonts w:ascii="黑体" w:hAnsi="黑体" w:eastAsia="黑体"/>
          <w:sz w:val="18"/>
          <w:szCs w:val="18"/>
        </w:rPr>
      </w:pPr>
      <w:r>
        <w:rPr>
          <w:rFonts w:hint="eastAsia" w:ascii="黑体" w:hAnsi="黑体" w:eastAsia="黑体"/>
          <w:sz w:val="18"/>
          <w:szCs w:val="18"/>
        </w:rPr>
        <w:t>对于现场焊缝，应仔细打磨后再刷防锈漆，要求与本体部分相同</w:t>
      </w:r>
    </w:p>
    <w:p w14:paraId="07CAFAB9">
      <w:pPr>
        <w:pStyle w:val="51"/>
        <w:widowControl/>
        <w:numPr>
          <w:ilvl w:val="0"/>
          <w:numId w:val="30"/>
        </w:numPr>
        <w:spacing w:after="83" w:line="360" w:lineRule="auto"/>
        <w:ind w:left="993" w:hanging="567" w:firstLineChars="0"/>
        <w:jc w:val="left"/>
        <w:rPr>
          <w:rFonts w:ascii="黑体" w:hAnsi="黑体" w:eastAsia="黑体"/>
          <w:sz w:val="18"/>
          <w:szCs w:val="18"/>
        </w:rPr>
      </w:pPr>
      <w:r>
        <w:rPr>
          <w:rFonts w:hint="eastAsia" w:ascii="黑体" w:hAnsi="黑体" w:eastAsia="黑体"/>
          <w:sz w:val="18"/>
          <w:szCs w:val="18"/>
        </w:rPr>
        <w:t>钢结构涂装技术要求见下表</w:t>
      </w:r>
    </w:p>
    <w:p w14:paraId="2DE19F0F">
      <w:pPr>
        <w:spacing w:line="360" w:lineRule="auto"/>
        <w:rPr>
          <w:rFonts w:ascii="黑体" w:hAnsi="黑体" w:eastAsia="黑体"/>
          <w:sz w:val="18"/>
          <w:szCs w:val="18"/>
        </w:rPr>
      </w:pPr>
      <w:r>
        <w:rPr>
          <w:rFonts w:hint="eastAsia" w:ascii="黑体" w:hAnsi="黑体" w:eastAsia="黑体"/>
          <w:sz w:val="18"/>
          <w:szCs w:val="18"/>
        </w:rPr>
        <w:t>主体钢结构室内构件（防腐蚀等级</w:t>
      </w:r>
      <w:r>
        <w:rPr>
          <w:rFonts w:ascii="黑体" w:hAnsi="黑体" w:eastAsia="黑体"/>
          <w:sz w:val="18"/>
          <w:szCs w:val="18"/>
        </w:rPr>
        <w:t>C3</w:t>
      </w:r>
      <w:r>
        <w:rPr>
          <w:rFonts w:hint="eastAsia" w:ascii="黑体" w:hAnsi="黑体" w:eastAsia="黑体"/>
          <w:sz w:val="18"/>
          <w:szCs w:val="18"/>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87"/>
        <w:gridCol w:w="2249"/>
        <w:gridCol w:w="2083"/>
      </w:tblGrid>
      <w:tr w14:paraId="65AE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tcPr>
          <w:p w14:paraId="7C4AEFC4">
            <w:pPr>
              <w:spacing w:line="360" w:lineRule="auto"/>
              <w:jc w:val="center"/>
              <w:rPr>
                <w:rFonts w:ascii="黑体" w:hAnsi="黑体" w:eastAsia="黑体"/>
                <w:sz w:val="18"/>
                <w:szCs w:val="18"/>
              </w:rPr>
            </w:pPr>
            <w:r>
              <w:rPr>
                <w:rFonts w:hint="eastAsia" w:ascii="黑体" w:hAnsi="黑体" w:eastAsia="黑体"/>
                <w:sz w:val="18"/>
                <w:szCs w:val="18"/>
              </w:rPr>
              <w:t>涂层</w:t>
            </w:r>
          </w:p>
        </w:tc>
        <w:tc>
          <w:tcPr>
            <w:tcW w:w="2687" w:type="dxa"/>
            <w:vMerge w:val="restart"/>
          </w:tcPr>
          <w:p w14:paraId="5CB60D5D">
            <w:pPr>
              <w:spacing w:line="360" w:lineRule="auto"/>
              <w:jc w:val="center"/>
              <w:rPr>
                <w:rFonts w:ascii="黑体" w:hAnsi="黑体" w:eastAsia="黑体"/>
                <w:sz w:val="18"/>
                <w:szCs w:val="18"/>
              </w:rPr>
            </w:pPr>
            <w:r>
              <w:rPr>
                <w:rFonts w:hint="eastAsia" w:ascii="黑体" w:hAnsi="黑体" w:eastAsia="黑体"/>
                <w:sz w:val="18"/>
                <w:szCs w:val="18"/>
              </w:rPr>
              <w:t>涂料</w:t>
            </w:r>
          </w:p>
        </w:tc>
        <w:tc>
          <w:tcPr>
            <w:tcW w:w="4332" w:type="dxa"/>
            <w:gridSpan w:val="2"/>
          </w:tcPr>
          <w:p w14:paraId="235032F0">
            <w:pPr>
              <w:spacing w:line="360" w:lineRule="auto"/>
              <w:jc w:val="center"/>
              <w:rPr>
                <w:rFonts w:ascii="黑体" w:hAnsi="黑体" w:eastAsia="黑体"/>
                <w:sz w:val="18"/>
                <w:szCs w:val="18"/>
              </w:rPr>
            </w:pPr>
            <w:r>
              <w:rPr>
                <w:rFonts w:hint="eastAsia" w:ascii="黑体" w:hAnsi="黑体" w:eastAsia="黑体"/>
                <w:sz w:val="18"/>
                <w:szCs w:val="18"/>
              </w:rPr>
              <w:t>干膜厚度（μ</w:t>
            </w:r>
            <w:r>
              <w:rPr>
                <w:rFonts w:ascii="黑体" w:hAnsi="黑体" w:eastAsia="黑体"/>
                <w:sz w:val="18"/>
                <w:szCs w:val="18"/>
              </w:rPr>
              <w:t>m</w:t>
            </w:r>
            <w:r>
              <w:rPr>
                <w:rFonts w:hint="eastAsia" w:ascii="黑体" w:hAnsi="黑体" w:eastAsia="黑体"/>
                <w:sz w:val="18"/>
                <w:szCs w:val="18"/>
              </w:rPr>
              <w:t>）</w:t>
            </w:r>
          </w:p>
        </w:tc>
      </w:tr>
      <w:tr w14:paraId="5B3B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tcPr>
          <w:p w14:paraId="43EB05A8">
            <w:pPr>
              <w:spacing w:line="360" w:lineRule="auto"/>
              <w:jc w:val="center"/>
              <w:rPr>
                <w:rFonts w:ascii="黑体" w:hAnsi="黑体" w:eastAsia="黑体"/>
                <w:sz w:val="18"/>
                <w:szCs w:val="18"/>
              </w:rPr>
            </w:pPr>
          </w:p>
        </w:tc>
        <w:tc>
          <w:tcPr>
            <w:tcW w:w="2687" w:type="dxa"/>
            <w:vMerge w:val="continue"/>
          </w:tcPr>
          <w:p w14:paraId="63C7BD21">
            <w:pPr>
              <w:spacing w:line="360" w:lineRule="auto"/>
              <w:jc w:val="center"/>
              <w:rPr>
                <w:rFonts w:ascii="黑体" w:hAnsi="黑体" w:eastAsia="黑体"/>
                <w:sz w:val="18"/>
                <w:szCs w:val="18"/>
              </w:rPr>
            </w:pPr>
          </w:p>
        </w:tc>
        <w:tc>
          <w:tcPr>
            <w:tcW w:w="2249" w:type="dxa"/>
          </w:tcPr>
          <w:p w14:paraId="2F4565C8">
            <w:pPr>
              <w:spacing w:line="360" w:lineRule="auto"/>
              <w:jc w:val="center"/>
              <w:rPr>
                <w:rFonts w:ascii="黑体" w:hAnsi="黑体" w:eastAsia="黑体"/>
                <w:sz w:val="18"/>
                <w:szCs w:val="18"/>
              </w:rPr>
            </w:pPr>
            <w:r>
              <w:rPr>
                <w:rFonts w:hint="eastAsia" w:ascii="黑体" w:hAnsi="黑体" w:eastAsia="黑体"/>
                <w:sz w:val="18"/>
                <w:szCs w:val="18"/>
              </w:rPr>
              <w:t>不涂装面漆</w:t>
            </w:r>
          </w:p>
        </w:tc>
        <w:tc>
          <w:tcPr>
            <w:tcW w:w="2083" w:type="dxa"/>
          </w:tcPr>
          <w:p w14:paraId="7360741D">
            <w:pPr>
              <w:spacing w:line="360" w:lineRule="auto"/>
              <w:jc w:val="center"/>
              <w:rPr>
                <w:rFonts w:ascii="黑体" w:hAnsi="黑体" w:eastAsia="黑体"/>
                <w:sz w:val="18"/>
                <w:szCs w:val="18"/>
              </w:rPr>
            </w:pPr>
            <w:r>
              <w:rPr>
                <w:rFonts w:hint="eastAsia" w:ascii="黑体" w:hAnsi="黑体" w:eastAsia="黑体"/>
                <w:sz w:val="18"/>
                <w:szCs w:val="18"/>
              </w:rPr>
              <w:t>涂装面漆</w:t>
            </w:r>
          </w:p>
        </w:tc>
      </w:tr>
      <w:tr w14:paraId="7E64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Pr>
          <w:p w14:paraId="480D4E74">
            <w:pPr>
              <w:spacing w:line="360" w:lineRule="auto"/>
              <w:jc w:val="center"/>
              <w:rPr>
                <w:rFonts w:ascii="黑体" w:hAnsi="黑体" w:eastAsia="黑体"/>
                <w:sz w:val="18"/>
                <w:szCs w:val="18"/>
              </w:rPr>
            </w:pPr>
            <w:r>
              <w:rPr>
                <w:rFonts w:hint="eastAsia" w:ascii="黑体" w:hAnsi="黑体" w:eastAsia="黑体"/>
                <w:sz w:val="18"/>
                <w:szCs w:val="18"/>
              </w:rPr>
              <w:t>底层</w:t>
            </w:r>
          </w:p>
        </w:tc>
        <w:tc>
          <w:tcPr>
            <w:tcW w:w="2687" w:type="dxa"/>
          </w:tcPr>
          <w:p w14:paraId="19A380CC">
            <w:pPr>
              <w:spacing w:line="360" w:lineRule="auto"/>
              <w:jc w:val="center"/>
              <w:rPr>
                <w:rFonts w:ascii="黑体" w:hAnsi="黑体" w:eastAsia="黑体"/>
                <w:sz w:val="18"/>
                <w:szCs w:val="18"/>
              </w:rPr>
            </w:pPr>
            <w:r>
              <w:rPr>
                <w:rFonts w:hint="eastAsia" w:ascii="黑体" w:hAnsi="黑体" w:eastAsia="黑体"/>
                <w:sz w:val="18"/>
                <w:szCs w:val="18"/>
              </w:rPr>
              <w:t>环氧富锌底漆</w:t>
            </w:r>
          </w:p>
        </w:tc>
        <w:tc>
          <w:tcPr>
            <w:tcW w:w="2249" w:type="dxa"/>
          </w:tcPr>
          <w:p w14:paraId="33A97B71">
            <w:pPr>
              <w:spacing w:line="360" w:lineRule="auto"/>
              <w:jc w:val="center"/>
              <w:rPr>
                <w:rFonts w:ascii="黑体" w:hAnsi="黑体" w:eastAsia="黑体"/>
                <w:sz w:val="18"/>
                <w:szCs w:val="18"/>
              </w:rPr>
            </w:pPr>
            <w:r>
              <w:rPr>
                <w:rFonts w:ascii="黑体" w:hAnsi="黑体" w:eastAsia="黑体"/>
                <w:color w:val="FF0000"/>
                <w:sz w:val="18"/>
                <w:szCs w:val="18"/>
              </w:rPr>
              <w:t>7</w:t>
            </w:r>
            <w:r>
              <w:rPr>
                <w:rFonts w:ascii="黑体" w:hAnsi="黑体" w:eastAsia="黑体"/>
                <w:sz w:val="18"/>
                <w:szCs w:val="18"/>
              </w:rPr>
              <w:t>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c>
          <w:tcPr>
            <w:tcW w:w="2083" w:type="dxa"/>
          </w:tcPr>
          <w:p w14:paraId="5C180D6B">
            <w:pPr>
              <w:spacing w:line="360" w:lineRule="auto"/>
              <w:jc w:val="center"/>
              <w:rPr>
                <w:rFonts w:ascii="黑体" w:hAnsi="黑体" w:eastAsia="黑体"/>
                <w:sz w:val="18"/>
                <w:szCs w:val="18"/>
              </w:rPr>
            </w:pPr>
            <w:r>
              <w:rPr>
                <w:rFonts w:ascii="黑体" w:hAnsi="黑体" w:eastAsia="黑体"/>
                <w:color w:val="FF0000"/>
                <w:sz w:val="18"/>
                <w:szCs w:val="18"/>
              </w:rPr>
              <w:t>7</w:t>
            </w:r>
            <w:r>
              <w:rPr>
                <w:rFonts w:ascii="黑体" w:hAnsi="黑体" w:eastAsia="黑体"/>
                <w:sz w:val="18"/>
                <w:szCs w:val="18"/>
              </w:rPr>
              <w:t>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r>
      <w:tr w14:paraId="75E8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Pr>
          <w:p w14:paraId="22955DB3">
            <w:pPr>
              <w:spacing w:line="360" w:lineRule="auto"/>
              <w:jc w:val="center"/>
              <w:rPr>
                <w:rFonts w:ascii="黑体" w:hAnsi="黑体" w:eastAsia="黑体"/>
                <w:sz w:val="18"/>
                <w:szCs w:val="18"/>
              </w:rPr>
            </w:pPr>
            <w:r>
              <w:rPr>
                <w:rFonts w:hint="eastAsia" w:ascii="黑体" w:hAnsi="黑体" w:eastAsia="黑体"/>
                <w:sz w:val="18"/>
                <w:szCs w:val="18"/>
              </w:rPr>
              <w:t>层中间</w:t>
            </w:r>
          </w:p>
        </w:tc>
        <w:tc>
          <w:tcPr>
            <w:tcW w:w="2687" w:type="dxa"/>
          </w:tcPr>
          <w:p w14:paraId="74FB4809">
            <w:pPr>
              <w:spacing w:line="360" w:lineRule="auto"/>
              <w:jc w:val="center"/>
              <w:rPr>
                <w:rFonts w:ascii="黑体" w:hAnsi="黑体" w:eastAsia="黑体"/>
                <w:sz w:val="18"/>
                <w:szCs w:val="18"/>
              </w:rPr>
            </w:pPr>
            <w:r>
              <w:rPr>
                <w:rFonts w:hint="eastAsia" w:ascii="黑体" w:hAnsi="黑体" w:eastAsia="黑体"/>
                <w:sz w:val="18"/>
                <w:szCs w:val="18"/>
              </w:rPr>
              <w:t>环氧云铁中间漆</w:t>
            </w:r>
          </w:p>
        </w:tc>
        <w:tc>
          <w:tcPr>
            <w:tcW w:w="2249" w:type="dxa"/>
          </w:tcPr>
          <w:p w14:paraId="4C357310">
            <w:pPr>
              <w:spacing w:line="360" w:lineRule="auto"/>
              <w:jc w:val="center"/>
              <w:rPr>
                <w:rFonts w:ascii="黑体" w:hAnsi="黑体" w:eastAsia="黑体"/>
                <w:sz w:val="18"/>
                <w:szCs w:val="18"/>
              </w:rPr>
            </w:pPr>
            <w:r>
              <w:rPr>
                <w:rFonts w:ascii="黑体" w:hAnsi="黑体" w:eastAsia="黑体"/>
                <w:sz w:val="18"/>
                <w:szCs w:val="18"/>
              </w:rPr>
              <w:t>130(2</w:t>
            </w:r>
            <w:r>
              <w:rPr>
                <w:rFonts w:hint="eastAsia" w:ascii="黑体" w:hAnsi="黑体" w:eastAsia="黑体"/>
                <w:sz w:val="18"/>
                <w:szCs w:val="18"/>
              </w:rPr>
              <w:t>遍</w:t>
            </w:r>
            <w:r>
              <w:rPr>
                <w:rFonts w:ascii="黑体" w:hAnsi="黑体" w:eastAsia="黑体"/>
                <w:sz w:val="18"/>
                <w:szCs w:val="18"/>
              </w:rPr>
              <w:t>)</w:t>
            </w:r>
          </w:p>
        </w:tc>
        <w:tc>
          <w:tcPr>
            <w:tcW w:w="2083" w:type="dxa"/>
          </w:tcPr>
          <w:p w14:paraId="15130C5D">
            <w:pPr>
              <w:spacing w:line="360" w:lineRule="auto"/>
              <w:jc w:val="center"/>
              <w:rPr>
                <w:rFonts w:ascii="黑体" w:hAnsi="黑体" w:eastAsia="黑体"/>
                <w:sz w:val="18"/>
                <w:szCs w:val="18"/>
              </w:rPr>
            </w:pPr>
            <w:r>
              <w:rPr>
                <w:rFonts w:ascii="黑体" w:hAnsi="黑体" w:eastAsia="黑体"/>
                <w:color w:val="FF0000"/>
                <w:sz w:val="18"/>
                <w:szCs w:val="18"/>
              </w:rPr>
              <w:t>7</w:t>
            </w:r>
            <w:r>
              <w:rPr>
                <w:rFonts w:ascii="黑体" w:hAnsi="黑体" w:eastAsia="黑体"/>
                <w:sz w:val="18"/>
                <w:szCs w:val="18"/>
              </w:rPr>
              <w:t>0</w:t>
            </w:r>
          </w:p>
        </w:tc>
      </w:tr>
      <w:tr w14:paraId="6DCD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Pr>
          <w:p w14:paraId="463C0E30">
            <w:pPr>
              <w:spacing w:line="360" w:lineRule="auto"/>
              <w:jc w:val="center"/>
              <w:rPr>
                <w:rFonts w:ascii="黑体" w:hAnsi="黑体" w:eastAsia="黑体"/>
                <w:sz w:val="18"/>
                <w:szCs w:val="18"/>
              </w:rPr>
            </w:pPr>
            <w:r>
              <w:rPr>
                <w:rFonts w:hint="eastAsia" w:ascii="黑体" w:hAnsi="黑体" w:eastAsia="黑体"/>
                <w:sz w:val="18"/>
                <w:szCs w:val="18"/>
              </w:rPr>
              <w:t>防火涂料</w:t>
            </w:r>
          </w:p>
        </w:tc>
        <w:tc>
          <w:tcPr>
            <w:tcW w:w="2687" w:type="dxa"/>
          </w:tcPr>
          <w:p w14:paraId="42E73CAA">
            <w:pPr>
              <w:spacing w:line="360" w:lineRule="auto"/>
              <w:jc w:val="center"/>
              <w:rPr>
                <w:rFonts w:ascii="黑体" w:hAnsi="黑体" w:eastAsia="黑体"/>
                <w:sz w:val="18"/>
                <w:szCs w:val="18"/>
              </w:rPr>
            </w:pPr>
            <w:r>
              <w:rPr>
                <w:rFonts w:hint="eastAsia" w:ascii="黑体" w:hAnsi="黑体" w:eastAsia="黑体"/>
                <w:sz w:val="18"/>
                <w:szCs w:val="18"/>
              </w:rPr>
              <w:t>膨胀型</w:t>
            </w:r>
            <w:r>
              <w:rPr>
                <w:rFonts w:ascii="黑体" w:hAnsi="黑体" w:eastAsia="黑体"/>
                <w:sz w:val="18"/>
                <w:szCs w:val="18"/>
              </w:rPr>
              <w:t>/</w:t>
            </w:r>
            <w:r>
              <w:rPr>
                <w:rFonts w:hint="eastAsia" w:ascii="黑体" w:hAnsi="黑体" w:eastAsia="黑体"/>
                <w:sz w:val="18"/>
                <w:szCs w:val="18"/>
              </w:rPr>
              <w:t>非膨胀型</w:t>
            </w:r>
          </w:p>
        </w:tc>
        <w:tc>
          <w:tcPr>
            <w:tcW w:w="2249" w:type="dxa"/>
          </w:tcPr>
          <w:p w14:paraId="069260EB">
            <w:pPr>
              <w:spacing w:line="360" w:lineRule="auto"/>
              <w:jc w:val="center"/>
              <w:rPr>
                <w:rFonts w:ascii="黑体" w:hAnsi="黑体" w:eastAsia="黑体"/>
                <w:sz w:val="18"/>
                <w:szCs w:val="18"/>
              </w:rPr>
            </w:pPr>
            <w:r>
              <w:rPr>
                <w:rFonts w:hint="eastAsia" w:ascii="黑体" w:hAnsi="黑体" w:eastAsia="黑体"/>
                <w:sz w:val="18"/>
                <w:szCs w:val="18"/>
              </w:rPr>
              <w:t>非膨胀型涂料厚度</w:t>
            </w:r>
          </w:p>
        </w:tc>
        <w:tc>
          <w:tcPr>
            <w:tcW w:w="2083" w:type="dxa"/>
          </w:tcPr>
          <w:p w14:paraId="6B808C69">
            <w:pPr>
              <w:spacing w:line="360" w:lineRule="auto"/>
              <w:jc w:val="center"/>
              <w:rPr>
                <w:rFonts w:ascii="黑体" w:hAnsi="黑体" w:eastAsia="黑体"/>
                <w:sz w:val="18"/>
                <w:szCs w:val="18"/>
              </w:rPr>
            </w:pPr>
            <w:r>
              <w:rPr>
                <w:rFonts w:hint="eastAsia" w:ascii="黑体" w:hAnsi="黑体" w:eastAsia="黑体"/>
                <w:sz w:val="18"/>
                <w:szCs w:val="18"/>
              </w:rPr>
              <w:t>膨胀型涂料厚度</w:t>
            </w:r>
          </w:p>
        </w:tc>
      </w:tr>
      <w:tr w14:paraId="785D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Pr>
          <w:p w14:paraId="17335F6F">
            <w:pPr>
              <w:spacing w:line="360" w:lineRule="auto"/>
              <w:jc w:val="center"/>
              <w:rPr>
                <w:rFonts w:ascii="黑体" w:hAnsi="黑体" w:eastAsia="黑体"/>
                <w:sz w:val="18"/>
                <w:szCs w:val="18"/>
              </w:rPr>
            </w:pPr>
            <w:r>
              <w:rPr>
                <w:rFonts w:hint="eastAsia" w:ascii="黑体" w:hAnsi="黑体" w:eastAsia="黑体"/>
                <w:sz w:val="18"/>
                <w:szCs w:val="18"/>
              </w:rPr>
              <w:t>批嵌层</w:t>
            </w:r>
          </w:p>
        </w:tc>
        <w:tc>
          <w:tcPr>
            <w:tcW w:w="2687" w:type="dxa"/>
          </w:tcPr>
          <w:p w14:paraId="21007A46">
            <w:pPr>
              <w:spacing w:line="360" w:lineRule="auto"/>
              <w:jc w:val="center"/>
              <w:rPr>
                <w:rFonts w:ascii="黑体" w:hAnsi="黑体" w:eastAsia="黑体"/>
                <w:sz w:val="18"/>
                <w:szCs w:val="18"/>
              </w:rPr>
            </w:pPr>
            <w:r>
              <w:rPr>
                <w:rFonts w:hint="eastAsia" w:ascii="黑体" w:hAnsi="黑体" w:eastAsia="黑体"/>
                <w:sz w:val="18"/>
                <w:szCs w:val="18"/>
              </w:rPr>
              <w:t>专用腻子批嵌并打磨平整</w:t>
            </w:r>
          </w:p>
        </w:tc>
        <w:tc>
          <w:tcPr>
            <w:tcW w:w="2249" w:type="dxa"/>
          </w:tcPr>
          <w:p w14:paraId="0DE2C29E">
            <w:pPr>
              <w:spacing w:line="360" w:lineRule="auto"/>
              <w:jc w:val="center"/>
              <w:rPr>
                <w:rFonts w:ascii="黑体" w:hAnsi="黑体" w:eastAsia="黑体"/>
                <w:sz w:val="18"/>
                <w:szCs w:val="18"/>
              </w:rPr>
            </w:pPr>
            <w:r>
              <w:rPr>
                <w:rFonts w:hint="eastAsia" w:ascii="黑体" w:hAnsi="黑体" w:eastAsia="黑体"/>
                <w:sz w:val="18"/>
                <w:szCs w:val="18"/>
              </w:rPr>
              <w:t>专用腻子批嵌并打磨平整</w:t>
            </w:r>
          </w:p>
        </w:tc>
        <w:tc>
          <w:tcPr>
            <w:tcW w:w="2083" w:type="dxa"/>
          </w:tcPr>
          <w:p w14:paraId="2833FFDB">
            <w:pPr>
              <w:spacing w:line="360" w:lineRule="auto"/>
              <w:jc w:val="center"/>
              <w:rPr>
                <w:rFonts w:ascii="黑体" w:hAnsi="黑体" w:eastAsia="黑体"/>
                <w:sz w:val="18"/>
                <w:szCs w:val="18"/>
              </w:rPr>
            </w:pPr>
            <w:r>
              <w:rPr>
                <w:rFonts w:ascii="黑体" w:hAnsi="黑体" w:eastAsia="黑体"/>
                <w:sz w:val="18"/>
                <w:szCs w:val="18"/>
              </w:rPr>
              <w:t>---</w:t>
            </w:r>
          </w:p>
        </w:tc>
      </w:tr>
      <w:tr w14:paraId="6061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14:paraId="05B60F2A">
            <w:pPr>
              <w:spacing w:line="360" w:lineRule="auto"/>
              <w:jc w:val="center"/>
              <w:rPr>
                <w:rFonts w:ascii="黑体" w:hAnsi="黑体" w:eastAsia="黑体"/>
                <w:sz w:val="18"/>
                <w:szCs w:val="18"/>
              </w:rPr>
            </w:pPr>
            <w:r>
              <w:rPr>
                <w:rFonts w:hint="eastAsia" w:ascii="黑体" w:hAnsi="黑体" w:eastAsia="黑体"/>
                <w:sz w:val="18"/>
                <w:szCs w:val="18"/>
              </w:rPr>
              <w:t>面层</w:t>
            </w:r>
          </w:p>
        </w:tc>
        <w:tc>
          <w:tcPr>
            <w:tcW w:w="2687" w:type="dxa"/>
            <w:vAlign w:val="center"/>
          </w:tcPr>
          <w:p w14:paraId="5EF43D22">
            <w:pPr>
              <w:spacing w:line="360" w:lineRule="auto"/>
              <w:rPr>
                <w:rFonts w:ascii="黑体" w:hAnsi="黑体" w:eastAsia="黑体"/>
                <w:sz w:val="18"/>
                <w:szCs w:val="18"/>
              </w:rPr>
            </w:pPr>
            <w:r>
              <w:rPr>
                <w:rFonts w:hint="eastAsia" w:ascii="黑体" w:hAnsi="黑体" w:eastAsia="黑体"/>
                <w:sz w:val="18"/>
                <w:szCs w:val="18"/>
              </w:rPr>
              <w:t>聚氨酯面漆</w:t>
            </w:r>
            <w:r>
              <w:rPr>
                <w:rFonts w:ascii="黑体" w:hAnsi="黑体" w:eastAsia="黑体"/>
                <w:sz w:val="18"/>
                <w:szCs w:val="18"/>
              </w:rPr>
              <w:t>/</w:t>
            </w:r>
            <w:r>
              <w:rPr>
                <w:rFonts w:hint="eastAsia" w:ascii="黑体" w:hAnsi="黑体" w:eastAsia="黑体"/>
                <w:sz w:val="18"/>
                <w:szCs w:val="18"/>
              </w:rPr>
              <w:t>氟碳面漆</w:t>
            </w:r>
          </w:p>
        </w:tc>
        <w:tc>
          <w:tcPr>
            <w:tcW w:w="2249" w:type="dxa"/>
            <w:vAlign w:val="center"/>
          </w:tcPr>
          <w:p w14:paraId="5708C28B">
            <w:pPr>
              <w:spacing w:line="360" w:lineRule="auto"/>
              <w:rPr>
                <w:rFonts w:ascii="黑体" w:hAnsi="黑体" w:eastAsia="黑体"/>
                <w:sz w:val="18"/>
                <w:szCs w:val="18"/>
              </w:rPr>
            </w:pPr>
            <w:r>
              <w:rPr>
                <w:rFonts w:ascii="黑体" w:hAnsi="黑体" w:eastAsia="黑体"/>
                <w:sz w:val="18"/>
                <w:szCs w:val="18"/>
              </w:rPr>
              <w:t xml:space="preserve">      </w:t>
            </w:r>
            <w:r>
              <w:rPr>
                <w:rFonts w:hint="eastAsia" w:ascii="黑体" w:hAnsi="黑体" w:eastAsia="黑体"/>
                <w:sz w:val="18"/>
                <w:szCs w:val="18"/>
              </w:rPr>
              <w:t>精装面层</w:t>
            </w:r>
          </w:p>
        </w:tc>
        <w:tc>
          <w:tcPr>
            <w:tcW w:w="2083" w:type="dxa"/>
            <w:vAlign w:val="center"/>
          </w:tcPr>
          <w:p w14:paraId="59DF7DD4">
            <w:pPr>
              <w:spacing w:line="360" w:lineRule="auto"/>
              <w:jc w:val="center"/>
              <w:rPr>
                <w:rFonts w:ascii="黑体" w:hAnsi="黑体" w:eastAsia="黑体"/>
                <w:sz w:val="18"/>
                <w:szCs w:val="18"/>
              </w:rPr>
            </w:pPr>
            <w:r>
              <w:rPr>
                <w:rFonts w:ascii="黑体" w:hAnsi="黑体" w:eastAsia="黑体"/>
                <w:sz w:val="18"/>
                <w:szCs w:val="18"/>
              </w:rPr>
              <w:t>60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r>
    </w:tbl>
    <w:p w14:paraId="0FE36B0D">
      <w:pPr>
        <w:widowControl/>
        <w:spacing w:before="156" w:beforeLines="50" w:line="360" w:lineRule="auto"/>
        <w:jc w:val="left"/>
        <w:rPr>
          <w:rFonts w:ascii="黑体" w:hAnsi="黑体" w:eastAsia="黑体"/>
          <w:sz w:val="18"/>
          <w:szCs w:val="18"/>
        </w:rPr>
      </w:pPr>
      <w:r>
        <w:rPr>
          <w:rFonts w:hint="eastAsia" w:ascii="黑体" w:hAnsi="黑体" w:eastAsia="黑体"/>
          <w:sz w:val="18"/>
          <w:szCs w:val="18"/>
        </w:rPr>
        <w:t>主体钢结构室外构件（防腐蚀等级</w:t>
      </w:r>
      <w:r>
        <w:rPr>
          <w:rFonts w:ascii="黑体" w:hAnsi="黑体" w:eastAsia="黑体"/>
          <w:sz w:val="18"/>
          <w:szCs w:val="18"/>
        </w:rPr>
        <w:t>C4</w:t>
      </w:r>
      <w:r>
        <w:rPr>
          <w:rFonts w:hint="eastAsia" w:ascii="黑体" w:hAnsi="黑体" w:eastAsia="黑体"/>
          <w:sz w:val="18"/>
          <w:szCs w:val="18"/>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007"/>
        <w:gridCol w:w="2245"/>
        <w:gridCol w:w="1922"/>
      </w:tblGrid>
      <w:tr w14:paraId="5968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restart"/>
          </w:tcPr>
          <w:p w14:paraId="04A72661">
            <w:pPr>
              <w:spacing w:line="360" w:lineRule="auto"/>
              <w:jc w:val="center"/>
              <w:rPr>
                <w:rFonts w:ascii="黑体" w:hAnsi="黑体" w:eastAsia="黑体"/>
                <w:sz w:val="18"/>
                <w:szCs w:val="18"/>
              </w:rPr>
            </w:pPr>
            <w:r>
              <w:rPr>
                <w:rFonts w:hint="eastAsia" w:ascii="黑体" w:hAnsi="黑体" w:eastAsia="黑体"/>
                <w:sz w:val="18"/>
                <w:szCs w:val="18"/>
              </w:rPr>
              <w:t>涂层</w:t>
            </w:r>
          </w:p>
        </w:tc>
        <w:tc>
          <w:tcPr>
            <w:tcW w:w="2007" w:type="dxa"/>
            <w:vMerge w:val="restart"/>
          </w:tcPr>
          <w:p w14:paraId="5A656C22">
            <w:pPr>
              <w:spacing w:line="360" w:lineRule="auto"/>
              <w:jc w:val="center"/>
              <w:rPr>
                <w:rFonts w:ascii="黑体" w:hAnsi="黑体" w:eastAsia="黑体"/>
                <w:sz w:val="18"/>
                <w:szCs w:val="18"/>
              </w:rPr>
            </w:pPr>
            <w:r>
              <w:rPr>
                <w:rFonts w:hint="eastAsia" w:ascii="黑体" w:hAnsi="黑体" w:eastAsia="黑体"/>
                <w:sz w:val="18"/>
                <w:szCs w:val="18"/>
              </w:rPr>
              <w:t>涂料</w:t>
            </w:r>
          </w:p>
        </w:tc>
        <w:tc>
          <w:tcPr>
            <w:tcW w:w="4167" w:type="dxa"/>
            <w:gridSpan w:val="2"/>
          </w:tcPr>
          <w:p w14:paraId="2C8B79DF">
            <w:pPr>
              <w:spacing w:line="360" w:lineRule="auto"/>
              <w:jc w:val="center"/>
              <w:rPr>
                <w:rFonts w:ascii="黑体" w:hAnsi="黑体" w:eastAsia="黑体"/>
                <w:sz w:val="18"/>
                <w:szCs w:val="18"/>
              </w:rPr>
            </w:pPr>
            <w:r>
              <w:rPr>
                <w:rFonts w:hint="eastAsia" w:ascii="黑体" w:hAnsi="黑体" w:eastAsia="黑体"/>
                <w:sz w:val="18"/>
                <w:szCs w:val="18"/>
              </w:rPr>
              <w:t>干膜厚度（μ</w:t>
            </w:r>
            <w:r>
              <w:rPr>
                <w:rFonts w:ascii="黑体" w:hAnsi="黑体" w:eastAsia="黑体"/>
                <w:sz w:val="18"/>
                <w:szCs w:val="18"/>
              </w:rPr>
              <w:t>m</w:t>
            </w:r>
            <w:r>
              <w:rPr>
                <w:rFonts w:hint="eastAsia" w:ascii="黑体" w:hAnsi="黑体" w:eastAsia="黑体"/>
                <w:sz w:val="18"/>
                <w:szCs w:val="18"/>
              </w:rPr>
              <w:t>）</w:t>
            </w:r>
          </w:p>
        </w:tc>
      </w:tr>
      <w:tr w14:paraId="2BD8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Merge w:val="continue"/>
          </w:tcPr>
          <w:p w14:paraId="0AA186CE">
            <w:pPr>
              <w:spacing w:line="360" w:lineRule="auto"/>
              <w:jc w:val="center"/>
              <w:rPr>
                <w:rFonts w:ascii="黑体" w:hAnsi="黑体" w:eastAsia="黑体"/>
                <w:sz w:val="18"/>
                <w:szCs w:val="18"/>
              </w:rPr>
            </w:pPr>
          </w:p>
        </w:tc>
        <w:tc>
          <w:tcPr>
            <w:tcW w:w="2007" w:type="dxa"/>
            <w:vMerge w:val="continue"/>
          </w:tcPr>
          <w:p w14:paraId="4AF36015">
            <w:pPr>
              <w:spacing w:line="360" w:lineRule="auto"/>
              <w:jc w:val="center"/>
              <w:rPr>
                <w:rFonts w:ascii="黑体" w:hAnsi="黑体" w:eastAsia="黑体"/>
                <w:sz w:val="18"/>
                <w:szCs w:val="18"/>
              </w:rPr>
            </w:pPr>
          </w:p>
        </w:tc>
        <w:tc>
          <w:tcPr>
            <w:tcW w:w="2245" w:type="dxa"/>
          </w:tcPr>
          <w:p w14:paraId="597362B2">
            <w:pPr>
              <w:spacing w:line="360" w:lineRule="auto"/>
              <w:jc w:val="center"/>
              <w:rPr>
                <w:rFonts w:ascii="黑体" w:hAnsi="黑体" w:eastAsia="黑体"/>
                <w:sz w:val="18"/>
                <w:szCs w:val="18"/>
              </w:rPr>
            </w:pPr>
            <w:r>
              <w:rPr>
                <w:rFonts w:hint="eastAsia" w:ascii="黑体" w:hAnsi="黑体" w:eastAsia="黑体"/>
                <w:sz w:val="18"/>
                <w:szCs w:val="18"/>
              </w:rPr>
              <w:t>不涂装面漆</w:t>
            </w:r>
          </w:p>
        </w:tc>
        <w:tc>
          <w:tcPr>
            <w:tcW w:w="1922" w:type="dxa"/>
          </w:tcPr>
          <w:p w14:paraId="3D575D7A">
            <w:pPr>
              <w:spacing w:line="360" w:lineRule="auto"/>
              <w:jc w:val="center"/>
              <w:rPr>
                <w:rFonts w:ascii="黑体" w:hAnsi="黑体" w:eastAsia="黑体"/>
                <w:sz w:val="18"/>
                <w:szCs w:val="18"/>
              </w:rPr>
            </w:pPr>
            <w:r>
              <w:rPr>
                <w:rFonts w:hint="eastAsia" w:ascii="黑体" w:hAnsi="黑体" w:eastAsia="黑体"/>
                <w:sz w:val="18"/>
                <w:szCs w:val="18"/>
              </w:rPr>
              <w:t>涂装面漆</w:t>
            </w:r>
          </w:p>
        </w:tc>
      </w:tr>
      <w:tr w14:paraId="69E6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14:paraId="49C72767">
            <w:pPr>
              <w:spacing w:line="360" w:lineRule="auto"/>
              <w:jc w:val="center"/>
              <w:rPr>
                <w:rFonts w:ascii="黑体" w:hAnsi="黑体" w:eastAsia="黑体"/>
                <w:sz w:val="18"/>
                <w:szCs w:val="18"/>
              </w:rPr>
            </w:pPr>
            <w:r>
              <w:rPr>
                <w:rFonts w:hint="eastAsia" w:ascii="黑体" w:hAnsi="黑体" w:eastAsia="黑体"/>
                <w:sz w:val="18"/>
                <w:szCs w:val="18"/>
              </w:rPr>
              <w:t>底层</w:t>
            </w:r>
          </w:p>
        </w:tc>
        <w:tc>
          <w:tcPr>
            <w:tcW w:w="2007" w:type="dxa"/>
          </w:tcPr>
          <w:p w14:paraId="1D4DAB66">
            <w:pPr>
              <w:spacing w:line="360" w:lineRule="auto"/>
              <w:jc w:val="center"/>
              <w:rPr>
                <w:rFonts w:ascii="黑体" w:hAnsi="黑体" w:eastAsia="黑体"/>
                <w:sz w:val="18"/>
                <w:szCs w:val="18"/>
              </w:rPr>
            </w:pPr>
            <w:r>
              <w:rPr>
                <w:rFonts w:hint="eastAsia" w:ascii="黑体" w:hAnsi="黑体" w:eastAsia="黑体"/>
                <w:sz w:val="18"/>
                <w:szCs w:val="18"/>
              </w:rPr>
              <w:t>环氧富锌底漆</w:t>
            </w:r>
          </w:p>
        </w:tc>
        <w:tc>
          <w:tcPr>
            <w:tcW w:w="2245" w:type="dxa"/>
          </w:tcPr>
          <w:p w14:paraId="48D56F66">
            <w:pPr>
              <w:spacing w:line="360" w:lineRule="auto"/>
              <w:jc w:val="center"/>
              <w:rPr>
                <w:rFonts w:ascii="黑体" w:hAnsi="黑体" w:eastAsia="黑体"/>
                <w:sz w:val="18"/>
                <w:szCs w:val="18"/>
              </w:rPr>
            </w:pPr>
            <w:r>
              <w:rPr>
                <w:rFonts w:ascii="黑体" w:hAnsi="黑体" w:eastAsia="黑体"/>
                <w:color w:val="FF0000"/>
                <w:sz w:val="18"/>
                <w:szCs w:val="18"/>
              </w:rPr>
              <w:t>7</w:t>
            </w:r>
            <w:r>
              <w:rPr>
                <w:rFonts w:ascii="黑体" w:hAnsi="黑体" w:eastAsia="黑体"/>
                <w:sz w:val="18"/>
                <w:szCs w:val="18"/>
              </w:rPr>
              <w:t>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c>
          <w:tcPr>
            <w:tcW w:w="1922" w:type="dxa"/>
          </w:tcPr>
          <w:p w14:paraId="5521198E">
            <w:pPr>
              <w:spacing w:line="360" w:lineRule="auto"/>
              <w:jc w:val="center"/>
              <w:rPr>
                <w:rFonts w:ascii="黑体" w:hAnsi="黑体" w:eastAsia="黑体"/>
                <w:sz w:val="18"/>
                <w:szCs w:val="18"/>
              </w:rPr>
            </w:pPr>
            <w:r>
              <w:rPr>
                <w:rFonts w:ascii="黑体" w:hAnsi="黑体" w:eastAsia="黑体"/>
                <w:color w:val="FF0000"/>
                <w:sz w:val="18"/>
                <w:szCs w:val="18"/>
              </w:rPr>
              <w:t>7</w:t>
            </w:r>
            <w:r>
              <w:rPr>
                <w:rFonts w:ascii="黑体" w:hAnsi="黑体" w:eastAsia="黑体"/>
                <w:sz w:val="18"/>
                <w:szCs w:val="18"/>
              </w:rPr>
              <w:t>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r>
      <w:tr w14:paraId="4168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14:paraId="1D17A347">
            <w:pPr>
              <w:spacing w:line="360" w:lineRule="auto"/>
              <w:jc w:val="center"/>
              <w:rPr>
                <w:rFonts w:ascii="黑体" w:hAnsi="黑体" w:eastAsia="黑体"/>
                <w:sz w:val="18"/>
                <w:szCs w:val="18"/>
              </w:rPr>
            </w:pPr>
            <w:r>
              <w:rPr>
                <w:rFonts w:hint="eastAsia" w:ascii="黑体" w:hAnsi="黑体" w:eastAsia="黑体"/>
                <w:sz w:val="18"/>
                <w:szCs w:val="18"/>
              </w:rPr>
              <w:t>中间层</w:t>
            </w:r>
          </w:p>
        </w:tc>
        <w:tc>
          <w:tcPr>
            <w:tcW w:w="2007" w:type="dxa"/>
          </w:tcPr>
          <w:p w14:paraId="75FD99F1">
            <w:pPr>
              <w:spacing w:line="360" w:lineRule="auto"/>
              <w:jc w:val="center"/>
              <w:rPr>
                <w:rFonts w:ascii="黑体" w:hAnsi="黑体" w:eastAsia="黑体"/>
                <w:sz w:val="18"/>
                <w:szCs w:val="18"/>
              </w:rPr>
            </w:pPr>
            <w:r>
              <w:rPr>
                <w:rFonts w:hint="eastAsia" w:ascii="黑体" w:hAnsi="黑体" w:eastAsia="黑体"/>
                <w:sz w:val="18"/>
                <w:szCs w:val="18"/>
              </w:rPr>
              <w:t>环氧云铁中间漆</w:t>
            </w:r>
          </w:p>
        </w:tc>
        <w:tc>
          <w:tcPr>
            <w:tcW w:w="2245" w:type="dxa"/>
          </w:tcPr>
          <w:p w14:paraId="1843DF51">
            <w:pPr>
              <w:spacing w:line="360" w:lineRule="auto"/>
              <w:jc w:val="center"/>
              <w:rPr>
                <w:rFonts w:ascii="黑体" w:hAnsi="黑体" w:eastAsia="黑体"/>
                <w:sz w:val="18"/>
                <w:szCs w:val="18"/>
              </w:rPr>
            </w:pPr>
            <w:r>
              <w:rPr>
                <w:rFonts w:ascii="黑体" w:hAnsi="黑体" w:eastAsia="黑体"/>
                <w:sz w:val="18"/>
                <w:szCs w:val="18"/>
              </w:rPr>
              <w:t>190(3</w:t>
            </w:r>
            <w:r>
              <w:rPr>
                <w:rFonts w:hint="eastAsia" w:ascii="黑体" w:hAnsi="黑体" w:eastAsia="黑体"/>
                <w:sz w:val="18"/>
                <w:szCs w:val="18"/>
              </w:rPr>
              <w:t>遍</w:t>
            </w:r>
            <w:r>
              <w:rPr>
                <w:rFonts w:ascii="黑体" w:hAnsi="黑体" w:eastAsia="黑体"/>
                <w:sz w:val="18"/>
                <w:szCs w:val="18"/>
              </w:rPr>
              <w:t>)</w:t>
            </w:r>
          </w:p>
        </w:tc>
        <w:tc>
          <w:tcPr>
            <w:tcW w:w="1922" w:type="dxa"/>
          </w:tcPr>
          <w:p w14:paraId="76FEE6FD">
            <w:pPr>
              <w:spacing w:line="360" w:lineRule="auto"/>
              <w:jc w:val="center"/>
              <w:rPr>
                <w:rFonts w:ascii="黑体" w:hAnsi="黑体" w:eastAsia="黑体"/>
                <w:sz w:val="18"/>
                <w:szCs w:val="18"/>
              </w:rPr>
            </w:pPr>
            <w:r>
              <w:rPr>
                <w:rFonts w:ascii="黑体" w:hAnsi="黑体" w:eastAsia="黑体"/>
                <w:sz w:val="18"/>
                <w:szCs w:val="18"/>
              </w:rPr>
              <w:t>110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r>
      <w:tr w14:paraId="240E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Pr>
          <w:p w14:paraId="1DF61573">
            <w:pPr>
              <w:spacing w:line="360" w:lineRule="auto"/>
              <w:jc w:val="center"/>
              <w:rPr>
                <w:rFonts w:ascii="黑体" w:hAnsi="黑体" w:eastAsia="黑体"/>
                <w:sz w:val="18"/>
                <w:szCs w:val="18"/>
              </w:rPr>
            </w:pPr>
            <w:r>
              <w:rPr>
                <w:rFonts w:hint="eastAsia" w:ascii="黑体" w:hAnsi="黑体" w:eastAsia="黑体"/>
                <w:sz w:val="18"/>
                <w:szCs w:val="18"/>
              </w:rPr>
              <w:t>防火涂料（是否采用详项目设计文件说明）</w:t>
            </w:r>
          </w:p>
        </w:tc>
        <w:tc>
          <w:tcPr>
            <w:tcW w:w="2007" w:type="dxa"/>
          </w:tcPr>
          <w:p w14:paraId="13ED16F7">
            <w:pPr>
              <w:spacing w:line="360" w:lineRule="auto"/>
              <w:jc w:val="center"/>
              <w:rPr>
                <w:rFonts w:ascii="黑体" w:hAnsi="黑体" w:eastAsia="黑体"/>
                <w:sz w:val="18"/>
                <w:szCs w:val="18"/>
              </w:rPr>
            </w:pPr>
            <w:r>
              <w:rPr>
                <w:rFonts w:hint="eastAsia" w:ascii="黑体" w:hAnsi="黑体" w:eastAsia="黑体"/>
                <w:sz w:val="18"/>
                <w:szCs w:val="18"/>
              </w:rPr>
              <w:t>膨胀型</w:t>
            </w:r>
            <w:r>
              <w:rPr>
                <w:rFonts w:ascii="黑体" w:hAnsi="黑体" w:eastAsia="黑体"/>
                <w:sz w:val="18"/>
                <w:szCs w:val="18"/>
              </w:rPr>
              <w:t>/</w:t>
            </w:r>
            <w:r>
              <w:rPr>
                <w:rFonts w:hint="eastAsia" w:ascii="黑体" w:hAnsi="黑体" w:eastAsia="黑体"/>
                <w:sz w:val="18"/>
                <w:szCs w:val="18"/>
              </w:rPr>
              <w:t>非膨胀型</w:t>
            </w:r>
          </w:p>
        </w:tc>
        <w:tc>
          <w:tcPr>
            <w:tcW w:w="2245" w:type="dxa"/>
          </w:tcPr>
          <w:p w14:paraId="7BAE8785">
            <w:pPr>
              <w:spacing w:line="360" w:lineRule="auto"/>
              <w:jc w:val="center"/>
              <w:rPr>
                <w:rFonts w:ascii="黑体" w:hAnsi="黑体" w:eastAsia="黑体"/>
                <w:sz w:val="18"/>
                <w:szCs w:val="18"/>
              </w:rPr>
            </w:pPr>
            <w:r>
              <w:rPr>
                <w:rFonts w:hint="eastAsia" w:ascii="黑体" w:hAnsi="黑体" w:eastAsia="黑体"/>
                <w:sz w:val="18"/>
                <w:szCs w:val="18"/>
              </w:rPr>
              <w:t>是否采用详项目设计文件说明</w:t>
            </w:r>
          </w:p>
        </w:tc>
        <w:tc>
          <w:tcPr>
            <w:tcW w:w="1922" w:type="dxa"/>
          </w:tcPr>
          <w:p w14:paraId="7DF53951">
            <w:pPr>
              <w:spacing w:line="360" w:lineRule="auto"/>
              <w:jc w:val="center"/>
              <w:rPr>
                <w:rFonts w:ascii="黑体" w:hAnsi="黑体" w:eastAsia="黑体"/>
                <w:sz w:val="18"/>
                <w:szCs w:val="18"/>
              </w:rPr>
            </w:pPr>
            <w:r>
              <w:rPr>
                <w:rFonts w:hint="eastAsia" w:ascii="黑体" w:hAnsi="黑体" w:eastAsia="黑体"/>
                <w:sz w:val="18"/>
                <w:szCs w:val="18"/>
              </w:rPr>
              <w:t>是否采用详项目设计文件说明</w:t>
            </w:r>
          </w:p>
        </w:tc>
      </w:tr>
      <w:tr w14:paraId="0892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7E20C2E9">
            <w:pPr>
              <w:spacing w:line="360" w:lineRule="auto"/>
              <w:jc w:val="center"/>
              <w:rPr>
                <w:rFonts w:ascii="黑体" w:hAnsi="黑体" w:eastAsia="黑体"/>
                <w:sz w:val="18"/>
                <w:szCs w:val="18"/>
              </w:rPr>
            </w:pPr>
            <w:r>
              <w:rPr>
                <w:rFonts w:hint="eastAsia" w:ascii="黑体" w:hAnsi="黑体" w:eastAsia="黑体"/>
                <w:sz w:val="18"/>
                <w:szCs w:val="18"/>
              </w:rPr>
              <w:t>面层</w:t>
            </w:r>
          </w:p>
        </w:tc>
        <w:tc>
          <w:tcPr>
            <w:tcW w:w="2007" w:type="dxa"/>
            <w:vAlign w:val="center"/>
          </w:tcPr>
          <w:p w14:paraId="0B8C862E">
            <w:pPr>
              <w:spacing w:line="360" w:lineRule="auto"/>
              <w:rPr>
                <w:rFonts w:ascii="黑体" w:hAnsi="黑体" w:eastAsia="黑体"/>
                <w:sz w:val="18"/>
                <w:szCs w:val="18"/>
              </w:rPr>
            </w:pPr>
            <w:r>
              <w:rPr>
                <w:rFonts w:hint="eastAsia" w:ascii="黑体" w:hAnsi="黑体" w:eastAsia="黑体"/>
                <w:sz w:val="18"/>
                <w:szCs w:val="18"/>
              </w:rPr>
              <w:t>聚氨酯面漆</w:t>
            </w:r>
            <w:r>
              <w:rPr>
                <w:rFonts w:ascii="黑体" w:hAnsi="黑体" w:eastAsia="黑体"/>
                <w:sz w:val="18"/>
                <w:szCs w:val="18"/>
              </w:rPr>
              <w:t>/</w:t>
            </w:r>
            <w:r>
              <w:rPr>
                <w:rFonts w:hint="eastAsia" w:ascii="黑体" w:hAnsi="黑体" w:eastAsia="黑体"/>
                <w:sz w:val="18"/>
                <w:szCs w:val="18"/>
              </w:rPr>
              <w:t>氟碳面漆</w:t>
            </w:r>
          </w:p>
        </w:tc>
        <w:tc>
          <w:tcPr>
            <w:tcW w:w="2245" w:type="dxa"/>
            <w:vAlign w:val="center"/>
          </w:tcPr>
          <w:p w14:paraId="4E51D8D3">
            <w:pPr>
              <w:spacing w:line="360" w:lineRule="auto"/>
              <w:rPr>
                <w:rFonts w:ascii="黑体" w:hAnsi="黑体" w:eastAsia="黑体"/>
                <w:sz w:val="18"/>
                <w:szCs w:val="18"/>
              </w:rPr>
            </w:pPr>
            <w:r>
              <w:rPr>
                <w:rFonts w:ascii="黑体" w:hAnsi="黑体" w:eastAsia="黑体"/>
                <w:sz w:val="18"/>
                <w:szCs w:val="18"/>
              </w:rPr>
              <w:t xml:space="preserve">      ---</w:t>
            </w:r>
          </w:p>
        </w:tc>
        <w:tc>
          <w:tcPr>
            <w:tcW w:w="1922" w:type="dxa"/>
            <w:vAlign w:val="center"/>
          </w:tcPr>
          <w:p w14:paraId="4E95D33A">
            <w:pPr>
              <w:spacing w:line="360" w:lineRule="auto"/>
              <w:jc w:val="center"/>
              <w:rPr>
                <w:rFonts w:ascii="黑体" w:hAnsi="黑体" w:eastAsia="黑体"/>
                <w:sz w:val="18"/>
                <w:szCs w:val="18"/>
              </w:rPr>
            </w:pPr>
            <w:r>
              <w:rPr>
                <w:rFonts w:ascii="黑体" w:hAnsi="黑体" w:eastAsia="黑体"/>
                <w:sz w:val="18"/>
                <w:szCs w:val="18"/>
              </w:rPr>
              <w:t>80</w:t>
            </w:r>
            <w:r>
              <w:rPr>
                <w:rFonts w:hint="eastAsia" w:ascii="黑体" w:hAnsi="黑体" w:eastAsia="黑体"/>
                <w:sz w:val="18"/>
                <w:szCs w:val="18"/>
              </w:rPr>
              <w:t>（</w:t>
            </w:r>
            <w:r>
              <w:rPr>
                <w:rFonts w:ascii="黑体" w:hAnsi="黑体" w:eastAsia="黑体"/>
                <w:sz w:val="18"/>
                <w:szCs w:val="18"/>
              </w:rPr>
              <w:t>2</w:t>
            </w:r>
            <w:r>
              <w:rPr>
                <w:rFonts w:hint="eastAsia" w:ascii="黑体" w:hAnsi="黑体" w:eastAsia="黑体"/>
                <w:sz w:val="18"/>
                <w:szCs w:val="18"/>
              </w:rPr>
              <w:t>遍）</w:t>
            </w:r>
          </w:p>
        </w:tc>
      </w:tr>
    </w:tbl>
    <w:p w14:paraId="0813B7E0">
      <w:pPr>
        <w:pStyle w:val="112"/>
        <w:numPr>
          <w:ilvl w:val="0"/>
          <w:numId w:val="0"/>
        </w:numPr>
      </w:pPr>
    </w:p>
    <w:p w14:paraId="5C20149F">
      <w:pPr>
        <w:pStyle w:val="119"/>
      </w:pPr>
      <w:bookmarkStart w:id="68" w:name="_Toc136947145"/>
      <w:bookmarkEnd w:id="68"/>
      <w:bookmarkStart w:id="69" w:name="_Toc136947066"/>
      <w:bookmarkEnd w:id="69"/>
      <w:bookmarkStart w:id="70" w:name="_Toc136947065"/>
      <w:bookmarkEnd w:id="70"/>
      <w:bookmarkStart w:id="71" w:name="_Toc136956852"/>
      <w:bookmarkEnd w:id="71"/>
      <w:bookmarkStart w:id="72" w:name="_Toc136956854"/>
      <w:bookmarkEnd w:id="72"/>
      <w:bookmarkStart w:id="73" w:name="_Toc136947143"/>
      <w:bookmarkEnd w:id="73"/>
      <w:bookmarkStart w:id="74" w:name="_Toc136956853"/>
      <w:bookmarkEnd w:id="74"/>
      <w:bookmarkStart w:id="75" w:name="_Toc136947144"/>
      <w:bookmarkEnd w:id="75"/>
      <w:bookmarkStart w:id="76" w:name="_Toc136953411"/>
      <w:bookmarkEnd w:id="76"/>
      <w:bookmarkStart w:id="77" w:name="_Toc136953410"/>
      <w:bookmarkEnd w:id="77"/>
      <w:bookmarkStart w:id="78" w:name="_Toc136953412"/>
      <w:bookmarkEnd w:id="78"/>
      <w:bookmarkStart w:id="79" w:name="_Toc136956855"/>
      <w:bookmarkStart w:id="80" w:name="_Toc291153944"/>
      <w:r>
        <w:rPr>
          <w:rFonts w:hint="eastAsia"/>
        </w:rPr>
        <w:t>防火涂装的技术要求</w:t>
      </w:r>
      <w:bookmarkEnd w:id="79"/>
    </w:p>
    <w:p w14:paraId="5515B7B3">
      <w:pPr>
        <w:pStyle w:val="122"/>
        <w:rPr>
          <w:b w:val="0"/>
        </w:rPr>
      </w:pPr>
      <w:r>
        <w:rPr>
          <w:rFonts w:hint="eastAsia"/>
        </w:rPr>
        <w:t>防火要求</w:t>
      </w:r>
    </w:p>
    <w:p w14:paraId="1EAC0379">
      <w:pPr>
        <w:pStyle w:val="51"/>
        <w:numPr>
          <w:ilvl w:val="0"/>
          <w:numId w:val="31"/>
        </w:numPr>
        <w:ind w:left="993" w:hanging="567" w:firstLineChars="0"/>
        <w:rPr>
          <w:rFonts w:ascii="黑体" w:hAnsi="黑体" w:eastAsia="黑体"/>
          <w:b/>
          <w:sz w:val="18"/>
          <w:szCs w:val="18"/>
        </w:rPr>
      </w:pPr>
      <w:r>
        <w:rPr>
          <w:rFonts w:ascii="黑体" w:hAnsi="黑体" w:eastAsia="黑体"/>
          <w:sz w:val="18"/>
          <w:szCs w:val="18"/>
        </w:rPr>
        <w:t>钢结构防火</w:t>
      </w:r>
      <w:r>
        <w:rPr>
          <w:rFonts w:hint="eastAsia" w:ascii="黑体" w:hAnsi="黑体" w:eastAsia="黑体"/>
          <w:sz w:val="18"/>
          <w:szCs w:val="18"/>
        </w:rPr>
        <w:t>涂装的正常使用</w:t>
      </w:r>
      <w:r>
        <w:rPr>
          <w:rFonts w:ascii="黑体" w:hAnsi="黑体" w:eastAsia="黑体"/>
          <w:sz w:val="18"/>
          <w:szCs w:val="18"/>
        </w:rPr>
        <w:t>年限为15年</w:t>
      </w:r>
      <w:r>
        <w:rPr>
          <w:rFonts w:hint="eastAsia" w:ascii="黑体" w:hAnsi="黑体" w:eastAsia="黑体"/>
          <w:sz w:val="18"/>
          <w:szCs w:val="18"/>
        </w:rPr>
        <w:t>。</w:t>
      </w:r>
    </w:p>
    <w:p w14:paraId="64BB7A6A">
      <w:pPr>
        <w:pStyle w:val="51"/>
        <w:numPr>
          <w:ilvl w:val="0"/>
          <w:numId w:val="31"/>
        </w:numPr>
        <w:ind w:left="993" w:hanging="567" w:firstLineChars="0"/>
        <w:rPr>
          <w:bCs/>
          <w:sz w:val="18"/>
          <w:szCs w:val="18"/>
        </w:rPr>
      </w:pPr>
      <w:r>
        <w:rPr>
          <w:rFonts w:hint="eastAsia"/>
          <w:sz w:val="18"/>
          <w:szCs w:val="18"/>
        </w:rPr>
        <w:t>钢结构构件的设计耐火极限应根据建筑的耐火等级，按现行国家标准《建筑设计防火规范》</w:t>
      </w:r>
      <w:r>
        <w:rPr>
          <w:sz w:val="18"/>
          <w:szCs w:val="18"/>
        </w:rPr>
        <w:t>GB 50016的规定确定。柱间支撑的设计耐火极限应与柱相同，楼盖支撑的设计耐火极限应与梁相同，屋盖支撑和系杆的设计耐火极限应与屋顶承重构件相同。</w:t>
      </w:r>
    </w:p>
    <w:tbl>
      <w:tblPr>
        <w:tblStyle w:val="38"/>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701"/>
        <w:gridCol w:w="1701"/>
        <w:gridCol w:w="2268"/>
      </w:tblGrid>
      <w:tr w14:paraId="2344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405" w:type="dxa"/>
            <w:vMerge w:val="restart"/>
          </w:tcPr>
          <w:p w14:paraId="36EDD89F">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构件类型</w:t>
            </w:r>
          </w:p>
        </w:tc>
        <w:tc>
          <w:tcPr>
            <w:tcW w:w="3402" w:type="dxa"/>
            <w:gridSpan w:val="2"/>
          </w:tcPr>
          <w:p w14:paraId="65511ADC">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耐火极限</w:t>
            </w:r>
          </w:p>
        </w:tc>
        <w:tc>
          <w:tcPr>
            <w:tcW w:w="2268" w:type="dxa"/>
            <w:vMerge w:val="restart"/>
          </w:tcPr>
          <w:p w14:paraId="1BEF7EC9">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防火涂料类型</w:t>
            </w:r>
          </w:p>
        </w:tc>
      </w:tr>
      <w:tr w14:paraId="1F90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405" w:type="dxa"/>
            <w:vMerge w:val="continue"/>
          </w:tcPr>
          <w:p w14:paraId="7786B3F0">
            <w:pPr>
              <w:pStyle w:val="32"/>
              <w:spacing w:before="0" w:beforeAutospacing="0" w:after="0" w:afterAutospacing="0" w:line="360" w:lineRule="auto"/>
              <w:rPr>
                <w:rFonts w:ascii="黑体" w:hAnsi="黑体" w:eastAsia="黑体"/>
                <w:spacing w:val="1"/>
                <w:sz w:val="18"/>
                <w:szCs w:val="18"/>
              </w:rPr>
            </w:pPr>
          </w:p>
        </w:tc>
        <w:tc>
          <w:tcPr>
            <w:tcW w:w="1701" w:type="dxa"/>
          </w:tcPr>
          <w:p w14:paraId="6F0DEDBD">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耐火等级一级</w:t>
            </w:r>
          </w:p>
        </w:tc>
        <w:tc>
          <w:tcPr>
            <w:tcW w:w="1701" w:type="dxa"/>
          </w:tcPr>
          <w:p w14:paraId="5F7AFB24">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耐火等级二级</w:t>
            </w:r>
          </w:p>
        </w:tc>
        <w:tc>
          <w:tcPr>
            <w:tcW w:w="2268" w:type="dxa"/>
            <w:vMerge w:val="continue"/>
          </w:tcPr>
          <w:p w14:paraId="537FCC92">
            <w:pPr>
              <w:pStyle w:val="32"/>
              <w:spacing w:before="0" w:beforeAutospacing="0" w:after="0" w:afterAutospacing="0" w:line="360" w:lineRule="auto"/>
              <w:rPr>
                <w:rFonts w:ascii="黑体" w:hAnsi="黑体" w:eastAsia="黑体"/>
                <w:spacing w:val="1"/>
                <w:sz w:val="18"/>
                <w:szCs w:val="18"/>
              </w:rPr>
            </w:pPr>
          </w:p>
        </w:tc>
      </w:tr>
      <w:tr w14:paraId="54CE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405" w:type="dxa"/>
            <w:vAlign w:val="center"/>
          </w:tcPr>
          <w:p w14:paraId="6E0BE31B">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钢管混凝土柱、钢柱</w:t>
            </w:r>
          </w:p>
        </w:tc>
        <w:tc>
          <w:tcPr>
            <w:tcW w:w="1701" w:type="dxa"/>
          </w:tcPr>
          <w:p w14:paraId="637B9145">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3</w:t>
            </w:r>
          </w:p>
        </w:tc>
        <w:tc>
          <w:tcPr>
            <w:tcW w:w="1701" w:type="dxa"/>
          </w:tcPr>
          <w:p w14:paraId="73002F9E">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2.5</w:t>
            </w:r>
          </w:p>
        </w:tc>
        <w:tc>
          <w:tcPr>
            <w:tcW w:w="2268" w:type="dxa"/>
          </w:tcPr>
          <w:p w14:paraId="13237F73">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非膨胀型</w:t>
            </w:r>
          </w:p>
        </w:tc>
      </w:tr>
      <w:tr w14:paraId="41DF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05" w:type="dxa"/>
          </w:tcPr>
          <w:p w14:paraId="6BD057C0">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柱间钢支撑</w:t>
            </w:r>
          </w:p>
        </w:tc>
        <w:tc>
          <w:tcPr>
            <w:tcW w:w="1701" w:type="dxa"/>
          </w:tcPr>
          <w:p w14:paraId="6E828548">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3</w:t>
            </w:r>
          </w:p>
        </w:tc>
        <w:tc>
          <w:tcPr>
            <w:tcW w:w="1701" w:type="dxa"/>
          </w:tcPr>
          <w:p w14:paraId="3FE60DC5">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2.5</w:t>
            </w:r>
          </w:p>
        </w:tc>
        <w:tc>
          <w:tcPr>
            <w:tcW w:w="2268" w:type="dxa"/>
          </w:tcPr>
          <w:p w14:paraId="02975B8B">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非膨胀型</w:t>
            </w:r>
          </w:p>
        </w:tc>
      </w:tr>
      <w:tr w14:paraId="4185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05" w:type="dxa"/>
          </w:tcPr>
          <w:p w14:paraId="71C9DABF">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钢桁架</w:t>
            </w:r>
          </w:p>
        </w:tc>
        <w:tc>
          <w:tcPr>
            <w:tcW w:w="1701" w:type="dxa"/>
          </w:tcPr>
          <w:p w14:paraId="00A5E816">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2</w:t>
            </w:r>
          </w:p>
        </w:tc>
        <w:tc>
          <w:tcPr>
            <w:tcW w:w="1701" w:type="dxa"/>
          </w:tcPr>
          <w:p w14:paraId="6CA4E3D8">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1.5</w:t>
            </w:r>
          </w:p>
        </w:tc>
        <w:tc>
          <w:tcPr>
            <w:tcW w:w="2268" w:type="dxa"/>
          </w:tcPr>
          <w:p w14:paraId="0B7C6E2B">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膨胀型</w:t>
            </w:r>
          </w:p>
        </w:tc>
      </w:tr>
      <w:tr w14:paraId="71A5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05" w:type="dxa"/>
          </w:tcPr>
          <w:p w14:paraId="1442675E">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钢梁、楼面钢支撑</w:t>
            </w:r>
          </w:p>
        </w:tc>
        <w:tc>
          <w:tcPr>
            <w:tcW w:w="1701" w:type="dxa"/>
          </w:tcPr>
          <w:p w14:paraId="4C77E01E">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2</w:t>
            </w:r>
          </w:p>
        </w:tc>
        <w:tc>
          <w:tcPr>
            <w:tcW w:w="1701" w:type="dxa"/>
          </w:tcPr>
          <w:p w14:paraId="2293CDDE">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1.5</w:t>
            </w:r>
          </w:p>
        </w:tc>
        <w:tc>
          <w:tcPr>
            <w:tcW w:w="2268" w:type="dxa"/>
          </w:tcPr>
          <w:p w14:paraId="5B31D977">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膨胀型</w:t>
            </w:r>
          </w:p>
        </w:tc>
      </w:tr>
      <w:tr w14:paraId="38B0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405" w:type="dxa"/>
          </w:tcPr>
          <w:p w14:paraId="070CA42B">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钢楼板，小屋面</w:t>
            </w:r>
          </w:p>
        </w:tc>
        <w:tc>
          <w:tcPr>
            <w:tcW w:w="1701" w:type="dxa"/>
          </w:tcPr>
          <w:p w14:paraId="30A67C5D">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1.5</w:t>
            </w:r>
          </w:p>
        </w:tc>
        <w:tc>
          <w:tcPr>
            <w:tcW w:w="1701" w:type="dxa"/>
          </w:tcPr>
          <w:p w14:paraId="3E18ADC1">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1.0</w:t>
            </w:r>
          </w:p>
        </w:tc>
        <w:tc>
          <w:tcPr>
            <w:tcW w:w="2268" w:type="dxa"/>
          </w:tcPr>
          <w:p w14:paraId="2515AEF9">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膨胀型</w:t>
            </w:r>
          </w:p>
        </w:tc>
      </w:tr>
      <w:tr w14:paraId="390C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05" w:type="dxa"/>
          </w:tcPr>
          <w:p w14:paraId="23962129">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钢楼梯</w:t>
            </w:r>
          </w:p>
        </w:tc>
        <w:tc>
          <w:tcPr>
            <w:tcW w:w="1701" w:type="dxa"/>
          </w:tcPr>
          <w:p w14:paraId="348DEBFE">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1.5</w:t>
            </w:r>
          </w:p>
        </w:tc>
        <w:tc>
          <w:tcPr>
            <w:tcW w:w="1701" w:type="dxa"/>
          </w:tcPr>
          <w:p w14:paraId="6D9DF163">
            <w:pPr>
              <w:pStyle w:val="32"/>
              <w:spacing w:before="0" w:beforeAutospacing="0" w:after="0" w:afterAutospacing="0" w:line="360" w:lineRule="auto"/>
              <w:rPr>
                <w:rFonts w:ascii="黑体" w:hAnsi="黑体" w:eastAsia="黑体"/>
                <w:spacing w:val="1"/>
                <w:sz w:val="18"/>
                <w:szCs w:val="18"/>
              </w:rPr>
            </w:pPr>
            <w:r>
              <w:rPr>
                <w:rFonts w:ascii="黑体" w:hAnsi="黑体" w:eastAsia="黑体"/>
                <w:spacing w:val="1"/>
                <w:sz w:val="18"/>
                <w:szCs w:val="18"/>
              </w:rPr>
              <w:t>1.0</w:t>
            </w:r>
          </w:p>
        </w:tc>
        <w:tc>
          <w:tcPr>
            <w:tcW w:w="2268" w:type="dxa"/>
          </w:tcPr>
          <w:p w14:paraId="5599E1AB">
            <w:pPr>
              <w:pStyle w:val="32"/>
              <w:spacing w:before="0" w:beforeAutospacing="0" w:after="0" w:afterAutospacing="0" w:line="360" w:lineRule="auto"/>
              <w:rPr>
                <w:rFonts w:ascii="黑体" w:hAnsi="黑体" w:eastAsia="黑体"/>
                <w:spacing w:val="1"/>
                <w:sz w:val="18"/>
                <w:szCs w:val="18"/>
              </w:rPr>
            </w:pPr>
            <w:r>
              <w:rPr>
                <w:rFonts w:hint="eastAsia" w:ascii="黑体" w:hAnsi="黑体" w:eastAsia="黑体"/>
                <w:spacing w:val="1"/>
                <w:sz w:val="18"/>
                <w:szCs w:val="18"/>
              </w:rPr>
              <w:t>膨胀型</w:t>
            </w:r>
          </w:p>
        </w:tc>
      </w:tr>
    </w:tbl>
    <w:p w14:paraId="6CA2CB85">
      <w:r>
        <w:rPr>
          <w:rFonts w:hint="eastAsia"/>
        </w:rPr>
        <w:t>注：高端厂房膨胀型防火涂料选用进口品牌超薄型。</w:t>
      </w:r>
    </w:p>
    <w:p w14:paraId="2FC3E2DC">
      <w:pPr>
        <w:pStyle w:val="51"/>
        <w:numPr>
          <w:ilvl w:val="0"/>
          <w:numId w:val="31"/>
        </w:numPr>
        <w:ind w:left="993" w:hanging="567" w:firstLineChars="0"/>
        <w:rPr>
          <w:rStyle w:val="168"/>
          <w:rFonts w:ascii="黑体" w:hAnsi="黑体" w:eastAsia="黑体"/>
          <w:b/>
          <w:bCs/>
          <w:sz w:val="18"/>
          <w:szCs w:val="18"/>
        </w:rPr>
      </w:pPr>
      <w:r>
        <w:rPr>
          <w:rStyle w:val="168"/>
          <w:rFonts w:hint="eastAsia" w:ascii="黑体" w:hAnsi="黑体" w:eastAsia="黑体"/>
          <w:bCs/>
          <w:sz w:val="18"/>
          <w:szCs w:val="18"/>
        </w:rPr>
        <w:t>钢结构节点的防火保护应与被连接构件中防火保护要求最高者相同。</w:t>
      </w:r>
    </w:p>
    <w:p w14:paraId="104FC584">
      <w:pPr>
        <w:pStyle w:val="51"/>
        <w:numPr>
          <w:ilvl w:val="0"/>
          <w:numId w:val="31"/>
        </w:numPr>
        <w:ind w:left="993" w:hanging="567" w:firstLineChars="0"/>
        <w:rPr>
          <w:rStyle w:val="168"/>
          <w:rFonts w:ascii="黑体" w:hAnsi="黑体" w:eastAsia="黑体"/>
          <w:bCs/>
          <w:kern w:val="0"/>
          <w:sz w:val="18"/>
          <w:szCs w:val="18"/>
        </w:rPr>
      </w:pPr>
      <w:r>
        <w:rPr>
          <w:rStyle w:val="168"/>
          <w:rFonts w:hint="eastAsia" w:ascii="黑体" w:hAnsi="黑体" w:eastAsia="黑体"/>
          <w:bCs/>
          <w:kern w:val="0"/>
          <w:sz w:val="18"/>
          <w:szCs w:val="18"/>
        </w:rPr>
        <w:t>一般不需要做防火保护的构件：型钢混凝土中的钢构件、钢筋桁架楼承板、围护结构的檩条、检修马道、露天钢结构。</w:t>
      </w:r>
    </w:p>
    <w:p w14:paraId="31FE00D2">
      <w:pPr>
        <w:pStyle w:val="110"/>
        <w:rPr>
          <w:rStyle w:val="168"/>
          <w:rFonts w:ascii="Times New Roman" w:hAnsi="Times New Roman" w:eastAsia="宋体"/>
          <w:kern w:val="2"/>
          <w:sz w:val="21"/>
          <w:szCs w:val="24"/>
        </w:rPr>
      </w:pPr>
      <w:r>
        <w:rPr>
          <w:rStyle w:val="168"/>
          <w:rFonts w:hint="eastAsia"/>
        </w:rPr>
        <w:t>总则</w:t>
      </w:r>
    </w:p>
    <w:p w14:paraId="2FCAD5B7">
      <w:pPr>
        <w:pStyle w:val="110"/>
        <w:numPr>
          <w:ilvl w:val="0"/>
          <w:numId w:val="0"/>
        </w:numPr>
        <w:ind w:left="989" w:leftChars="202" w:hanging="565" w:hangingChars="314"/>
        <w:rPr>
          <w:rStyle w:val="168"/>
        </w:rPr>
      </w:pPr>
      <w:r>
        <w:rPr>
          <w:rStyle w:val="168"/>
        </w:rPr>
        <w:t xml:space="preserve">1.    </w:t>
      </w:r>
      <w:r>
        <w:rPr>
          <w:rStyle w:val="168"/>
          <w:rFonts w:hint="eastAsia"/>
        </w:rPr>
        <w:t>概要</w:t>
      </w:r>
      <w:r>
        <w:rPr>
          <w:rStyle w:val="168"/>
        </w:rPr>
        <w:t xml:space="preserve"> </w:t>
      </w:r>
    </w:p>
    <w:p w14:paraId="553A7D66">
      <w:pPr>
        <w:pStyle w:val="51"/>
        <w:widowControl/>
        <w:numPr>
          <w:ilvl w:val="0"/>
          <w:numId w:val="32"/>
        </w:numPr>
        <w:adjustRightInd w:val="0"/>
        <w:snapToGrid w:val="0"/>
        <w:spacing w:line="360" w:lineRule="auto"/>
        <w:ind w:left="993" w:hanging="569"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本标准</w:t>
      </w:r>
      <w:r>
        <w:rPr>
          <w:rStyle w:val="168"/>
          <w:rFonts w:ascii="黑体" w:hAnsi="黑体" w:eastAsia="黑体"/>
          <w:bCs/>
          <w:kern w:val="0"/>
          <w:sz w:val="18"/>
          <w:szCs w:val="18"/>
        </w:rPr>
        <w:t>说明</w:t>
      </w:r>
      <w:r>
        <w:rPr>
          <w:rStyle w:val="168"/>
          <w:rFonts w:hint="eastAsia" w:ascii="黑体" w:hAnsi="黑体" w:eastAsia="黑体"/>
          <w:bCs/>
          <w:kern w:val="0"/>
          <w:sz w:val="18"/>
          <w:szCs w:val="18"/>
        </w:rPr>
        <w:t>各种</w:t>
      </w:r>
      <w:r>
        <w:rPr>
          <w:rStyle w:val="168"/>
          <w:rFonts w:ascii="黑体" w:hAnsi="黑体" w:eastAsia="黑体"/>
          <w:bCs/>
          <w:kern w:val="0"/>
          <w:sz w:val="18"/>
          <w:szCs w:val="18"/>
        </w:rPr>
        <w:t>钢结构防火涂料系统的材料、安装、施工及检验等相关规定。</w:t>
      </w:r>
    </w:p>
    <w:p w14:paraId="0743CEB8">
      <w:pPr>
        <w:pStyle w:val="51"/>
        <w:widowControl/>
        <w:numPr>
          <w:ilvl w:val="0"/>
          <w:numId w:val="32"/>
        </w:numPr>
        <w:adjustRightInd w:val="0"/>
        <w:snapToGrid w:val="0"/>
        <w:spacing w:line="360" w:lineRule="auto"/>
        <w:ind w:left="993" w:hanging="569"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钢结构防火涂料系统安装在待保护钢结构上，并通常通过隔热提供局部保护。典型的涂料为非膨胀型和膨胀型涂层。本技术规范</w:t>
      </w:r>
      <w:r>
        <w:rPr>
          <w:rStyle w:val="168"/>
          <w:rFonts w:ascii="黑体" w:hAnsi="黑体" w:eastAsia="黑体"/>
          <w:bCs/>
          <w:kern w:val="0"/>
          <w:sz w:val="18"/>
          <w:szCs w:val="18"/>
        </w:rPr>
        <w:t>提供了建筑钢结构使用</w:t>
      </w:r>
      <w:r>
        <w:rPr>
          <w:rStyle w:val="168"/>
          <w:rFonts w:hint="eastAsia" w:ascii="黑体" w:hAnsi="黑体" w:eastAsia="黑体"/>
          <w:bCs/>
          <w:kern w:val="0"/>
          <w:sz w:val="18"/>
          <w:szCs w:val="18"/>
        </w:rPr>
        <w:t>防火</w:t>
      </w:r>
      <w:r>
        <w:rPr>
          <w:rStyle w:val="168"/>
          <w:rFonts w:ascii="黑体" w:hAnsi="黑体" w:eastAsia="黑体"/>
          <w:bCs/>
          <w:kern w:val="0"/>
          <w:sz w:val="18"/>
          <w:szCs w:val="18"/>
        </w:rPr>
        <w:t>涂层的</w:t>
      </w:r>
      <w:r>
        <w:rPr>
          <w:rStyle w:val="168"/>
          <w:rFonts w:hint="eastAsia" w:ascii="黑体" w:hAnsi="黑体" w:eastAsia="黑体"/>
          <w:bCs/>
          <w:kern w:val="0"/>
          <w:sz w:val="18"/>
          <w:szCs w:val="18"/>
        </w:rPr>
        <w:t>应用</w:t>
      </w:r>
      <w:r>
        <w:rPr>
          <w:rStyle w:val="168"/>
          <w:rFonts w:ascii="黑体" w:hAnsi="黑体" w:eastAsia="黑体"/>
          <w:bCs/>
          <w:kern w:val="0"/>
          <w:sz w:val="18"/>
          <w:szCs w:val="18"/>
        </w:rPr>
        <w:t>指南</w:t>
      </w:r>
      <w:r>
        <w:rPr>
          <w:rStyle w:val="168"/>
          <w:rFonts w:hint="eastAsia" w:ascii="黑体" w:hAnsi="黑体" w:eastAsia="黑体"/>
          <w:bCs/>
          <w:kern w:val="0"/>
          <w:sz w:val="18"/>
          <w:szCs w:val="18"/>
        </w:rPr>
        <w:t>。</w:t>
      </w:r>
    </w:p>
    <w:p w14:paraId="348A8788">
      <w:pPr>
        <w:pStyle w:val="51"/>
        <w:widowControl/>
        <w:numPr>
          <w:ilvl w:val="0"/>
          <w:numId w:val="32"/>
        </w:numPr>
        <w:adjustRightInd w:val="0"/>
        <w:snapToGrid w:val="0"/>
        <w:spacing w:line="360" w:lineRule="auto"/>
        <w:ind w:left="993" w:hanging="569"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本标准适用于新建、改建、扩建工业与民用建筑工程中钢结构构件的防火涂装施工。</w:t>
      </w:r>
    </w:p>
    <w:p w14:paraId="49C1AA45">
      <w:pPr>
        <w:pStyle w:val="51"/>
        <w:widowControl/>
        <w:numPr>
          <w:ilvl w:val="0"/>
          <w:numId w:val="16"/>
        </w:numPr>
        <w:adjustRightInd w:val="0"/>
        <w:snapToGrid w:val="0"/>
        <w:spacing w:line="360" w:lineRule="auto"/>
        <w:ind w:left="993" w:hanging="567" w:firstLineChars="0"/>
        <w:jc w:val="left"/>
        <w:rPr>
          <w:rStyle w:val="168"/>
          <w:rFonts w:ascii="黑体" w:hAnsi="黑体" w:eastAsia="黑体"/>
          <w:kern w:val="0"/>
          <w:sz w:val="18"/>
          <w:szCs w:val="18"/>
        </w:rPr>
      </w:pPr>
      <w:r>
        <w:rPr>
          <w:rStyle w:val="168"/>
          <w:rFonts w:hint="eastAsia" w:ascii="黑体" w:hAnsi="黑体" w:eastAsia="黑体"/>
          <w:kern w:val="0"/>
          <w:sz w:val="18"/>
          <w:szCs w:val="18"/>
        </w:rPr>
        <w:t>符合最新版规范要求，包括但不限于：</w:t>
      </w:r>
    </w:p>
    <w:p w14:paraId="09DA091B">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ascii="黑体" w:hAnsi="黑体" w:eastAsia="黑体"/>
          <w:bCs/>
          <w:kern w:val="0"/>
          <w:sz w:val="18"/>
          <w:szCs w:val="18"/>
        </w:rPr>
        <w:t>《建筑设计防火规范》                     GB50016</w:t>
      </w:r>
    </w:p>
    <w:p w14:paraId="71AD44F6">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ascii="黑体" w:hAnsi="黑体" w:eastAsia="黑体"/>
          <w:bCs/>
          <w:kern w:val="0"/>
          <w:sz w:val="18"/>
          <w:szCs w:val="18"/>
        </w:rPr>
        <w:t xml:space="preserve">《建筑内部装修设计防火规范》             GB 50222 </w:t>
      </w:r>
    </w:p>
    <w:p w14:paraId="345EA3EC">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ascii="黑体" w:hAnsi="黑体" w:eastAsia="黑体"/>
          <w:bCs/>
          <w:kern w:val="0"/>
          <w:sz w:val="18"/>
          <w:szCs w:val="18"/>
        </w:rPr>
        <w:t xml:space="preserve">《电子工业洁净厂房设计规范》             GB 50472 </w:t>
      </w:r>
    </w:p>
    <w:p w14:paraId="58E20338">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hint="eastAsia" w:ascii="黑体" w:hAnsi="黑体" w:eastAsia="黑体"/>
          <w:bCs/>
          <w:kern w:val="0"/>
          <w:sz w:val="18"/>
          <w:szCs w:val="18"/>
        </w:rPr>
        <w:t>《钢结构防火涂料》</w:t>
      </w:r>
      <w:r>
        <w:rPr>
          <w:rStyle w:val="168"/>
          <w:rFonts w:ascii="黑体" w:hAnsi="黑体" w:eastAsia="黑体"/>
          <w:bCs/>
          <w:kern w:val="0"/>
          <w:sz w:val="18"/>
          <w:szCs w:val="18"/>
        </w:rPr>
        <w:t xml:space="preserve">                       GB14907</w:t>
      </w:r>
    </w:p>
    <w:p w14:paraId="3C726726">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hint="eastAsia" w:ascii="黑体" w:hAnsi="黑体" w:eastAsia="黑体"/>
          <w:bCs/>
          <w:kern w:val="0"/>
          <w:sz w:val="18"/>
          <w:szCs w:val="18"/>
        </w:rPr>
        <w:t>《钢结构工程施工质量验收标准》</w:t>
      </w:r>
      <w:r>
        <w:rPr>
          <w:rStyle w:val="168"/>
          <w:rFonts w:ascii="黑体" w:hAnsi="黑体" w:eastAsia="黑体"/>
          <w:bCs/>
          <w:kern w:val="0"/>
          <w:sz w:val="18"/>
          <w:szCs w:val="18"/>
        </w:rPr>
        <w:t xml:space="preserve">           GB 50205</w:t>
      </w:r>
    </w:p>
    <w:p w14:paraId="305C7D0F">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钢结构防火涂料应用技术规程</w:t>
      </w:r>
      <w:r>
        <w:rPr>
          <w:rStyle w:val="168"/>
          <w:rFonts w:hint="eastAsia" w:ascii="黑体" w:hAnsi="黑体" w:eastAsia="黑体"/>
          <w:bCs/>
          <w:kern w:val="0"/>
          <w:sz w:val="18"/>
          <w:szCs w:val="18"/>
        </w:rPr>
        <w:t>》</w:t>
      </w:r>
      <w:r>
        <w:rPr>
          <w:rStyle w:val="168"/>
          <w:rFonts w:ascii="黑体" w:hAnsi="黑体" w:eastAsia="黑体"/>
          <w:bCs/>
          <w:kern w:val="0"/>
          <w:sz w:val="18"/>
          <w:szCs w:val="18"/>
        </w:rPr>
        <w:t xml:space="preserve">           T/CECS 24</w:t>
      </w:r>
    </w:p>
    <w:p w14:paraId="20F8E212">
      <w:pPr>
        <w:adjustRightInd w:val="0"/>
        <w:snapToGrid w:val="0"/>
        <w:spacing w:line="360" w:lineRule="auto"/>
        <w:ind w:left="989" w:leftChars="471" w:firstLine="3" w:firstLineChars="2"/>
        <w:rPr>
          <w:rStyle w:val="168"/>
          <w:rFonts w:ascii="黑体" w:hAnsi="黑体" w:eastAsia="黑体"/>
          <w:bCs/>
          <w:kern w:val="0"/>
          <w:sz w:val="18"/>
          <w:szCs w:val="18"/>
        </w:rPr>
      </w:pPr>
      <w:r>
        <w:rPr>
          <w:rStyle w:val="168"/>
          <w:rFonts w:hint="eastAsia" w:ascii="黑体" w:hAnsi="黑体" w:eastAsia="黑体"/>
          <w:bCs/>
          <w:kern w:val="0"/>
          <w:sz w:val="18"/>
          <w:szCs w:val="18"/>
        </w:rPr>
        <w:t>《建筑钢结构防火技术规范》</w:t>
      </w:r>
      <w:r>
        <w:rPr>
          <w:rStyle w:val="168"/>
          <w:rFonts w:ascii="黑体" w:hAnsi="黑体" w:eastAsia="黑体"/>
          <w:bCs/>
          <w:kern w:val="0"/>
          <w:sz w:val="18"/>
          <w:szCs w:val="18"/>
        </w:rPr>
        <w:t xml:space="preserve">               GB 51249</w:t>
      </w:r>
    </w:p>
    <w:p w14:paraId="7F22BFF3">
      <w:pPr>
        <w:pStyle w:val="51"/>
        <w:widowControl/>
        <w:adjustRightInd w:val="0"/>
        <w:snapToGrid w:val="0"/>
        <w:spacing w:line="360" w:lineRule="auto"/>
        <w:ind w:left="989" w:leftChars="203" w:hanging="563" w:hangingChars="313"/>
        <w:jc w:val="left"/>
        <w:rPr>
          <w:rStyle w:val="168"/>
          <w:rFonts w:ascii="黑体" w:hAnsi="黑体" w:eastAsia="黑体"/>
          <w:kern w:val="0"/>
          <w:sz w:val="18"/>
          <w:szCs w:val="18"/>
        </w:rPr>
      </w:pPr>
      <w:r>
        <w:rPr>
          <w:rStyle w:val="168"/>
          <w:rFonts w:ascii="黑体" w:hAnsi="黑体" w:eastAsia="黑体"/>
          <w:kern w:val="0"/>
          <w:sz w:val="18"/>
          <w:szCs w:val="18"/>
        </w:rPr>
        <w:t>3.     资料送审</w:t>
      </w:r>
    </w:p>
    <w:p w14:paraId="4625ABCD">
      <w:pPr>
        <w:pStyle w:val="51"/>
        <w:widowControl/>
        <w:numPr>
          <w:ilvl w:val="0"/>
          <w:numId w:val="33"/>
        </w:numPr>
        <w:adjustRightInd w:val="0"/>
        <w:snapToGrid w:val="0"/>
        <w:spacing w:line="360" w:lineRule="auto"/>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施工方案及</w:t>
      </w:r>
      <w:r>
        <w:rPr>
          <w:rStyle w:val="168"/>
          <w:rFonts w:ascii="黑体" w:hAnsi="黑体" w:eastAsia="黑体"/>
          <w:bCs/>
          <w:kern w:val="0"/>
          <w:sz w:val="18"/>
          <w:szCs w:val="18"/>
        </w:rPr>
        <w:t>质量管理计划</w:t>
      </w:r>
      <w:r>
        <w:rPr>
          <w:rStyle w:val="168"/>
          <w:rFonts w:hint="eastAsia" w:ascii="黑体" w:hAnsi="黑体" w:eastAsia="黑体"/>
          <w:bCs/>
          <w:kern w:val="0"/>
          <w:sz w:val="18"/>
          <w:szCs w:val="18"/>
        </w:rPr>
        <w:t>：施工单位在防火涂料进场前提供。</w:t>
      </w:r>
    </w:p>
    <w:p w14:paraId="5CB18C6A">
      <w:pPr>
        <w:pStyle w:val="51"/>
        <w:widowControl/>
        <w:numPr>
          <w:ilvl w:val="0"/>
          <w:numId w:val="33"/>
        </w:numPr>
        <w:adjustRightInd w:val="0"/>
        <w:snapToGrid w:val="0"/>
        <w:spacing w:line="360" w:lineRule="auto"/>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 xml:space="preserve">送审资料 </w:t>
      </w:r>
    </w:p>
    <w:p w14:paraId="6BDE1139">
      <w:pPr>
        <w:pStyle w:val="51"/>
        <w:widowControl/>
        <w:numPr>
          <w:ilvl w:val="0"/>
          <w:numId w:val="3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投标文件中应提供以下资料及实物：</w:t>
      </w:r>
      <w:r>
        <w:rPr>
          <w:rStyle w:val="168"/>
          <w:rFonts w:hint="eastAsia" w:ascii="黑体" w:hAnsi="黑体" w:eastAsia="黑体"/>
          <w:bCs/>
          <w:kern w:val="0"/>
          <w:sz w:val="18"/>
          <w:szCs w:val="18"/>
        </w:rPr>
        <w:t>厂家</w:t>
      </w:r>
      <w:r>
        <w:rPr>
          <w:rStyle w:val="168"/>
          <w:rFonts w:ascii="黑体" w:hAnsi="黑体" w:eastAsia="黑体"/>
          <w:bCs/>
          <w:kern w:val="0"/>
          <w:sz w:val="18"/>
          <w:szCs w:val="18"/>
        </w:rPr>
        <w:t>对于每个</w:t>
      </w:r>
      <w:r>
        <w:rPr>
          <w:rStyle w:val="168"/>
          <w:rFonts w:hint="eastAsia" w:ascii="黑体" w:hAnsi="黑体" w:eastAsia="黑体"/>
          <w:bCs/>
          <w:kern w:val="0"/>
          <w:sz w:val="18"/>
          <w:szCs w:val="18"/>
        </w:rPr>
        <w:t>产品的型式检测报告、自愿性认证证书</w:t>
      </w:r>
      <w:r>
        <w:rPr>
          <w:rStyle w:val="168"/>
          <w:rFonts w:ascii="黑体" w:hAnsi="黑体" w:eastAsia="黑体"/>
          <w:bCs/>
          <w:kern w:val="0"/>
          <w:sz w:val="18"/>
          <w:szCs w:val="18"/>
        </w:rPr>
        <w:t>、</w:t>
      </w:r>
      <w:r>
        <w:rPr>
          <w:rStyle w:val="168"/>
          <w:rFonts w:hint="eastAsia" w:ascii="黑体" w:hAnsi="黑体" w:eastAsia="黑体"/>
          <w:bCs/>
          <w:kern w:val="0"/>
          <w:sz w:val="18"/>
          <w:szCs w:val="18"/>
        </w:rPr>
        <w:t>产品</w:t>
      </w:r>
      <w:r>
        <w:rPr>
          <w:rStyle w:val="168"/>
          <w:rFonts w:ascii="黑体" w:hAnsi="黑体" w:eastAsia="黑体"/>
          <w:bCs/>
          <w:kern w:val="0"/>
          <w:sz w:val="18"/>
          <w:szCs w:val="18"/>
        </w:rPr>
        <w:t>技术规格书和</w:t>
      </w:r>
      <w:r>
        <w:rPr>
          <w:rStyle w:val="168"/>
          <w:rFonts w:hint="eastAsia" w:ascii="黑体" w:hAnsi="黑体" w:eastAsia="黑体"/>
          <w:bCs/>
          <w:kern w:val="0"/>
          <w:sz w:val="18"/>
          <w:szCs w:val="18"/>
        </w:rPr>
        <w:t>施工</w:t>
      </w:r>
      <w:r>
        <w:rPr>
          <w:rStyle w:val="168"/>
          <w:rFonts w:ascii="黑体" w:hAnsi="黑体" w:eastAsia="黑体"/>
          <w:bCs/>
          <w:kern w:val="0"/>
          <w:sz w:val="18"/>
          <w:szCs w:val="18"/>
        </w:rPr>
        <w:t xml:space="preserve">指南等，包括响应合同条款的证书和数据。 </w:t>
      </w:r>
    </w:p>
    <w:p w14:paraId="11798E64">
      <w:pPr>
        <w:pStyle w:val="51"/>
        <w:widowControl/>
        <w:numPr>
          <w:ilvl w:val="0"/>
          <w:numId w:val="3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建筑防火涂料产品进入施工现场后，可根据使用的量及场所情况在监理单位或建设单位监督下，由施工单位有关人员现场取样，送至依照产品质量法的规定确定的检验进行见证取样检验。</w:t>
      </w:r>
    </w:p>
    <w:p w14:paraId="23D8C411">
      <w:pPr>
        <w:pStyle w:val="51"/>
        <w:widowControl/>
        <w:numPr>
          <w:ilvl w:val="0"/>
          <w:numId w:val="3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各种建筑防火涂料的施工应严格按照涂料生产厂家的施工工艺进行。生产厂家在施工前提供必要的工艺培训。</w:t>
      </w:r>
    </w:p>
    <w:p w14:paraId="5D3F61CE">
      <w:pPr>
        <w:pStyle w:val="51"/>
        <w:widowControl/>
        <w:numPr>
          <w:ilvl w:val="0"/>
          <w:numId w:val="3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防火涂料进场前</w:t>
      </w:r>
      <w:r>
        <w:rPr>
          <w:rStyle w:val="168"/>
          <w:rFonts w:ascii="黑体" w:hAnsi="黑体" w:eastAsia="黑体"/>
          <w:bCs/>
          <w:kern w:val="0"/>
          <w:sz w:val="18"/>
          <w:szCs w:val="18"/>
        </w:rPr>
        <w:t xml:space="preserve">应提供以下资料： </w:t>
      </w:r>
    </w:p>
    <w:p w14:paraId="25CD33A8">
      <w:pPr>
        <w:pStyle w:val="51"/>
        <w:widowControl/>
        <w:adjustRightInd w:val="0"/>
        <w:snapToGrid w:val="0"/>
        <w:spacing w:line="360" w:lineRule="auto"/>
        <w:ind w:left="991" w:leftChars="472" w:firstLine="0" w:firstLineChars="0"/>
        <w:jc w:val="left"/>
        <w:rPr>
          <w:rStyle w:val="168"/>
          <w:rFonts w:ascii="黑体" w:hAnsi="黑体" w:eastAsia="黑体"/>
          <w:bCs/>
          <w:kern w:val="0"/>
          <w:sz w:val="18"/>
          <w:szCs w:val="18"/>
        </w:rPr>
      </w:pPr>
      <w:r>
        <w:rPr>
          <w:rStyle w:val="168"/>
          <w:rFonts w:ascii="黑体" w:hAnsi="黑体" w:eastAsia="黑体"/>
          <w:bCs/>
          <w:kern w:val="0"/>
          <w:sz w:val="18"/>
          <w:szCs w:val="18"/>
        </w:rPr>
        <w:t xml:space="preserve">测试报告，证明本项目所用产品的样品经过全面测试后，满足膨胀型钢结构防火涂料的要求。测试应由国家认可的有关部门进行。 </w:t>
      </w:r>
    </w:p>
    <w:p w14:paraId="7F515B3B">
      <w:pPr>
        <w:pStyle w:val="51"/>
        <w:widowControl/>
        <w:adjustRightInd w:val="0"/>
        <w:snapToGrid w:val="0"/>
        <w:spacing w:line="360" w:lineRule="auto"/>
        <w:ind w:left="991" w:leftChars="472" w:firstLine="0"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施工指南</w:t>
      </w:r>
      <w:r>
        <w:rPr>
          <w:rStyle w:val="168"/>
          <w:rFonts w:ascii="黑体" w:hAnsi="黑体" w:eastAsia="黑体"/>
          <w:bCs/>
          <w:kern w:val="0"/>
          <w:sz w:val="18"/>
          <w:szCs w:val="18"/>
        </w:rPr>
        <w:t>——应提供施工方法的所有相关信息，包括</w:t>
      </w:r>
      <w:r>
        <w:rPr>
          <w:rStyle w:val="168"/>
          <w:rFonts w:hint="eastAsia" w:ascii="黑体" w:hAnsi="黑体" w:eastAsia="黑体"/>
          <w:bCs/>
          <w:kern w:val="0"/>
          <w:sz w:val="18"/>
          <w:szCs w:val="18"/>
        </w:rPr>
        <w:t>施工方式</w:t>
      </w:r>
      <w:r>
        <w:rPr>
          <w:rStyle w:val="168"/>
          <w:rFonts w:ascii="黑体" w:hAnsi="黑体" w:eastAsia="黑体"/>
          <w:bCs/>
          <w:kern w:val="0"/>
          <w:sz w:val="18"/>
          <w:szCs w:val="18"/>
        </w:rPr>
        <w:t>、施工用机具及器材</w:t>
      </w:r>
      <w:r>
        <w:rPr>
          <w:rStyle w:val="168"/>
          <w:rFonts w:hint="eastAsia" w:ascii="黑体" w:hAnsi="黑体" w:eastAsia="黑体"/>
          <w:bCs/>
          <w:kern w:val="0"/>
          <w:sz w:val="18"/>
          <w:szCs w:val="18"/>
        </w:rPr>
        <w:t>、</w:t>
      </w:r>
      <w:r>
        <w:rPr>
          <w:rStyle w:val="168"/>
          <w:rFonts w:ascii="黑体" w:hAnsi="黑体" w:eastAsia="黑体"/>
          <w:bCs/>
          <w:kern w:val="0"/>
          <w:sz w:val="18"/>
          <w:szCs w:val="18"/>
        </w:rPr>
        <w:t>与其他工程和材料</w:t>
      </w:r>
      <w:r>
        <w:rPr>
          <w:rStyle w:val="168"/>
          <w:rFonts w:hint="eastAsia" w:ascii="黑体" w:hAnsi="黑体" w:eastAsia="黑体"/>
          <w:bCs/>
          <w:kern w:val="0"/>
          <w:sz w:val="18"/>
          <w:szCs w:val="18"/>
        </w:rPr>
        <w:t>交叉施工的</w:t>
      </w:r>
      <w:r>
        <w:rPr>
          <w:rStyle w:val="168"/>
          <w:rFonts w:ascii="黑体" w:hAnsi="黑体" w:eastAsia="黑体"/>
          <w:bCs/>
          <w:kern w:val="0"/>
          <w:sz w:val="18"/>
          <w:szCs w:val="18"/>
        </w:rPr>
        <w:t xml:space="preserve">所有特殊条件。 </w:t>
      </w:r>
    </w:p>
    <w:p w14:paraId="5E08FAE8">
      <w:pPr>
        <w:pStyle w:val="51"/>
        <w:widowControl/>
        <w:adjustRightInd w:val="0"/>
        <w:snapToGrid w:val="0"/>
        <w:spacing w:line="360" w:lineRule="auto"/>
        <w:ind w:left="991" w:leftChars="472" w:firstLine="0"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建筑防火涂料的施工必须按照防火设计要求进行。提供</w:t>
      </w:r>
      <w:r>
        <w:rPr>
          <w:rStyle w:val="168"/>
          <w:rFonts w:ascii="黑体" w:hAnsi="黑体" w:eastAsia="黑体"/>
          <w:bCs/>
          <w:kern w:val="0"/>
          <w:sz w:val="18"/>
          <w:szCs w:val="18"/>
        </w:rPr>
        <w:t>产品</w:t>
      </w:r>
      <w:r>
        <w:rPr>
          <w:rStyle w:val="168"/>
          <w:rFonts w:hint="eastAsia" w:ascii="黑体" w:hAnsi="黑体" w:eastAsia="黑体"/>
          <w:bCs/>
          <w:kern w:val="0"/>
          <w:sz w:val="18"/>
          <w:szCs w:val="18"/>
        </w:rPr>
        <w:t>应用厚度及用量等</w:t>
      </w:r>
      <w:r>
        <w:rPr>
          <w:rStyle w:val="168"/>
          <w:rFonts w:ascii="黑体" w:hAnsi="黑体" w:eastAsia="黑体"/>
          <w:bCs/>
          <w:kern w:val="0"/>
          <w:sz w:val="18"/>
          <w:szCs w:val="18"/>
        </w:rPr>
        <w:t xml:space="preserve">数据。 </w:t>
      </w:r>
    </w:p>
    <w:p w14:paraId="668ED9AC">
      <w:pPr>
        <w:pStyle w:val="51"/>
        <w:widowControl/>
        <w:adjustRightInd w:val="0"/>
        <w:snapToGrid w:val="0"/>
        <w:spacing w:line="360" w:lineRule="auto"/>
        <w:ind w:left="991" w:leftChars="472" w:firstLine="0" w:firstLineChars="0"/>
        <w:jc w:val="left"/>
        <w:rPr>
          <w:rStyle w:val="168"/>
          <w:rFonts w:ascii="黑体" w:hAnsi="黑体" w:eastAsia="黑体"/>
          <w:bCs/>
          <w:kern w:val="0"/>
          <w:sz w:val="18"/>
          <w:szCs w:val="18"/>
        </w:rPr>
      </w:pPr>
      <w:r>
        <w:rPr>
          <w:rStyle w:val="168"/>
          <w:rFonts w:ascii="黑体" w:hAnsi="黑体" w:eastAsia="黑体"/>
          <w:bCs/>
          <w:kern w:val="0"/>
          <w:sz w:val="18"/>
          <w:szCs w:val="18"/>
        </w:rPr>
        <w:t>质量保证：提供书面保证，统一修理或替换不满足耐</w:t>
      </w:r>
      <w:r>
        <w:rPr>
          <w:rStyle w:val="168"/>
          <w:rFonts w:hint="eastAsia" w:ascii="黑体" w:hAnsi="黑体" w:eastAsia="黑体"/>
          <w:bCs/>
          <w:kern w:val="0"/>
          <w:sz w:val="18"/>
          <w:szCs w:val="18"/>
        </w:rPr>
        <w:t>久</w:t>
      </w:r>
      <w:r>
        <w:rPr>
          <w:rStyle w:val="168"/>
          <w:rFonts w:ascii="黑体" w:hAnsi="黑体" w:eastAsia="黑体"/>
          <w:bCs/>
          <w:kern w:val="0"/>
          <w:sz w:val="18"/>
          <w:szCs w:val="18"/>
        </w:rPr>
        <w:t xml:space="preserve">性要求或有其他性能缺陷的产品。 </w:t>
      </w:r>
    </w:p>
    <w:p w14:paraId="4E17E0BF">
      <w:pPr>
        <w:pStyle w:val="51"/>
        <w:widowControl/>
        <w:adjustRightInd w:val="0"/>
        <w:snapToGrid w:val="0"/>
        <w:spacing w:line="360" w:lineRule="auto"/>
        <w:ind w:left="991" w:leftChars="472" w:firstLine="0"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小</w:t>
      </w:r>
      <w:r>
        <w:rPr>
          <w:rStyle w:val="168"/>
          <w:rFonts w:ascii="黑体" w:hAnsi="黑体" w:eastAsia="黑体"/>
          <w:bCs/>
          <w:kern w:val="0"/>
          <w:sz w:val="18"/>
          <w:szCs w:val="18"/>
        </w:rPr>
        <w:t>样品 :各类膨胀型钢结构防火涂料及其它配件，</w:t>
      </w:r>
      <w:r>
        <w:rPr>
          <w:rStyle w:val="168"/>
          <w:rFonts w:hint="eastAsia" w:ascii="黑体" w:hAnsi="黑体" w:eastAsia="黑体"/>
          <w:bCs/>
          <w:kern w:val="0"/>
          <w:sz w:val="18"/>
          <w:szCs w:val="18"/>
        </w:rPr>
        <w:t>项目所需的不同规格的</w:t>
      </w:r>
      <w:r>
        <w:rPr>
          <w:rStyle w:val="168"/>
          <w:rFonts w:ascii="黑体" w:hAnsi="黑体" w:eastAsia="黑体"/>
          <w:bCs/>
          <w:kern w:val="0"/>
          <w:sz w:val="18"/>
          <w:szCs w:val="18"/>
        </w:rPr>
        <w:t>实际产品</w:t>
      </w:r>
      <w:r>
        <w:rPr>
          <w:rStyle w:val="168"/>
          <w:rFonts w:hint="eastAsia" w:ascii="黑体" w:hAnsi="黑体" w:eastAsia="黑体"/>
          <w:bCs/>
          <w:kern w:val="0"/>
          <w:sz w:val="18"/>
          <w:szCs w:val="18"/>
        </w:rPr>
        <w:t>样板</w:t>
      </w:r>
      <w:r>
        <w:rPr>
          <w:rStyle w:val="168"/>
          <w:rFonts w:ascii="黑体" w:hAnsi="黑体" w:eastAsia="黑体"/>
          <w:bCs/>
          <w:kern w:val="0"/>
          <w:sz w:val="18"/>
          <w:szCs w:val="18"/>
        </w:rPr>
        <w:t>各1 份，且能显示其</w:t>
      </w:r>
      <w:r>
        <w:rPr>
          <w:rStyle w:val="168"/>
          <w:rFonts w:hint="eastAsia" w:ascii="黑体" w:hAnsi="黑体" w:eastAsia="黑体"/>
          <w:bCs/>
          <w:kern w:val="0"/>
          <w:sz w:val="18"/>
          <w:szCs w:val="18"/>
        </w:rPr>
        <w:t>涂层体系，外观</w:t>
      </w:r>
      <w:r>
        <w:rPr>
          <w:rStyle w:val="168"/>
          <w:rFonts w:ascii="黑体" w:hAnsi="黑体" w:eastAsia="黑体"/>
          <w:bCs/>
          <w:kern w:val="0"/>
          <w:sz w:val="18"/>
          <w:szCs w:val="18"/>
        </w:rPr>
        <w:t xml:space="preserve">及颜色。 </w:t>
      </w:r>
    </w:p>
    <w:p w14:paraId="306B299E">
      <w:pPr>
        <w:pStyle w:val="51"/>
        <w:widowControl/>
        <w:numPr>
          <w:ilvl w:val="0"/>
          <w:numId w:val="33"/>
        </w:numPr>
        <w:adjustRightInd w:val="0"/>
        <w:snapToGrid w:val="0"/>
        <w:spacing w:line="360" w:lineRule="auto"/>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工艺样板：</w:t>
      </w:r>
      <w:r>
        <w:rPr>
          <w:rStyle w:val="168"/>
          <w:rFonts w:ascii="黑体" w:hAnsi="黑体" w:eastAsia="黑体"/>
          <w:bCs/>
          <w:kern w:val="0"/>
          <w:sz w:val="18"/>
          <w:szCs w:val="18"/>
        </w:rPr>
        <w:t>膨胀型钢结构防火涂料产品</w:t>
      </w:r>
      <w:r>
        <w:rPr>
          <w:rStyle w:val="168"/>
          <w:rFonts w:hint="eastAsia" w:ascii="黑体" w:hAnsi="黑体" w:eastAsia="黑体"/>
          <w:bCs/>
          <w:kern w:val="0"/>
          <w:sz w:val="18"/>
          <w:szCs w:val="18"/>
        </w:rPr>
        <w:t>，</w:t>
      </w:r>
      <w:r>
        <w:rPr>
          <w:rStyle w:val="168"/>
          <w:rFonts w:ascii="黑体" w:hAnsi="黑体" w:eastAsia="黑体"/>
          <w:bCs/>
          <w:kern w:val="0"/>
          <w:sz w:val="18"/>
          <w:szCs w:val="18"/>
        </w:rPr>
        <w:t>除另有规定外</w:t>
      </w:r>
      <w:r>
        <w:rPr>
          <w:rStyle w:val="168"/>
          <w:rFonts w:hint="eastAsia" w:ascii="黑体" w:hAnsi="黑体" w:eastAsia="黑体"/>
          <w:bCs/>
          <w:kern w:val="0"/>
          <w:sz w:val="18"/>
          <w:szCs w:val="18"/>
        </w:rPr>
        <w:t>，</w:t>
      </w:r>
      <w:r>
        <w:rPr>
          <w:rStyle w:val="168"/>
          <w:rFonts w:ascii="黑体" w:hAnsi="黑体" w:eastAsia="黑体"/>
          <w:bCs/>
          <w:kern w:val="0"/>
          <w:sz w:val="18"/>
          <w:szCs w:val="18"/>
        </w:rPr>
        <w:t>需要求承包商</w:t>
      </w:r>
      <w:r>
        <w:rPr>
          <w:rStyle w:val="168"/>
          <w:rFonts w:hint="eastAsia" w:ascii="黑体" w:hAnsi="黑体" w:eastAsia="黑体"/>
          <w:bCs/>
          <w:kern w:val="0"/>
          <w:sz w:val="18"/>
          <w:szCs w:val="18"/>
        </w:rPr>
        <w:t>现场</w:t>
      </w:r>
      <w:r>
        <w:rPr>
          <w:rStyle w:val="168"/>
          <w:rFonts w:ascii="黑体" w:hAnsi="黑体" w:eastAsia="黑体"/>
          <w:bCs/>
          <w:kern w:val="0"/>
          <w:sz w:val="18"/>
          <w:szCs w:val="18"/>
        </w:rPr>
        <w:t>制作</w:t>
      </w:r>
      <w:r>
        <w:rPr>
          <w:rStyle w:val="168"/>
          <w:rFonts w:hint="eastAsia" w:ascii="黑体" w:hAnsi="黑体" w:eastAsia="黑体"/>
          <w:bCs/>
          <w:kern w:val="0"/>
          <w:sz w:val="18"/>
          <w:szCs w:val="18"/>
        </w:rPr>
        <w:t>工艺样板</w:t>
      </w:r>
      <w:r>
        <w:rPr>
          <w:rStyle w:val="168"/>
          <w:rFonts w:ascii="黑体" w:hAnsi="黑体" w:eastAsia="黑体"/>
          <w:bCs/>
          <w:kern w:val="0"/>
          <w:sz w:val="18"/>
          <w:szCs w:val="18"/>
        </w:rPr>
        <w:t>，经</w:t>
      </w:r>
      <w:r>
        <w:rPr>
          <w:rStyle w:val="168"/>
          <w:rFonts w:hint="eastAsia" w:ascii="黑体" w:hAnsi="黑体" w:eastAsia="黑体"/>
          <w:bCs/>
          <w:kern w:val="0"/>
          <w:sz w:val="18"/>
          <w:szCs w:val="18"/>
        </w:rPr>
        <w:t>业主组织审</w:t>
      </w:r>
      <w:r>
        <w:rPr>
          <w:rStyle w:val="168"/>
          <w:rFonts w:ascii="黑体" w:hAnsi="黑体" w:eastAsia="黑体"/>
          <w:bCs/>
          <w:kern w:val="0"/>
          <w:sz w:val="18"/>
          <w:szCs w:val="18"/>
        </w:rPr>
        <w:t>核可后方</w:t>
      </w:r>
      <w:r>
        <w:rPr>
          <w:rStyle w:val="168"/>
          <w:rFonts w:hint="eastAsia" w:ascii="黑体" w:hAnsi="黑体" w:eastAsia="黑体"/>
          <w:bCs/>
          <w:kern w:val="0"/>
          <w:sz w:val="18"/>
          <w:szCs w:val="18"/>
        </w:rPr>
        <w:t>可大量施工</w:t>
      </w:r>
      <w:r>
        <w:rPr>
          <w:rStyle w:val="168"/>
          <w:rFonts w:ascii="黑体" w:hAnsi="黑体" w:eastAsia="黑体"/>
          <w:bCs/>
          <w:kern w:val="0"/>
          <w:sz w:val="18"/>
          <w:szCs w:val="18"/>
        </w:rPr>
        <w:t xml:space="preserve">。  </w:t>
      </w:r>
    </w:p>
    <w:p w14:paraId="34C049C4">
      <w:pPr>
        <w:widowControl/>
        <w:adjustRightInd w:val="0"/>
        <w:snapToGrid w:val="0"/>
        <w:spacing w:line="360" w:lineRule="auto"/>
        <w:ind w:left="989" w:leftChars="202" w:hanging="565" w:hangingChars="314"/>
        <w:jc w:val="left"/>
        <w:rPr>
          <w:rStyle w:val="168"/>
          <w:rFonts w:ascii="黑体" w:hAnsi="黑体" w:eastAsia="黑体"/>
          <w:kern w:val="0"/>
          <w:sz w:val="18"/>
          <w:szCs w:val="18"/>
        </w:rPr>
      </w:pPr>
      <w:r>
        <w:rPr>
          <w:rStyle w:val="168"/>
          <w:rFonts w:hint="eastAsia" w:ascii="黑体" w:hAnsi="黑体" w:eastAsia="黑体"/>
          <w:kern w:val="0"/>
          <w:sz w:val="18"/>
          <w:szCs w:val="18"/>
        </w:rPr>
        <w:t>4</w:t>
      </w:r>
      <w:r>
        <w:rPr>
          <w:rStyle w:val="168"/>
          <w:rFonts w:ascii="黑体" w:hAnsi="黑体" w:eastAsia="黑体"/>
          <w:kern w:val="0"/>
          <w:sz w:val="18"/>
          <w:szCs w:val="18"/>
        </w:rPr>
        <w:t xml:space="preserve">.    运送、储存及处理 </w:t>
      </w:r>
    </w:p>
    <w:p w14:paraId="72C220C9">
      <w:pPr>
        <w:pStyle w:val="51"/>
        <w:widowControl/>
        <w:adjustRightInd w:val="0"/>
        <w:snapToGrid w:val="0"/>
        <w:spacing w:line="360" w:lineRule="auto"/>
        <w:ind w:left="993" w:firstLine="0"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涂料进场检验合格后，应存放在受监理监管的专用场地或者仓库。取用需登记手续。</w:t>
      </w:r>
    </w:p>
    <w:p w14:paraId="189888D9">
      <w:pPr>
        <w:pStyle w:val="51"/>
        <w:widowControl/>
        <w:adjustRightInd w:val="0"/>
        <w:snapToGrid w:val="0"/>
        <w:spacing w:line="360" w:lineRule="auto"/>
        <w:ind w:left="993" w:firstLine="0" w:firstLineChars="0"/>
        <w:jc w:val="left"/>
        <w:rPr>
          <w:rStyle w:val="168"/>
          <w:rFonts w:ascii="黑体" w:hAnsi="黑体" w:eastAsia="黑体"/>
          <w:bCs/>
          <w:kern w:val="0"/>
          <w:sz w:val="18"/>
          <w:szCs w:val="18"/>
        </w:rPr>
      </w:pPr>
      <w:r>
        <w:rPr>
          <w:rStyle w:val="168"/>
          <w:rFonts w:ascii="黑体" w:hAnsi="黑体" w:eastAsia="黑体"/>
          <w:bCs/>
          <w:kern w:val="0"/>
          <w:sz w:val="18"/>
          <w:szCs w:val="18"/>
        </w:rPr>
        <w:t>运送至现场的产品应完好无缺，搬运时应防雨</w:t>
      </w:r>
      <w:r>
        <w:rPr>
          <w:rStyle w:val="168"/>
          <w:rFonts w:hint="eastAsia" w:ascii="黑体" w:hAnsi="黑体" w:eastAsia="黑体"/>
          <w:bCs/>
          <w:kern w:val="0"/>
          <w:sz w:val="18"/>
          <w:szCs w:val="18"/>
        </w:rPr>
        <w:t>淋湿</w:t>
      </w:r>
      <w:r>
        <w:rPr>
          <w:rStyle w:val="168"/>
          <w:rFonts w:ascii="黑体" w:hAnsi="黑体" w:eastAsia="黑体"/>
          <w:bCs/>
          <w:kern w:val="0"/>
          <w:sz w:val="18"/>
          <w:szCs w:val="18"/>
        </w:rPr>
        <w:t>及碰撞、刮伤等机械损伤。</w:t>
      </w:r>
    </w:p>
    <w:p w14:paraId="74624B1F">
      <w:pPr>
        <w:pStyle w:val="51"/>
        <w:widowControl/>
        <w:adjustRightInd w:val="0"/>
        <w:snapToGrid w:val="0"/>
        <w:spacing w:line="360" w:lineRule="auto"/>
        <w:ind w:left="993" w:firstLine="0" w:firstLineChars="0"/>
        <w:jc w:val="left"/>
        <w:rPr>
          <w:rStyle w:val="168"/>
          <w:rFonts w:ascii="黑体" w:hAnsi="黑体" w:eastAsia="黑体"/>
          <w:bCs/>
          <w:kern w:val="0"/>
          <w:sz w:val="18"/>
          <w:szCs w:val="18"/>
        </w:rPr>
      </w:pPr>
      <w:r>
        <w:rPr>
          <w:rStyle w:val="168"/>
          <w:rFonts w:ascii="黑体" w:hAnsi="黑体" w:eastAsia="黑体"/>
          <w:bCs/>
          <w:kern w:val="0"/>
          <w:sz w:val="18"/>
          <w:szCs w:val="18"/>
        </w:rPr>
        <w:t>产品储存时应保持干燥，并与地面、土壤隔离。</w:t>
      </w:r>
    </w:p>
    <w:p w14:paraId="5C2C0DF4">
      <w:pPr>
        <w:pStyle w:val="51"/>
        <w:widowControl/>
        <w:adjustRightInd w:val="0"/>
        <w:snapToGrid w:val="0"/>
        <w:spacing w:line="360" w:lineRule="auto"/>
        <w:ind w:left="993" w:firstLine="0" w:firstLineChars="0"/>
        <w:jc w:val="left"/>
        <w:rPr>
          <w:rStyle w:val="168"/>
          <w:rFonts w:ascii="黑体" w:hAnsi="黑体" w:eastAsia="黑体"/>
          <w:bCs/>
          <w:kern w:val="0"/>
          <w:sz w:val="18"/>
          <w:szCs w:val="18"/>
        </w:rPr>
      </w:pPr>
      <w:r>
        <w:rPr>
          <w:rStyle w:val="168"/>
          <w:rFonts w:ascii="黑体" w:hAnsi="黑体" w:eastAsia="黑体"/>
          <w:bCs/>
          <w:kern w:val="0"/>
          <w:sz w:val="18"/>
          <w:szCs w:val="18"/>
        </w:rPr>
        <w:t>储存时应避免外来的损坏或干扰。已损坏的物品应贴上明显标志，并搬出作业场地。</w:t>
      </w:r>
    </w:p>
    <w:p w14:paraId="49A07CC6">
      <w:pPr>
        <w:pStyle w:val="51"/>
        <w:widowControl/>
        <w:numPr>
          <w:ilvl w:val="0"/>
          <w:numId w:val="35"/>
        </w:numPr>
        <w:adjustRightInd w:val="0"/>
        <w:snapToGrid w:val="0"/>
        <w:spacing w:line="360" w:lineRule="auto"/>
        <w:ind w:firstLineChars="0"/>
        <w:jc w:val="left"/>
        <w:rPr>
          <w:rStyle w:val="168"/>
          <w:rFonts w:ascii="黑体" w:hAnsi="黑体" w:eastAsia="黑体"/>
          <w:kern w:val="0"/>
          <w:sz w:val="18"/>
          <w:szCs w:val="18"/>
        </w:rPr>
      </w:pPr>
      <w:r>
        <w:rPr>
          <w:rStyle w:val="168"/>
          <w:rFonts w:hint="eastAsia" w:ascii="黑体" w:hAnsi="黑体" w:eastAsia="黑体"/>
          <w:kern w:val="0"/>
          <w:sz w:val="18"/>
          <w:szCs w:val="18"/>
        </w:rPr>
        <w:t xml:space="preserve"> </w:t>
      </w:r>
      <w:r>
        <w:rPr>
          <w:rStyle w:val="168"/>
          <w:rFonts w:ascii="黑体" w:hAnsi="黑体" w:eastAsia="黑体"/>
          <w:kern w:val="0"/>
          <w:sz w:val="18"/>
          <w:szCs w:val="18"/>
        </w:rPr>
        <w:t xml:space="preserve"> 工厂检查 </w:t>
      </w:r>
    </w:p>
    <w:p w14:paraId="70B242C2">
      <w:pPr>
        <w:pStyle w:val="51"/>
        <w:adjustRightInd w:val="0"/>
        <w:snapToGrid w:val="0"/>
        <w:spacing w:line="360" w:lineRule="auto"/>
        <w:ind w:firstLine="900" w:firstLineChars="500"/>
        <w:rPr>
          <w:rStyle w:val="168"/>
          <w:rFonts w:ascii="黑体" w:hAnsi="黑体" w:eastAsia="黑体"/>
          <w:bCs/>
          <w:kern w:val="0"/>
          <w:sz w:val="18"/>
          <w:szCs w:val="18"/>
        </w:rPr>
      </w:pPr>
      <w:r>
        <w:rPr>
          <w:rStyle w:val="168"/>
          <w:rFonts w:ascii="黑体" w:hAnsi="黑体" w:eastAsia="黑体"/>
          <w:bCs/>
          <w:kern w:val="0"/>
          <w:sz w:val="18"/>
          <w:szCs w:val="18"/>
        </w:rPr>
        <w:t>在</w:t>
      </w:r>
      <w:r>
        <w:rPr>
          <w:rStyle w:val="168"/>
          <w:rFonts w:hint="eastAsia" w:ascii="黑体" w:hAnsi="黑体" w:eastAsia="黑体"/>
          <w:bCs/>
          <w:kern w:val="0"/>
          <w:sz w:val="18"/>
          <w:szCs w:val="18"/>
        </w:rPr>
        <w:t>涂料施工阶段业主及</w:t>
      </w:r>
      <w:r>
        <w:rPr>
          <w:rStyle w:val="168"/>
          <w:rFonts w:ascii="黑体" w:hAnsi="黑体" w:eastAsia="黑体"/>
          <w:bCs/>
          <w:kern w:val="0"/>
          <w:sz w:val="18"/>
          <w:szCs w:val="18"/>
        </w:rPr>
        <w:t>总包方有权随时可以参观</w:t>
      </w:r>
      <w:r>
        <w:rPr>
          <w:rStyle w:val="168"/>
          <w:rFonts w:hint="eastAsia" w:ascii="黑体" w:hAnsi="黑体" w:eastAsia="黑体"/>
          <w:bCs/>
          <w:kern w:val="0"/>
          <w:sz w:val="18"/>
          <w:szCs w:val="18"/>
        </w:rPr>
        <w:t>供应商</w:t>
      </w:r>
      <w:r>
        <w:rPr>
          <w:rStyle w:val="168"/>
          <w:rFonts w:ascii="黑体" w:hAnsi="黑体" w:eastAsia="黑体"/>
          <w:bCs/>
          <w:kern w:val="0"/>
          <w:sz w:val="18"/>
          <w:szCs w:val="18"/>
        </w:rPr>
        <w:t>的工厂、检查</w:t>
      </w:r>
      <w:r>
        <w:rPr>
          <w:rStyle w:val="168"/>
          <w:rFonts w:hint="eastAsia" w:ascii="黑体" w:hAnsi="黑体" w:eastAsia="黑体"/>
          <w:bCs/>
          <w:kern w:val="0"/>
          <w:sz w:val="18"/>
          <w:szCs w:val="18"/>
        </w:rPr>
        <w:t>生产、存储</w:t>
      </w:r>
      <w:r>
        <w:rPr>
          <w:rStyle w:val="168"/>
          <w:rFonts w:ascii="黑体" w:hAnsi="黑体" w:eastAsia="黑体"/>
          <w:bCs/>
          <w:kern w:val="0"/>
          <w:sz w:val="18"/>
          <w:szCs w:val="18"/>
        </w:rPr>
        <w:t xml:space="preserve">、包装等环节。 </w:t>
      </w:r>
    </w:p>
    <w:p w14:paraId="63B4B843">
      <w:pPr>
        <w:pStyle w:val="110"/>
        <w:rPr>
          <w:rStyle w:val="168"/>
        </w:rPr>
      </w:pPr>
      <w:r>
        <w:rPr>
          <w:rStyle w:val="168"/>
          <w:rFonts w:hint="eastAsia"/>
        </w:rPr>
        <w:t>防火涂料</w:t>
      </w:r>
      <w:r>
        <w:rPr>
          <w:rStyle w:val="168"/>
        </w:rPr>
        <w:t>产品</w:t>
      </w:r>
    </w:p>
    <w:p w14:paraId="29A0D23F">
      <w:pPr>
        <w:pStyle w:val="112"/>
        <w:rPr>
          <w:rStyle w:val="168"/>
          <w:b/>
          <w:bCs/>
        </w:rPr>
      </w:pPr>
      <w:r>
        <w:rPr>
          <w:rStyle w:val="168"/>
        </w:rPr>
        <w:t>功能</w:t>
      </w:r>
      <w:r>
        <w:rPr>
          <w:rStyle w:val="168"/>
          <w:rFonts w:hint="eastAsia"/>
        </w:rPr>
        <w:t>：</w:t>
      </w:r>
      <w:r>
        <w:rPr>
          <w:rStyle w:val="168"/>
          <w:rFonts w:hint="eastAsia"/>
          <w:bCs/>
        </w:rPr>
        <w:t>防火涂料是施涂于建筑物或构筑物的钢结构表面，能形成耐火隔热保护层以提高钢结构耐火极限的涂料。</w:t>
      </w:r>
    </w:p>
    <w:p w14:paraId="6F337375">
      <w:pPr>
        <w:pStyle w:val="112"/>
        <w:rPr>
          <w:rStyle w:val="168"/>
          <w:bCs/>
        </w:rPr>
      </w:pPr>
      <w:r>
        <w:rPr>
          <w:rStyle w:val="168"/>
          <w:rFonts w:hint="eastAsia"/>
          <w:bCs/>
        </w:rPr>
        <w:t>膨胀型钢结构防火涂料：施涂于建筑物或构筑物的钢结构表面，涂层在高温时膨胀发泡，形成耐火隔热保护层的防火涂料。</w:t>
      </w:r>
    </w:p>
    <w:p w14:paraId="276B396B">
      <w:pPr>
        <w:pStyle w:val="112"/>
        <w:rPr>
          <w:rStyle w:val="168"/>
          <w:bCs/>
        </w:rPr>
      </w:pPr>
      <w:r>
        <w:rPr>
          <w:rStyle w:val="168"/>
          <w:rFonts w:hint="eastAsia"/>
          <w:bCs/>
        </w:rPr>
        <w:t>非膨胀型钢结构防火涂料：施涂于建筑物或构筑物的钢结构表面，涂层在高温时不膨胀发泡，其自身成为耐火隔热保护层的防火涂料。</w:t>
      </w:r>
    </w:p>
    <w:p w14:paraId="1DD1F737">
      <w:pPr>
        <w:pStyle w:val="112"/>
        <w:rPr>
          <w:rStyle w:val="168"/>
          <w:bCs/>
        </w:rPr>
      </w:pPr>
      <w:r>
        <w:rPr>
          <w:rStyle w:val="168"/>
          <w:bCs/>
        </w:rPr>
        <w:t>相容性</w:t>
      </w:r>
      <w:r>
        <w:rPr>
          <w:rStyle w:val="168"/>
          <w:rFonts w:hint="eastAsia"/>
          <w:bCs/>
        </w:rPr>
        <w:t>：不同涂料之间结合不产生负面的物理、化学变化的性能</w:t>
      </w:r>
    </w:p>
    <w:p w14:paraId="6C516108">
      <w:pPr>
        <w:pStyle w:val="112"/>
        <w:rPr>
          <w:rStyle w:val="168"/>
          <w:bCs/>
        </w:rPr>
      </w:pPr>
      <w:r>
        <w:rPr>
          <w:rStyle w:val="168"/>
          <w:rFonts w:hint="eastAsia"/>
          <w:bCs/>
        </w:rPr>
        <w:t>耐久性：涂层长期抵抗所处环境的破坏作用而保持其特性的能力。</w:t>
      </w:r>
    </w:p>
    <w:p w14:paraId="029FA529">
      <w:pPr>
        <w:pStyle w:val="112"/>
        <w:rPr>
          <w:rStyle w:val="168"/>
        </w:rPr>
      </w:pPr>
      <w:r>
        <w:rPr>
          <w:rStyle w:val="168"/>
        </w:rPr>
        <w:t>材料</w:t>
      </w:r>
      <w:r>
        <w:rPr>
          <w:rStyle w:val="168"/>
          <w:rFonts w:hint="eastAsia"/>
        </w:rPr>
        <w:t>：</w:t>
      </w:r>
    </w:p>
    <w:p w14:paraId="7456ED83">
      <w:pPr>
        <w:pStyle w:val="169"/>
        <w:adjustRightInd w:val="0"/>
        <w:snapToGrid w:val="0"/>
        <w:ind w:firstLine="900" w:firstLineChars="500"/>
        <w:jc w:val="left"/>
        <w:rPr>
          <w:rStyle w:val="168"/>
          <w:rFonts w:ascii="黑体" w:hAnsi="黑体" w:eastAsia="黑体"/>
          <w:kern w:val="0"/>
          <w:sz w:val="18"/>
          <w:szCs w:val="18"/>
        </w:rPr>
      </w:pPr>
      <w:r>
        <w:rPr>
          <w:rStyle w:val="168"/>
          <w:rFonts w:hint="eastAsia" w:ascii="黑体" w:hAnsi="黑体" w:eastAsia="黑体"/>
          <w:kern w:val="0"/>
          <w:sz w:val="18"/>
          <w:szCs w:val="18"/>
        </w:rPr>
        <w:t>钢结构防火涂料的分类应符合表</w:t>
      </w:r>
      <w:r>
        <w:rPr>
          <w:rStyle w:val="168"/>
          <w:rFonts w:ascii="黑体" w:hAnsi="黑体" w:eastAsia="黑体"/>
          <w:kern w:val="0"/>
          <w:sz w:val="18"/>
          <w:szCs w:val="18"/>
        </w:rPr>
        <w:t>1的规定。</w:t>
      </w:r>
    </w:p>
    <w:p w14:paraId="2FC4742A">
      <w:pPr>
        <w:adjustRightInd w:val="0"/>
        <w:snapToGrid w:val="0"/>
        <w:spacing w:line="360" w:lineRule="auto"/>
        <w:jc w:val="center"/>
        <w:rPr>
          <w:rStyle w:val="168"/>
          <w:rFonts w:ascii="黑体" w:hAnsi="黑体" w:eastAsia="黑体"/>
          <w:bCs/>
          <w:kern w:val="0"/>
          <w:sz w:val="18"/>
          <w:szCs w:val="18"/>
        </w:rPr>
      </w:pPr>
      <w:r>
        <w:rPr>
          <w:rStyle w:val="168"/>
          <w:rFonts w:hint="eastAsia" w:ascii="黑体" w:hAnsi="黑体" w:eastAsia="黑体"/>
          <w:bCs/>
          <w:kern w:val="0"/>
          <w:sz w:val="18"/>
          <w:szCs w:val="18"/>
        </w:rPr>
        <w:t>表</w:t>
      </w:r>
      <w:r>
        <w:rPr>
          <w:rStyle w:val="168"/>
          <w:rFonts w:ascii="黑体" w:hAnsi="黑体" w:eastAsia="黑体"/>
          <w:bCs/>
          <w:kern w:val="0"/>
          <w:sz w:val="18"/>
          <w:szCs w:val="18"/>
        </w:rPr>
        <w:t xml:space="preserve">1  </w:t>
      </w:r>
      <w:r>
        <w:rPr>
          <w:rStyle w:val="168"/>
          <w:rFonts w:hint="eastAsia" w:ascii="黑体" w:hAnsi="黑体" w:eastAsia="黑体"/>
          <w:bCs/>
          <w:kern w:val="0"/>
          <w:sz w:val="18"/>
          <w:szCs w:val="18"/>
        </w:rPr>
        <w:t>钢结构防火涂料的分类</w:t>
      </w:r>
    </w:p>
    <w:tbl>
      <w:tblPr>
        <w:tblStyle w:val="37"/>
        <w:tblW w:w="7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2660"/>
        <w:gridCol w:w="4090"/>
      </w:tblGrid>
      <w:tr w14:paraId="6FFA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14:paraId="3BDD676F">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划分方式</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251C2492">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类别</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65F3266D">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使用特性</w:t>
            </w:r>
          </w:p>
        </w:tc>
      </w:tr>
      <w:tr w14:paraId="1E08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B25A85">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火灾防护对象</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4A831592">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普通钢结构防火涂料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2F7A8261">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用于普通工业与民用建（构）筑物钢结构</w:t>
            </w:r>
          </w:p>
        </w:tc>
      </w:tr>
      <w:tr w14:paraId="69C5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39CB87">
            <w:pPr>
              <w:adjustRightInd w:val="0"/>
              <w:snapToGrid w:val="0"/>
              <w:spacing w:line="360" w:lineRule="auto"/>
              <w:rPr>
                <w:rStyle w:val="168"/>
                <w:rFonts w:ascii="黑体" w:hAnsi="黑体" w:eastAsia="黑体"/>
                <w:bCs/>
                <w:kern w:val="0"/>
                <w:sz w:val="18"/>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79A88C13">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特种钢结构防火涂料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0792A537">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用于特殊建（构）筑物（如石油化工设施、变配电站等）钢结构</w:t>
            </w:r>
          </w:p>
        </w:tc>
      </w:tr>
      <w:tr w14:paraId="1865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EE9CD9">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使用场所</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3C303338">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室内钢结构防火涂料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6980F5E5">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用于建筑物室内或隐蔽工程的钢结构</w:t>
            </w:r>
          </w:p>
        </w:tc>
      </w:tr>
      <w:tr w14:paraId="0E0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1EEADA">
            <w:pPr>
              <w:adjustRightInd w:val="0"/>
              <w:snapToGrid w:val="0"/>
              <w:spacing w:line="360" w:lineRule="auto"/>
              <w:rPr>
                <w:rStyle w:val="168"/>
                <w:rFonts w:ascii="黑体" w:hAnsi="黑体" w:eastAsia="黑体"/>
                <w:bCs/>
                <w:kern w:val="0"/>
                <w:sz w:val="18"/>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048E34C4">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室外钢结构防火涂料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42EAF119">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用于建筑物室外或露天工程的钢结构</w:t>
            </w:r>
          </w:p>
        </w:tc>
      </w:tr>
      <w:tr w14:paraId="1781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94E733">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按分散介质</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375119D5">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水基性钢结构防火涂料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48FDB172">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以水作为分散介质</w:t>
            </w:r>
          </w:p>
        </w:tc>
      </w:tr>
      <w:tr w14:paraId="09B7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5B935C">
            <w:pPr>
              <w:adjustRightInd w:val="0"/>
              <w:snapToGrid w:val="0"/>
              <w:spacing w:line="360" w:lineRule="auto"/>
              <w:rPr>
                <w:rStyle w:val="168"/>
                <w:rFonts w:ascii="黑体" w:hAnsi="黑体" w:eastAsia="黑体"/>
                <w:bCs/>
                <w:kern w:val="0"/>
                <w:sz w:val="18"/>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74E3B1CF">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溶剂性钢结构防火涂料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269FB5BE">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以有机溶剂作为分散介质</w:t>
            </w:r>
          </w:p>
        </w:tc>
      </w:tr>
      <w:tr w14:paraId="1A27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BE6E46">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防火机理</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3CD82294">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膨胀型钢结构防火涂料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2DED2F47">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涂层在高温时膨胀发泡，形成耐火隔热保护层</w:t>
            </w:r>
          </w:p>
        </w:tc>
      </w:tr>
      <w:tr w14:paraId="2F69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E0FCF8">
            <w:pPr>
              <w:adjustRightInd w:val="0"/>
              <w:snapToGrid w:val="0"/>
              <w:spacing w:line="360" w:lineRule="auto"/>
              <w:rPr>
                <w:rStyle w:val="168"/>
                <w:rFonts w:ascii="黑体" w:hAnsi="黑体" w:eastAsia="黑体"/>
                <w:bCs/>
                <w:kern w:val="0"/>
                <w:sz w:val="18"/>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2CCE9D91">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非膨胀型钢结构防火涂料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603AD9B6">
            <w:pPr>
              <w:adjustRightInd w:val="0"/>
              <w:snapToGrid w:val="0"/>
              <w:spacing w:line="360" w:lineRule="auto"/>
              <w:rPr>
                <w:rStyle w:val="168"/>
                <w:rFonts w:ascii="黑体" w:hAnsi="黑体" w:eastAsia="黑体"/>
                <w:bCs/>
                <w:kern w:val="0"/>
                <w:sz w:val="18"/>
                <w:szCs w:val="18"/>
              </w:rPr>
            </w:pPr>
            <w:r>
              <w:rPr>
                <w:rStyle w:val="168"/>
                <w:rFonts w:hint="eastAsia" w:ascii="黑体" w:hAnsi="黑体" w:eastAsia="黑体"/>
                <w:bCs/>
                <w:kern w:val="0"/>
                <w:sz w:val="18"/>
                <w:szCs w:val="18"/>
              </w:rPr>
              <w:t>涂层在高温时不膨胀发泡，其自身成为耐火隔热保护层</w:t>
            </w:r>
          </w:p>
        </w:tc>
      </w:tr>
    </w:tbl>
    <w:p w14:paraId="3ED80D21">
      <w:pPr>
        <w:pStyle w:val="51"/>
        <w:adjustRightInd w:val="0"/>
        <w:snapToGrid w:val="0"/>
        <w:spacing w:line="360" w:lineRule="auto"/>
        <w:ind w:firstLine="0" w:firstLineChars="0"/>
        <w:rPr>
          <w:rStyle w:val="168"/>
          <w:rFonts w:ascii="黑体" w:hAnsi="黑体" w:eastAsia="黑体"/>
          <w:bCs/>
          <w:kern w:val="0"/>
          <w:sz w:val="18"/>
          <w:szCs w:val="18"/>
        </w:rPr>
      </w:pPr>
    </w:p>
    <w:p w14:paraId="0EBE35FD">
      <w:pPr>
        <w:pStyle w:val="169"/>
        <w:adjustRightInd w:val="0"/>
        <w:snapToGrid w:val="0"/>
        <w:ind w:firstLine="900" w:firstLineChars="500"/>
        <w:jc w:val="left"/>
        <w:rPr>
          <w:rStyle w:val="168"/>
          <w:rFonts w:ascii="黑体" w:hAnsi="黑体" w:eastAsia="黑体"/>
          <w:kern w:val="0"/>
          <w:sz w:val="18"/>
          <w:szCs w:val="18"/>
        </w:rPr>
      </w:pPr>
      <w:r>
        <w:rPr>
          <w:rStyle w:val="168"/>
          <w:rFonts w:ascii="黑体" w:hAnsi="黑体" w:eastAsia="黑体"/>
          <w:kern w:val="0"/>
          <w:sz w:val="18"/>
          <w:szCs w:val="18"/>
        </w:rPr>
        <w:t>室内钢结构防火涂料的理化性能应符合表2的规定。</w:t>
      </w:r>
    </w:p>
    <w:p w14:paraId="7957CD57">
      <w:pPr>
        <w:adjustRightInd w:val="0"/>
        <w:snapToGrid w:val="0"/>
        <w:spacing w:line="360" w:lineRule="auto"/>
        <w:jc w:val="center"/>
        <w:rPr>
          <w:rStyle w:val="168"/>
          <w:rFonts w:ascii="黑体" w:hAnsi="黑体" w:eastAsia="黑体"/>
          <w:bCs/>
          <w:kern w:val="0"/>
          <w:sz w:val="18"/>
          <w:szCs w:val="18"/>
        </w:rPr>
      </w:pPr>
      <w:r>
        <w:rPr>
          <w:rStyle w:val="168"/>
          <w:rFonts w:ascii="黑体" w:hAnsi="黑体" w:eastAsia="黑体"/>
          <w:bCs/>
          <w:kern w:val="0"/>
          <w:sz w:val="18"/>
          <w:szCs w:val="18"/>
        </w:rPr>
        <w:t>表2  室内钢结构防火涂料的理化性能</w:t>
      </w:r>
    </w:p>
    <w:tbl>
      <w:tblPr>
        <w:tblStyle w:val="38"/>
        <w:tblW w:w="7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59"/>
        <w:gridCol w:w="2390"/>
        <w:gridCol w:w="2253"/>
        <w:gridCol w:w="1134"/>
      </w:tblGrid>
      <w:tr w14:paraId="4FEA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vAlign w:val="center"/>
          </w:tcPr>
          <w:p w14:paraId="1689847D">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序号</w:t>
            </w:r>
          </w:p>
        </w:tc>
        <w:tc>
          <w:tcPr>
            <w:tcW w:w="1559" w:type="dxa"/>
            <w:vMerge w:val="restart"/>
            <w:vAlign w:val="center"/>
          </w:tcPr>
          <w:p w14:paraId="24590415">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检验项目</w:t>
            </w:r>
          </w:p>
        </w:tc>
        <w:tc>
          <w:tcPr>
            <w:tcW w:w="4643" w:type="dxa"/>
            <w:gridSpan w:val="2"/>
            <w:vAlign w:val="center"/>
          </w:tcPr>
          <w:p w14:paraId="1CAFB3B9">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技术指标</w:t>
            </w:r>
          </w:p>
        </w:tc>
        <w:tc>
          <w:tcPr>
            <w:tcW w:w="1134" w:type="dxa"/>
            <w:vMerge w:val="restart"/>
            <w:vAlign w:val="center"/>
          </w:tcPr>
          <w:p w14:paraId="48D07A90">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试验方法</w:t>
            </w:r>
          </w:p>
        </w:tc>
      </w:tr>
      <w:tr w14:paraId="6853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14:paraId="44F04509">
            <w:pPr>
              <w:adjustRightInd w:val="0"/>
              <w:snapToGrid w:val="0"/>
              <w:spacing w:line="360" w:lineRule="auto"/>
              <w:jc w:val="left"/>
              <w:rPr>
                <w:rStyle w:val="168"/>
                <w:rFonts w:ascii="黑体" w:hAnsi="黑体" w:eastAsia="黑体"/>
                <w:bCs/>
                <w:kern w:val="0"/>
                <w:sz w:val="18"/>
                <w:szCs w:val="18"/>
              </w:rPr>
            </w:pPr>
          </w:p>
        </w:tc>
        <w:tc>
          <w:tcPr>
            <w:tcW w:w="1559" w:type="dxa"/>
            <w:vMerge w:val="continue"/>
            <w:vAlign w:val="center"/>
          </w:tcPr>
          <w:p w14:paraId="47F37356">
            <w:pPr>
              <w:adjustRightInd w:val="0"/>
              <w:snapToGrid w:val="0"/>
              <w:spacing w:line="360" w:lineRule="auto"/>
              <w:jc w:val="left"/>
              <w:rPr>
                <w:rStyle w:val="168"/>
                <w:rFonts w:ascii="黑体" w:hAnsi="黑体" w:eastAsia="黑体"/>
                <w:bCs/>
                <w:kern w:val="0"/>
                <w:sz w:val="18"/>
                <w:szCs w:val="18"/>
              </w:rPr>
            </w:pPr>
          </w:p>
        </w:tc>
        <w:tc>
          <w:tcPr>
            <w:tcW w:w="2390" w:type="dxa"/>
            <w:vAlign w:val="center"/>
          </w:tcPr>
          <w:p w14:paraId="2C882F6A">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膨胀型</w:t>
            </w:r>
          </w:p>
        </w:tc>
        <w:tc>
          <w:tcPr>
            <w:tcW w:w="2253" w:type="dxa"/>
            <w:vAlign w:val="center"/>
          </w:tcPr>
          <w:p w14:paraId="5F721C16">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非膨胀型</w:t>
            </w:r>
          </w:p>
        </w:tc>
        <w:tc>
          <w:tcPr>
            <w:tcW w:w="1134" w:type="dxa"/>
            <w:vMerge w:val="continue"/>
            <w:vAlign w:val="center"/>
          </w:tcPr>
          <w:p w14:paraId="0C615768">
            <w:pPr>
              <w:adjustRightInd w:val="0"/>
              <w:snapToGrid w:val="0"/>
              <w:spacing w:line="360" w:lineRule="auto"/>
              <w:jc w:val="left"/>
              <w:rPr>
                <w:rStyle w:val="168"/>
                <w:rFonts w:ascii="黑体" w:hAnsi="黑体" w:eastAsia="黑体"/>
                <w:bCs/>
                <w:kern w:val="0"/>
                <w:sz w:val="18"/>
                <w:szCs w:val="18"/>
              </w:rPr>
            </w:pPr>
          </w:p>
        </w:tc>
      </w:tr>
      <w:tr w14:paraId="7950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BA509ED">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w:t>
            </w:r>
          </w:p>
        </w:tc>
        <w:tc>
          <w:tcPr>
            <w:tcW w:w="1559" w:type="dxa"/>
            <w:vAlign w:val="center"/>
          </w:tcPr>
          <w:p w14:paraId="66C7858F">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在容器中的状态</w:t>
            </w:r>
          </w:p>
        </w:tc>
        <w:tc>
          <w:tcPr>
            <w:tcW w:w="2390" w:type="dxa"/>
            <w:vAlign w:val="center"/>
          </w:tcPr>
          <w:p w14:paraId="5321F358">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经搅拌后呈均匀细腻状态或稠厚流体状态，无结块</w:t>
            </w:r>
          </w:p>
        </w:tc>
        <w:tc>
          <w:tcPr>
            <w:tcW w:w="2253" w:type="dxa"/>
            <w:vAlign w:val="center"/>
          </w:tcPr>
          <w:p w14:paraId="48D64256">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经搅拌后呈均匀稠厚流体状态，无结块</w:t>
            </w:r>
          </w:p>
        </w:tc>
        <w:tc>
          <w:tcPr>
            <w:tcW w:w="1134" w:type="dxa"/>
            <w:vAlign w:val="center"/>
          </w:tcPr>
          <w:p w14:paraId="333BC122">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1FFC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2FF46C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2</w:t>
            </w:r>
          </w:p>
        </w:tc>
        <w:tc>
          <w:tcPr>
            <w:tcW w:w="1559" w:type="dxa"/>
            <w:vAlign w:val="center"/>
          </w:tcPr>
          <w:p w14:paraId="15D4B489">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干燥时间（表干）</w:t>
            </w:r>
            <w:r>
              <w:rPr>
                <w:rStyle w:val="168"/>
                <w:rFonts w:ascii="黑体" w:hAnsi="黑体" w:eastAsia="黑体"/>
                <w:bCs/>
                <w:kern w:val="0"/>
                <w:sz w:val="18"/>
                <w:szCs w:val="18"/>
              </w:rPr>
              <w:t>h</w:t>
            </w:r>
          </w:p>
        </w:tc>
        <w:tc>
          <w:tcPr>
            <w:tcW w:w="2390" w:type="dxa"/>
            <w:vAlign w:val="center"/>
          </w:tcPr>
          <w:p w14:paraId="2E0B555F">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12</w:t>
            </w:r>
          </w:p>
        </w:tc>
        <w:tc>
          <w:tcPr>
            <w:tcW w:w="2253" w:type="dxa"/>
            <w:vAlign w:val="center"/>
          </w:tcPr>
          <w:p w14:paraId="47060B5B">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24</w:t>
            </w:r>
          </w:p>
        </w:tc>
        <w:tc>
          <w:tcPr>
            <w:tcW w:w="1134" w:type="dxa"/>
            <w:vAlign w:val="center"/>
          </w:tcPr>
          <w:p w14:paraId="29F7164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2101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944DCC">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w:t>
            </w:r>
          </w:p>
        </w:tc>
        <w:tc>
          <w:tcPr>
            <w:tcW w:w="1559" w:type="dxa"/>
            <w:vAlign w:val="center"/>
          </w:tcPr>
          <w:p w14:paraId="297AF2BE">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初期干燥抗裂性</w:t>
            </w:r>
          </w:p>
        </w:tc>
        <w:tc>
          <w:tcPr>
            <w:tcW w:w="2390" w:type="dxa"/>
            <w:vAlign w:val="center"/>
          </w:tcPr>
          <w:p w14:paraId="294D5A88">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不应出现裂纹</w:t>
            </w:r>
          </w:p>
        </w:tc>
        <w:tc>
          <w:tcPr>
            <w:tcW w:w="2253" w:type="dxa"/>
            <w:vAlign w:val="center"/>
          </w:tcPr>
          <w:p w14:paraId="551DB73E">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平面不允许出现裂纹，阴角处可出现小裂纹</w:t>
            </w:r>
          </w:p>
        </w:tc>
        <w:tc>
          <w:tcPr>
            <w:tcW w:w="1134" w:type="dxa"/>
            <w:vAlign w:val="center"/>
          </w:tcPr>
          <w:p w14:paraId="6CCAF179">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7911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E79F7FE">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4</w:t>
            </w:r>
          </w:p>
        </w:tc>
        <w:tc>
          <w:tcPr>
            <w:tcW w:w="1559" w:type="dxa"/>
            <w:vAlign w:val="center"/>
          </w:tcPr>
          <w:p w14:paraId="3BDD59DD">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粘结强度，</w:t>
            </w:r>
            <w:r>
              <w:rPr>
                <w:rStyle w:val="168"/>
                <w:rFonts w:ascii="黑体" w:hAnsi="黑体" w:eastAsia="黑体"/>
                <w:bCs/>
                <w:kern w:val="0"/>
                <w:sz w:val="18"/>
                <w:szCs w:val="18"/>
              </w:rPr>
              <w:t>MPa</w:t>
            </w:r>
          </w:p>
        </w:tc>
        <w:tc>
          <w:tcPr>
            <w:tcW w:w="2390" w:type="dxa"/>
            <w:vAlign w:val="center"/>
          </w:tcPr>
          <w:p w14:paraId="7FA8F62D">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0.15</w:t>
            </w:r>
          </w:p>
        </w:tc>
        <w:tc>
          <w:tcPr>
            <w:tcW w:w="2253" w:type="dxa"/>
            <w:vAlign w:val="center"/>
          </w:tcPr>
          <w:p w14:paraId="21A6AD81">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0.04</w:t>
            </w:r>
          </w:p>
        </w:tc>
        <w:tc>
          <w:tcPr>
            <w:tcW w:w="1134" w:type="dxa"/>
            <w:vAlign w:val="center"/>
          </w:tcPr>
          <w:p w14:paraId="790B0295">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50C6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4E466D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5</w:t>
            </w:r>
          </w:p>
        </w:tc>
        <w:tc>
          <w:tcPr>
            <w:tcW w:w="1559" w:type="dxa"/>
            <w:vAlign w:val="center"/>
          </w:tcPr>
          <w:p w14:paraId="6502AC7C">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抗压强度，</w:t>
            </w:r>
            <w:r>
              <w:rPr>
                <w:rStyle w:val="168"/>
                <w:rFonts w:ascii="黑体" w:hAnsi="黑体" w:eastAsia="黑体"/>
                <w:bCs/>
                <w:kern w:val="0"/>
                <w:sz w:val="18"/>
                <w:szCs w:val="18"/>
              </w:rPr>
              <w:t>MPa</w:t>
            </w:r>
          </w:p>
        </w:tc>
        <w:tc>
          <w:tcPr>
            <w:tcW w:w="2390" w:type="dxa"/>
            <w:vAlign w:val="center"/>
          </w:tcPr>
          <w:p w14:paraId="50D050A0">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p>
        </w:tc>
        <w:tc>
          <w:tcPr>
            <w:tcW w:w="2253" w:type="dxa"/>
            <w:vAlign w:val="center"/>
          </w:tcPr>
          <w:p w14:paraId="208C60C7">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0.3</w:t>
            </w:r>
          </w:p>
        </w:tc>
        <w:tc>
          <w:tcPr>
            <w:tcW w:w="1134" w:type="dxa"/>
            <w:vAlign w:val="center"/>
          </w:tcPr>
          <w:p w14:paraId="167973CC">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2CE5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CA571C1">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6</w:t>
            </w:r>
          </w:p>
        </w:tc>
        <w:tc>
          <w:tcPr>
            <w:tcW w:w="1559" w:type="dxa"/>
            <w:vAlign w:val="center"/>
          </w:tcPr>
          <w:p w14:paraId="4D3F09AA">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干密度，</w:t>
            </w:r>
            <w:r>
              <w:rPr>
                <w:rStyle w:val="168"/>
                <w:rFonts w:ascii="黑体" w:hAnsi="黑体" w:eastAsia="黑体"/>
                <w:bCs/>
                <w:kern w:val="0"/>
                <w:sz w:val="18"/>
                <w:szCs w:val="18"/>
              </w:rPr>
              <w:t>kg/m3</w:t>
            </w:r>
          </w:p>
        </w:tc>
        <w:tc>
          <w:tcPr>
            <w:tcW w:w="2390" w:type="dxa"/>
            <w:vAlign w:val="center"/>
          </w:tcPr>
          <w:p w14:paraId="46496571">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p>
        </w:tc>
        <w:tc>
          <w:tcPr>
            <w:tcW w:w="2253" w:type="dxa"/>
            <w:vAlign w:val="center"/>
          </w:tcPr>
          <w:p w14:paraId="20E64DBC">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500</w:t>
            </w:r>
          </w:p>
        </w:tc>
        <w:tc>
          <w:tcPr>
            <w:tcW w:w="1134" w:type="dxa"/>
            <w:vAlign w:val="center"/>
          </w:tcPr>
          <w:p w14:paraId="197A7EB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70E5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E4F9FC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7</w:t>
            </w:r>
          </w:p>
        </w:tc>
        <w:tc>
          <w:tcPr>
            <w:tcW w:w="1559" w:type="dxa"/>
            <w:vAlign w:val="center"/>
          </w:tcPr>
          <w:p w14:paraId="464E7702">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隔热效率偏差，</w:t>
            </w:r>
            <w:r>
              <w:rPr>
                <w:rStyle w:val="168"/>
                <w:rFonts w:ascii="黑体" w:hAnsi="黑体" w:eastAsia="黑体"/>
                <w:bCs/>
                <w:kern w:val="0"/>
                <w:sz w:val="18"/>
                <w:szCs w:val="18"/>
              </w:rPr>
              <w:t>%</w:t>
            </w:r>
          </w:p>
        </w:tc>
        <w:tc>
          <w:tcPr>
            <w:tcW w:w="2390" w:type="dxa"/>
            <w:vAlign w:val="center"/>
          </w:tcPr>
          <w:p w14:paraId="373306A0">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15</w:t>
            </w:r>
          </w:p>
        </w:tc>
        <w:tc>
          <w:tcPr>
            <w:tcW w:w="2253" w:type="dxa"/>
            <w:vAlign w:val="center"/>
          </w:tcPr>
          <w:p w14:paraId="7A48ED9D">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15</w:t>
            </w:r>
          </w:p>
        </w:tc>
        <w:tc>
          <w:tcPr>
            <w:tcW w:w="1134" w:type="dxa"/>
            <w:vAlign w:val="center"/>
          </w:tcPr>
          <w:p w14:paraId="446D714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30B5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17C16F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8</w:t>
            </w:r>
          </w:p>
        </w:tc>
        <w:tc>
          <w:tcPr>
            <w:tcW w:w="1559" w:type="dxa"/>
            <w:vAlign w:val="center"/>
          </w:tcPr>
          <w:p w14:paraId="09115E9A">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PH值</w:t>
            </w:r>
          </w:p>
        </w:tc>
        <w:tc>
          <w:tcPr>
            <w:tcW w:w="2390" w:type="dxa"/>
            <w:vAlign w:val="center"/>
          </w:tcPr>
          <w:p w14:paraId="6529D386">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7</w:t>
            </w:r>
          </w:p>
        </w:tc>
        <w:tc>
          <w:tcPr>
            <w:tcW w:w="2253" w:type="dxa"/>
            <w:vAlign w:val="center"/>
          </w:tcPr>
          <w:p w14:paraId="578AAD60">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7</w:t>
            </w:r>
          </w:p>
        </w:tc>
        <w:tc>
          <w:tcPr>
            <w:tcW w:w="1134" w:type="dxa"/>
            <w:vAlign w:val="center"/>
          </w:tcPr>
          <w:p w14:paraId="74A8BB3B">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6B4B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567" w:type="dxa"/>
            <w:vAlign w:val="center"/>
          </w:tcPr>
          <w:p w14:paraId="255474FB">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9</w:t>
            </w:r>
          </w:p>
        </w:tc>
        <w:tc>
          <w:tcPr>
            <w:tcW w:w="1559" w:type="dxa"/>
            <w:vAlign w:val="center"/>
          </w:tcPr>
          <w:p w14:paraId="1FFAC971">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耐水性</w:t>
            </w:r>
          </w:p>
        </w:tc>
        <w:tc>
          <w:tcPr>
            <w:tcW w:w="2390" w:type="dxa"/>
            <w:vAlign w:val="center"/>
          </w:tcPr>
          <w:p w14:paraId="13D48BA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24h试验后，涂层应无起层、发泡、脱落现象，且隔热效率衰减量应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45D3A33B">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24h试验后，涂层应无起层、发泡、脱落现象，且隔热效率衰减量应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502EFDB9">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6BC9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193B567">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10</w:t>
            </w:r>
          </w:p>
        </w:tc>
        <w:tc>
          <w:tcPr>
            <w:tcW w:w="1559" w:type="dxa"/>
            <w:vAlign w:val="center"/>
          </w:tcPr>
          <w:p w14:paraId="079467B8">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耐冷热循环性</w:t>
            </w:r>
          </w:p>
        </w:tc>
        <w:tc>
          <w:tcPr>
            <w:tcW w:w="2390" w:type="dxa"/>
            <w:vAlign w:val="center"/>
          </w:tcPr>
          <w:p w14:paraId="417D09E9">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15次试验后，涂层应无开裂、剥落、起泡现象，且隔热效率衰减量应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68164B57">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15次试验后，涂层应无开裂、剥落、起泡现象，且隔热效率衰减量应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1E4B4B9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bl>
    <w:p w14:paraId="3B888217">
      <w:pPr>
        <w:adjustRightInd w:val="0"/>
        <w:snapToGrid w:val="0"/>
        <w:spacing w:line="360" w:lineRule="auto"/>
        <w:ind w:firstLine="1260" w:firstLineChars="700"/>
        <w:rPr>
          <w:rStyle w:val="168"/>
          <w:rFonts w:ascii="黑体" w:hAnsi="黑体" w:eastAsia="黑体"/>
          <w:bCs/>
          <w:kern w:val="0"/>
          <w:sz w:val="18"/>
          <w:szCs w:val="18"/>
        </w:rPr>
      </w:pPr>
      <w:r>
        <w:rPr>
          <w:rStyle w:val="168"/>
          <w:rFonts w:hint="eastAsia" w:ascii="黑体" w:hAnsi="黑体" w:eastAsia="黑体"/>
          <w:bCs/>
          <w:kern w:val="0"/>
          <w:sz w:val="18"/>
          <w:szCs w:val="18"/>
        </w:rPr>
        <w:t>注：隔热效率偏差只作为出厂检验项目；</w:t>
      </w:r>
      <w:r>
        <w:rPr>
          <w:rStyle w:val="168"/>
          <w:rFonts w:ascii="黑体" w:hAnsi="黑体" w:eastAsia="黑体"/>
          <w:bCs/>
          <w:kern w:val="0"/>
          <w:sz w:val="18"/>
          <w:szCs w:val="18"/>
        </w:rPr>
        <w:t>PH值只适用于水基性钢结构防火涂料。</w:t>
      </w:r>
    </w:p>
    <w:p w14:paraId="5DB6915A">
      <w:pPr>
        <w:pStyle w:val="169"/>
        <w:adjustRightInd w:val="0"/>
        <w:snapToGrid w:val="0"/>
        <w:ind w:firstLine="900" w:firstLineChars="500"/>
        <w:jc w:val="left"/>
        <w:rPr>
          <w:rStyle w:val="168"/>
          <w:rFonts w:ascii="黑体" w:hAnsi="黑体" w:eastAsia="黑体"/>
          <w:kern w:val="0"/>
          <w:sz w:val="18"/>
          <w:szCs w:val="18"/>
        </w:rPr>
      </w:pPr>
      <w:r>
        <w:rPr>
          <w:rStyle w:val="168"/>
          <w:rFonts w:ascii="黑体" w:hAnsi="黑体" w:eastAsia="黑体"/>
          <w:kern w:val="0"/>
          <w:sz w:val="18"/>
          <w:szCs w:val="18"/>
        </w:rPr>
        <w:t>室外钢结构防火涂料的理化性能应符合表3的规定。</w:t>
      </w:r>
    </w:p>
    <w:p w14:paraId="35F2D7D0">
      <w:pPr>
        <w:adjustRightInd w:val="0"/>
        <w:snapToGrid w:val="0"/>
        <w:spacing w:line="360" w:lineRule="auto"/>
        <w:jc w:val="center"/>
        <w:rPr>
          <w:rStyle w:val="168"/>
          <w:rFonts w:ascii="黑体" w:hAnsi="黑体" w:eastAsia="黑体"/>
          <w:bCs/>
          <w:kern w:val="0"/>
          <w:sz w:val="18"/>
          <w:szCs w:val="18"/>
        </w:rPr>
      </w:pPr>
      <w:r>
        <w:rPr>
          <w:rStyle w:val="168"/>
          <w:rFonts w:ascii="黑体" w:hAnsi="黑体" w:eastAsia="黑体"/>
          <w:bCs/>
          <w:kern w:val="0"/>
          <w:sz w:val="18"/>
          <w:szCs w:val="18"/>
        </w:rPr>
        <w:t>表3  室外钢结构防火涂料的理化性能</w:t>
      </w:r>
    </w:p>
    <w:tbl>
      <w:tblPr>
        <w:tblStyle w:val="38"/>
        <w:tblW w:w="7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709"/>
        <w:gridCol w:w="2240"/>
        <w:gridCol w:w="2253"/>
        <w:gridCol w:w="1134"/>
      </w:tblGrid>
      <w:tr w14:paraId="1C08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vAlign w:val="center"/>
          </w:tcPr>
          <w:p w14:paraId="2B673D2A">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序号</w:t>
            </w:r>
          </w:p>
        </w:tc>
        <w:tc>
          <w:tcPr>
            <w:tcW w:w="1709" w:type="dxa"/>
            <w:vMerge w:val="restart"/>
            <w:vAlign w:val="center"/>
          </w:tcPr>
          <w:p w14:paraId="5AD3F5D4">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检验项目</w:t>
            </w:r>
          </w:p>
        </w:tc>
        <w:tc>
          <w:tcPr>
            <w:tcW w:w="4493" w:type="dxa"/>
            <w:gridSpan w:val="2"/>
            <w:vAlign w:val="center"/>
          </w:tcPr>
          <w:p w14:paraId="4A323822">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技术指标</w:t>
            </w:r>
          </w:p>
        </w:tc>
        <w:tc>
          <w:tcPr>
            <w:tcW w:w="1134" w:type="dxa"/>
            <w:vMerge w:val="restart"/>
            <w:vAlign w:val="center"/>
          </w:tcPr>
          <w:p w14:paraId="4103D577">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试验方法</w:t>
            </w:r>
          </w:p>
        </w:tc>
      </w:tr>
      <w:tr w14:paraId="1389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14:paraId="2EE8E1BF">
            <w:pPr>
              <w:adjustRightInd w:val="0"/>
              <w:snapToGrid w:val="0"/>
              <w:spacing w:line="360" w:lineRule="auto"/>
              <w:jc w:val="left"/>
              <w:rPr>
                <w:rStyle w:val="168"/>
                <w:rFonts w:ascii="黑体" w:hAnsi="黑体" w:eastAsia="黑体"/>
                <w:bCs/>
                <w:kern w:val="0"/>
                <w:sz w:val="18"/>
                <w:szCs w:val="18"/>
              </w:rPr>
            </w:pPr>
          </w:p>
        </w:tc>
        <w:tc>
          <w:tcPr>
            <w:tcW w:w="1709" w:type="dxa"/>
            <w:vMerge w:val="continue"/>
            <w:vAlign w:val="center"/>
          </w:tcPr>
          <w:p w14:paraId="2A4AA4AA">
            <w:pPr>
              <w:adjustRightInd w:val="0"/>
              <w:snapToGrid w:val="0"/>
              <w:spacing w:line="360" w:lineRule="auto"/>
              <w:jc w:val="left"/>
              <w:rPr>
                <w:rStyle w:val="168"/>
                <w:rFonts w:ascii="黑体" w:hAnsi="黑体" w:eastAsia="黑体"/>
                <w:bCs/>
                <w:kern w:val="0"/>
                <w:sz w:val="18"/>
                <w:szCs w:val="18"/>
              </w:rPr>
            </w:pPr>
          </w:p>
        </w:tc>
        <w:tc>
          <w:tcPr>
            <w:tcW w:w="2240" w:type="dxa"/>
            <w:vAlign w:val="center"/>
          </w:tcPr>
          <w:p w14:paraId="176FE1A7">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膨胀型</w:t>
            </w:r>
          </w:p>
        </w:tc>
        <w:tc>
          <w:tcPr>
            <w:tcW w:w="2253" w:type="dxa"/>
            <w:vAlign w:val="center"/>
          </w:tcPr>
          <w:p w14:paraId="1E2BA219">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非膨胀型</w:t>
            </w:r>
          </w:p>
        </w:tc>
        <w:tc>
          <w:tcPr>
            <w:tcW w:w="1134" w:type="dxa"/>
            <w:vMerge w:val="continue"/>
            <w:vAlign w:val="center"/>
          </w:tcPr>
          <w:p w14:paraId="20656278">
            <w:pPr>
              <w:adjustRightInd w:val="0"/>
              <w:snapToGrid w:val="0"/>
              <w:spacing w:line="360" w:lineRule="auto"/>
              <w:jc w:val="left"/>
              <w:rPr>
                <w:rStyle w:val="168"/>
                <w:rFonts w:ascii="黑体" w:hAnsi="黑体" w:eastAsia="黑体"/>
                <w:bCs/>
                <w:kern w:val="0"/>
                <w:sz w:val="18"/>
                <w:szCs w:val="18"/>
              </w:rPr>
            </w:pPr>
          </w:p>
        </w:tc>
      </w:tr>
      <w:tr w14:paraId="68E5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73613D2">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w:t>
            </w:r>
          </w:p>
        </w:tc>
        <w:tc>
          <w:tcPr>
            <w:tcW w:w="1709" w:type="dxa"/>
            <w:vAlign w:val="center"/>
          </w:tcPr>
          <w:p w14:paraId="270D3F3E">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在容器中的状态</w:t>
            </w:r>
          </w:p>
        </w:tc>
        <w:tc>
          <w:tcPr>
            <w:tcW w:w="2240" w:type="dxa"/>
            <w:vAlign w:val="center"/>
          </w:tcPr>
          <w:p w14:paraId="5CD00279">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经搅拌后呈均匀细腻状态或稠厚流体状态，无结块</w:t>
            </w:r>
          </w:p>
        </w:tc>
        <w:tc>
          <w:tcPr>
            <w:tcW w:w="2253" w:type="dxa"/>
            <w:vAlign w:val="center"/>
          </w:tcPr>
          <w:p w14:paraId="1B723986">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经搅拌后呈均匀稠厚流体状态，无结块</w:t>
            </w:r>
          </w:p>
        </w:tc>
        <w:tc>
          <w:tcPr>
            <w:tcW w:w="1134" w:type="dxa"/>
            <w:vAlign w:val="center"/>
          </w:tcPr>
          <w:p w14:paraId="13A32B1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3E92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87CFBC7">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2</w:t>
            </w:r>
          </w:p>
        </w:tc>
        <w:tc>
          <w:tcPr>
            <w:tcW w:w="1709" w:type="dxa"/>
            <w:vAlign w:val="center"/>
          </w:tcPr>
          <w:p w14:paraId="13BD9CB2">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干燥时间（表干）</w:t>
            </w:r>
            <w:r>
              <w:rPr>
                <w:rStyle w:val="168"/>
                <w:rFonts w:ascii="黑体" w:hAnsi="黑体" w:eastAsia="黑体"/>
                <w:bCs/>
                <w:kern w:val="0"/>
                <w:sz w:val="18"/>
                <w:szCs w:val="18"/>
              </w:rPr>
              <w:t>h</w:t>
            </w:r>
          </w:p>
        </w:tc>
        <w:tc>
          <w:tcPr>
            <w:tcW w:w="2240" w:type="dxa"/>
            <w:vAlign w:val="center"/>
          </w:tcPr>
          <w:p w14:paraId="76E37B8A">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12</w:t>
            </w:r>
          </w:p>
        </w:tc>
        <w:tc>
          <w:tcPr>
            <w:tcW w:w="2253" w:type="dxa"/>
            <w:vAlign w:val="center"/>
          </w:tcPr>
          <w:p w14:paraId="7EEC5A09">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24</w:t>
            </w:r>
          </w:p>
        </w:tc>
        <w:tc>
          <w:tcPr>
            <w:tcW w:w="1134" w:type="dxa"/>
            <w:vAlign w:val="center"/>
          </w:tcPr>
          <w:p w14:paraId="0E57EE05">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2B35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D85BF0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w:t>
            </w:r>
          </w:p>
        </w:tc>
        <w:tc>
          <w:tcPr>
            <w:tcW w:w="1709" w:type="dxa"/>
            <w:vAlign w:val="center"/>
          </w:tcPr>
          <w:p w14:paraId="5F1FC6A6">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初期干燥抗裂性</w:t>
            </w:r>
          </w:p>
        </w:tc>
        <w:tc>
          <w:tcPr>
            <w:tcW w:w="2240" w:type="dxa"/>
            <w:vAlign w:val="center"/>
          </w:tcPr>
          <w:p w14:paraId="2ABE5C3F">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不应出现裂纹</w:t>
            </w:r>
          </w:p>
        </w:tc>
        <w:tc>
          <w:tcPr>
            <w:tcW w:w="2253" w:type="dxa"/>
            <w:vAlign w:val="center"/>
          </w:tcPr>
          <w:p w14:paraId="307305F2">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平面不允许出现裂纹，阴角处可出现小裂纹，其宽度应≤</w:t>
            </w:r>
            <w:r>
              <w:rPr>
                <w:rStyle w:val="168"/>
                <w:rFonts w:ascii="黑体" w:hAnsi="黑体" w:eastAsia="黑体"/>
                <w:bCs/>
                <w:kern w:val="0"/>
                <w:sz w:val="18"/>
                <w:szCs w:val="18"/>
              </w:rPr>
              <w:t>0.5mm</w:t>
            </w:r>
          </w:p>
        </w:tc>
        <w:tc>
          <w:tcPr>
            <w:tcW w:w="1134" w:type="dxa"/>
            <w:vAlign w:val="center"/>
          </w:tcPr>
          <w:p w14:paraId="1E3C3AF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10B1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F487AE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4</w:t>
            </w:r>
          </w:p>
        </w:tc>
        <w:tc>
          <w:tcPr>
            <w:tcW w:w="1709" w:type="dxa"/>
            <w:vAlign w:val="center"/>
          </w:tcPr>
          <w:p w14:paraId="35AA98D1">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粘结强度，</w:t>
            </w:r>
            <w:r>
              <w:rPr>
                <w:rStyle w:val="168"/>
                <w:rFonts w:ascii="黑体" w:hAnsi="黑体" w:eastAsia="黑体"/>
                <w:bCs/>
                <w:kern w:val="0"/>
                <w:sz w:val="18"/>
                <w:szCs w:val="18"/>
              </w:rPr>
              <w:t>MPa</w:t>
            </w:r>
          </w:p>
        </w:tc>
        <w:tc>
          <w:tcPr>
            <w:tcW w:w="2240" w:type="dxa"/>
            <w:vAlign w:val="center"/>
          </w:tcPr>
          <w:p w14:paraId="28BE33FB">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0.15</w:t>
            </w:r>
          </w:p>
        </w:tc>
        <w:tc>
          <w:tcPr>
            <w:tcW w:w="2253" w:type="dxa"/>
            <w:vAlign w:val="center"/>
          </w:tcPr>
          <w:p w14:paraId="572A4966">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0.04</w:t>
            </w:r>
          </w:p>
        </w:tc>
        <w:tc>
          <w:tcPr>
            <w:tcW w:w="1134" w:type="dxa"/>
            <w:vAlign w:val="center"/>
          </w:tcPr>
          <w:p w14:paraId="5A4E8BD2">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1010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D47D7B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5</w:t>
            </w:r>
          </w:p>
        </w:tc>
        <w:tc>
          <w:tcPr>
            <w:tcW w:w="1709" w:type="dxa"/>
            <w:vAlign w:val="center"/>
          </w:tcPr>
          <w:p w14:paraId="380C91E5">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抗压强度，</w:t>
            </w:r>
            <w:r>
              <w:rPr>
                <w:rStyle w:val="168"/>
                <w:rFonts w:ascii="黑体" w:hAnsi="黑体" w:eastAsia="黑体"/>
                <w:bCs/>
                <w:kern w:val="0"/>
                <w:sz w:val="18"/>
                <w:szCs w:val="18"/>
              </w:rPr>
              <w:t>MPa</w:t>
            </w:r>
          </w:p>
        </w:tc>
        <w:tc>
          <w:tcPr>
            <w:tcW w:w="2240" w:type="dxa"/>
            <w:vAlign w:val="center"/>
          </w:tcPr>
          <w:p w14:paraId="44929D13">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p>
        </w:tc>
        <w:tc>
          <w:tcPr>
            <w:tcW w:w="2253" w:type="dxa"/>
            <w:vAlign w:val="center"/>
          </w:tcPr>
          <w:p w14:paraId="41B66813">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0.5</w:t>
            </w:r>
          </w:p>
        </w:tc>
        <w:tc>
          <w:tcPr>
            <w:tcW w:w="1134" w:type="dxa"/>
            <w:vAlign w:val="center"/>
          </w:tcPr>
          <w:p w14:paraId="479480D2">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3BFC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140332C">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6</w:t>
            </w:r>
          </w:p>
        </w:tc>
        <w:tc>
          <w:tcPr>
            <w:tcW w:w="1709" w:type="dxa"/>
            <w:vAlign w:val="center"/>
          </w:tcPr>
          <w:p w14:paraId="5B8863DB">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干密度，</w:t>
            </w:r>
            <w:r>
              <w:rPr>
                <w:rStyle w:val="168"/>
                <w:rFonts w:ascii="黑体" w:hAnsi="黑体" w:eastAsia="黑体"/>
                <w:bCs/>
                <w:kern w:val="0"/>
                <w:sz w:val="18"/>
                <w:szCs w:val="18"/>
              </w:rPr>
              <w:t>kg/m3</w:t>
            </w:r>
          </w:p>
        </w:tc>
        <w:tc>
          <w:tcPr>
            <w:tcW w:w="2240" w:type="dxa"/>
            <w:vAlign w:val="center"/>
          </w:tcPr>
          <w:p w14:paraId="72AFB0AE">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p>
        </w:tc>
        <w:tc>
          <w:tcPr>
            <w:tcW w:w="2253" w:type="dxa"/>
            <w:vAlign w:val="center"/>
          </w:tcPr>
          <w:p w14:paraId="38B1FB79">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550</w:t>
            </w:r>
          </w:p>
        </w:tc>
        <w:tc>
          <w:tcPr>
            <w:tcW w:w="1134" w:type="dxa"/>
            <w:vAlign w:val="center"/>
          </w:tcPr>
          <w:p w14:paraId="103BC1F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1C1E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5845B1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7</w:t>
            </w:r>
          </w:p>
        </w:tc>
        <w:tc>
          <w:tcPr>
            <w:tcW w:w="1709" w:type="dxa"/>
            <w:vAlign w:val="center"/>
          </w:tcPr>
          <w:p w14:paraId="67A6FD0C">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隔热效率偏差，</w:t>
            </w:r>
            <w:r>
              <w:rPr>
                <w:rStyle w:val="168"/>
                <w:rFonts w:ascii="黑体" w:hAnsi="黑体" w:eastAsia="黑体"/>
                <w:bCs/>
                <w:kern w:val="0"/>
                <w:sz w:val="18"/>
                <w:szCs w:val="18"/>
              </w:rPr>
              <w:t>%</w:t>
            </w:r>
          </w:p>
        </w:tc>
        <w:tc>
          <w:tcPr>
            <w:tcW w:w="2240" w:type="dxa"/>
            <w:vAlign w:val="center"/>
          </w:tcPr>
          <w:p w14:paraId="4B2991FA">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15</w:t>
            </w:r>
          </w:p>
        </w:tc>
        <w:tc>
          <w:tcPr>
            <w:tcW w:w="2253" w:type="dxa"/>
            <w:vAlign w:val="center"/>
          </w:tcPr>
          <w:p w14:paraId="33E8BB51">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15</w:t>
            </w:r>
          </w:p>
        </w:tc>
        <w:tc>
          <w:tcPr>
            <w:tcW w:w="1134" w:type="dxa"/>
            <w:vAlign w:val="center"/>
          </w:tcPr>
          <w:p w14:paraId="6696C47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5534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1CC4476">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8</w:t>
            </w:r>
          </w:p>
        </w:tc>
        <w:tc>
          <w:tcPr>
            <w:tcW w:w="1709" w:type="dxa"/>
            <w:vAlign w:val="center"/>
          </w:tcPr>
          <w:p w14:paraId="036BEB6F">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PH值</w:t>
            </w:r>
          </w:p>
        </w:tc>
        <w:tc>
          <w:tcPr>
            <w:tcW w:w="2240" w:type="dxa"/>
            <w:vAlign w:val="center"/>
          </w:tcPr>
          <w:p w14:paraId="48AF0658">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7</w:t>
            </w:r>
          </w:p>
        </w:tc>
        <w:tc>
          <w:tcPr>
            <w:tcW w:w="2253" w:type="dxa"/>
            <w:vAlign w:val="center"/>
          </w:tcPr>
          <w:p w14:paraId="27C3E568">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w:t>
            </w:r>
            <w:r>
              <w:rPr>
                <w:rStyle w:val="168"/>
                <w:rFonts w:ascii="黑体" w:hAnsi="黑体" w:eastAsia="黑体"/>
                <w:bCs/>
                <w:kern w:val="0"/>
                <w:sz w:val="18"/>
                <w:szCs w:val="18"/>
              </w:rPr>
              <w:t>7</w:t>
            </w:r>
          </w:p>
        </w:tc>
        <w:tc>
          <w:tcPr>
            <w:tcW w:w="1134" w:type="dxa"/>
            <w:vAlign w:val="center"/>
          </w:tcPr>
          <w:p w14:paraId="0A2D672A">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2486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96DD86D">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9</w:t>
            </w:r>
          </w:p>
        </w:tc>
        <w:tc>
          <w:tcPr>
            <w:tcW w:w="1709" w:type="dxa"/>
            <w:vAlign w:val="center"/>
          </w:tcPr>
          <w:p w14:paraId="338534C3">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耐曝热性</w:t>
            </w:r>
          </w:p>
        </w:tc>
        <w:tc>
          <w:tcPr>
            <w:tcW w:w="2240" w:type="dxa"/>
            <w:vAlign w:val="center"/>
          </w:tcPr>
          <w:p w14:paraId="6B56C4B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720h试验后，涂层应无起层、脱落、空鼓、开裂现象，且隔热效率衰减量应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0EA2EAF5">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720h试验后，涂层应无起层、脱落、空鼓、开裂现象，且隔热效率衰减量应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40BDEBFA">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50A3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F9D4074">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10</w:t>
            </w:r>
          </w:p>
        </w:tc>
        <w:tc>
          <w:tcPr>
            <w:tcW w:w="1709" w:type="dxa"/>
            <w:vAlign w:val="center"/>
          </w:tcPr>
          <w:p w14:paraId="264278DF">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耐湿热性</w:t>
            </w:r>
          </w:p>
        </w:tc>
        <w:tc>
          <w:tcPr>
            <w:tcW w:w="2240" w:type="dxa"/>
            <w:vAlign w:val="center"/>
          </w:tcPr>
          <w:p w14:paraId="0BD530CE">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504h试验后，涂层应无起层、脱落现象，且隔热效率衰减量应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1BD6DEE3">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504h试验后，涂层应无起层、脱落现象，且隔热效率衰减量应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57D6E407">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1D05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F7D9D65">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11</w:t>
            </w:r>
          </w:p>
        </w:tc>
        <w:tc>
          <w:tcPr>
            <w:tcW w:w="1709" w:type="dxa"/>
            <w:vAlign w:val="center"/>
          </w:tcPr>
          <w:p w14:paraId="76666113">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耐冻融循环性</w:t>
            </w:r>
          </w:p>
        </w:tc>
        <w:tc>
          <w:tcPr>
            <w:tcW w:w="2240" w:type="dxa"/>
            <w:vAlign w:val="center"/>
          </w:tcPr>
          <w:p w14:paraId="542CF03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15次试验后，涂层应无开裂、脱落、起泡现象，且隔热效率衰减量应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2A043101">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15次试验后，涂层应无开裂、脱落、起泡现象，且隔热效率衰减量应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56FB9E3F">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35F7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91E077B">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12</w:t>
            </w:r>
          </w:p>
        </w:tc>
        <w:tc>
          <w:tcPr>
            <w:tcW w:w="1709" w:type="dxa"/>
            <w:vAlign w:val="center"/>
          </w:tcPr>
          <w:p w14:paraId="11FB094E">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耐酸性</w:t>
            </w:r>
          </w:p>
        </w:tc>
        <w:tc>
          <w:tcPr>
            <w:tcW w:w="2240" w:type="dxa"/>
            <w:vAlign w:val="center"/>
          </w:tcPr>
          <w:p w14:paraId="1E95682B">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360h试验后，涂层应无起层、脱落、开裂现象，且隔热效率衰减量应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6832981A">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360h试验后，涂层应无起层、脱落、开裂现象，且隔热效率衰减量应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3224A9A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1F16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73F08E">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13</w:t>
            </w:r>
          </w:p>
        </w:tc>
        <w:tc>
          <w:tcPr>
            <w:tcW w:w="1709" w:type="dxa"/>
            <w:vAlign w:val="center"/>
          </w:tcPr>
          <w:p w14:paraId="7A888B6D">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耐碱性</w:t>
            </w:r>
          </w:p>
        </w:tc>
        <w:tc>
          <w:tcPr>
            <w:tcW w:w="2240" w:type="dxa"/>
            <w:vAlign w:val="center"/>
          </w:tcPr>
          <w:p w14:paraId="4B16AE0A">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360h试验后，涂层应无起层、脱落、开裂现象，且隔热效率衰减量应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2D77ED67">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360h试验后，涂层应无起层、脱落、开裂现象，且隔热效率衰减量应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299115B9">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3BD7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BDA8D96">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14</w:t>
            </w:r>
          </w:p>
        </w:tc>
        <w:tc>
          <w:tcPr>
            <w:tcW w:w="1709" w:type="dxa"/>
            <w:vAlign w:val="center"/>
          </w:tcPr>
          <w:p w14:paraId="1909CCB5">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耐盐雾腐蚀性</w:t>
            </w:r>
          </w:p>
        </w:tc>
        <w:tc>
          <w:tcPr>
            <w:tcW w:w="2240" w:type="dxa"/>
            <w:vAlign w:val="center"/>
          </w:tcPr>
          <w:p w14:paraId="7DAE7555">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30次试验后，涂层应无起泡，明显的变质、软化现象，且隔热效率衰减量应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1AA443DA">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30次试验后，涂层应无起泡，明显的变质、软化现象，且隔热效率衰减量应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308DD069">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r w14:paraId="0A15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546BB72">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15</w:t>
            </w:r>
          </w:p>
        </w:tc>
        <w:tc>
          <w:tcPr>
            <w:tcW w:w="1709" w:type="dxa"/>
            <w:vAlign w:val="center"/>
          </w:tcPr>
          <w:p w14:paraId="589300ED">
            <w:pPr>
              <w:adjustRightInd w:val="0"/>
              <w:snapToGrid w:val="0"/>
              <w:spacing w:line="360" w:lineRule="auto"/>
              <w:jc w:val="left"/>
              <w:rPr>
                <w:rStyle w:val="168"/>
                <w:rFonts w:ascii="黑体" w:hAnsi="黑体" w:eastAsia="黑体"/>
                <w:bCs/>
                <w:kern w:val="0"/>
                <w:sz w:val="18"/>
                <w:szCs w:val="18"/>
              </w:rPr>
            </w:pPr>
            <w:r>
              <w:rPr>
                <w:rStyle w:val="168"/>
                <w:rFonts w:hint="eastAsia" w:ascii="黑体" w:hAnsi="黑体" w:eastAsia="黑体"/>
                <w:bCs/>
                <w:kern w:val="0"/>
                <w:sz w:val="18"/>
                <w:szCs w:val="18"/>
              </w:rPr>
              <w:t>耐紫外线辐照性</w:t>
            </w:r>
          </w:p>
        </w:tc>
        <w:tc>
          <w:tcPr>
            <w:tcW w:w="2240" w:type="dxa"/>
            <w:vAlign w:val="center"/>
          </w:tcPr>
          <w:p w14:paraId="677933F8">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60次试验后，涂层应无起层、开裂、粉化现象，且隔热效率衰减量应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2253" w:type="dxa"/>
            <w:vAlign w:val="center"/>
          </w:tcPr>
          <w:p w14:paraId="31D1C1D0">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60次试验后，涂层应无起层、开裂、粉化现象，且隔热效率衰减量应</w:t>
            </w:r>
            <w:r>
              <w:rPr>
                <w:rStyle w:val="168"/>
                <w:rFonts w:hint="eastAsia" w:ascii="黑体" w:hAnsi="黑体" w:eastAsia="黑体"/>
                <w:bCs/>
                <w:kern w:val="0"/>
                <w:sz w:val="18"/>
                <w:szCs w:val="18"/>
              </w:rPr>
              <w:t>≤</w:t>
            </w:r>
            <w:r>
              <w:rPr>
                <w:rStyle w:val="168"/>
                <w:rFonts w:ascii="黑体" w:hAnsi="黑体" w:eastAsia="黑体"/>
                <w:bCs/>
                <w:kern w:val="0"/>
                <w:sz w:val="18"/>
                <w:szCs w:val="18"/>
              </w:rPr>
              <w:t>35%</w:t>
            </w:r>
          </w:p>
        </w:tc>
        <w:tc>
          <w:tcPr>
            <w:tcW w:w="1134" w:type="dxa"/>
            <w:vAlign w:val="center"/>
          </w:tcPr>
          <w:p w14:paraId="151E6F73">
            <w:pPr>
              <w:adjustRightInd w:val="0"/>
              <w:snapToGrid w:val="0"/>
              <w:spacing w:line="360" w:lineRule="auto"/>
              <w:jc w:val="left"/>
              <w:rPr>
                <w:rStyle w:val="168"/>
                <w:rFonts w:ascii="黑体" w:hAnsi="黑体" w:eastAsia="黑体"/>
                <w:bCs/>
                <w:kern w:val="0"/>
                <w:sz w:val="18"/>
                <w:szCs w:val="18"/>
              </w:rPr>
            </w:pPr>
            <w:r>
              <w:rPr>
                <w:rStyle w:val="168"/>
                <w:rFonts w:ascii="黑体" w:hAnsi="黑体" w:eastAsia="黑体"/>
                <w:bCs/>
                <w:kern w:val="0"/>
                <w:sz w:val="18"/>
                <w:szCs w:val="18"/>
              </w:rPr>
              <w:t>GB 14907</w:t>
            </w:r>
          </w:p>
        </w:tc>
      </w:tr>
    </w:tbl>
    <w:p w14:paraId="48067CCE">
      <w:pPr>
        <w:adjustRightInd w:val="0"/>
        <w:snapToGrid w:val="0"/>
        <w:spacing w:line="360" w:lineRule="auto"/>
        <w:ind w:left="991" w:leftChars="472"/>
        <w:rPr>
          <w:rStyle w:val="168"/>
          <w:rFonts w:ascii="黑体" w:hAnsi="黑体" w:eastAsia="黑体"/>
          <w:bCs/>
          <w:kern w:val="0"/>
          <w:sz w:val="18"/>
          <w:szCs w:val="18"/>
        </w:rPr>
      </w:pPr>
      <w:r>
        <w:rPr>
          <w:rStyle w:val="168"/>
          <w:rFonts w:hint="eastAsia" w:ascii="黑体" w:hAnsi="黑体" w:eastAsia="黑体"/>
          <w:bCs/>
          <w:kern w:val="0"/>
          <w:sz w:val="18"/>
          <w:szCs w:val="18"/>
        </w:rPr>
        <w:t>注：隔热效率偏差只作为出厂检验项目；</w:t>
      </w:r>
      <w:r>
        <w:rPr>
          <w:rStyle w:val="168"/>
          <w:rFonts w:ascii="黑体" w:hAnsi="黑体" w:eastAsia="黑体"/>
          <w:bCs/>
          <w:kern w:val="0"/>
          <w:sz w:val="18"/>
          <w:szCs w:val="18"/>
        </w:rPr>
        <w:t>PH值只适用于水基性钢结构防火涂料。</w:t>
      </w:r>
      <w:r>
        <w:rPr>
          <w:rStyle w:val="168"/>
          <w:rFonts w:hint="eastAsia" w:ascii="黑体" w:hAnsi="黑体" w:eastAsia="黑体"/>
          <w:bCs/>
          <w:kern w:val="0"/>
          <w:sz w:val="18"/>
          <w:szCs w:val="18"/>
        </w:rPr>
        <w:t>另外，</w:t>
      </w:r>
      <w:r>
        <w:rPr>
          <w:rStyle w:val="168"/>
          <w:rFonts w:ascii="黑体" w:hAnsi="黑体" w:eastAsia="黑体"/>
          <w:bCs/>
          <w:kern w:val="0"/>
          <w:sz w:val="18"/>
          <w:szCs w:val="18"/>
        </w:rPr>
        <w:t>钢结构防火涂料的耐火性能应符合设计文件的规定。钢结构防火涂料涂层实干后不应有刺激性气味。</w:t>
      </w:r>
    </w:p>
    <w:p w14:paraId="3A4B552E">
      <w:pPr>
        <w:pStyle w:val="112"/>
        <w:rPr>
          <w:rStyle w:val="168"/>
        </w:rPr>
      </w:pPr>
      <w:r>
        <w:rPr>
          <w:rStyle w:val="168"/>
          <w:rFonts w:hint="eastAsia"/>
        </w:rPr>
        <w:t>钢结构防火涂料的选用应符合下列规定：</w:t>
      </w:r>
    </w:p>
    <w:p w14:paraId="3E552101">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钢构件的防火保护应根据使用环境、材料性能和耐火极限等要求选用防火涂料。</w:t>
      </w:r>
    </w:p>
    <w:p w14:paraId="38CA4606">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钢构件防火涂层的耐火极限不应低于建（构）筑物钢结构构件的设计耐火极限。</w:t>
      </w:r>
    </w:p>
    <w:p w14:paraId="2CB41175">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在生产、储存、使用过程中采用易燃、易爆产品的建（构）筑物，其钢结构防火保护应选用特种钢结构防火涂料。</w:t>
      </w:r>
    </w:p>
    <w:p w14:paraId="0A762813">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室外、半室外钢结构或室内潮湿部位的钢结构应选用室外钢结构防火涂料。</w:t>
      </w:r>
    </w:p>
    <w:p w14:paraId="29C0BC05">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室内裸露钢结构或薄壁型钢结构宜选用膨胀型钢结构防火涂料。</w:t>
      </w:r>
    </w:p>
    <w:p w14:paraId="286804D8">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设计耐火极限大于</w:t>
      </w:r>
      <w:r>
        <w:rPr>
          <w:rStyle w:val="168"/>
          <w:rFonts w:ascii="黑体" w:hAnsi="黑体" w:eastAsia="黑体"/>
          <w:bCs/>
          <w:kern w:val="0"/>
          <w:sz w:val="18"/>
          <w:szCs w:val="18"/>
        </w:rPr>
        <w:t>2.00h的钢构件，不宜选用膨胀型钢结构防火涂料。</w:t>
      </w:r>
    </w:p>
    <w:p w14:paraId="12F25CAF">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在不能停产的工业建（构）筑物或通风不良的施工环境中，应选用挥发性有机化合物含量低的环保型涂料。</w:t>
      </w:r>
    </w:p>
    <w:p w14:paraId="73EEBF51">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防火涂料应与防腐蚀涂料具有相容性。</w:t>
      </w:r>
    </w:p>
    <w:p w14:paraId="30E9589A">
      <w:pPr>
        <w:pStyle w:val="172"/>
        <w:numPr>
          <w:ilvl w:val="0"/>
          <w:numId w:val="36"/>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钢结构防火涂料应有产品质量证明文件和使用说明书，并应选择经国家检测机构检测合格的钢结构防火涂料。</w:t>
      </w:r>
    </w:p>
    <w:p w14:paraId="0CB5BBC6">
      <w:pPr>
        <w:pStyle w:val="112"/>
        <w:rPr>
          <w:rStyle w:val="168"/>
        </w:rPr>
      </w:pPr>
      <w:r>
        <w:rPr>
          <w:rStyle w:val="168"/>
          <w:rFonts w:hint="eastAsia"/>
        </w:rPr>
        <w:t>防火涂层</w:t>
      </w:r>
      <w:r>
        <w:rPr>
          <w:rStyle w:val="168"/>
        </w:rPr>
        <w:t>厚度要求</w:t>
      </w:r>
    </w:p>
    <w:p w14:paraId="7D8B236A">
      <w:pPr>
        <w:pStyle w:val="169"/>
        <w:numPr>
          <w:ilvl w:val="0"/>
          <w:numId w:val="37"/>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应根据标准耐火试验数据选定相应耐火极限的防火涂层厚度。膨胀型钢结构防火涂料的涂层厚度不应小于</w:t>
      </w:r>
      <w:r>
        <w:rPr>
          <w:rStyle w:val="168"/>
          <w:rFonts w:ascii="黑体" w:hAnsi="黑体" w:eastAsia="黑体"/>
          <w:kern w:val="0"/>
          <w:sz w:val="18"/>
          <w:szCs w:val="18"/>
        </w:rPr>
        <w:t>1.5mm，非膨胀型钢结构防火涂料的涂层厚度不应小于15mm。</w:t>
      </w:r>
    </w:p>
    <w:p w14:paraId="11AF4D72">
      <w:pPr>
        <w:pStyle w:val="169"/>
        <w:numPr>
          <w:ilvl w:val="0"/>
          <w:numId w:val="37"/>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钢构件的防火涂层厚度、耐火时间的设计和验收均应采取国家检验测试部门的防火保护系统耐火性能评估报告数据作为依据。</w:t>
      </w:r>
    </w:p>
    <w:p w14:paraId="2A0B8FE4">
      <w:pPr>
        <w:pStyle w:val="112"/>
        <w:rPr>
          <w:rStyle w:val="168"/>
        </w:rPr>
      </w:pPr>
      <w:r>
        <w:rPr>
          <w:rStyle w:val="168"/>
          <w:rFonts w:hint="eastAsia"/>
        </w:rPr>
        <w:t>防火涂层</w:t>
      </w:r>
      <w:r>
        <w:rPr>
          <w:rStyle w:val="168"/>
        </w:rPr>
        <w:t>构造要求</w:t>
      </w:r>
    </w:p>
    <w:p w14:paraId="434AC332">
      <w:pPr>
        <w:pStyle w:val="169"/>
        <w:numPr>
          <w:ilvl w:val="0"/>
          <w:numId w:val="38"/>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膨胀型钢结构防火涂料的涂层构造应符合下列规定：</w:t>
      </w:r>
    </w:p>
    <w:p w14:paraId="4B977DBC">
      <w:pPr>
        <w:pStyle w:val="172"/>
        <w:numPr>
          <w:ilvl w:val="0"/>
          <w:numId w:val="39"/>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涂层构造应包括防腐蚀底涂层、防腐蚀中间涂层、防火涂层和防腐蚀面涂层。</w:t>
      </w:r>
    </w:p>
    <w:p w14:paraId="1196BA09">
      <w:pPr>
        <w:pStyle w:val="172"/>
        <w:numPr>
          <w:ilvl w:val="0"/>
          <w:numId w:val="39"/>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在膨胀型钢结构防火涂料涂层表面上，不应采用对防火涂层膨胀性能有不良影响的防腐蚀面涂层。</w:t>
      </w:r>
    </w:p>
    <w:p w14:paraId="64564C44">
      <w:pPr>
        <w:pStyle w:val="172"/>
        <w:numPr>
          <w:ilvl w:val="0"/>
          <w:numId w:val="39"/>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膨胀型钢结构防火涂料涂层表面的防腐蚀面漆厚度不应过高，以免影响膨胀。</w:t>
      </w:r>
    </w:p>
    <w:p w14:paraId="6BFAA825">
      <w:pPr>
        <w:pStyle w:val="172"/>
        <w:numPr>
          <w:ilvl w:val="0"/>
          <w:numId w:val="39"/>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膨胀型钢结构防火涂料涂层与基层的粘结强度不应低于</w:t>
      </w:r>
      <w:r>
        <w:rPr>
          <w:rStyle w:val="168"/>
          <w:rFonts w:ascii="黑体" w:hAnsi="黑体" w:eastAsia="黑体"/>
          <w:bCs/>
          <w:kern w:val="0"/>
          <w:sz w:val="18"/>
          <w:szCs w:val="18"/>
        </w:rPr>
        <w:t>0.15MPa。</w:t>
      </w:r>
    </w:p>
    <w:p w14:paraId="5EA388FB">
      <w:pPr>
        <w:pStyle w:val="169"/>
        <w:numPr>
          <w:ilvl w:val="0"/>
          <w:numId w:val="38"/>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非膨胀型钢结构防火涂料的涂层构造应符合下列规定：</w:t>
      </w:r>
    </w:p>
    <w:p w14:paraId="43D64E16">
      <w:pPr>
        <w:pStyle w:val="172"/>
        <w:numPr>
          <w:ilvl w:val="0"/>
          <w:numId w:val="40"/>
        </w:numPr>
        <w:adjustRightInd w:val="0"/>
        <w:snapToGrid w:val="0"/>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涂层构造应包括防腐蚀底涂层、防腐蚀中间涂层、防火涂层。</w:t>
      </w:r>
    </w:p>
    <w:p w14:paraId="0EF2BCDA">
      <w:pPr>
        <w:pStyle w:val="172"/>
        <w:numPr>
          <w:ilvl w:val="0"/>
          <w:numId w:val="40"/>
        </w:numPr>
        <w:adjustRightInd w:val="0"/>
        <w:snapToGrid w:val="0"/>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非膨胀型钢结构防火涂料涂层与基层的粘结强度不应低于</w:t>
      </w:r>
      <w:r>
        <w:rPr>
          <w:rStyle w:val="168"/>
          <w:rFonts w:ascii="黑体" w:hAnsi="黑体" w:eastAsia="黑体"/>
          <w:bCs/>
          <w:kern w:val="0"/>
          <w:sz w:val="18"/>
          <w:szCs w:val="18"/>
        </w:rPr>
        <w:t>0.04MPa。</w:t>
      </w:r>
    </w:p>
    <w:p w14:paraId="56592E4C">
      <w:pPr>
        <w:pStyle w:val="172"/>
        <w:numPr>
          <w:ilvl w:val="0"/>
          <w:numId w:val="40"/>
        </w:numPr>
        <w:adjustRightInd w:val="0"/>
        <w:snapToGrid w:val="0"/>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非膨胀型钢结构防火涂料涂层有下列情况之一者，宜在涂层内设置与钢构件相连接的镀锌钢丝网：</w:t>
      </w:r>
    </w:p>
    <w:p w14:paraId="6F9FCA1F">
      <w:pPr>
        <w:pStyle w:val="173"/>
        <w:numPr>
          <w:ilvl w:val="0"/>
          <w:numId w:val="41"/>
        </w:numPr>
        <w:adjustRightInd w:val="0"/>
        <w:snapToGrid w:val="0"/>
        <w:ind w:left="993" w:leftChars="0"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钢构件承受冲击、震动荷载；</w:t>
      </w:r>
    </w:p>
    <w:p w14:paraId="113BD3A9">
      <w:pPr>
        <w:pStyle w:val="173"/>
        <w:numPr>
          <w:ilvl w:val="0"/>
          <w:numId w:val="41"/>
        </w:numPr>
        <w:adjustRightInd w:val="0"/>
        <w:snapToGrid w:val="0"/>
        <w:ind w:left="993" w:leftChars="0"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防火涂层的粘结强度不大于0.05MPa；</w:t>
      </w:r>
    </w:p>
    <w:p w14:paraId="5EAC74F5">
      <w:pPr>
        <w:pStyle w:val="173"/>
        <w:numPr>
          <w:ilvl w:val="0"/>
          <w:numId w:val="41"/>
        </w:numPr>
        <w:adjustRightInd w:val="0"/>
        <w:snapToGrid w:val="0"/>
        <w:ind w:left="993" w:leftChars="0"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钢构件的腹板高度大于500mm，且防火涂层厚度不小于30mm；</w:t>
      </w:r>
    </w:p>
    <w:p w14:paraId="1B499435">
      <w:pPr>
        <w:pStyle w:val="173"/>
        <w:numPr>
          <w:ilvl w:val="0"/>
          <w:numId w:val="41"/>
        </w:numPr>
        <w:adjustRightInd w:val="0"/>
        <w:snapToGrid w:val="0"/>
        <w:ind w:left="993" w:leftChars="0"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钢构件的腹板高度大于500mm，且防火涂层长期暴露在室外；</w:t>
      </w:r>
    </w:p>
    <w:p w14:paraId="250F55B7">
      <w:pPr>
        <w:pStyle w:val="173"/>
        <w:numPr>
          <w:ilvl w:val="0"/>
          <w:numId w:val="41"/>
        </w:numPr>
        <w:adjustRightInd w:val="0"/>
        <w:snapToGrid w:val="0"/>
        <w:ind w:left="993" w:leftChars="0"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防火涂层厚度大于25mm；</w:t>
      </w:r>
    </w:p>
    <w:p w14:paraId="341D8103">
      <w:pPr>
        <w:pStyle w:val="173"/>
        <w:numPr>
          <w:ilvl w:val="0"/>
          <w:numId w:val="41"/>
        </w:numPr>
        <w:adjustRightInd w:val="0"/>
        <w:snapToGrid w:val="0"/>
        <w:ind w:left="993" w:leftChars="0"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镀锌钢丝网的规格宜采用丝径φ0.5mm～φ1.5mm、网孔20mm</w:t>
      </w:r>
      <w:r>
        <w:rPr>
          <w:rStyle w:val="168"/>
          <w:rFonts w:hint="eastAsia" w:ascii="黑体" w:hAnsi="黑体" w:eastAsia="黑体"/>
          <w:bCs/>
          <w:kern w:val="0"/>
          <w:sz w:val="18"/>
          <w:szCs w:val="18"/>
        </w:rPr>
        <w:t>×</w:t>
      </w:r>
      <w:r>
        <w:rPr>
          <w:rStyle w:val="168"/>
          <w:rFonts w:ascii="黑体" w:hAnsi="黑体" w:eastAsia="黑体"/>
          <w:bCs/>
          <w:kern w:val="0"/>
          <w:sz w:val="18"/>
          <w:szCs w:val="18"/>
        </w:rPr>
        <w:t>20mm～50mm</w:t>
      </w:r>
      <w:r>
        <w:rPr>
          <w:rStyle w:val="168"/>
          <w:rFonts w:hint="eastAsia" w:ascii="黑体" w:hAnsi="黑体" w:eastAsia="黑体"/>
          <w:bCs/>
          <w:kern w:val="0"/>
          <w:sz w:val="18"/>
          <w:szCs w:val="18"/>
        </w:rPr>
        <w:t>×</w:t>
      </w:r>
      <w:r>
        <w:rPr>
          <w:rStyle w:val="168"/>
          <w:rFonts w:ascii="黑体" w:hAnsi="黑体" w:eastAsia="黑体"/>
          <w:bCs/>
          <w:kern w:val="0"/>
          <w:sz w:val="18"/>
          <w:szCs w:val="18"/>
        </w:rPr>
        <w:t>50mm。</w:t>
      </w:r>
    </w:p>
    <w:p w14:paraId="72D3C17F">
      <w:pPr>
        <w:pStyle w:val="169"/>
        <w:numPr>
          <w:ilvl w:val="0"/>
          <w:numId w:val="38"/>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用于钢构件表面的防腐蚀底层涂料和用于防火涂层表面的防腐蚀面层涂料均应与钢结构防火涂料相适应，并具有良好的结合力。</w:t>
      </w:r>
    </w:p>
    <w:p w14:paraId="73B165CC">
      <w:pPr>
        <w:pStyle w:val="169"/>
        <w:numPr>
          <w:ilvl w:val="0"/>
          <w:numId w:val="38"/>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钢构件</w:t>
      </w:r>
      <w:r>
        <w:rPr>
          <w:rStyle w:val="168"/>
          <w:rFonts w:ascii="黑体" w:hAnsi="黑体" w:eastAsia="黑体"/>
          <w:kern w:val="0"/>
          <w:sz w:val="18"/>
          <w:szCs w:val="18"/>
        </w:rPr>
        <w:t>在腐蚀环境下，防火涂层应按</w:t>
      </w:r>
      <w:r>
        <w:rPr>
          <w:rStyle w:val="168"/>
          <w:rFonts w:hint="eastAsia" w:ascii="黑体" w:hAnsi="黑体" w:eastAsia="黑体"/>
          <w:kern w:val="0"/>
          <w:sz w:val="18"/>
          <w:szCs w:val="18"/>
        </w:rPr>
        <w:t>下</w:t>
      </w:r>
      <w:r>
        <w:rPr>
          <w:rStyle w:val="168"/>
          <w:rFonts w:ascii="黑体" w:hAnsi="黑体" w:eastAsia="黑体"/>
          <w:kern w:val="0"/>
          <w:sz w:val="18"/>
          <w:szCs w:val="18"/>
        </w:rPr>
        <w:t>列</w:t>
      </w:r>
      <w:r>
        <w:rPr>
          <w:rStyle w:val="168"/>
          <w:rFonts w:hint="eastAsia" w:ascii="黑体" w:hAnsi="黑体" w:eastAsia="黑体"/>
          <w:kern w:val="0"/>
          <w:sz w:val="18"/>
          <w:szCs w:val="18"/>
        </w:rPr>
        <w:t>顺序</w:t>
      </w:r>
      <w:r>
        <w:rPr>
          <w:rStyle w:val="168"/>
          <w:rFonts w:ascii="黑体" w:hAnsi="黑体" w:eastAsia="黑体"/>
          <w:kern w:val="0"/>
          <w:sz w:val="18"/>
          <w:szCs w:val="18"/>
        </w:rPr>
        <w:t>涂装</w:t>
      </w:r>
      <w:r>
        <w:rPr>
          <w:rStyle w:val="168"/>
          <w:rFonts w:hint="eastAsia" w:ascii="黑体" w:hAnsi="黑体" w:eastAsia="黑体"/>
          <w:kern w:val="0"/>
          <w:sz w:val="18"/>
          <w:szCs w:val="18"/>
        </w:rPr>
        <w:t>：</w:t>
      </w:r>
    </w:p>
    <w:p w14:paraId="6C4AFB0B">
      <w:pPr>
        <w:pStyle w:val="172"/>
        <w:numPr>
          <w:ilvl w:val="0"/>
          <w:numId w:val="42"/>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先在钢构件表面涂覆防腐蚀底层涂料及防腐蚀中间层涂料。</w:t>
      </w:r>
    </w:p>
    <w:p w14:paraId="0B75A8E2">
      <w:pPr>
        <w:pStyle w:val="172"/>
        <w:numPr>
          <w:ilvl w:val="0"/>
          <w:numId w:val="42"/>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待防腐蚀涂层干燥固化后再涂覆钢结构防火涂料。</w:t>
      </w:r>
    </w:p>
    <w:p w14:paraId="6BC79285">
      <w:pPr>
        <w:pStyle w:val="172"/>
        <w:numPr>
          <w:ilvl w:val="0"/>
          <w:numId w:val="42"/>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待</w:t>
      </w:r>
      <w:r>
        <w:rPr>
          <w:rStyle w:val="168"/>
          <w:rFonts w:hint="eastAsia" w:ascii="黑体" w:hAnsi="黑体" w:eastAsia="黑体"/>
          <w:bCs/>
          <w:kern w:val="0"/>
          <w:sz w:val="18"/>
          <w:szCs w:val="18"/>
        </w:rPr>
        <w:t>防火涂层干燥固化后再涂覆防腐蚀面层涂料。</w:t>
      </w:r>
    </w:p>
    <w:p w14:paraId="77776C33">
      <w:pPr>
        <w:pStyle w:val="122"/>
        <w:rPr>
          <w:rStyle w:val="168"/>
        </w:rPr>
      </w:pPr>
      <w:r>
        <w:rPr>
          <w:rStyle w:val="168"/>
        </w:rPr>
        <w:t>施</w:t>
      </w:r>
      <w:r>
        <w:rPr>
          <w:rStyle w:val="168"/>
          <w:rFonts w:hint="eastAsia"/>
        </w:rPr>
        <w:t>工</w:t>
      </w:r>
      <w:r>
        <w:rPr>
          <w:rStyle w:val="168"/>
        </w:rPr>
        <w:t xml:space="preserve"> </w:t>
      </w:r>
    </w:p>
    <w:p w14:paraId="660AEAFF">
      <w:pPr>
        <w:pStyle w:val="112"/>
        <w:rPr>
          <w:rStyle w:val="168"/>
        </w:rPr>
      </w:pPr>
      <w:r>
        <w:rPr>
          <w:rStyle w:val="168"/>
          <w:rFonts w:hint="eastAsia"/>
        </w:rPr>
        <w:t>进场复检</w:t>
      </w:r>
    </w:p>
    <w:p w14:paraId="0A98BF62">
      <w:pPr>
        <w:pStyle w:val="51"/>
        <w:widowControl/>
        <w:numPr>
          <w:ilvl w:val="0"/>
          <w:numId w:val="43"/>
        </w:numPr>
        <w:adjustRightInd w:val="0"/>
        <w:snapToGrid w:val="0"/>
        <w:spacing w:line="360" w:lineRule="auto"/>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防</w:t>
      </w:r>
      <w:r>
        <w:rPr>
          <w:rStyle w:val="168"/>
          <w:rFonts w:ascii="黑体" w:hAnsi="黑体" w:eastAsia="黑体"/>
          <w:bCs/>
          <w:kern w:val="0"/>
          <w:sz w:val="18"/>
          <w:szCs w:val="18"/>
        </w:rPr>
        <w:t>火涂料产品进入施工现场后，应</w:t>
      </w:r>
      <w:r>
        <w:rPr>
          <w:rStyle w:val="168"/>
          <w:rFonts w:hint="eastAsia" w:ascii="黑体" w:hAnsi="黑体" w:eastAsia="黑体"/>
          <w:bCs/>
          <w:kern w:val="0"/>
          <w:sz w:val="18"/>
          <w:szCs w:val="18"/>
        </w:rPr>
        <w:t>进行抽样检验。抽样检验时，应</w:t>
      </w:r>
      <w:r>
        <w:rPr>
          <w:rStyle w:val="168"/>
          <w:rFonts w:ascii="黑体" w:hAnsi="黑体" w:eastAsia="黑体"/>
          <w:bCs/>
          <w:kern w:val="0"/>
          <w:sz w:val="18"/>
          <w:szCs w:val="18"/>
        </w:rPr>
        <w:t>由施工单位、涂料生产厂家及监理或建设单位三方在现场见证取样，送有资质的检测机构进行复检，复检合格后方可使用。</w:t>
      </w:r>
    </w:p>
    <w:p w14:paraId="1AD62C3C">
      <w:pPr>
        <w:pStyle w:val="51"/>
        <w:widowControl/>
        <w:numPr>
          <w:ilvl w:val="0"/>
          <w:numId w:val="43"/>
        </w:numPr>
        <w:adjustRightInd w:val="0"/>
        <w:snapToGrid w:val="0"/>
        <w:spacing w:line="360" w:lineRule="auto"/>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防火涂料产品进场后的抽样检验应符合下列规定：</w:t>
      </w:r>
    </w:p>
    <w:p w14:paraId="4C5C7BCA">
      <w:pPr>
        <w:pStyle w:val="51"/>
        <w:widowControl/>
        <w:numPr>
          <w:ilvl w:val="0"/>
          <w:numId w:val="4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抽样检验的数量应按涂料产品施工进货的生产批次确定，每一批次应抽检一次。检验项目应包括粘结强度、抗压强度、耐火性能等主要技术指标，并应符合设计文件和国家现行有关产品标准的规定。</w:t>
      </w:r>
    </w:p>
    <w:p w14:paraId="123590D8">
      <w:pPr>
        <w:pStyle w:val="51"/>
        <w:widowControl/>
        <w:numPr>
          <w:ilvl w:val="0"/>
          <w:numId w:val="4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当</w:t>
      </w:r>
      <w:r>
        <w:rPr>
          <w:rStyle w:val="168"/>
          <w:rFonts w:hint="eastAsia" w:ascii="黑体" w:hAnsi="黑体" w:eastAsia="黑体"/>
          <w:bCs/>
          <w:kern w:val="0"/>
          <w:sz w:val="18"/>
          <w:szCs w:val="18"/>
        </w:rPr>
        <w:t>抽样检验结果为不合格时，该生产批次的涂料产品不得使用。</w:t>
      </w:r>
    </w:p>
    <w:p w14:paraId="769A24BE">
      <w:pPr>
        <w:pStyle w:val="51"/>
        <w:widowControl/>
        <w:numPr>
          <w:ilvl w:val="0"/>
          <w:numId w:val="44"/>
        </w:numPr>
        <w:adjustRightInd w:val="0"/>
        <w:snapToGrid w:val="0"/>
        <w:spacing w:line="360" w:lineRule="auto"/>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钢结构防火涂料的品种、规格型号和理化性能应符合设计要求和国家现行有关产品标准的规定。</w:t>
      </w:r>
    </w:p>
    <w:p w14:paraId="5F8C059E">
      <w:pPr>
        <w:widowControl/>
        <w:adjustRightInd w:val="0"/>
        <w:snapToGrid w:val="0"/>
        <w:spacing w:line="360" w:lineRule="auto"/>
        <w:ind w:left="989" w:leftChars="203" w:hanging="563" w:hangingChars="313"/>
        <w:jc w:val="left"/>
        <w:rPr>
          <w:rStyle w:val="168"/>
          <w:rFonts w:ascii="黑体" w:hAnsi="黑体" w:eastAsia="黑体"/>
          <w:bCs/>
          <w:kern w:val="0"/>
          <w:sz w:val="18"/>
          <w:szCs w:val="18"/>
        </w:rPr>
      </w:pPr>
      <w:r>
        <w:rPr>
          <w:rStyle w:val="168"/>
          <w:rFonts w:hint="eastAsia" w:ascii="黑体" w:hAnsi="黑体" w:eastAsia="黑体"/>
          <w:bCs/>
          <w:kern w:val="0"/>
          <w:sz w:val="18"/>
          <w:szCs w:val="18"/>
        </w:rPr>
        <w:t xml:space="preserve">3） </w:t>
      </w:r>
      <w:r>
        <w:rPr>
          <w:rStyle w:val="168"/>
          <w:rFonts w:ascii="黑体" w:hAnsi="黑体" w:eastAsia="黑体"/>
          <w:bCs/>
          <w:kern w:val="0"/>
          <w:sz w:val="18"/>
          <w:szCs w:val="18"/>
        </w:rPr>
        <w:t xml:space="preserve">   贮存和保管</w:t>
      </w:r>
    </w:p>
    <w:p w14:paraId="76B9A281">
      <w:pPr>
        <w:pStyle w:val="51"/>
        <w:numPr>
          <w:ilvl w:val="0"/>
          <w:numId w:val="45"/>
        </w:numPr>
        <w:adjustRightInd w:val="0"/>
        <w:snapToGrid w:val="0"/>
        <w:spacing w:line="360" w:lineRule="auto"/>
        <w:ind w:left="993" w:firstLineChars="0"/>
        <w:rPr>
          <w:rStyle w:val="168"/>
          <w:rFonts w:ascii="黑体" w:hAnsi="黑体" w:eastAsia="黑体"/>
          <w:bCs/>
          <w:kern w:val="0"/>
          <w:sz w:val="18"/>
          <w:szCs w:val="18"/>
        </w:rPr>
      </w:pPr>
      <w:r>
        <w:rPr>
          <w:rStyle w:val="168"/>
          <w:rFonts w:ascii="黑体" w:hAnsi="黑体" w:eastAsia="黑体"/>
          <w:bCs/>
          <w:kern w:val="0"/>
          <w:sz w:val="18"/>
          <w:szCs w:val="18"/>
        </w:rPr>
        <w:t>防火涂料产品在运输时应防止雨淋、曝晒，</w:t>
      </w:r>
      <w:r>
        <w:rPr>
          <w:rStyle w:val="168"/>
          <w:rFonts w:hint="eastAsia" w:ascii="黑体" w:hAnsi="黑体" w:eastAsia="黑体"/>
          <w:bCs/>
          <w:kern w:val="0"/>
          <w:sz w:val="18"/>
          <w:szCs w:val="18"/>
        </w:rPr>
        <w:t>在装卸时应轻拿轻放，不得抛掷。</w:t>
      </w:r>
    </w:p>
    <w:p w14:paraId="436FD610">
      <w:pPr>
        <w:pStyle w:val="51"/>
        <w:numPr>
          <w:ilvl w:val="0"/>
          <w:numId w:val="45"/>
        </w:numPr>
        <w:adjustRightInd w:val="0"/>
        <w:snapToGrid w:val="0"/>
        <w:spacing w:line="360" w:lineRule="auto"/>
        <w:ind w:left="993" w:firstLineChars="0"/>
        <w:rPr>
          <w:rStyle w:val="168"/>
          <w:rFonts w:ascii="黑体" w:hAnsi="黑体" w:eastAsia="黑体"/>
          <w:bCs/>
          <w:kern w:val="0"/>
          <w:sz w:val="18"/>
          <w:szCs w:val="18"/>
        </w:rPr>
      </w:pPr>
      <w:r>
        <w:rPr>
          <w:rStyle w:val="168"/>
          <w:rFonts w:ascii="黑体" w:hAnsi="黑体" w:eastAsia="黑体"/>
          <w:bCs/>
          <w:kern w:val="0"/>
          <w:sz w:val="18"/>
          <w:szCs w:val="18"/>
        </w:rPr>
        <w:t>防火涂料产品</w:t>
      </w:r>
      <w:r>
        <w:rPr>
          <w:rStyle w:val="168"/>
          <w:rFonts w:hint="eastAsia" w:ascii="黑体" w:hAnsi="黑体" w:eastAsia="黑体"/>
          <w:bCs/>
          <w:kern w:val="0"/>
          <w:sz w:val="18"/>
          <w:szCs w:val="18"/>
        </w:rPr>
        <w:t>应存放在通风、干燥的仓库内。</w:t>
      </w:r>
      <w:r>
        <w:rPr>
          <w:rStyle w:val="168"/>
          <w:rFonts w:ascii="黑体" w:hAnsi="黑体" w:eastAsia="黑体"/>
          <w:bCs/>
          <w:kern w:val="0"/>
          <w:sz w:val="18"/>
          <w:szCs w:val="18"/>
        </w:rPr>
        <w:t>防火涂料</w:t>
      </w:r>
      <w:r>
        <w:rPr>
          <w:rStyle w:val="168"/>
          <w:rFonts w:hint="eastAsia" w:ascii="黑体" w:hAnsi="黑体" w:eastAsia="黑体"/>
          <w:bCs/>
          <w:kern w:val="0"/>
          <w:sz w:val="18"/>
          <w:szCs w:val="18"/>
        </w:rPr>
        <w:t>应按品种、规格型号分类存放。</w:t>
      </w:r>
    </w:p>
    <w:p w14:paraId="4346BD1F">
      <w:pPr>
        <w:pStyle w:val="51"/>
        <w:numPr>
          <w:ilvl w:val="0"/>
          <w:numId w:val="45"/>
        </w:numPr>
        <w:adjustRightInd w:val="0"/>
        <w:snapToGrid w:val="0"/>
        <w:spacing w:line="360" w:lineRule="auto"/>
        <w:ind w:left="993" w:firstLineChars="0"/>
        <w:rPr>
          <w:rStyle w:val="168"/>
          <w:rFonts w:ascii="黑体" w:hAnsi="黑体" w:eastAsia="黑体"/>
          <w:bCs/>
          <w:kern w:val="0"/>
          <w:sz w:val="18"/>
          <w:szCs w:val="18"/>
        </w:rPr>
      </w:pPr>
      <w:r>
        <w:rPr>
          <w:rStyle w:val="168"/>
          <w:rFonts w:hint="eastAsia" w:ascii="黑体" w:hAnsi="黑体" w:eastAsia="黑体"/>
          <w:bCs/>
          <w:kern w:val="0"/>
          <w:sz w:val="18"/>
          <w:szCs w:val="18"/>
        </w:rPr>
        <w:t>在保管中应根据涂料品种的不同，分别设置防潮、防水、防冻和防火等设施。</w:t>
      </w:r>
      <w:r>
        <w:rPr>
          <w:rStyle w:val="168"/>
          <w:rFonts w:ascii="黑体" w:hAnsi="黑体" w:eastAsia="黑体"/>
          <w:bCs/>
          <w:kern w:val="0"/>
          <w:sz w:val="18"/>
          <w:szCs w:val="18"/>
        </w:rPr>
        <w:t>防火涂料应在产品贮存期内使用</w:t>
      </w:r>
    </w:p>
    <w:p w14:paraId="5A95C04E">
      <w:pPr>
        <w:pStyle w:val="112"/>
        <w:rPr>
          <w:rStyle w:val="168"/>
        </w:rPr>
      </w:pPr>
      <w:r>
        <w:rPr>
          <w:rStyle w:val="168"/>
          <w:rFonts w:hint="eastAsia"/>
        </w:rPr>
        <w:t>防火涂层的施工</w:t>
      </w:r>
    </w:p>
    <w:p w14:paraId="72C743D8">
      <w:pPr>
        <w:pStyle w:val="169"/>
        <w:adjustRightInd w:val="0"/>
        <w:snapToGrid w:val="0"/>
        <w:ind w:left="989" w:leftChars="202" w:hanging="565" w:hangingChars="314"/>
        <w:jc w:val="left"/>
        <w:rPr>
          <w:rStyle w:val="168"/>
          <w:rFonts w:ascii="黑体" w:hAnsi="黑体" w:eastAsia="黑体"/>
          <w:kern w:val="0"/>
          <w:sz w:val="18"/>
          <w:szCs w:val="18"/>
        </w:rPr>
      </w:pPr>
      <w:r>
        <w:rPr>
          <w:rStyle w:val="168"/>
          <w:rFonts w:ascii="黑体" w:hAnsi="黑体" w:eastAsia="黑体"/>
          <w:kern w:val="0"/>
          <w:sz w:val="18"/>
          <w:szCs w:val="18"/>
        </w:rPr>
        <w:t>1</w:t>
      </w:r>
      <w:r>
        <w:rPr>
          <w:rStyle w:val="168"/>
          <w:rFonts w:hint="eastAsia" w:ascii="黑体" w:hAnsi="黑体" w:eastAsia="黑体"/>
          <w:kern w:val="0"/>
          <w:sz w:val="18"/>
          <w:szCs w:val="18"/>
        </w:rPr>
        <w:t xml:space="preserve">） </w:t>
      </w:r>
      <w:r>
        <w:rPr>
          <w:rStyle w:val="168"/>
          <w:rFonts w:ascii="黑体" w:hAnsi="黑体" w:eastAsia="黑体"/>
          <w:kern w:val="0"/>
          <w:sz w:val="18"/>
          <w:szCs w:val="18"/>
        </w:rPr>
        <w:t xml:space="preserve">   </w:t>
      </w:r>
      <w:r>
        <w:rPr>
          <w:rStyle w:val="168"/>
          <w:rFonts w:hint="eastAsia" w:ascii="黑体" w:hAnsi="黑体" w:eastAsia="黑体"/>
          <w:kern w:val="0"/>
          <w:sz w:val="18"/>
          <w:szCs w:val="18"/>
        </w:rPr>
        <w:t>施工准备</w:t>
      </w:r>
    </w:p>
    <w:p w14:paraId="2DA63143">
      <w:pPr>
        <w:pStyle w:val="169"/>
        <w:numPr>
          <w:ilvl w:val="0"/>
          <w:numId w:val="46"/>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钢结构防火涂料工程应由具有相应资质的施工单位或生产单位进行施工</w:t>
      </w:r>
      <w:r>
        <w:rPr>
          <w:rStyle w:val="168"/>
          <w:rFonts w:hint="eastAsia" w:ascii="黑体" w:hAnsi="黑体" w:eastAsia="黑体"/>
          <w:kern w:val="0"/>
          <w:sz w:val="18"/>
          <w:szCs w:val="18"/>
        </w:rPr>
        <w:t>。</w:t>
      </w:r>
    </w:p>
    <w:p w14:paraId="0319FF77">
      <w:pPr>
        <w:pStyle w:val="169"/>
        <w:numPr>
          <w:ilvl w:val="0"/>
          <w:numId w:val="46"/>
        </w:numPr>
        <w:adjustRightInd w:val="0"/>
        <w:snapToGrid w:val="0"/>
        <w:ind w:left="993"/>
        <w:jc w:val="left"/>
        <w:rPr>
          <w:rStyle w:val="168"/>
          <w:rFonts w:ascii="黑体" w:hAnsi="黑体" w:eastAsia="黑体"/>
          <w:kern w:val="0"/>
          <w:sz w:val="18"/>
          <w:szCs w:val="18"/>
        </w:rPr>
      </w:pPr>
      <w:r>
        <w:rPr>
          <w:rStyle w:val="168"/>
          <w:rFonts w:hint="eastAsia" w:ascii="黑体" w:hAnsi="黑体" w:eastAsia="黑体"/>
          <w:kern w:val="0"/>
          <w:sz w:val="18"/>
          <w:szCs w:val="18"/>
        </w:rPr>
        <w:t>钢结构防火涂料工程的施工准备应符合下列规定：</w:t>
      </w:r>
    </w:p>
    <w:p w14:paraId="42CCF075">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设计文件及相关技术文件应齐全，施工图纸已会审。</w:t>
      </w:r>
    </w:p>
    <w:p w14:paraId="60FDB160">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应编制施工方案，</w:t>
      </w:r>
      <w:r>
        <w:rPr>
          <w:rStyle w:val="168"/>
          <w:rFonts w:hint="eastAsia" w:ascii="黑体" w:hAnsi="黑体" w:eastAsia="黑体"/>
          <w:bCs/>
          <w:kern w:val="0"/>
          <w:sz w:val="18"/>
          <w:szCs w:val="18"/>
        </w:rPr>
        <w:t>并已批准实施；应对施工人员进行技术和安全交底。</w:t>
      </w:r>
    </w:p>
    <w:p w14:paraId="16FE1F45">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应对</w:t>
      </w:r>
      <w:r>
        <w:rPr>
          <w:rStyle w:val="168"/>
          <w:rFonts w:hint="eastAsia" w:ascii="黑体" w:hAnsi="黑体" w:eastAsia="黑体"/>
          <w:bCs/>
          <w:kern w:val="0"/>
          <w:sz w:val="18"/>
          <w:szCs w:val="18"/>
        </w:rPr>
        <w:t>施工人员进行安全教育和技术培训，且经考核合格。</w:t>
      </w:r>
    </w:p>
    <w:p w14:paraId="5DC360C1">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施工用水、电、气应能满足施工需求。</w:t>
      </w:r>
    </w:p>
    <w:p w14:paraId="73374D26">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施工机具应配备合理，且经调试、试运转正常；计量器具应配备齐全，且处于合格状态。</w:t>
      </w:r>
    </w:p>
    <w:p w14:paraId="7FD3E0B2">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防火涂料</w:t>
      </w:r>
      <w:r>
        <w:rPr>
          <w:rStyle w:val="168"/>
          <w:rFonts w:hint="eastAsia" w:ascii="黑体" w:hAnsi="黑体" w:eastAsia="黑体"/>
          <w:bCs/>
          <w:kern w:val="0"/>
          <w:sz w:val="18"/>
          <w:szCs w:val="18"/>
        </w:rPr>
        <w:t>已进入现场，并应检验合格。</w:t>
      </w:r>
    </w:p>
    <w:p w14:paraId="43D76C4E">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钢结构的制作和安装</w:t>
      </w:r>
      <w:r>
        <w:rPr>
          <w:rStyle w:val="168"/>
          <w:rFonts w:hint="eastAsia" w:ascii="黑体" w:hAnsi="黑体" w:eastAsia="黑体"/>
          <w:bCs/>
          <w:kern w:val="0"/>
          <w:sz w:val="18"/>
          <w:szCs w:val="18"/>
        </w:rPr>
        <w:t>工作应全部完成，并经检验合格后办理交接手续。</w:t>
      </w:r>
    </w:p>
    <w:p w14:paraId="0CDD07BF">
      <w:pPr>
        <w:pStyle w:val="172"/>
        <w:numPr>
          <w:ilvl w:val="0"/>
          <w:numId w:val="4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钢结构的基体表面处理及防腐蚀底涂层和中间涂层已施工完毕，并应检验合格。</w:t>
      </w:r>
    </w:p>
    <w:p w14:paraId="41DB53D8">
      <w:pPr>
        <w:pStyle w:val="169"/>
        <w:numPr>
          <w:ilvl w:val="0"/>
          <w:numId w:val="46"/>
        </w:numPr>
        <w:adjustRightInd w:val="0"/>
        <w:snapToGrid w:val="0"/>
        <w:ind w:left="993" w:hanging="426"/>
        <w:jc w:val="left"/>
        <w:rPr>
          <w:rStyle w:val="168"/>
          <w:rFonts w:ascii="黑体" w:hAnsi="黑体" w:eastAsia="黑体"/>
          <w:kern w:val="0"/>
          <w:sz w:val="18"/>
          <w:szCs w:val="18"/>
        </w:rPr>
      </w:pPr>
      <w:r>
        <w:rPr>
          <w:rStyle w:val="168"/>
          <w:rFonts w:hint="eastAsia" w:ascii="黑体" w:hAnsi="黑体" w:eastAsia="黑体"/>
          <w:kern w:val="0"/>
          <w:sz w:val="18"/>
          <w:szCs w:val="18"/>
        </w:rPr>
        <w:t>钢结构防火涂料施工的</w:t>
      </w:r>
      <w:r>
        <w:rPr>
          <w:rStyle w:val="168"/>
          <w:rFonts w:ascii="黑体" w:hAnsi="黑体" w:eastAsia="黑体"/>
          <w:kern w:val="0"/>
          <w:sz w:val="18"/>
          <w:szCs w:val="18"/>
        </w:rPr>
        <w:t>环境温度和相对湿度应符合涂料产品使用说明书的要求。当产品使用说明书无要求时，环境温度宜为5</w:t>
      </w:r>
      <w:r>
        <w:rPr>
          <w:rStyle w:val="168"/>
          <w:rFonts w:hint="eastAsia" w:ascii="黑体" w:hAnsi="黑体" w:eastAsia="黑体"/>
          <w:kern w:val="0"/>
          <w:sz w:val="18"/>
          <w:szCs w:val="18"/>
        </w:rPr>
        <w:t>℃</w:t>
      </w:r>
      <w:r>
        <w:rPr>
          <w:rStyle w:val="168"/>
          <w:rFonts w:ascii="黑体" w:hAnsi="黑体" w:eastAsia="黑体"/>
          <w:kern w:val="0"/>
          <w:sz w:val="18"/>
          <w:szCs w:val="18"/>
        </w:rPr>
        <w:t>～38</w:t>
      </w:r>
      <w:r>
        <w:rPr>
          <w:rStyle w:val="168"/>
          <w:rFonts w:hint="eastAsia" w:ascii="黑体" w:hAnsi="黑体" w:eastAsia="黑体"/>
          <w:kern w:val="0"/>
          <w:sz w:val="18"/>
          <w:szCs w:val="18"/>
        </w:rPr>
        <w:t>℃，</w:t>
      </w:r>
      <w:r>
        <w:rPr>
          <w:rStyle w:val="168"/>
          <w:rFonts w:ascii="黑体" w:hAnsi="黑体" w:eastAsia="黑体"/>
          <w:kern w:val="0"/>
          <w:sz w:val="18"/>
          <w:szCs w:val="18"/>
        </w:rPr>
        <w:t>相对湿度不宜大于80%，作业场所应</w:t>
      </w:r>
      <w:r>
        <w:rPr>
          <w:rStyle w:val="168"/>
          <w:rFonts w:hint="eastAsia" w:ascii="黑体" w:hAnsi="黑体" w:eastAsia="黑体"/>
          <w:kern w:val="0"/>
          <w:sz w:val="18"/>
          <w:szCs w:val="18"/>
        </w:rPr>
        <w:t>通风良好。</w:t>
      </w:r>
      <w:r>
        <w:rPr>
          <w:rStyle w:val="168"/>
          <w:rFonts w:ascii="黑体" w:hAnsi="黑体" w:eastAsia="黑体"/>
          <w:kern w:val="0"/>
          <w:sz w:val="18"/>
          <w:szCs w:val="18"/>
        </w:rPr>
        <w:t>当风速大于5m/s、雨雪天或钢构件表面有结露时，不宜作业</w:t>
      </w:r>
      <w:r>
        <w:rPr>
          <w:rStyle w:val="168"/>
          <w:rFonts w:hint="eastAsia" w:ascii="黑体" w:hAnsi="黑体" w:eastAsia="黑体"/>
          <w:kern w:val="0"/>
          <w:sz w:val="18"/>
          <w:szCs w:val="18"/>
        </w:rPr>
        <w:t>。</w:t>
      </w:r>
    </w:p>
    <w:p w14:paraId="02B746EA">
      <w:pPr>
        <w:pStyle w:val="169"/>
        <w:numPr>
          <w:ilvl w:val="0"/>
          <w:numId w:val="46"/>
        </w:numPr>
        <w:adjustRightInd w:val="0"/>
        <w:snapToGrid w:val="0"/>
        <w:ind w:left="993" w:hanging="426"/>
        <w:jc w:val="left"/>
        <w:rPr>
          <w:rStyle w:val="168"/>
          <w:rFonts w:ascii="黑体" w:hAnsi="黑体" w:eastAsia="黑体"/>
          <w:kern w:val="0"/>
          <w:sz w:val="18"/>
          <w:szCs w:val="18"/>
        </w:rPr>
      </w:pPr>
      <w:r>
        <w:rPr>
          <w:rStyle w:val="168"/>
          <w:rFonts w:hint="eastAsia" w:ascii="黑体" w:hAnsi="黑体" w:eastAsia="黑体"/>
          <w:kern w:val="0"/>
          <w:sz w:val="18"/>
          <w:szCs w:val="18"/>
        </w:rPr>
        <w:t>在钢结构防火涂料喷涂施工前应先进行试喷涂，试喷涂时要掌握好喷涂压力和喷涂距离，经确认无误后，方可开始大面积喷涂施工。</w:t>
      </w:r>
    </w:p>
    <w:p w14:paraId="7D7D56AE">
      <w:pPr>
        <w:pStyle w:val="169"/>
        <w:numPr>
          <w:ilvl w:val="0"/>
          <w:numId w:val="46"/>
        </w:numPr>
        <w:adjustRightInd w:val="0"/>
        <w:snapToGrid w:val="0"/>
        <w:ind w:left="993" w:hanging="426"/>
        <w:jc w:val="left"/>
        <w:rPr>
          <w:rStyle w:val="168"/>
          <w:rFonts w:ascii="黑体" w:hAnsi="黑体" w:eastAsia="黑体"/>
          <w:kern w:val="0"/>
          <w:sz w:val="18"/>
          <w:szCs w:val="18"/>
        </w:rPr>
      </w:pPr>
      <w:r>
        <w:rPr>
          <w:rStyle w:val="168"/>
          <w:rFonts w:ascii="黑体" w:hAnsi="黑体" w:eastAsia="黑体"/>
          <w:kern w:val="0"/>
          <w:sz w:val="18"/>
          <w:szCs w:val="18"/>
        </w:rPr>
        <w:t>在进行钢结构防火涂料</w:t>
      </w:r>
      <w:r>
        <w:rPr>
          <w:rStyle w:val="168"/>
          <w:rFonts w:hint="eastAsia" w:ascii="黑体" w:hAnsi="黑体" w:eastAsia="黑体"/>
          <w:kern w:val="0"/>
          <w:sz w:val="18"/>
          <w:szCs w:val="18"/>
        </w:rPr>
        <w:t>喷涂施工时，对钢构件周围已经安装完成的不需要作防火保护的设备、管道、墙面、门窗及其他设施应采取遮盖保护措施，防止被涂料污染。</w:t>
      </w:r>
    </w:p>
    <w:p w14:paraId="6E2214EE">
      <w:pPr>
        <w:pStyle w:val="169"/>
        <w:numPr>
          <w:ilvl w:val="0"/>
          <w:numId w:val="46"/>
        </w:numPr>
        <w:adjustRightInd w:val="0"/>
        <w:snapToGrid w:val="0"/>
        <w:ind w:left="993" w:hanging="426"/>
        <w:jc w:val="left"/>
        <w:rPr>
          <w:rStyle w:val="168"/>
          <w:rFonts w:ascii="黑体" w:hAnsi="黑体" w:eastAsia="黑体"/>
          <w:kern w:val="0"/>
          <w:sz w:val="18"/>
          <w:szCs w:val="18"/>
        </w:rPr>
      </w:pPr>
      <w:r>
        <w:rPr>
          <w:rStyle w:val="168"/>
          <w:rFonts w:hint="eastAsia" w:ascii="黑体" w:hAnsi="黑体" w:eastAsia="黑体"/>
          <w:kern w:val="0"/>
          <w:sz w:val="18"/>
          <w:szCs w:val="18"/>
        </w:rPr>
        <w:t>钢结构防火涂料的施工，应在保证不被后续工程所损坏</w:t>
      </w:r>
      <w:r>
        <w:rPr>
          <w:rStyle w:val="168"/>
          <w:rFonts w:ascii="黑体" w:hAnsi="黑体" w:eastAsia="黑体"/>
          <w:kern w:val="0"/>
          <w:sz w:val="18"/>
          <w:szCs w:val="18"/>
        </w:rPr>
        <w:t>的条件下进行。当对</w:t>
      </w:r>
      <w:r>
        <w:rPr>
          <w:rStyle w:val="168"/>
          <w:rFonts w:hint="eastAsia" w:ascii="黑体" w:hAnsi="黑体" w:eastAsia="黑体"/>
          <w:kern w:val="0"/>
          <w:sz w:val="18"/>
          <w:szCs w:val="18"/>
        </w:rPr>
        <w:t>室内钢结构进行防火保护施工时，应在室内装修之前进行。</w:t>
      </w:r>
    </w:p>
    <w:p w14:paraId="7603EDEC">
      <w:pPr>
        <w:pStyle w:val="169"/>
        <w:numPr>
          <w:ilvl w:val="0"/>
          <w:numId w:val="46"/>
        </w:numPr>
        <w:adjustRightInd w:val="0"/>
        <w:snapToGrid w:val="0"/>
        <w:ind w:left="993" w:hanging="426"/>
        <w:jc w:val="left"/>
        <w:rPr>
          <w:rStyle w:val="168"/>
          <w:rFonts w:ascii="黑体" w:hAnsi="黑体" w:eastAsia="黑体"/>
          <w:kern w:val="0"/>
          <w:sz w:val="18"/>
          <w:szCs w:val="18"/>
        </w:rPr>
      </w:pPr>
      <w:r>
        <w:rPr>
          <w:rStyle w:val="168"/>
          <w:rFonts w:ascii="黑体" w:hAnsi="黑体" w:eastAsia="黑体"/>
          <w:kern w:val="0"/>
          <w:sz w:val="18"/>
          <w:szCs w:val="18"/>
        </w:rPr>
        <w:t>施工完毕后的钢结构防火涂层，在涂料产品使用说明书规定的养护期内，应防止暴晒、雨淋、磕碰和被其他工序破坏。如有损坏，应及时进行修补。</w:t>
      </w:r>
    </w:p>
    <w:p w14:paraId="18AE74F1">
      <w:pPr>
        <w:ind w:left="989" w:leftChars="203" w:hanging="563" w:hangingChars="313"/>
        <w:rPr>
          <w:rStyle w:val="168"/>
          <w:rFonts w:ascii="黑体" w:hAnsi="黑体" w:eastAsia="黑体"/>
          <w:kern w:val="0"/>
          <w:sz w:val="18"/>
          <w:szCs w:val="18"/>
        </w:rPr>
      </w:pPr>
      <w:r>
        <w:rPr>
          <w:rStyle w:val="168"/>
          <w:rFonts w:ascii="黑体" w:hAnsi="黑体" w:eastAsia="黑体"/>
          <w:kern w:val="0"/>
          <w:sz w:val="18"/>
          <w:szCs w:val="18"/>
        </w:rPr>
        <w:t>2</w:t>
      </w:r>
      <w:r>
        <w:rPr>
          <w:rStyle w:val="168"/>
          <w:rFonts w:hint="eastAsia" w:ascii="黑体" w:hAnsi="黑体" w:eastAsia="黑体"/>
          <w:kern w:val="0"/>
          <w:sz w:val="18"/>
          <w:szCs w:val="18"/>
        </w:rPr>
        <w:t>）</w:t>
      </w:r>
      <w:r>
        <w:rPr>
          <w:rStyle w:val="168"/>
          <w:rFonts w:hint="eastAsia" w:ascii="黑体" w:hAnsi="黑体" w:eastAsia="黑体"/>
          <w:b/>
          <w:kern w:val="0"/>
          <w:sz w:val="18"/>
          <w:szCs w:val="18"/>
        </w:rPr>
        <w:t xml:space="preserve"> </w:t>
      </w:r>
      <w:r>
        <w:rPr>
          <w:rStyle w:val="168"/>
          <w:rFonts w:ascii="黑体" w:hAnsi="黑体" w:eastAsia="黑体"/>
          <w:b/>
          <w:kern w:val="0"/>
          <w:sz w:val="18"/>
          <w:szCs w:val="18"/>
        </w:rPr>
        <w:t xml:space="preserve">  </w:t>
      </w:r>
      <w:r>
        <w:rPr>
          <w:rStyle w:val="168"/>
          <w:rFonts w:hint="eastAsia" w:ascii="黑体" w:hAnsi="黑体" w:eastAsia="黑体"/>
          <w:kern w:val="0"/>
          <w:sz w:val="18"/>
          <w:szCs w:val="18"/>
        </w:rPr>
        <w:t>涂装施工</w:t>
      </w:r>
    </w:p>
    <w:p w14:paraId="11DBFA91">
      <w:pPr>
        <w:pStyle w:val="169"/>
        <w:numPr>
          <w:ilvl w:val="3"/>
          <w:numId w:val="48"/>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钢结构防火涂层施工应在钢结构防腐蚀底涂层和中间涂层的质量检验合格后进行，钢结构防火涂料涂装的基层应符合下列规定：</w:t>
      </w:r>
    </w:p>
    <w:p w14:paraId="43B45C0C">
      <w:pPr>
        <w:pStyle w:val="172"/>
        <w:numPr>
          <w:ilvl w:val="0"/>
          <w:numId w:val="49"/>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防腐蚀涂层的层数和厚度应符合</w:t>
      </w:r>
      <w:r>
        <w:rPr>
          <w:rStyle w:val="168"/>
          <w:rFonts w:hint="eastAsia" w:ascii="黑体" w:hAnsi="黑体" w:eastAsia="黑体"/>
          <w:bCs/>
          <w:kern w:val="0"/>
          <w:sz w:val="18"/>
          <w:szCs w:val="18"/>
        </w:rPr>
        <w:t>设计文件的规定。</w:t>
      </w:r>
    </w:p>
    <w:p w14:paraId="428E5184">
      <w:pPr>
        <w:pStyle w:val="172"/>
        <w:numPr>
          <w:ilvl w:val="0"/>
          <w:numId w:val="49"/>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防腐蚀涂层应</w:t>
      </w:r>
      <w:r>
        <w:rPr>
          <w:rStyle w:val="168"/>
          <w:rFonts w:hint="eastAsia" w:ascii="黑体" w:hAnsi="黑体" w:eastAsia="黑体"/>
          <w:bCs/>
          <w:kern w:val="0"/>
          <w:sz w:val="18"/>
          <w:szCs w:val="18"/>
        </w:rPr>
        <w:t>牢固完整、固化完全，无锈蚀和破损。</w:t>
      </w:r>
    </w:p>
    <w:p w14:paraId="08BA05FE">
      <w:pPr>
        <w:pStyle w:val="172"/>
        <w:numPr>
          <w:ilvl w:val="0"/>
          <w:numId w:val="49"/>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防腐蚀涂层表面的</w:t>
      </w:r>
      <w:r>
        <w:rPr>
          <w:rStyle w:val="168"/>
          <w:rFonts w:hint="eastAsia" w:ascii="黑体" w:hAnsi="黑体" w:eastAsia="黑体"/>
          <w:bCs/>
          <w:kern w:val="0"/>
          <w:sz w:val="18"/>
          <w:szCs w:val="18"/>
        </w:rPr>
        <w:t>灰尘、油脂、污物应清理干净，在涂覆防火涂料前应保持干燥和洁净，确保油漆和钢结构、涂料和油漆之间的附着力满足规范、标准要求。</w:t>
      </w:r>
    </w:p>
    <w:p w14:paraId="71E15E48">
      <w:pPr>
        <w:pStyle w:val="172"/>
        <w:numPr>
          <w:ilvl w:val="0"/>
          <w:numId w:val="49"/>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防腐蚀涂层表面较光洁部位宜用砂纸进行打毛处理，使表面有一定的粗糙度，以增强防火涂层与防腐蚀涂层之间的结合力。</w:t>
      </w:r>
    </w:p>
    <w:p w14:paraId="52424D5F">
      <w:pPr>
        <w:pStyle w:val="169"/>
        <w:numPr>
          <w:ilvl w:val="0"/>
          <w:numId w:val="50"/>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钢结构防火涂料的施工</w:t>
      </w:r>
      <w:r>
        <w:rPr>
          <w:rStyle w:val="168"/>
          <w:rFonts w:hint="eastAsia" w:ascii="黑体" w:hAnsi="黑体" w:eastAsia="黑体"/>
          <w:kern w:val="0"/>
          <w:sz w:val="18"/>
          <w:szCs w:val="18"/>
        </w:rPr>
        <w:t>应按照自上而下、从左到右、先里后外、先难后易的次序，纵横交错地进行。</w:t>
      </w:r>
    </w:p>
    <w:p w14:paraId="3A576F05">
      <w:pPr>
        <w:pStyle w:val="169"/>
        <w:numPr>
          <w:ilvl w:val="0"/>
          <w:numId w:val="50"/>
        </w:numPr>
        <w:adjustRightInd w:val="0"/>
        <w:snapToGrid w:val="0"/>
        <w:ind w:left="993"/>
        <w:jc w:val="left"/>
        <w:rPr>
          <w:rStyle w:val="168"/>
          <w:rFonts w:ascii="黑体" w:hAnsi="黑体" w:eastAsia="黑体"/>
          <w:kern w:val="0"/>
          <w:sz w:val="18"/>
          <w:szCs w:val="18"/>
        </w:rPr>
      </w:pPr>
      <w:r>
        <w:rPr>
          <w:rStyle w:val="168"/>
          <w:rFonts w:hint="eastAsia" w:ascii="黑体" w:hAnsi="黑体" w:eastAsia="黑体"/>
          <w:kern w:val="0"/>
          <w:sz w:val="18"/>
          <w:szCs w:val="18"/>
        </w:rPr>
        <w:t>施工完成的钢结构防火涂层厚度应符合设计规定的耐火极限要求。</w:t>
      </w:r>
    </w:p>
    <w:p w14:paraId="2EE01DFD">
      <w:pPr>
        <w:pStyle w:val="169"/>
        <w:adjustRightInd w:val="0"/>
        <w:snapToGrid w:val="0"/>
        <w:ind w:left="989" w:leftChars="203" w:hanging="563" w:hangingChars="313"/>
        <w:jc w:val="left"/>
        <w:rPr>
          <w:rStyle w:val="168"/>
          <w:rFonts w:ascii="黑体" w:hAnsi="黑体" w:eastAsia="黑体"/>
          <w:kern w:val="0"/>
          <w:sz w:val="18"/>
          <w:szCs w:val="18"/>
        </w:rPr>
      </w:pPr>
      <w:r>
        <w:rPr>
          <w:rStyle w:val="168"/>
          <w:rFonts w:hint="eastAsia" w:ascii="黑体" w:hAnsi="黑体" w:eastAsia="黑体"/>
          <w:kern w:val="0"/>
          <w:sz w:val="18"/>
          <w:szCs w:val="18"/>
        </w:rPr>
        <w:t xml:space="preserve">3） </w:t>
      </w:r>
      <w:r>
        <w:rPr>
          <w:rStyle w:val="168"/>
          <w:rFonts w:ascii="黑体" w:hAnsi="黑体" w:eastAsia="黑体"/>
          <w:kern w:val="0"/>
          <w:sz w:val="18"/>
          <w:szCs w:val="18"/>
        </w:rPr>
        <w:t xml:space="preserve">  水基</w:t>
      </w:r>
      <w:r>
        <w:rPr>
          <w:rStyle w:val="168"/>
          <w:rFonts w:hint="eastAsia" w:ascii="黑体" w:hAnsi="黑体" w:eastAsia="黑体"/>
          <w:kern w:val="0"/>
          <w:sz w:val="18"/>
          <w:szCs w:val="18"/>
        </w:rPr>
        <w:t>性膨胀型钢结构防火涂料的施工，应符合下列规定：</w:t>
      </w:r>
    </w:p>
    <w:p w14:paraId="03E4DA69">
      <w:pPr>
        <w:pStyle w:val="172"/>
        <w:numPr>
          <w:ilvl w:val="0"/>
          <w:numId w:val="5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水基性</w:t>
      </w:r>
      <w:r>
        <w:rPr>
          <w:rStyle w:val="168"/>
          <w:rFonts w:hint="eastAsia" w:ascii="黑体" w:hAnsi="黑体" w:eastAsia="黑体"/>
          <w:bCs/>
          <w:kern w:val="0"/>
          <w:sz w:val="18"/>
          <w:szCs w:val="18"/>
        </w:rPr>
        <w:t>膨胀</w:t>
      </w:r>
      <w:r>
        <w:rPr>
          <w:rStyle w:val="168"/>
          <w:rFonts w:ascii="黑体" w:hAnsi="黑体" w:eastAsia="黑体"/>
          <w:bCs/>
          <w:kern w:val="0"/>
          <w:sz w:val="18"/>
          <w:szCs w:val="18"/>
        </w:rPr>
        <w:t>型钢结构防火涂料宜采用喷涂方法进行施工。</w:t>
      </w:r>
      <w:r>
        <w:rPr>
          <w:rStyle w:val="168"/>
          <w:rFonts w:hint="eastAsia" w:ascii="黑体" w:hAnsi="黑体" w:eastAsia="黑体"/>
          <w:bCs/>
          <w:kern w:val="0"/>
          <w:sz w:val="18"/>
          <w:szCs w:val="18"/>
        </w:rPr>
        <w:t>喷涂施工时，</w:t>
      </w:r>
      <w:r>
        <w:rPr>
          <w:rStyle w:val="168"/>
          <w:rFonts w:ascii="黑体" w:hAnsi="黑体" w:eastAsia="黑体"/>
          <w:bCs/>
          <w:kern w:val="0"/>
          <w:sz w:val="18"/>
          <w:szCs w:val="18"/>
        </w:rPr>
        <w:t>宜采用重力式喷枪喷涂，喷</w:t>
      </w:r>
      <w:r>
        <w:rPr>
          <w:rStyle w:val="168"/>
          <w:rFonts w:hint="eastAsia" w:ascii="黑体" w:hAnsi="黑体" w:eastAsia="黑体"/>
          <w:bCs/>
          <w:kern w:val="0"/>
          <w:sz w:val="18"/>
          <w:szCs w:val="18"/>
        </w:rPr>
        <w:t>枪口</w:t>
      </w:r>
      <w:r>
        <w:rPr>
          <w:rStyle w:val="168"/>
          <w:rFonts w:ascii="黑体" w:hAnsi="黑体" w:eastAsia="黑体"/>
          <w:bCs/>
          <w:kern w:val="0"/>
          <w:sz w:val="18"/>
          <w:szCs w:val="18"/>
        </w:rPr>
        <w:t>直径宜为4mm～6mm，压力宜为0.4MPa</w:t>
      </w:r>
      <w:r>
        <w:rPr>
          <w:rStyle w:val="168"/>
          <w:rFonts w:hint="eastAsia" w:ascii="黑体" w:hAnsi="黑体" w:eastAsia="黑体"/>
          <w:bCs/>
          <w:kern w:val="0"/>
          <w:sz w:val="18"/>
          <w:szCs w:val="18"/>
        </w:rPr>
        <w:t>～</w:t>
      </w:r>
      <w:r>
        <w:rPr>
          <w:rStyle w:val="168"/>
          <w:rFonts w:ascii="黑体" w:hAnsi="黑体" w:eastAsia="黑体"/>
          <w:bCs/>
          <w:kern w:val="0"/>
          <w:sz w:val="18"/>
          <w:szCs w:val="18"/>
        </w:rPr>
        <w:t>0.6MPa。局部修补和小面积施工，在不具备喷涂条件时，可采用手</w:t>
      </w:r>
      <w:r>
        <w:rPr>
          <w:rStyle w:val="168"/>
          <w:rFonts w:hint="eastAsia" w:ascii="黑体" w:hAnsi="黑体" w:eastAsia="黑体"/>
          <w:bCs/>
          <w:kern w:val="0"/>
          <w:sz w:val="18"/>
          <w:szCs w:val="18"/>
        </w:rPr>
        <w:t>工涂抹方法。</w:t>
      </w:r>
    </w:p>
    <w:p w14:paraId="78D344C9">
      <w:pPr>
        <w:pStyle w:val="172"/>
        <w:numPr>
          <w:ilvl w:val="0"/>
          <w:numId w:val="51"/>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涂料应按产品使用说明书的规定进行调配，并应搅拌均匀。调配好的涂料应稠度适宜，以喷涂时不出现流淌或下坠现象为宜，必要时可加水进行稀释。</w:t>
      </w:r>
    </w:p>
    <w:p w14:paraId="6D4F8967">
      <w:pPr>
        <w:pStyle w:val="172"/>
        <w:numPr>
          <w:ilvl w:val="0"/>
          <w:numId w:val="5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喷涂施工应分层进行，依次完成。每道涂层的喷涂厚度宜为1mm～2mm，不应超过2.5mm，</w:t>
      </w:r>
      <w:r>
        <w:rPr>
          <w:rStyle w:val="168"/>
          <w:rFonts w:hint="eastAsia" w:ascii="黑体" w:hAnsi="黑体" w:eastAsia="黑体"/>
          <w:bCs/>
          <w:kern w:val="0"/>
          <w:sz w:val="18"/>
          <w:szCs w:val="18"/>
        </w:rPr>
        <w:t>直至达到设计规定厚度。</w:t>
      </w:r>
      <w:r>
        <w:rPr>
          <w:rStyle w:val="168"/>
          <w:rFonts w:ascii="黑体" w:hAnsi="黑体" w:eastAsia="黑体"/>
          <w:bCs/>
          <w:kern w:val="0"/>
          <w:sz w:val="18"/>
          <w:szCs w:val="18"/>
        </w:rPr>
        <w:t>涂料应按产品使用说明书规定的施工间隔进行施工，一般间隔时间宜为8h</w:t>
      </w:r>
      <w:r>
        <w:rPr>
          <w:rStyle w:val="168"/>
          <w:rFonts w:hint="eastAsia" w:ascii="黑体" w:hAnsi="黑体" w:eastAsia="黑体"/>
          <w:bCs/>
          <w:kern w:val="0"/>
          <w:sz w:val="18"/>
          <w:szCs w:val="18"/>
        </w:rPr>
        <w:t>～</w:t>
      </w:r>
      <w:r>
        <w:rPr>
          <w:rStyle w:val="168"/>
          <w:rFonts w:ascii="黑体" w:hAnsi="黑体" w:eastAsia="黑体"/>
          <w:bCs/>
          <w:kern w:val="0"/>
          <w:sz w:val="18"/>
          <w:szCs w:val="18"/>
        </w:rPr>
        <w:t>12h，应待前道涂层基本干燥固化后再喷涂下一道涂层。</w:t>
      </w:r>
    </w:p>
    <w:p w14:paraId="74901068">
      <w:pPr>
        <w:pStyle w:val="172"/>
        <w:numPr>
          <w:ilvl w:val="0"/>
          <w:numId w:val="51"/>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在喷涂施工过程中，应及时检测防火涂层厚度，确保达到设计规定厚度。</w:t>
      </w:r>
    </w:p>
    <w:p w14:paraId="5035851B">
      <w:pPr>
        <w:pStyle w:val="172"/>
        <w:numPr>
          <w:ilvl w:val="0"/>
          <w:numId w:val="5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当设计要求防火涂层表面平整时，应对最后一道防火涂层作抹平处理，确保防火涂层外表面均匀平整。</w:t>
      </w:r>
    </w:p>
    <w:p w14:paraId="79460AA8">
      <w:pPr>
        <w:pStyle w:val="172"/>
        <w:numPr>
          <w:ilvl w:val="0"/>
          <w:numId w:val="5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喷涂后的防火涂层应完整、厚度均匀，无漏涂、流挂、粉化、空鼓、脱落和裂纹等缺陷。</w:t>
      </w:r>
    </w:p>
    <w:p w14:paraId="40E2A3D6">
      <w:pPr>
        <w:pStyle w:val="169"/>
        <w:numPr>
          <w:ilvl w:val="0"/>
          <w:numId w:val="52"/>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溶剂性膨胀型钢结构防火涂料的施工，应符合下列规定：</w:t>
      </w:r>
    </w:p>
    <w:p w14:paraId="74AB8C3E">
      <w:pPr>
        <w:pStyle w:val="172"/>
        <w:numPr>
          <w:ilvl w:val="0"/>
          <w:numId w:val="5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溶剂性</w:t>
      </w:r>
      <w:r>
        <w:rPr>
          <w:rStyle w:val="168"/>
          <w:rFonts w:hint="eastAsia" w:ascii="黑体" w:hAnsi="黑体" w:eastAsia="黑体"/>
          <w:bCs/>
          <w:kern w:val="0"/>
          <w:sz w:val="18"/>
          <w:szCs w:val="18"/>
        </w:rPr>
        <w:t>膨胀</w:t>
      </w:r>
      <w:r>
        <w:rPr>
          <w:rStyle w:val="168"/>
          <w:rFonts w:ascii="黑体" w:hAnsi="黑体" w:eastAsia="黑体"/>
          <w:bCs/>
          <w:kern w:val="0"/>
          <w:sz w:val="18"/>
          <w:szCs w:val="18"/>
        </w:rPr>
        <w:t>型钢结构防火涂料可采用刷涂、滚涂或喷涂</w:t>
      </w:r>
      <w:r>
        <w:rPr>
          <w:rStyle w:val="168"/>
          <w:rFonts w:hint="eastAsia" w:ascii="黑体" w:hAnsi="黑体" w:eastAsia="黑体"/>
          <w:bCs/>
          <w:kern w:val="0"/>
          <w:sz w:val="18"/>
          <w:szCs w:val="18"/>
        </w:rPr>
        <w:t>方法</w:t>
      </w:r>
      <w:r>
        <w:rPr>
          <w:rStyle w:val="168"/>
          <w:rFonts w:ascii="黑体" w:hAnsi="黑体" w:eastAsia="黑体"/>
          <w:bCs/>
          <w:kern w:val="0"/>
          <w:sz w:val="18"/>
          <w:szCs w:val="18"/>
        </w:rPr>
        <w:t>进行施工。当采用重力式喷枪喷涂时，压力宜为0.4MPa～0.6MPa。</w:t>
      </w:r>
      <w:r>
        <w:rPr>
          <w:rStyle w:val="168"/>
          <w:rFonts w:hint="eastAsia" w:ascii="黑体" w:hAnsi="黑体" w:eastAsia="黑体"/>
          <w:bCs/>
          <w:kern w:val="0"/>
          <w:sz w:val="18"/>
          <w:szCs w:val="18"/>
        </w:rPr>
        <w:t>当采用高压无气喷涂时，压力应大于</w:t>
      </w:r>
      <w:r>
        <w:rPr>
          <w:rStyle w:val="168"/>
          <w:rFonts w:ascii="黑体" w:hAnsi="黑体" w:eastAsia="黑体"/>
          <w:bCs/>
          <w:kern w:val="0"/>
          <w:sz w:val="18"/>
          <w:szCs w:val="18"/>
        </w:rPr>
        <w:t>24.5MPa，喷嘴直径宜为0.8mm</w:t>
      </w:r>
      <w:r>
        <w:rPr>
          <w:rStyle w:val="168"/>
          <w:rFonts w:hint="eastAsia" w:ascii="黑体" w:hAnsi="黑体" w:eastAsia="黑体"/>
          <w:bCs/>
          <w:kern w:val="0"/>
          <w:sz w:val="18"/>
          <w:szCs w:val="18"/>
        </w:rPr>
        <w:t>～</w:t>
      </w:r>
      <w:r>
        <w:rPr>
          <w:rStyle w:val="168"/>
          <w:rFonts w:ascii="黑体" w:hAnsi="黑体" w:eastAsia="黑体"/>
          <w:bCs/>
          <w:kern w:val="0"/>
          <w:sz w:val="18"/>
          <w:szCs w:val="18"/>
        </w:rPr>
        <w:t>1.0mm。喷涂施工时，喷嘴应垂直于构件表面，喷枪应平行移动，运行速度应保持一致。</w:t>
      </w:r>
    </w:p>
    <w:p w14:paraId="160D64CC">
      <w:pPr>
        <w:pStyle w:val="172"/>
        <w:numPr>
          <w:ilvl w:val="0"/>
          <w:numId w:val="5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双组份的涂料，应按产品使用说明书的规定调配使用；单组份的涂料，应搅拌均匀后使用。</w:t>
      </w:r>
      <w:r>
        <w:rPr>
          <w:rStyle w:val="168"/>
          <w:rFonts w:hint="eastAsia" w:ascii="黑体" w:hAnsi="黑体" w:eastAsia="黑体"/>
          <w:bCs/>
          <w:kern w:val="0"/>
          <w:sz w:val="18"/>
          <w:szCs w:val="18"/>
        </w:rPr>
        <w:t>必要时，可用稀释剂调整涂料的稠度，以便于施工。</w:t>
      </w:r>
    </w:p>
    <w:p w14:paraId="043008D1">
      <w:pPr>
        <w:pStyle w:val="172"/>
        <w:numPr>
          <w:ilvl w:val="0"/>
          <w:numId w:val="53"/>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手工刷涂时，涂料会发生一段时间的湿边现象，并会引起表面不平滑。为了确保施工的涂层平滑完整，为防腐蚀面层涂料的施工创造良好的表面，必要时可加入适量的稀释剂。</w:t>
      </w:r>
    </w:p>
    <w:p w14:paraId="65879159">
      <w:pPr>
        <w:pStyle w:val="172"/>
        <w:numPr>
          <w:ilvl w:val="0"/>
          <w:numId w:val="5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涂料的施工应分层涂覆，依次完成。涂料应按产品使用说明书规定的施工间隔进行涂覆，</w:t>
      </w:r>
      <w:r>
        <w:rPr>
          <w:rStyle w:val="168"/>
          <w:rFonts w:hint="eastAsia" w:ascii="黑体" w:hAnsi="黑体" w:eastAsia="黑体"/>
          <w:bCs/>
          <w:kern w:val="0"/>
          <w:sz w:val="18"/>
          <w:szCs w:val="18"/>
        </w:rPr>
        <w:t>一般间隔时间宜为</w:t>
      </w:r>
      <w:r>
        <w:rPr>
          <w:rStyle w:val="168"/>
          <w:rFonts w:ascii="黑体" w:hAnsi="黑体" w:eastAsia="黑体"/>
          <w:bCs/>
          <w:kern w:val="0"/>
          <w:sz w:val="18"/>
          <w:szCs w:val="18"/>
        </w:rPr>
        <w:t>12h，应待前道涂层基本干燥固化后再涂覆下一道涂层。一般首道涂层的施工厚度宜为0.2mm～0.3mm，以后各道涂层的施工厚度宜控制在0.5mm左右，</w:t>
      </w:r>
      <w:r>
        <w:rPr>
          <w:rStyle w:val="168"/>
          <w:rFonts w:hint="eastAsia" w:ascii="黑体" w:hAnsi="黑体" w:eastAsia="黑体"/>
          <w:bCs/>
          <w:kern w:val="0"/>
          <w:sz w:val="18"/>
          <w:szCs w:val="18"/>
        </w:rPr>
        <w:t>直至达到设计规定厚度。</w:t>
      </w:r>
    </w:p>
    <w:p w14:paraId="26C558B2">
      <w:pPr>
        <w:pStyle w:val="172"/>
        <w:numPr>
          <w:ilvl w:val="0"/>
          <w:numId w:val="5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在施工过程中，应及时检测防火涂层厚度，确保达到设计规定厚度。</w:t>
      </w:r>
    </w:p>
    <w:p w14:paraId="3DA2FA41">
      <w:pPr>
        <w:pStyle w:val="172"/>
        <w:numPr>
          <w:ilvl w:val="0"/>
          <w:numId w:val="5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施工后的防火涂层应完整、厚度均匀、色泽一致，不应出现漏涂、流挂、粉化、空鼓、起</w:t>
      </w:r>
      <w:r>
        <w:rPr>
          <w:rStyle w:val="168"/>
          <w:rFonts w:hint="eastAsia" w:ascii="黑体" w:hAnsi="黑体" w:eastAsia="黑体"/>
          <w:bCs/>
          <w:kern w:val="0"/>
          <w:sz w:val="18"/>
          <w:szCs w:val="18"/>
        </w:rPr>
        <w:t>泡、</w:t>
      </w:r>
      <w:r>
        <w:rPr>
          <w:rStyle w:val="168"/>
          <w:rFonts w:ascii="黑体" w:hAnsi="黑体" w:eastAsia="黑体"/>
          <w:bCs/>
          <w:kern w:val="0"/>
          <w:sz w:val="18"/>
          <w:szCs w:val="18"/>
        </w:rPr>
        <w:t>脱落和裂纹等缺陷。</w:t>
      </w:r>
    </w:p>
    <w:p w14:paraId="68B7281E">
      <w:pPr>
        <w:pStyle w:val="169"/>
        <w:numPr>
          <w:ilvl w:val="0"/>
          <w:numId w:val="54"/>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非膨胀型钢结构防火涂料的施工，应符合下列规定：</w:t>
      </w:r>
    </w:p>
    <w:p w14:paraId="7BA302B6">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非膨胀型钢结构防火涂料</w:t>
      </w:r>
      <w:r>
        <w:rPr>
          <w:rStyle w:val="168"/>
          <w:rFonts w:ascii="黑体" w:hAnsi="黑体" w:eastAsia="黑体"/>
          <w:bCs/>
          <w:kern w:val="0"/>
          <w:sz w:val="18"/>
          <w:szCs w:val="18"/>
        </w:rPr>
        <w:t>宜采用压送式喷涂机进行喷涂施工，当压力为0.4MPa～0.6MPa时，喷枪口直径宜为6mm～10mm。也可采用手工抹涂方法进行施工。</w:t>
      </w:r>
    </w:p>
    <w:p w14:paraId="5D9E3BC7">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在</w:t>
      </w:r>
      <w:r>
        <w:rPr>
          <w:rStyle w:val="168"/>
          <w:rFonts w:hint="eastAsia" w:ascii="黑体" w:hAnsi="黑体" w:eastAsia="黑体"/>
          <w:bCs/>
          <w:kern w:val="0"/>
          <w:sz w:val="18"/>
          <w:szCs w:val="18"/>
        </w:rPr>
        <w:t>进行非膨胀型钢结构防火涂料施工前，如设计规定需要焊接锚固件，应先打磨除去焊接部位的防腐蚀底涂层和中间涂层，再进行焊接工作。焊接完成后应将焊缝部位清理干净，并涂刷防腐蚀底层涂料和中间层涂料。不得直接在防腐蚀底涂层或中间涂层上焊接锚固件。</w:t>
      </w:r>
    </w:p>
    <w:p w14:paraId="213C32B9">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涂料的调配应严格按产品使用说明书规定的配合比加料或加稀释剂，并应搅拌均匀，使涂料稠度适宜。</w:t>
      </w:r>
      <w:r>
        <w:rPr>
          <w:rStyle w:val="168"/>
          <w:rFonts w:hint="eastAsia" w:ascii="黑体" w:hAnsi="黑体" w:eastAsia="黑体"/>
          <w:bCs/>
          <w:kern w:val="0"/>
          <w:sz w:val="18"/>
          <w:szCs w:val="18"/>
        </w:rPr>
        <w:t>双组份的涂料，应先将液体组份放入搅拌器内搅拌</w:t>
      </w:r>
      <w:r>
        <w:rPr>
          <w:rStyle w:val="168"/>
          <w:rFonts w:ascii="黑体" w:hAnsi="黑体" w:eastAsia="黑体"/>
          <w:bCs/>
          <w:kern w:val="0"/>
          <w:sz w:val="18"/>
          <w:szCs w:val="18"/>
        </w:rPr>
        <w:t>3min</w:t>
      </w:r>
      <w:r>
        <w:rPr>
          <w:rStyle w:val="168"/>
          <w:rFonts w:hint="eastAsia" w:ascii="黑体" w:hAnsi="黑体" w:eastAsia="黑体"/>
          <w:bCs/>
          <w:kern w:val="0"/>
          <w:sz w:val="18"/>
          <w:szCs w:val="18"/>
        </w:rPr>
        <w:t>～</w:t>
      </w:r>
      <w:r>
        <w:rPr>
          <w:rStyle w:val="168"/>
          <w:rFonts w:ascii="黑体" w:hAnsi="黑体" w:eastAsia="黑体"/>
          <w:bCs/>
          <w:kern w:val="0"/>
          <w:sz w:val="18"/>
          <w:szCs w:val="18"/>
        </w:rPr>
        <w:t>5min，再加入粉料，并按配比加入水后搅拌均匀，搅拌时间宜控制在10min以内；单组份的涂料，只需在使用前搅拌均匀即可，不得随意加水稀释。调配好的涂料应在规定时间内用完</w:t>
      </w:r>
      <w:r>
        <w:rPr>
          <w:rStyle w:val="168"/>
          <w:rFonts w:hint="eastAsia" w:ascii="黑体" w:hAnsi="黑体" w:eastAsia="黑体"/>
          <w:bCs/>
          <w:kern w:val="0"/>
          <w:sz w:val="18"/>
          <w:szCs w:val="18"/>
        </w:rPr>
        <w:t>，以防涂料固化变质</w:t>
      </w:r>
      <w:r>
        <w:rPr>
          <w:rStyle w:val="168"/>
          <w:rFonts w:ascii="黑体" w:hAnsi="黑体" w:eastAsia="黑体"/>
          <w:bCs/>
          <w:kern w:val="0"/>
          <w:sz w:val="18"/>
          <w:szCs w:val="18"/>
        </w:rPr>
        <w:t>。</w:t>
      </w:r>
    </w:p>
    <w:p w14:paraId="64852681">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涂料的施工应分层进行，依次完成。每道涂层的施工厚度不宜过厚，应在前道涂层基本干燥固化后方可进行下一道涂层的施工，</w:t>
      </w:r>
      <w:r>
        <w:rPr>
          <w:rStyle w:val="168"/>
          <w:rFonts w:hint="eastAsia" w:ascii="黑体" w:hAnsi="黑体" w:eastAsia="黑体"/>
          <w:bCs/>
          <w:kern w:val="0"/>
          <w:sz w:val="18"/>
          <w:szCs w:val="18"/>
        </w:rPr>
        <w:t>直至达到设计规定厚度。当采用喷涂方法进行施工时，首道涂层的喷涂厚度宜为</w:t>
      </w:r>
      <w:r>
        <w:rPr>
          <w:rStyle w:val="168"/>
          <w:rFonts w:ascii="黑体" w:hAnsi="黑体" w:eastAsia="黑体"/>
          <w:bCs/>
          <w:kern w:val="0"/>
          <w:sz w:val="18"/>
          <w:szCs w:val="18"/>
        </w:rPr>
        <w:t>4mm～5mm，以后各道涂层的喷涂厚度不宜超过10mm；当</w:t>
      </w:r>
      <w:r>
        <w:rPr>
          <w:rStyle w:val="168"/>
          <w:rFonts w:hint="eastAsia" w:ascii="黑体" w:hAnsi="黑体" w:eastAsia="黑体"/>
          <w:bCs/>
          <w:kern w:val="0"/>
          <w:sz w:val="18"/>
          <w:szCs w:val="18"/>
        </w:rPr>
        <w:t>采用手工抹涂方法进行施工时，每道涂层的抹涂厚度宜控制在</w:t>
      </w:r>
      <w:r>
        <w:rPr>
          <w:rStyle w:val="168"/>
          <w:rFonts w:ascii="黑体" w:hAnsi="黑体" w:eastAsia="黑体"/>
          <w:bCs/>
          <w:kern w:val="0"/>
          <w:sz w:val="18"/>
          <w:szCs w:val="18"/>
        </w:rPr>
        <w:t>8mm</w:t>
      </w:r>
      <w:r>
        <w:rPr>
          <w:rStyle w:val="168"/>
          <w:rFonts w:hint="eastAsia" w:ascii="黑体" w:hAnsi="黑体" w:eastAsia="黑体"/>
          <w:bCs/>
          <w:kern w:val="0"/>
          <w:sz w:val="18"/>
          <w:szCs w:val="18"/>
        </w:rPr>
        <w:t>以内。</w:t>
      </w:r>
    </w:p>
    <w:p w14:paraId="4FE8C4A0">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在施工过程中，应及时检测防火涂层厚度，确保达到设计规定厚度。</w:t>
      </w:r>
    </w:p>
    <w:p w14:paraId="746D875F">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防火涂层的拐角可做成直角形或半径为</w:t>
      </w:r>
      <w:r>
        <w:rPr>
          <w:rStyle w:val="168"/>
          <w:rFonts w:ascii="黑体" w:hAnsi="黑体" w:eastAsia="黑体"/>
          <w:bCs/>
          <w:kern w:val="0"/>
          <w:sz w:val="18"/>
          <w:szCs w:val="18"/>
        </w:rPr>
        <w:t>10mm的圆弧形。</w:t>
      </w:r>
    </w:p>
    <w:p w14:paraId="630B4D19">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当设计要求防火涂层表面平整时，应对最后一道防火涂层作抹平处理，确保防火涂层外表面均匀平整。</w:t>
      </w:r>
    </w:p>
    <w:p w14:paraId="18BEF48A">
      <w:pPr>
        <w:pStyle w:val="172"/>
        <w:numPr>
          <w:ilvl w:val="0"/>
          <w:numId w:val="5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施工后的防火涂层应完整、厚度均匀，无漏涂、流挂、粉化、空鼓和脱落等缺陷。允许出现个别裂纹，其宽度不应大于0.5mm、长度不应大于1m，</w:t>
      </w:r>
      <w:r>
        <w:rPr>
          <w:rStyle w:val="168"/>
          <w:rFonts w:hint="eastAsia" w:ascii="黑体" w:hAnsi="黑体" w:eastAsia="黑体"/>
          <w:bCs/>
          <w:kern w:val="0"/>
          <w:sz w:val="18"/>
          <w:szCs w:val="18"/>
        </w:rPr>
        <w:t>且裂纹数量不应大于</w:t>
      </w:r>
      <w:r>
        <w:rPr>
          <w:rStyle w:val="168"/>
          <w:rFonts w:ascii="黑体" w:hAnsi="黑体" w:eastAsia="黑体"/>
          <w:bCs/>
          <w:kern w:val="0"/>
          <w:sz w:val="18"/>
          <w:szCs w:val="18"/>
        </w:rPr>
        <w:t>3条，否则应进行修补。</w:t>
      </w:r>
    </w:p>
    <w:p w14:paraId="1F6F25FB">
      <w:pPr>
        <w:pStyle w:val="169"/>
        <w:adjustRightInd w:val="0"/>
        <w:snapToGrid w:val="0"/>
        <w:ind w:left="989" w:leftChars="203" w:hanging="563" w:hangingChars="313"/>
        <w:jc w:val="left"/>
        <w:rPr>
          <w:rStyle w:val="168"/>
          <w:rFonts w:ascii="黑体" w:hAnsi="黑体" w:eastAsia="黑体"/>
          <w:kern w:val="0"/>
          <w:sz w:val="18"/>
          <w:szCs w:val="18"/>
        </w:rPr>
      </w:pPr>
      <w:r>
        <w:rPr>
          <w:rStyle w:val="168"/>
          <w:rFonts w:hint="eastAsia" w:ascii="黑体" w:hAnsi="黑体" w:eastAsia="黑体"/>
          <w:kern w:val="0"/>
          <w:sz w:val="18"/>
          <w:szCs w:val="18"/>
        </w:rPr>
        <w:t xml:space="preserve">6） </w:t>
      </w:r>
      <w:r>
        <w:rPr>
          <w:rStyle w:val="168"/>
          <w:rFonts w:ascii="黑体" w:hAnsi="黑体" w:eastAsia="黑体"/>
          <w:kern w:val="0"/>
          <w:sz w:val="18"/>
          <w:szCs w:val="18"/>
        </w:rPr>
        <w:t xml:space="preserve">  当防火涂层表面需要防腐蚀面涂层时，防腐蚀面层涂料的施工应符合下列规定：</w:t>
      </w:r>
    </w:p>
    <w:p w14:paraId="4E742287">
      <w:pPr>
        <w:pStyle w:val="172"/>
        <w:numPr>
          <w:ilvl w:val="0"/>
          <w:numId w:val="56"/>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防腐蚀面层涂料的施工应在钢结构防火涂层的质量检验合格后进行。</w:t>
      </w:r>
    </w:p>
    <w:p w14:paraId="20C8AA33">
      <w:pPr>
        <w:pStyle w:val="172"/>
        <w:numPr>
          <w:ilvl w:val="0"/>
          <w:numId w:val="56"/>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钢结构防火涂层应固化完全，表面应干燥、洁净，无灰尘和污物。</w:t>
      </w:r>
    </w:p>
    <w:p w14:paraId="663E6362">
      <w:pPr>
        <w:pStyle w:val="172"/>
        <w:numPr>
          <w:ilvl w:val="0"/>
          <w:numId w:val="56"/>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防腐蚀面层涂料可采用刷涂、滚涂或喷涂</w:t>
      </w:r>
      <w:r>
        <w:rPr>
          <w:rStyle w:val="168"/>
          <w:rFonts w:hint="eastAsia" w:ascii="黑体" w:hAnsi="黑体" w:eastAsia="黑体"/>
          <w:bCs/>
          <w:kern w:val="0"/>
          <w:sz w:val="18"/>
          <w:szCs w:val="18"/>
        </w:rPr>
        <w:t>方法</w:t>
      </w:r>
      <w:r>
        <w:rPr>
          <w:rStyle w:val="168"/>
          <w:rFonts w:ascii="黑体" w:hAnsi="黑体" w:eastAsia="黑体"/>
          <w:bCs/>
          <w:kern w:val="0"/>
          <w:sz w:val="18"/>
          <w:szCs w:val="18"/>
        </w:rPr>
        <w:t>进行施工。</w:t>
      </w:r>
    </w:p>
    <w:p w14:paraId="16CB2FCF">
      <w:pPr>
        <w:pStyle w:val="172"/>
        <w:numPr>
          <w:ilvl w:val="0"/>
          <w:numId w:val="56"/>
        </w:numPr>
        <w:adjustRightInd w:val="0"/>
        <w:snapToGrid w:val="0"/>
        <w:ind w:left="993" w:hanging="567" w:firstLineChars="0"/>
        <w:jc w:val="left"/>
        <w:rPr>
          <w:rStyle w:val="168"/>
          <w:rFonts w:ascii="黑体" w:hAnsi="黑体" w:eastAsia="黑体"/>
          <w:kern w:val="0"/>
          <w:sz w:val="18"/>
          <w:szCs w:val="18"/>
        </w:rPr>
      </w:pPr>
      <w:r>
        <w:rPr>
          <w:rStyle w:val="168"/>
          <w:rFonts w:ascii="黑体" w:hAnsi="黑体" w:eastAsia="黑体"/>
          <w:bCs/>
          <w:kern w:val="0"/>
          <w:sz w:val="18"/>
          <w:szCs w:val="18"/>
        </w:rPr>
        <w:t>施工后的防腐蚀面涂层的层数和厚度应符合</w:t>
      </w:r>
      <w:r>
        <w:rPr>
          <w:rStyle w:val="168"/>
          <w:rFonts w:hint="eastAsia" w:ascii="黑体" w:hAnsi="黑体" w:eastAsia="黑体"/>
          <w:bCs/>
          <w:kern w:val="0"/>
          <w:sz w:val="18"/>
          <w:szCs w:val="18"/>
        </w:rPr>
        <w:t>设计要求，表面</w:t>
      </w:r>
      <w:r>
        <w:rPr>
          <w:rStyle w:val="168"/>
          <w:rFonts w:ascii="黑体" w:hAnsi="黑体" w:eastAsia="黑体"/>
          <w:bCs/>
          <w:kern w:val="0"/>
          <w:sz w:val="18"/>
          <w:szCs w:val="18"/>
        </w:rPr>
        <w:t>应均匀一致，无流挂和漏涂。</w:t>
      </w:r>
    </w:p>
    <w:p w14:paraId="35511DF6">
      <w:pPr>
        <w:pStyle w:val="110"/>
        <w:rPr>
          <w:rStyle w:val="168"/>
        </w:rPr>
      </w:pPr>
      <w:r>
        <w:rPr>
          <w:rStyle w:val="168"/>
        </w:rPr>
        <w:t>防火涂层的质量检验</w:t>
      </w:r>
    </w:p>
    <w:p w14:paraId="782690B8">
      <w:pPr>
        <w:pStyle w:val="112"/>
        <w:rPr>
          <w:rStyle w:val="168"/>
        </w:rPr>
      </w:pPr>
      <w:r>
        <w:rPr>
          <w:rStyle w:val="168"/>
        </w:rPr>
        <w:t>一般规定</w:t>
      </w:r>
    </w:p>
    <w:p w14:paraId="2E0F3669">
      <w:pPr>
        <w:pStyle w:val="169"/>
        <w:numPr>
          <w:ilvl w:val="0"/>
          <w:numId w:val="57"/>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钢结构防火涂料工程的施工质量验收，应采用</w:t>
      </w:r>
      <w:r>
        <w:rPr>
          <w:rStyle w:val="168"/>
          <w:rFonts w:hint="eastAsia" w:ascii="黑体" w:hAnsi="黑体" w:eastAsia="黑体"/>
          <w:kern w:val="0"/>
          <w:sz w:val="18"/>
          <w:szCs w:val="18"/>
        </w:rPr>
        <w:t>经计量检定、校准合格的计量器具。</w:t>
      </w:r>
    </w:p>
    <w:p w14:paraId="03C9F769">
      <w:pPr>
        <w:pStyle w:val="169"/>
        <w:numPr>
          <w:ilvl w:val="0"/>
          <w:numId w:val="57"/>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钢结构防火涂料</w:t>
      </w:r>
      <w:r>
        <w:rPr>
          <w:rStyle w:val="168"/>
          <w:rFonts w:hint="eastAsia" w:ascii="黑体" w:hAnsi="黑体" w:eastAsia="黑体"/>
          <w:kern w:val="0"/>
          <w:sz w:val="18"/>
          <w:szCs w:val="18"/>
        </w:rPr>
        <w:t>工程的施工质量验收可划分为检验批和分项工程。</w:t>
      </w:r>
    </w:p>
    <w:p w14:paraId="26B2395A">
      <w:pPr>
        <w:pStyle w:val="169"/>
        <w:numPr>
          <w:ilvl w:val="0"/>
          <w:numId w:val="57"/>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检验批可根据钢结构安装工程的检验批来进行划分，一个检验批内的钢结构防火保护应采用相同的防火涂料、相同的耐火极限要求。</w:t>
      </w:r>
    </w:p>
    <w:p w14:paraId="6ADB12EA">
      <w:pPr>
        <w:pStyle w:val="169"/>
        <w:numPr>
          <w:ilvl w:val="0"/>
          <w:numId w:val="57"/>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钢结构防火涂料工程作为钢结构安装工程的一个分项工程，</w:t>
      </w:r>
      <w:r>
        <w:rPr>
          <w:rStyle w:val="168"/>
          <w:rFonts w:hint="eastAsia" w:ascii="黑体" w:hAnsi="黑体" w:eastAsia="黑体"/>
          <w:kern w:val="0"/>
          <w:sz w:val="18"/>
          <w:szCs w:val="18"/>
        </w:rPr>
        <w:t>可由一个或若干个检验批组成。</w:t>
      </w:r>
    </w:p>
    <w:p w14:paraId="7C3D19B9">
      <w:pPr>
        <w:pStyle w:val="169"/>
        <w:numPr>
          <w:ilvl w:val="0"/>
          <w:numId w:val="57"/>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检验批质量验收合格应符合下列规定：</w:t>
      </w:r>
    </w:p>
    <w:p w14:paraId="4A566768">
      <w:pPr>
        <w:pStyle w:val="172"/>
        <w:numPr>
          <w:ilvl w:val="0"/>
          <w:numId w:val="58"/>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主控项目应符合本标准的规定。</w:t>
      </w:r>
    </w:p>
    <w:p w14:paraId="530ECD4B">
      <w:pPr>
        <w:pStyle w:val="172"/>
        <w:numPr>
          <w:ilvl w:val="0"/>
          <w:numId w:val="58"/>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一般项目每项抽检的处（点）均应符合本标准的规定；允许偏差项目每项抽检的点数中，应有不小于80%的实测值在本标准规定的允许偏差范围内，且不得有严重缺陷。</w:t>
      </w:r>
    </w:p>
    <w:p w14:paraId="0759626E">
      <w:pPr>
        <w:pStyle w:val="172"/>
        <w:numPr>
          <w:ilvl w:val="0"/>
          <w:numId w:val="58"/>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质量控制资料应齐全。</w:t>
      </w:r>
    </w:p>
    <w:p w14:paraId="68DECB45">
      <w:pPr>
        <w:pStyle w:val="169"/>
        <w:adjustRightInd w:val="0"/>
        <w:snapToGrid w:val="0"/>
        <w:ind w:left="424" w:leftChars="202" w:firstLine="1"/>
        <w:jc w:val="left"/>
        <w:rPr>
          <w:rStyle w:val="168"/>
          <w:rFonts w:ascii="黑体" w:hAnsi="黑体" w:eastAsia="黑体"/>
          <w:kern w:val="0"/>
          <w:sz w:val="18"/>
          <w:szCs w:val="18"/>
        </w:rPr>
      </w:pPr>
      <w:r>
        <w:rPr>
          <w:rStyle w:val="168"/>
          <w:rFonts w:ascii="黑体" w:hAnsi="黑体" w:eastAsia="黑体"/>
          <w:kern w:val="0"/>
          <w:sz w:val="18"/>
          <w:szCs w:val="18"/>
        </w:rPr>
        <w:t>6</w:t>
      </w:r>
      <w:r>
        <w:rPr>
          <w:rStyle w:val="168"/>
          <w:rFonts w:hint="eastAsia" w:ascii="黑体" w:hAnsi="黑体" w:eastAsia="黑体"/>
          <w:kern w:val="0"/>
          <w:sz w:val="18"/>
          <w:szCs w:val="18"/>
        </w:rPr>
        <w:t>）</w:t>
      </w:r>
      <w:r>
        <w:rPr>
          <w:rStyle w:val="168"/>
          <w:rFonts w:ascii="黑体" w:hAnsi="黑体" w:eastAsia="黑体"/>
          <w:kern w:val="0"/>
          <w:sz w:val="18"/>
          <w:szCs w:val="18"/>
        </w:rPr>
        <w:t xml:space="preserve">   </w:t>
      </w:r>
      <w:r>
        <w:rPr>
          <w:rStyle w:val="168"/>
          <w:rFonts w:hint="eastAsia" w:ascii="黑体" w:hAnsi="黑体" w:eastAsia="黑体"/>
          <w:kern w:val="0"/>
          <w:sz w:val="18"/>
          <w:szCs w:val="18"/>
        </w:rPr>
        <w:t>分项工程质量验收合格应符合下列规定：</w:t>
      </w:r>
    </w:p>
    <w:p w14:paraId="7A9A29C8">
      <w:pPr>
        <w:pStyle w:val="172"/>
        <w:numPr>
          <w:ilvl w:val="0"/>
          <w:numId w:val="59"/>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分项工程所含检验批均应符合质量合格的规定。</w:t>
      </w:r>
    </w:p>
    <w:p w14:paraId="3EBD4560">
      <w:pPr>
        <w:pStyle w:val="172"/>
        <w:numPr>
          <w:ilvl w:val="0"/>
          <w:numId w:val="59"/>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分项工程所含检验批的质量控制资料应齐全。</w:t>
      </w:r>
    </w:p>
    <w:p w14:paraId="694EA8EC">
      <w:pPr>
        <w:pStyle w:val="169"/>
        <w:adjustRightInd w:val="0"/>
        <w:snapToGrid w:val="0"/>
        <w:ind w:left="989" w:leftChars="203" w:hanging="563" w:hangingChars="313"/>
        <w:jc w:val="left"/>
        <w:rPr>
          <w:rStyle w:val="168"/>
          <w:rFonts w:ascii="黑体" w:hAnsi="黑体" w:eastAsia="黑体"/>
          <w:kern w:val="0"/>
          <w:sz w:val="18"/>
          <w:szCs w:val="18"/>
        </w:rPr>
      </w:pPr>
      <w:r>
        <w:rPr>
          <w:rStyle w:val="168"/>
          <w:rFonts w:ascii="黑体" w:hAnsi="黑体" w:eastAsia="黑体"/>
          <w:kern w:val="0"/>
          <w:sz w:val="18"/>
          <w:szCs w:val="18"/>
        </w:rPr>
        <w:t>7</w:t>
      </w:r>
      <w:r>
        <w:rPr>
          <w:rStyle w:val="168"/>
          <w:rFonts w:hint="eastAsia" w:ascii="黑体" w:hAnsi="黑体" w:eastAsia="黑体"/>
          <w:kern w:val="0"/>
          <w:sz w:val="18"/>
          <w:szCs w:val="18"/>
        </w:rPr>
        <w:t>）</w:t>
      </w:r>
      <w:r>
        <w:rPr>
          <w:rStyle w:val="168"/>
          <w:rFonts w:ascii="黑体" w:hAnsi="黑体" w:eastAsia="黑体"/>
          <w:kern w:val="0"/>
          <w:sz w:val="18"/>
          <w:szCs w:val="18"/>
        </w:rPr>
        <w:t xml:space="preserve">   钢结构防火涂料工程</w:t>
      </w:r>
      <w:r>
        <w:rPr>
          <w:rStyle w:val="168"/>
          <w:rFonts w:hint="eastAsia" w:ascii="黑体" w:hAnsi="黑体" w:eastAsia="黑体"/>
          <w:kern w:val="0"/>
          <w:sz w:val="18"/>
          <w:szCs w:val="18"/>
        </w:rPr>
        <w:t>质量验收记录应符合下列规定：钢结构防火保护检验批质量验收记录应符合本标准附录</w:t>
      </w:r>
      <w:r>
        <w:rPr>
          <w:rStyle w:val="168"/>
          <w:rFonts w:ascii="黑体" w:hAnsi="黑体" w:eastAsia="黑体"/>
          <w:kern w:val="0"/>
          <w:sz w:val="18"/>
          <w:szCs w:val="18"/>
        </w:rPr>
        <w:t>A的规定。</w:t>
      </w:r>
    </w:p>
    <w:p w14:paraId="3FE4B071">
      <w:pPr>
        <w:pStyle w:val="169"/>
        <w:adjustRightInd w:val="0"/>
        <w:snapToGrid w:val="0"/>
        <w:ind w:left="989" w:leftChars="203" w:hanging="563" w:hangingChars="313"/>
        <w:jc w:val="left"/>
        <w:rPr>
          <w:rStyle w:val="168"/>
          <w:rFonts w:ascii="黑体" w:hAnsi="黑体" w:eastAsia="黑体"/>
          <w:kern w:val="0"/>
          <w:sz w:val="18"/>
          <w:szCs w:val="18"/>
        </w:rPr>
      </w:pPr>
      <w:r>
        <w:rPr>
          <w:rStyle w:val="168"/>
          <w:rFonts w:ascii="黑体" w:hAnsi="黑体" w:eastAsia="黑体"/>
          <w:kern w:val="0"/>
          <w:sz w:val="18"/>
          <w:szCs w:val="18"/>
        </w:rPr>
        <w:t>8</w:t>
      </w:r>
      <w:r>
        <w:rPr>
          <w:rStyle w:val="168"/>
          <w:rFonts w:hint="eastAsia" w:ascii="黑体" w:hAnsi="黑体" w:eastAsia="黑体"/>
          <w:kern w:val="0"/>
          <w:sz w:val="18"/>
          <w:szCs w:val="18"/>
        </w:rPr>
        <w:t xml:space="preserve">） </w:t>
      </w:r>
      <w:r>
        <w:rPr>
          <w:rStyle w:val="168"/>
          <w:rFonts w:ascii="黑体" w:hAnsi="黑体" w:eastAsia="黑体"/>
          <w:kern w:val="0"/>
          <w:sz w:val="18"/>
          <w:szCs w:val="18"/>
        </w:rPr>
        <w:t xml:space="preserve">  </w:t>
      </w:r>
      <w:r>
        <w:rPr>
          <w:rStyle w:val="168"/>
          <w:rFonts w:hint="eastAsia" w:ascii="黑体" w:hAnsi="黑体" w:eastAsia="黑体"/>
          <w:kern w:val="0"/>
          <w:sz w:val="18"/>
          <w:szCs w:val="18"/>
        </w:rPr>
        <w:t>当钢结构防火涂料工程质量不符合本标准的规定时，应按下列规定进行处理：</w:t>
      </w:r>
    </w:p>
    <w:p w14:paraId="38BF02CA">
      <w:pPr>
        <w:pStyle w:val="172"/>
        <w:numPr>
          <w:ilvl w:val="0"/>
          <w:numId w:val="60"/>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经返工或返修的检验批应重新进行验收。</w:t>
      </w:r>
    </w:p>
    <w:p w14:paraId="3053B520">
      <w:pPr>
        <w:pStyle w:val="172"/>
        <w:numPr>
          <w:ilvl w:val="0"/>
          <w:numId w:val="60"/>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经有资质的检测单位检测鉴定能够达到设计要求的检验批，应予以验收。</w:t>
      </w:r>
    </w:p>
    <w:p w14:paraId="624DF628">
      <w:pPr>
        <w:pStyle w:val="172"/>
        <w:numPr>
          <w:ilvl w:val="0"/>
          <w:numId w:val="60"/>
        </w:numPr>
        <w:adjustRightInd w:val="0"/>
        <w:snapToGrid w:val="0"/>
        <w:ind w:left="993" w:firstLineChars="0"/>
        <w:jc w:val="left"/>
        <w:rPr>
          <w:rStyle w:val="168"/>
          <w:rFonts w:ascii="黑体" w:hAnsi="黑体" w:eastAsia="黑体"/>
          <w:bCs/>
          <w:kern w:val="0"/>
          <w:sz w:val="18"/>
          <w:szCs w:val="18"/>
        </w:rPr>
      </w:pPr>
      <w:r>
        <w:rPr>
          <w:rStyle w:val="168"/>
          <w:rFonts w:ascii="黑体" w:hAnsi="黑体" w:eastAsia="黑体"/>
          <w:bCs/>
          <w:kern w:val="0"/>
          <w:sz w:val="18"/>
          <w:szCs w:val="18"/>
        </w:rPr>
        <w:t>经有资质的检测单位检测鉴定达不到设计要求，但经原设计单位核算认可能够满足钢结构防火要求的检验批，可予以验收。</w:t>
      </w:r>
    </w:p>
    <w:p w14:paraId="42D6A8A2">
      <w:pPr>
        <w:pStyle w:val="172"/>
        <w:numPr>
          <w:ilvl w:val="0"/>
          <w:numId w:val="60"/>
        </w:numPr>
        <w:adjustRightInd w:val="0"/>
        <w:snapToGrid w:val="0"/>
        <w:ind w:left="993"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通过返工或返修后仍不能满足防火要求的钢结构防火保护分项工程，严禁验收。</w:t>
      </w:r>
    </w:p>
    <w:p w14:paraId="16D32D46">
      <w:pPr>
        <w:pStyle w:val="169"/>
        <w:numPr>
          <w:ilvl w:val="0"/>
          <w:numId w:val="61"/>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钢结构防火涂料工程的</w:t>
      </w:r>
      <w:r>
        <w:rPr>
          <w:rStyle w:val="168"/>
          <w:rFonts w:hint="eastAsia" w:ascii="黑体" w:hAnsi="黑体" w:eastAsia="黑体"/>
          <w:kern w:val="0"/>
          <w:sz w:val="18"/>
          <w:szCs w:val="18"/>
        </w:rPr>
        <w:t>施工质量验收应按检验批、分项工程依次进行。</w:t>
      </w:r>
    </w:p>
    <w:p w14:paraId="09A0389C">
      <w:pPr>
        <w:pStyle w:val="169"/>
        <w:numPr>
          <w:ilvl w:val="0"/>
          <w:numId w:val="61"/>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检验批的质量验收应在施工单位自检合格的基础上，由监理工程师（建设单位项目专业技术负责人）组织施工单位项目专业质量检查员、项目专业技术负责人进行验收。</w:t>
      </w:r>
    </w:p>
    <w:p w14:paraId="52758AB5">
      <w:pPr>
        <w:pStyle w:val="169"/>
        <w:numPr>
          <w:ilvl w:val="0"/>
          <w:numId w:val="61"/>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分项工程的质量验收应在检验批质量验收合格的基础上，由监理工程师（建设单位项目专业技术负责人）组织施工单位项目专业质量检查员、项目专业技术负责人进行验收。</w:t>
      </w:r>
    </w:p>
    <w:p w14:paraId="3ECE26DF">
      <w:pPr>
        <w:pStyle w:val="112"/>
        <w:numPr>
          <w:ilvl w:val="0"/>
          <w:numId w:val="0"/>
        </w:numPr>
        <w:ind w:left="964" w:hanging="510"/>
        <w:rPr>
          <w:rStyle w:val="168"/>
        </w:rPr>
      </w:pPr>
      <w:r>
        <w:rPr>
          <w:rStyle w:val="168"/>
        </w:rPr>
        <w:t>施工质量</w:t>
      </w:r>
    </w:p>
    <w:p w14:paraId="5D4A26B9">
      <w:pPr>
        <w:adjustRightInd w:val="0"/>
        <w:snapToGrid w:val="0"/>
        <w:spacing w:line="360" w:lineRule="auto"/>
        <w:ind w:left="424" w:leftChars="202"/>
        <w:rPr>
          <w:rStyle w:val="168"/>
          <w:rFonts w:ascii="黑体" w:hAnsi="黑体" w:eastAsia="黑体"/>
          <w:bCs/>
          <w:kern w:val="0"/>
          <w:sz w:val="18"/>
          <w:szCs w:val="18"/>
        </w:rPr>
      </w:pPr>
      <w:r>
        <w:rPr>
          <w:rStyle w:val="168"/>
          <w:rFonts w:ascii="黑体" w:hAnsi="黑体" w:eastAsia="黑体"/>
          <w:bCs/>
          <w:kern w:val="0"/>
          <w:sz w:val="18"/>
          <w:szCs w:val="18"/>
        </w:rPr>
        <w:t>1</w:t>
      </w:r>
      <w:r>
        <w:rPr>
          <w:rStyle w:val="168"/>
          <w:rFonts w:hint="eastAsia" w:ascii="黑体" w:hAnsi="黑体" w:eastAsia="黑体"/>
          <w:bCs/>
          <w:kern w:val="0"/>
          <w:sz w:val="18"/>
          <w:szCs w:val="18"/>
        </w:rPr>
        <w:t xml:space="preserve">） </w:t>
      </w:r>
      <w:r>
        <w:rPr>
          <w:rStyle w:val="168"/>
          <w:rFonts w:ascii="黑体" w:hAnsi="黑体" w:eastAsia="黑体"/>
          <w:bCs/>
          <w:kern w:val="0"/>
          <w:sz w:val="18"/>
          <w:szCs w:val="18"/>
        </w:rPr>
        <w:t xml:space="preserve">  主控项目</w:t>
      </w:r>
    </w:p>
    <w:p w14:paraId="033216E2">
      <w:pPr>
        <w:pStyle w:val="169"/>
        <w:numPr>
          <w:ilvl w:val="0"/>
          <w:numId w:val="62"/>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施工后的钢结构防火涂层厚度不得小于设计规定厚度。</w:t>
      </w:r>
    </w:p>
    <w:p w14:paraId="4EF37F79">
      <w:pPr>
        <w:pStyle w:val="170"/>
        <w:numPr>
          <w:ilvl w:val="0"/>
          <w:numId w:val="6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检查数量：按构件数抽查10%，且同类构件不应少于3件。</w:t>
      </w:r>
    </w:p>
    <w:p w14:paraId="7388192C">
      <w:pPr>
        <w:pStyle w:val="170"/>
        <w:numPr>
          <w:ilvl w:val="0"/>
          <w:numId w:val="63"/>
        </w:numPr>
        <w:adjustRightInd w:val="0"/>
        <w:snapToGrid w:val="0"/>
        <w:ind w:left="993" w:hanging="567" w:firstLineChars="0"/>
        <w:rPr>
          <w:rStyle w:val="168"/>
          <w:rFonts w:ascii="黑体" w:hAnsi="黑体" w:eastAsia="黑体"/>
          <w:bCs/>
          <w:kern w:val="0"/>
          <w:sz w:val="18"/>
          <w:szCs w:val="18"/>
        </w:rPr>
      </w:pPr>
      <w:r>
        <w:rPr>
          <w:rStyle w:val="168"/>
          <w:rFonts w:ascii="黑体" w:hAnsi="黑体" w:eastAsia="黑体"/>
          <w:bCs/>
          <w:kern w:val="0"/>
          <w:sz w:val="18"/>
          <w:szCs w:val="18"/>
        </w:rPr>
        <w:t xml:space="preserve">测量仪表: </w:t>
      </w:r>
      <w:r>
        <w:rPr>
          <w:rStyle w:val="168"/>
          <w:rFonts w:hint="eastAsia" w:ascii="黑体" w:hAnsi="黑体" w:eastAsia="黑体"/>
          <w:bCs/>
          <w:kern w:val="0"/>
          <w:sz w:val="18"/>
          <w:szCs w:val="18"/>
        </w:rPr>
        <w:t>厚度测定方法应使用采用电磁感应原理的量规。此类仪器的范围应适合规定的干膜厚度，并应在使用前在光滑的平板上进行校准。校准时应使用与指定膜厚度相适应的垫片。仪器应能够存储数据。能够打印和</w:t>
      </w:r>
      <w:r>
        <w:rPr>
          <w:rStyle w:val="168"/>
          <w:rFonts w:ascii="黑体" w:hAnsi="黑体" w:eastAsia="黑体"/>
          <w:bCs/>
          <w:kern w:val="0"/>
          <w:sz w:val="18"/>
          <w:szCs w:val="18"/>
        </w:rPr>
        <w:t>/或下载到计算机将有助于承包商展示数据。</w:t>
      </w:r>
    </w:p>
    <w:p w14:paraId="79D9B760">
      <w:pPr>
        <w:pStyle w:val="170"/>
        <w:numPr>
          <w:ilvl w:val="0"/>
          <w:numId w:val="63"/>
        </w:numPr>
        <w:adjustRightInd w:val="0"/>
        <w:snapToGrid w:val="0"/>
        <w:ind w:left="993" w:hanging="567" w:firstLineChars="0"/>
        <w:rPr>
          <w:rStyle w:val="168"/>
          <w:rFonts w:ascii="黑体" w:hAnsi="黑体" w:eastAsia="黑体"/>
          <w:bCs/>
          <w:kern w:val="0"/>
          <w:sz w:val="18"/>
          <w:szCs w:val="18"/>
        </w:rPr>
      </w:pPr>
      <w:r>
        <w:rPr>
          <w:rStyle w:val="168"/>
          <w:rFonts w:ascii="黑体" w:hAnsi="黑体" w:eastAsia="黑体"/>
          <w:bCs/>
          <w:kern w:val="0"/>
          <w:sz w:val="18"/>
          <w:szCs w:val="18"/>
        </w:rPr>
        <w:t>厚度测量:底漆厚度可在车间涂敷后确定，也可在开始涂敷膨胀型底漆之前在现场确定。考虑到所涂底漆的厚度，在涂任何规定的保护/装饰性面漆之前，应确定膨胀型底漆的总干膜涂层厚度。此阶段的测量将更容易促进任何后续的校正，这可能证明是必要的。</w:t>
      </w:r>
    </w:p>
    <w:p w14:paraId="41E86C74">
      <w:pPr>
        <w:pStyle w:val="170"/>
        <w:numPr>
          <w:ilvl w:val="0"/>
          <w:numId w:val="63"/>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检验方法：采用测厚仪、测厚针检查。</w:t>
      </w:r>
    </w:p>
    <w:p w14:paraId="105A1F75">
      <w:pPr>
        <w:pStyle w:val="169"/>
        <w:numPr>
          <w:ilvl w:val="0"/>
          <w:numId w:val="62"/>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钢结构防火涂料施工后的抗裂性指标应符合国家现行有关产品标准的规定。膨胀型钢结构防火涂料涂层不应出现裂纹；非膨胀型钢结构防火涂料涂层允许出现1～3条裂纹，其宽度不应大于0.5mm。</w:t>
      </w:r>
    </w:p>
    <w:p w14:paraId="442A4B75">
      <w:pPr>
        <w:pStyle w:val="170"/>
        <w:numPr>
          <w:ilvl w:val="0"/>
          <w:numId w:val="64"/>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检查数量：按构件数抽查10%，且同类构件不应少于3件。</w:t>
      </w:r>
    </w:p>
    <w:p w14:paraId="23B5887A">
      <w:pPr>
        <w:pStyle w:val="170"/>
        <w:numPr>
          <w:ilvl w:val="0"/>
          <w:numId w:val="64"/>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检验方法：观察和尺量检查。</w:t>
      </w:r>
    </w:p>
    <w:p w14:paraId="04AAAD02">
      <w:pPr>
        <w:adjustRightInd w:val="0"/>
        <w:snapToGrid w:val="0"/>
        <w:spacing w:line="360" w:lineRule="auto"/>
        <w:ind w:left="424" w:leftChars="202"/>
        <w:rPr>
          <w:rStyle w:val="168"/>
          <w:rFonts w:ascii="黑体" w:hAnsi="黑体" w:eastAsia="黑体"/>
          <w:bCs/>
          <w:kern w:val="0"/>
          <w:sz w:val="18"/>
          <w:szCs w:val="18"/>
        </w:rPr>
      </w:pPr>
      <w:r>
        <w:rPr>
          <w:rStyle w:val="168"/>
          <w:rFonts w:ascii="黑体" w:hAnsi="黑体" w:eastAsia="黑体"/>
          <w:bCs/>
          <w:kern w:val="0"/>
          <w:sz w:val="18"/>
          <w:szCs w:val="18"/>
        </w:rPr>
        <w:t>2</w:t>
      </w:r>
      <w:r>
        <w:rPr>
          <w:rStyle w:val="168"/>
          <w:rFonts w:hint="eastAsia" w:ascii="黑体" w:hAnsi="黑体" w:eastAsia="黑体"/>
          <w:bCs/>
          <w:kern w:val="0"/>
          <w:sz w:val="18"/>
          <w:szCs w:val="18"/>
        </w:rPr>
        <w:t xml:space="preserve">） </w:t>
      </w:r>
      <w:r>
        <w:rPr>
          <w:rStyle w:val="168"/>
          <w:rFonts w:ascii="黑体" w:hAnsi="黑体" w:eastAsia="黑体"/>
          <w:bCs/>
          <w:kern w:val="0"/>
          <w:sz w:val="18"/>
          <w:szCs w:val="18"/>
        </w:rPr>
        <w:t xml:space="preserve">  一般项目</w:t>
      </w:r>
    </w:p>
    <w:p w14:paraId="44585A69">
      <w:pPr>
        <w:pStyle w:val="169"/>
        <w:numPr>
          <w:ilvl w:val="0"/>
          <w:numId w:val="65"/>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钢结构防火涂料的施工环境条件应符合</w:t>
      </w:r>
      <w:r>
        <w:rPr>
          <w:rStyle w:val="168"/>
          <w:rFonts w:hint="eastAsia" w:ascii="黑体" w:hAnsi="黑体" w:eastAsia="黑体"/>
          <w:kern w:val="0"/>
          <w:sz w:val="18"/>
          <w:szCs w:val="18"/>
        </w:rPr>
        <w:t>产品厂家工艺</w:t>
      </w:r>
      <w:r>
        <w:rPr>
          <w:rStyle w:val="168"/>
          <w:rFonts w:ascii="黑体" w:hAnsi="黑体" w:eastAsia="黑体"/>
          <w:kern w:val="0"/>
          <w:sz w:val="18"/>
          <w:szCs w:val="18"/>
        </w:rPr>
        <w:t>的规定。</w:t>
      </w:r>
    </w:p>
    <w:p w14:paraId="202F85E0">
      <w:pPr>
        <w:pStyle w:val="170"/>
        <w:numPr>
          <w:ilvl w:val="0"/>
          <w:numId w:val="66"/>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检查数量：全部检查。</w:t>
      </w:r>
    </w:p>
    <w:p w14:paraId="28945EF0">
      <w:pPr>
        <w:pStyle w:val="170"/>
        <w:numPr>
          <w:ilvl w:val="0"/>
          <w:numId w:val="66"/>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检验方法：检查施工记录。</w:t>
      </w:r>
    </w:p>
    <w:p w14:paraId="04ACAA14">
      <w:pPr>
        <w:pStyle w:val="169"/>
        <w:numPr>
          <w:ilvl w:val="0"/>
          <w:numId w:val="65"/>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钢结构防火涂料施工前，基层表面不应有</w:t>
      </w:r>
      <w:r>
        <w:rPr>
          <w:rStyle w:val="168"/>
          <w:rFonts w:hint="eastAsia" w:ascii="黑体" w:hAnsi="黑体" w:eastAsia="黑体"/>
          <w:kern w:val="0"/>
          <w:sz w:val="18"/>
          <w:szCs w:val="18"/>
        </w:rPr>
        <w:t>灰尘、油脂和污物。</w:t>
      </w:r>
    </w:p>
    <w:p w14:paraId="15C8987E">
      <w:pPr>
        <w:pStyle w:val="170"/>
        <w:numPr>
          <w:ilvl w:val="2"/>
          <w:numId w:val="6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检查数量：全部检查。</w:t>
      </w:r>
    </w:p>
    <w:p w14:paraId="06521E62">
      <w:pPr>
        <w:pStyle w:val="170"/>
        <w:numPr>
          <w:ilvl w:val="2"/>
          <w:numId w:val="6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检验方法：观察检查。</w:t>
      </w:r>
    </w:p>
    <w:p w14:paraId="207ABE03">
      <w:pPr>
        <w:pStyle w:val="169"/>
        <w:numPr>
          <w:ilvl w:val="0"/>
          <w:numId w:val="65"/>
        </w:numPr>
        <w:adjustRightInd w:val="0"/>
        <w:snapToGrid w:val="0"/>
        <w:ind w:left="993"/>
        <w:jc w:val="left"/>
        <w:rPr>
          <w:rStyle w:val="168"/>
          <w:rFonts w:ascii="黑体" w:hAnsi="黑体" w:eastAsia="黑体"/>
          <w:kern w:val="0"/>
          <w:sz w:val="18"/>
          <w:szCs w:val="18"/>
        </w:rPr>
      </w:pPr>
      <w:r>
        <w:rPr>
          <w:rStyle w:val="168"/>
          <w:rFonts w:ascii="黑体" w:hAnsi="黑体" w:eastAsia="黑体"/>
          <w:kern w:val="0"/>
          <w:sz w:val="18"/>
          <w:szCs w:val="18"/>
        </w:rPr>
        <w:t>施工后的钢结构防火涂层应完整、厚度均匀，无漏涂、流挂、粉化、空鼓和脱落等外观缺陷。</w:t>
      </w:r>
    </w:p>
    <w:p w14:paraId="4F389EC6">
      <w:pPr>
        <w:pStyle w:val="170"/>
        <w:numPr>
          <w:ilvl w:val="0"/>
          <w:numId w:val="68"/>
        </w:numPr>
        <w:adjustRightInd w:val="0"/>
        <w:snapToGrid w:val="0"/>
        <w:ind w:left="991" w:leftChars="203" w:hanging="565" w:hangingChars="314"/>
        <w:jc w:val="left"/>
        <w:rPr>
          <w:rStyle w:val="168"/>
          <w:rFonts w:ascii="黑体" w:hAnsi="黑体" w:eastAsia="黑体"/>
          <w:bCs/>
          <w:kern w:val="0"/>
          <w:sz w:val="18"/>
          <w:szCs w:val="18"/>
        </w:rPr>
      </w:pPr>
      <w:r>
        <w:rPr>
          <w:rStyle w:val="168"/>
          <w:rFonts w:ascii="黑体" w:hAnsi="黑体" w:eastAsia="黑体"/>
          <w:bCs/>
          <w:kern w:val="0"/>
          <w:sz w:val="18"/>
          <w:szCs w:val="18"/>
        </w:rPr>
        <w:t>检查数量：全部检查。</w:t>
      </w:r>
    </w:p>
    <w:p w14:paraId="1008FEDC">
      <w:pPr>
        <w:pStyle w:val="170"/>
        <w:numPr>
          <w:ilvl w:val="0"/>
          <w:numId w:val="68"/>
        </w:numPr>
        <w:adjustRightInd w:val="0"/>
        <w:snapToGrid w:val="0"/>
        <w:ind w:left="991" w:leftChars="203" w:hanging="565" w:hangingChars="314"/>
        <w:jc w:val="left"/>
        <w:rPr>
          <w:rStyle w:val="168"/>
          <w:rFonts w:ascii="黑体" w:hAnsi="黑体" w:eastAsia="黑体"/>
          <w:bCs/>
          <w:kern w:val="0"/>
          <w:sz w:val="18"/>
          <w:szCs w:val="18"/>
        </w:rPr>
      </w:pPr>
      <w:r>
        <w:rPr>
          <w:rStyle w:val="168"/>
          <w:rFonts w:ascii="黑体" w:hAnsi="黑体" w:eastAsia="黑体"/>
          <w:bCs/>
          <w:kern w:val="0"/>
          <w:sz w:val="18"/>
          <w:szCs w:val="18"/>
        </w:rPr>
        <w:t>检验方法：观察检查。</w:t>
      </w:r>
    </w:p>
    <w:p w14:paraId="33259FE9">
      <w:pPr>
        <w:pStyle w:val="122"/>
        <w:rPr>
          <w:rStyle w:val="168"/>
          <w:b w:val="0"/>
          <w:bCs/>
        </w:rPr>
      </w:pPr>
      <w:r>
        <w:rPr>
          <w:rStyle w:val="168"/>
          <w:b w:val="0"/>
        </w:rPr>
        <w:t>工程验收</w:t>
      </w:r>
    </w:p>
    <w:p w14:paraId="6EB36759">
      <w:pPr>
        <w:pStyle w:val="169"/>
        <w:numPr>
          <w:ilvl w:val="0"/>
          <w:numId w:val="69"/>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钢结构防火涂料工程完工后，建设单位应组织设计、监理和施工单位进行交工验收，</w:t>
      </w:r>
      <w:r>
        <w:rPr>
          <w:rStyle w:val="168"/>
          <w:rFonts w:hint="eastAsia" w:ascii="黑体" w:hAnsi="黑体" w:eastAsia="黑体"/>
          <w:kern w:val="0"/>
          <w:sz w:val="18"/>
          <w:szCs w:val="18"/>
        </w:rPr>
        <w:t>未经验收合格，不得投入生产使用。</w:t>
      </w:r>
    </w:p>
    <w:p w14:paraId="6CA1B7C9">
      <w:pPr>
        <w:pStyle w:val="169"/>
        <w:numPr>
          <w:ilvl w:val="0"/>
          <w:numId w:val="69"/>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交工验收时，建设单位应检查和确认下列内容：</w:t>
      </w:r>
    </w:p>
    <w:p w14:paraId="6ECF0A61">
      <w:pPr>
        <w:pStyle w:val="172"/>
        <w:numPr>
          <w:ilvl w:val="0"/>
          <w:numId w:val="70"/>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施工范围和内容应符合合同规定。</w:t>
      </w:r>
    </w:p>
    <w:p w14:paraId="131CA7AE">
      <w:pPr>
        <w:pStyle w:val="172"/>
        <w:numPr>
          <w:ilvl w:val="0"/>
          <w:numId w:val="70"/>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工程质量应符合设计文件和本标准的规定。</w:t>
      </w:r>
    </w:p>
    <w:p w14:paraId="2DA0CC7C">
      <w:pPr>
        <w:pStyle w:val="169"/>
        <w:adjustRightInd w:val="0"/>
        <w:snapToGrid w:val="0"/>
        <w:ind w:left="424" w:leftChars="202"/>
        <w:jc w:val="left"/>
        <w:rPr>
          <w:rStyle w:val="168"/>
          <w:rFonts w:ascii="黑体" w:hAnsi="黑体" w:eastAsia="黑体"/>
          <w:kern w:val="0"/>
          <w:sz w:val="18"/>
          <w:szCs w:val="18"/>
        </w:rPr>
      </w:pPr>
      <w:r>
        <w:rPr>
          <w:rStyle w:val="168"/>
          <w:rFonts w:ascii="黑体" w:hAnsi="黑体" w:eastAsia="黑体"/>
          <w:kern w:val="0"/>
          <w:sz w:val="18"/>
          <w:szCs w:val="18"/>
        </w:rPr>
        <w:t>3.    交工验收时，施工单位应向建设单位提交下列资料：</w:t>
      </w:r>
    </w:p>
    <w:p w14:paraId="748E7511">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防火涂料的产品质量证明文件和</w:t>
      </w:r>
      <w:r>
        <w:rPr>
          <w:rStyle w:val="168"/>
          <w:rFonts w:hint="eastAsia" w:ascii="黑体" w:hAnsi="黑体" w:eastAsia="黑体"/>
          <w:bCs/>
          <w:kern w:val="0"/>
          <w:sz w:val="18"/>
          <w:szCs w:val="18"/>
        </w:rPr>
        <w:t>现场抽样的复检报告；</w:t>
      </w:r>
    </w:p>
    <w:p w14:paraId="6F6AFE99">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设计变更文件；</w:t>
      </w:r>
    </w:p>
    <w:p w14:paraId="4AB80B6A">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施工技术文件；</w:t>
      </w:r>
    </w:p>
    <w:p w14:paraId="50838BDF">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隐蔽工程记录；</w:t>
      </w:r>
    </w:p>
    <w:p w14:paraId="33F87DBD">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施工记录；</w:t>
      </w:r>
    </w:p>
    <w:p w14:paraId="221C9F66">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返工或返修记录；</w:t>
      </w:r>
    </w:p>
    <w:p w14:paraId="54B9B0CD">
      <w:pPr>
        <w:pStyle w:val="172"/>
        <w:numPr>
          <w:ilvl w:val="0"/>
          <w:numId w:val="71"/>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质量验收记录。</w:t>
      </w:r>
    </w:p>
    <w:p w14:paraId="2C443048">
      <w:pPr>
        <w:pStyle w:val="169"/>
        <w:adjustRightInd w:val="0"/>
        <w:snapToGrid w:val="0"/>
        <w:ind w:left="424" w:leftChars="202" w:firstLine="1" w:firstLineChars="1"/>
        <w:jc w:val="left"/>
        <w:rPr>
          <w:rStyle w:val="168"/>
          <w:rFonts w:ascii="黑体" w:hAnsi="黑体" w:eastAsia="黑体"/>
          <w:kern w:val="0"/>
          <w:sz w:val="18"/>
          <w:szCs w:val="18"/>
        </w:rPr>
      </w:pPr>
      <w:r>
        <w:rPr>
          <w:rStyle w:val="168"/>
          <w:rFonts w:ascii="黑体" w:hAnsi="黑体" w:eastAsia="黑体"/>
          <w:kern w:val="0"/>
          <w:sz w:val="18"/>
          <w:szCs w:val="18"/>
        </w:rPr>
        <w:t xml:space="preserve">4.    </w:t>
      </w:r>
      <w:r>
        <w:rPr>
          <w:rStyle w:val="168"/>
          <w:rFonts w:hint="eastAsia" w:ascii="黑体" w:hAnsi="黑体" w:eastAsia="黑体"/>
          <w:kern w:val="0"/>
          <w:sz w:val="18"/>
          <w:szCs w:val="18"/>
        </w:rPr>
        <w:t>工程验收对供应商管理的要求：</w:t>
      </w:r>
    </w:p>
    <w:p w14:paraId="09CEBA60">
      <w:pPr>
        <w:pStyle w:val="172"/>
        <w:numPr>
          <w:ilvl w:val="0"/>
          <w:numId w:val="72"/>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专项检查：雇佣有资质的检测机构执行以下检查和准备报告。</w:t>
      </w:r>
    </w:p>
    <w:p w14:paraId="4E330D1D">
      <w:pPr>
        <w:pStyle w:val="172"/>
        <w:numPr>
          <w:ilvl w:val="0"/>
          <w:numId w:val="72"/>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检测机构：雇佣有资质的检测机构执行以下测试、检查和准备检测报告。</w:t>
      </w:r>
    </w:p>
    <w:p w14:paraId="4E8D08E8">
      <w:pPr>
        <w:pStyle w:val="172"/>
        <w:numPr>
          <w:ilvl w:val="0"/>
          <w:numId w:val="72"/>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测试和检查：防火涂料完工的测试和检查应连续进行，范围和方法如下。在前一区域完成非膨胀和膨胀防火涂料测试结果显示满足要求之前，不能进行下一区域施工。测试值必需等于或超过批准的防火设计要求值。</w:t>
      </w:r>
    </w:p>
    <w:p w14:paraId="34A809BD">
      <w:pPr>
        <w:pStyle w:val="172"/>
        <w:numPr>
          <w:ilvl w:val="0"/>
          <w:numId w:val="72"/>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移除并替换未通过粘聚、密度检测、或都未通过的防火涂料，重新进行以上检测。</w:t>
      </w:r>
    </w:p>
    <w:p w14:paraId="3F711730">
      <w:pPr>
        <w:pStyle w:val="172"/>
        <w:numPr>
          <w:ilvl w:val="0"/>
          <w:numId w:val="72"/>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按照制造商的要求，当测试结果厚度不符合要求，应重新施工并检测。</w:t>
      </w:r>
    </w:p>
    <w:p w14:paraId="143288A2">
      <w:pPr>
        <w:pStyle w:val="172"/>
        <w:numPr>
          <w:ilvl w:val="0"/>
          <w:numId w:val="72"/>
        </w:numPr>
        <w:adjustRightInd w:val="0"/>
        <w:snapToGrid w:val="0"/>
        <w:ind w:left="993" w:hanging="567" w:firstLineChars="0"/>
        <w:jc w:val="left"/>
        <w:rPr>
          <w:rStyle w:val="168"/>
          <w:rFonts w:ascii="黑体" w:hAnsi="黑体" w:eastAsia="黑体"/>
          <w:bCs/>
          <w:kern w:val="0"/>
          <w:sz w:val="18"/>
          <w:szCs w:val="18"/>
        </w:rPr>
      </w:pPr>
      <w:r>
        <w:rPr>
          <w:rStyle w:val="168"/>
          <w:rFonts w:hint="eastAsia" w:ascii="黑体" w:hAnsi="黑体" w:eastAsia="黑体"/>
          <w:bCs/>
          <w:kern w:val="0"/>
          <w:sz w:val="18"/>
          <w:szCs w:val="18"/>
        </w:rPr>
        <w:t>总包验收与检验：依据防火时效对照材料制造商提供的要求涂层厚度，施工以后以湿膜卡测量厚度，待涂敷实干后以磁性涂膜厚度测定。防火涂料分阶段验收（至少三个区以上），防火涂料验收后方可涂敷面漆。防火涂料附着力不低于国标要求，测试方案依据国标要求。涂装外观应满足样板要求。</w:t>
      </w:r>
    </w:p>
    <w:p w14:paraId="6BBDA26C">
      <w:pPr>
        <w:pStyle w:val="122"/>
        <w:rPr>
          <w:rStyle w:val="168"/>
          <w:bCs/>
        </w:rPr>
      </w:pPr>
      <w:r>
        <w:rPr>
          <w:rStyle w:val="168"/>
          <w:rFonts w:hint="eastAsia"/>
          <w:b w:val="0"/>
        </w:rPr>
        <w:t>维护检测</w:t>
      </w:r>
    </w:p>
    <w:p w14:paraId="7BD15816">
      <w:pPr>
        <w:pStyle w:val="169"/>
        <w:numPr>
          <w:ilvl w:val="0"/>
          <w:numId w:val="73"/>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为确保钢结构防火涂层的可靠性，应对其外观和粘结强度等进行维护检测。外观检测应包括对剥落、开裂、起泡等的检测；粘结强度检测应包括采用拉拔法或划叉法进行的检测。</w:t>
      </w:r>
    </w:p>
    <w:p w14:paraId="74FDE03A">
      <w:pPr>
        <w:pStyle w:val="169"/>
        <w:numPr>
          <w:ilvl w:val="0"/>
          <w:numId w:val="73"/>
        </w:numPr>
        <w:adjustRightInd w:val="0"/>
        <w:snapToGrid w:val="0"/>
        <w:ind w:left="993" w:hanging="567"/>
        <w:jc w:val="left"/>
        <w:rPr>
          <w:rStyle w:val="168"/>
          <w:rFonts w:ascii="黑体" w:hAnsi="黑体" w:eastAsia="黑体"/>
          <w:kern w:val="0"/>
          <w:sz w:val="18"/>
          <w:szCs w:val="18"/>
        </w:rPr>
      </w:pPr>
      <w:r>
        <w:rPr>
          <w:rStyle w:val="168"/>
          <w:rFonts w:ascii="黑体" w:hAnsi="黑体" w:eastAsia="黑体"/>
          <w:kern w:val="0"/>
          <w:sz w:val="18"/>
          <w:szCs w:val="18"/>
        </w:rPr>
        <w:t>钢结构防火涂层的</w:t>
      </w:r>
      <w:r>
        <w:rPr>
          <w:rStyle w:val="168"/>
          <w:rFonts w:hint="eastAsia" w:ascii="黑体" w:hAnsi="黑体" w:eastAsia="黑体"/>
          <w:kern w:val="0"/>
          <w:sz w:val="18"/>
          <w:szCs w:val="18"/>
        </w:rPr>
        <w:t>维护周期应符合下列规定：</w:t>
      </w:r>
    </w:p>
    <w:p w14:paraId="7C7A00D6">
      <w:pPr>
        <w:pStyle w:val="172"/>
        <w:numPr>
          <w:ilvl w:val="0"/>
          <w:numId w:val="74"/>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防火涂层完工后第5年起，应进行首次外观维护检测，然后每隔2年都要进行外观维护检测。</w:t>
      </w:r>
    </w:p>
    <w:p w14:paraId="4A9D2347">
      <w:pPr>
        <w:pStyle w:val="172"/>
        <w:numPr>
          <w:ilvl w:val="0"/>
          <w:numId w:val="74"/>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防火涂层完工后第5年起，应进行首次粘结强度维护检测，然后每隔3年都要进行粘结强度维护检测。</w:t>
      </w:r>
    </w:p>
    <w:p w14:paraId="10CC47C8">
      <w:pPr>
        <w:pStyle w:val="169"/>
        <w:adjustRightInd w:val="0"/>
        <w:snapToGrid w:val="0"/>
        <w:ind w:left="989" w:leftChars="202" w:hanging="565" w:hangingChars="314"/>
        <w:jc w:val="left"/>
        <w:rPr>
          <w:rStyle w:val="168"/>
          <w:rFonts w:ascii="黑体" w:hAnsi="黑体" w:eastAsia="黑体"/>
          <w:kern w:val="0"/>
          <w:sz w:val="18"/>
          <w:szCs w:val="18"/>
        </w:rPr>
      </w:pPr>
      <w:r>
        <w:rPr>
          <w:rStyle w:val="168"/>
          <w:rFonts w:ascii="黑体" w:hAnsi="黑体" w:eastAsia="黑体"/>
          <w:kern w:val="0"/>
          <w:sz w:val="18"/>
          <w:szCs w:val="18"/>
        </w:rPr>
        <w:t>3.    钢结构防火涂层的</w:t>
      </w:r>
      <w:r>
        <w:rPr>
          <w:rStyle w:val="168"/>
          <w:rFonts w:hint="eastAsia" w:ascii="黑体" w:hAnsi="黑体" w:eastAsia="黑体"/>
          <w:kern w:val="0"/>
          <w:sz w:val="18"/>
          <w:szCs w:val="18"/>
        </w:rPr>
        <w:t>检测方法应符合下列规定：</w:t>
      </w:r>
    </w:p>
    <w:p w14:paraId="271D6A14">
      <w:pPr>
        <w:pStyle w:val="172"/>
        <w:numPr>
          <w:ilvl w:val="0"/>
          <w:numId w:val="7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对于外观的检测方法，应采用目视检测，所有区域应做100%的检测。</w:t>
      </w:r>
    </w:p>
    <w:p w14:paraId="6C2B02C4">
      <w:pPr>
        <w:pStyle w:val="172"/>
        <w:numPr>
          <w:ilvl w:val="0"/>
          <w:numId w:val="75"/>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对于粘结强度的检测方法，应采用拉拔法。</w:t>
      </w:r>
    </w:p>
    <w:p w14:paraId="4B6C36AF">
      <w:pPr>
        <w:pStyle w:val="169"/>
        <w:numPr>
          <w:ilvl w:val="0"/>
          <w:numId w:val="76"/>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对钢结构防火涂层外观的评价应符合下列规定：</w:t>
      </w:r>
      <w:r>
        <w:rPr>
          <w:rStyle w:val="168"/>
          <w:rFonts w:ascii="黑体" w:hAnsi="黑体" w:eastAsia="黑体"/>
          <w:kern w:val="0"/>
          <w:sz w:val="18"/>
          <w:szCs w:val="18"/>
        </w:rPr>
        <w:t>对于</w:t>
      </w:r>
      <w:r>
        <w:rPr>
          <w:rStyle w:val="168"/>
          <w:rFonts w:hint="eastAsia" w:ascii="黑体" w:hAnsi="黑体" w:eastAsia="黑体"/>
          <w:kern w:val="0"/>
          <w:sz w:val="18"/>
          <w:szCs w:val="18"/>
        </w:rPr>
        <w:t>剥落、开裂或起泡，外观缺陷超过允许的区域应进行维护修补。</w:t>
      </w:r>
    </w:p>
    <w:p w14:paraId="6171594D">
      <w:pPr>
        <w:pStyle w:val="169"/>
        <w:numPr>
          <w:ilvl w:val="0"/>
          <w:numId w:val="76"/>
        </w:numPr>
        <w:adjustRightInd w:val="0"/>
        <w:snapToGrid w:val="0"/>
        <w:ind w:left="993" w:hanging="567"/>
        <w:jc w:val="left"/>
        <w:rPr>
          <w:rStyle w:val="168"/>
          <w:rFonts w:ascii="黑体" w:hAnsi="黑体" w:eastAsia="黑体"/>
          <w:kern w:val="0"/>
          <w:sz w:val="18"/>
          <w:szCs w:val="18"/>
        </w:rPr>
      </w:pPr>
      <w:r>
        <w:rPr>
          <w:rStyle w:val="168"/>
          <w:rFonts w:hint="eastAsia" w:ascii="黑体" w:hAnsi="黑体" w:eastAsia="黑体"/>
          <w:kern w:val="0"/>
          <w:sz w:val="18"/>
          <w:szCs w:val="18"/>
        </w:rPr>
        <w:t>对钢结构防火涂层粘结强度的评价应符合下列规定：</w:t>
      </w:r>
    </w:p>
    <w:p w14:paraId="0CECB8DE">
      <w:pPr>
        <w:pStyle w:val="172"/>
        <w:numPr>
          <w:ilvl w:val="0"/>
          <w:numId w:val="7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采用拉拔法检测时，膨胀型钢结构防火涂料涂层的粘结强度不应低于0.15MPa</w:t>
      </w:r>
      <w:r>
        <w:rPr>
          <w:rStyle w:val="168"/>
          <w:rFonts w:hint="eastAsia" w:ascii="黑体" w:hAnsi="黑体" w:eastAsia="黑体"/>
          <w:bCs/>
          <w:kern w:val="0"/>
          <w:sz w:val="18"/>
          <w:szCs w:val="18"/>
        </w:rPr>
        <w:t>，非膨胀型钢结构防火涂料涂层的粘结强度不应低于</w:t>
      </w:r>
      <w:r>
        <w:rPr>
          <w:rStyle w:val="168"/>
          <w:rFonts w:ascii="黑体" w:hAnsi="黑体" w:eastAsia="黑体"/>
          <w:bCs/>
          <w:kern w:val="0"/>
          <w:sz w:val="18"/>
          <w:szCs w:val="18"/>
        </w:rPr>
        <w:t>0.05MPa</w:t>
      </w:r>
      <w:r>
        <w:rPr>
          <w:rStyle w:val="168"/>
          <w:rFonts w:hint="eastAsia" w:ascii="黑体" w:hAnsi="黑体" w:eastAsia="黑体"/>
          <w:bCs/>
          <w:kern w:val="0"/>
          <w:sz w:val="18"/>
          <w:szCs w:val="18"/>
        </w:rPr>
        <w:t>。</w:t>
      </w:r>
    </w:p>
    <w:p w14:paraId="1723D257">
      <w:pPr>
        <w:pStyle w:val="172"/>
        <w:numPr>
          <w:ilvl w:val="0"/>
          <w:numId w:val="77"/>
        </w:numPr>
        <w:adjustRightInd w:val="0"/>
        <w:snapToGrid w:val="0"/>
        <w:ind w:left="993" w:hanging="567" w:firstLineChars="0"/>
        <w:jc w:val="left"/>
        <w:rPr>
          <w:rStyle w:val="168"/>
          <w:rFonts w:ascii="黑体" w:hAnsi="黑体" w:eastAsia="黑体"/>
          <w:bCs/>
          <w:kern w:val="0"/>
          <w:sz w:val="18"/>
          <w:szCs w:val="18"/>
        </w:rPr>
      </w:pPr>
      <w:r>
        <w:rPr>
          <w:rStyle w:val="168"/>
          <w:rFonts w:ascii="黑体" w:hAnsi="黑体" w:eastAsia="黑体"/>
          <w:bCs/>
          <w:kern w:val="0"/>
          <w:sz w:val="18"/>
          <w:szCs w:val="18"/>
        </w:rPr>
        <w:t>粘结强度低于相应要求的区域，钢结构防火涂层应进行清除并做修缮处理。</w:t>
      </w:r>
    </w:p>
    <w:p w14:paraId="6B1C067A">
      <w:pPr>
        <w:pStyle w:val="119"/>
      </w:pPr>
      <w:bookmarkStart w:id="81" w:name="_Toc136956856"/>
      <w:r>
        <w:rPr>
          <w:rFonts w:hint="eastAsia"/>
        </w:rPr>
        <w:t>钢结构的制作设计要求</w:t>
      </w:r>
      <w:bookmarkEnd w:id="80"/>
      <w:bookmarkEnd w:id="81"/>
    </w:p>
    <w:p w14:paraId="74A8EF56">
      <w:pPr>
        <w:pStyle w:val="112"/>
      </w:pPr>
      <w:r>
        <w:rPr>
          <w:rFonts w:hint="eastAsia"/>
        </w:rPr>
        <w:t>本工程之钢结构制作图，应以工程师所提供之图纸及荷载的要求，按照国内钢结构设计规范要求进行深化设计。经发业主及建筑师/工程师认可后，做为本工程的施工依据。</w:t>
      </w:r>
    </w:p>
    <w:p w14:paraId="5D12913D">
      <w:pPr>
        <w:pStyle w:val="112"/>
        <w:rPr>
          <w:rFonts w:eastAsiaTheme="minorEastAsia"/>
        </w:rPr>
      </w:pPr>
      <w:r>
        <w:rPr>
          <w:rFonts w:hint="eastAsia"/>
        </w:rPr>
        <w:t>所有图纸制作A1式样，右上角附材料表。送审份数除标准A1晒蓝图八份供审核外，承包方需另提供电脑软盘、钢结构安装图各1套给业主及建筑师</w:t>
      </w:r>
      <w:r>
        <w:t>/</w:t>
      </w:r>
      <w:r>
        <w:rPr>
          <w:rFonts w:hint="eastAsia"/>
        </w:rPr>
        <w:t>工程师审核。所有图纸均有中文标注，并提供4套A3电脑打印图纸供业主使用(装订成册)。</w:t>
      </w:r>
    </w:p>
    <w:p w14:paraId="7C3649FF">
      <w:pPr>
        <w:pStyle w:val="112"/>
        <w:rPr>
          <w:rFonts w:eastAsiaTheme="minorEastAsia"/>
        </w:rPr>
      </w:pPr>
      <w:r>
        <w:rPr>
          <w:rFonts w:hint="eastAsia"/>
        </w:rPr>
        <w:t>钢结构制作图上应提供连接位置、大样、施工安装时所需的临时安装大样等。</w:t>
      </w:r>
    </w:p>
    <w:p w14:paraId="225A4BB4">
      <w:pPr>
        <w:pStyle w:val="112"/>
      </w:pPr>
      <w:r>
        <w:rPr>
          <w:rFonts w:hint="eastAsia"/>
        </w:rPr>
        <w:t>钢结构制作图上之材料表附有材料、规格说明、材质、数量及备注说明。</w:t>
      </w:r>
    </w:p>
    <w:p w14:paraId="6ADB3DB9">
      <w:pPr>
        <w:pStyle w:val="112"/>
      </w:pPr>
      <w:r>
        <w:rPr>
          <w:rFonts w:hint="eastAsia"/>
        </w:rPr>
        <w:t>钢结构制作图中必须详细确认及说明构件或部品之断面、材质、尺寸、接合部位、螺栓间距及周边设备相关关系。</w:t>
      </w:r>
    </w:p>
    <w:p w14:paraId="7E4D8AB1">
      <w:pPr>
        <w:pStyle w:val="112"/>
      </w:pPr>
      <w:r>
        <w:rPr>
          <w:rFonts w:hint="eastAsia"/>
        </w:rPr>
        <w:t>钢结构制作图未经业主及建筑师</w:t>
      </w:r>
      <w:r>
        <w:t>/</w:t>
      </w:r>
      <w:r>
        <w:rPr>
          <w:rFonts w:hint="eastAsia"/>
        </w:rPr>
        <w:t>工程师审核通过，承包方不得擅自开始钢构件制作，否则后果由承包方自负。</w:t>
      </w:r>
    </w:p>
    <w:p w14:paraId="211882DB">
      <w:pPr>
        <w:pStyle w:val="112"/>
      </w:pPr>
      <w:r>
        <w:rPr>
          <w:rFonts w:hint="eastAsia"/>
        </w:rPr>
        <w:t>钢结构厂商应积极配合业主及建筑师</w:t>
      </w:r>
      <w:r>
        <w:t>/</w:t>
      </w:r>
      <w:r>
        <w:rPr>
          <w:rFonts w:hint="eastAsia"/>
        </w:rPr>
        <w:t>工程师对工程制作图纸的审核。</w:t>
      </w:r>
    </w:p>
    <w:p w14:paraId="629E74BA">
      <w:pPr>
        <w:pStyle w:val="119"/>
      </w:pPr>
      <w:bookmarkStart w:id="82" w:name="_Toc291153945"/>
      <w:bookmarkStart w:id="83" w:name="_Toc136956857"/>
      <w:r>
        <w:rPr>
          <w:rFonts w:hint="eastAsia"/>
        </w:rPr>
        <w:t>钢结构制作及加工运输要求</w:t>
      </w:r>
      <w:bookmarkEnd w:id="82"/>
      <w:bookmarkEnd w:id="83"/>
    </w:p>
    <w:p w14:paraId="02248A17">
      <w:pPr>
        <w:pStyle w:val="112"/>
        <w:rPr>
          <w:rFonts w:eastAsia="宋体"/>
        </w:rPr>
      </w:pPr>
      <w:r>
        <w:rPr>
          <w:rFonts w:hint="eastAsia"/>
        </w:rPr>
        <w:t>制作要求</w:t>
      </w:r>
    </w:p>
    <w:p w14:paraId="03EC44F1">
      <w:pPr>
        <w:pStyle w:val="114"/>
      </w:pPr>
      <w:r>
        <w:rPr>
          <w:rFonts w:hint="eastAsia"/>
        </w:rPr>
        <w:t>钢结构的制作单位需根据己批准的技术设计文件编制施工详图并供建筑师审批。虽经审批，并不解除其对图纸内数据准确性和现场安装定位等所负的责任。</w:t>
      </w:r>
    </w:p>
    <w:p w14:paraId="4E977576">
      <w:pPr>
        <w:pStyle w:val="114"/>
      </w:pPr>
      <w:r>
        <w:rPr>
          <w:rFonts w:hint="eastAsia"/>
        </w:rPr>
        <w:t>钢结构的制作单位在必要时建筑师要求下对构造复杂的构件进行工艺试验。</w:t>
      </w:r>
    </w:p>
    <w:p w14:paraId="6284935D">
      <w:pPr>
        <w:pStyle w:val="114"/>
      </w:pPr>
      <w:r>
        <w:rPr>
          <w:rFonts w:hint="eastAsia"/>
        </w:rPr>
        <w:t>对</w:t>
      </w:r>
      <w:r>
        <w:t>SRC</w:t>
      </w:r>
      <w:r>
        <w:rPr>
          <w:rFonts w:hint="eastAsia"/>
        </w:rPr>
        <w:t>构件及所有与混凝土相连的结构，应结合混凝土部分的图纸，确定预留钢筋孔、钢筋连接器的位置和数量。</w:t>
      </w:r>
    </w:p>
    <w:p w14:paraId="54454389">
      <w:pPr>
        <w:pStyle w:val="114"/>
      </w:pPr>
      <w:r>
        <w:rPr>
          <w:rFonts w:hint="eastAsia"/>
        </w:rPr>
        <w:t>构图复杂及连接复杂的钢结构，应进行预拼装。</w:t>
      </w:r>
    </w:p>
    <w:p w14:paraId="49BB8675">
      <w:pPr>
        <w:pStyle w:val="112"/>
      </w:pPr>
      <w:r>
        <w:rPr>
          <w:rFonts w:hint="eastAsia"/>
        </w:rPr>
        <w:t>材料储备</w:t>
      </w:r>
    </w:p>
    <w:p w14:paraId="1548D377">
      <w:pPr>
        <w:pStyle w:val="114"/>
      </w:pPr>
      <w:r>
        <w:rPr>
          <w:rFonts w:hint="eastAsia"/>
        </w:rPr>
        <w:t>螺栓、基础螺栓、小零件及加工完成之物品，需于适当处加以标示管制，如工程类别、材质规格等。</w:t>
      </w:r>
    </w:p>
    <w:p w14:paraId="726B6227">
      <w:pPr>
        <w:pStyle w:val="114"/>
      </w:pPr>
      <w:r>
        <w:rPr>
          <w:rFonts w:hint="eastAsia"/>
        </w:rPr>
        <w:t>钢板、型钢、角钢等类之材料需作工程识别颜色、类别材质、规格等之标示，以供监理和业主检查和满足生产要求，避免误用材料。</w:t>
      </w:r>
    </w:p>
    <w:p w14:paraId="31E761E2">
      <w:pPr>
        <w:pStyle w:val="112"/>
      </w:pPr>
      <w:r>
        <w:rPr>
          <w:rFonts w:hint="eastAsia"/>
        </w:rPr>
        <w:t>放样与切割</w:t>
      </w:r>
    </w:p>
    <w:p w14:paraId="22D39D29">
      <w:pPr>
        <w:pStyle w:val="114"/>
      </w:pPr>
      <w:r>
        <w:rPr>
          <w:rFonts w:hint="eastAsia"/>
        </w:rPr>
        <w:t>施工人员放样切割之前应按照切割计划做放样工作后，方准进行切割工作。</w:t>
      </w:r>
    </w:p>
    <w:p w14:paraId="485BD685">
      <w:pPr>
        <w:pStyle w:val="114"/>
      </w:pPr>
      <w:r>
        <w:rPr>
          <w:rFonts w:hint="eastAsia"/>
        </w:rPr>
        <w:t>材料切割之后如有变形应予以整平。</w:t>
      </w:r>
    </w:p>
    <w:p w14:paraId="7EA1004B">
      <w:pPr>
        <w:pStyle w:val="114"/>
      </w:pPr>
      <w:r>
        <w:rPr>
          <w:rFonts w:hint="eastAsia"/>
        </w:rPr>
        <w:t>切割后之表面品质粗糙度引符合规范之要求，并不得存有缺口凹陷。</w:t>
      </w:r>
    </w:p>
    <w:p w14:paraId="19E9E11D">
      <w:pPr>
        <w:pStyle w:val="114"/>
      </w:pPr>
      <w:r>
        <w:rPr>
          <w:rFonts w:hint="eastAsia"/>
        </w:rPr>
        <w:t>所有主要构件，除设计图上另有规定外，一律不得用短料拼接</w:t>
      </w:r>
      <w:r>
        <w:rPr>
          <w:rFonts w:hint="eastAsia" w:eastAsia="PMingLiU"/>
        </w:rPr>
        <w:t>。</w:t>
      </w:r>
    </w:p>
    <w:p w14:paraId="49A60502">
      <w:pPr>
        <w:pStyle w:val="112"/>
      </w:pPr>
      <w:r>
        <w:rPr>
          <w:rFonts w:hint="eastAsia"/>
        </w:rPr>
        <w:t>钻孔</w:t>
      </w:r>
    </w:p>
    <w:p w14:paraId="646632FF">
      <w:pPr>
        <w:pStyle w:val="114"/>
      </w:pPr>
      <w:r>
        <w:rPr>
          <w:rFonts w:hint="eastAsia"/>
        </w:rPr>
        <w:t>所有钻孔需以电钻、钻床或冲孔机完成钻孔工作。</w:t>
      </w:r>
    </w:p>
    <w:p w14:paraId="5A0BC909">
      <w:pPr>
        <w:pStyle w:val="114"/>
      </w:pPr>
      <w:r>
        <w:rPr>
          <w:rFonts w:hint="eastAsia"/>
        </w:rPr>
        <w:t>钻孔后施工人员需自行检查并测量尺寸，确认制作品质。</w:t>
      </w:r>
    </w:p>
    <w:p w14:paraId="109C14C3">
      <w:pPr>
        <w:pStyle w:val="112"/>
      </w:pPr>
      <w:r>
        <w:rPr>
          <w:rFonts w:hint="eastAsia"/>
        </w:rPr>
        <w:t>组立型性钢（含渐变断面）</w:t>
      </w:r>
    </w:p>
    <w:p w14:paraId="2E43F7C1">
      <w:pPr>
        <w:pStyle w:val="114"/>
      </w:pPr>
      <w:r>
        <w:rPr>
          <w:rFonts w:hint="eastAsia"/>
        </w:rPr>
        <w:t>组立型性钢焊接时须注意焊接顺序，控制其变形量。</w:t>
      </w:r>
    </w:p>
    <w:p w14:paraId="75A56840">
      <w:pPr>
        <w:pStyle w:val="114"/>
        <w:rPr>
          <w:rFonts w:ascii="宋体" w:hAnsi="宋体"/>
        </w:rPr>
      </w:pPr>
      <w:r>
        <w:rPr>
          <w:rFonts w:hint="eastAsia"/>
        </w:rPr>
        <w:t>全溶透焊接部位须使用MT（磁纷深伤）或UT（超音波深伤）检查，不合格者</w:t>
      </w:r>
      <w:r>
        <w:rPr>
          <w:rFonts w:hint="eastAsia" w:ascii="宋体" w:hAnsi="宋体"/>
        </w:rPr>
        <w:t>须予以铲修重焊，检测的数量及部位不得低于国家规范及设计要求，业主保留抽检的权利。</w:t>
      </w:r>
    </w:p>
    <w:p w14:paraId="6B1301B1">
      <w:pPr>
        <w:pStyle w:val="112"/>
      </w:pPr>
      <w:r>
        <w:rPr>
          <w:rFonts w:hint="eastAsia"/>
        </w:rPr>
        <w:t>焊接加工与焊条品管</w:t>
      </w:r>
    </w:p>
    <w:p w14:paraId="4336C750">
      <w:pPr>
        <w:pStyle w:val="114"/>
      </w:pPr>
      <w:r>
        <w:rPr>
          <w:rFonts w:hint="eastAsia"/>
        </w:rPr>
        <w:t>所有电焊工作须由具有电焊资格人员操作。</w:t>
      </w:r>
    </w:p>
    <w:p w14:paraId="098BD37F">
      <w:pPr>
        <w:pStyle w:val="114"/>
      </w:pPr>
      <w:r>
        <w:rPr>
          <w:rFonts w:hint="eastAsia"/>
        </w:rPr>
        <w:t>焊接材料须按设计图上注明之焊接材料施工。</w:t>
      </w:r>
    </w:p>
    <w:p w14:paraId="3477AD92">
      <w:pPr>
        <w:pStyle w:val="114"/>
      </w:pPr>
      <w:r>
        <w:t>邻</w:t>
      </w:r>
      <w:r>
        <w:rPr>
          <w:rFonts w:hint="eastAsia"/>
        </w:rPr>
        <w:t>近焊接</w:t>
      </w:r>
      <w:r>
        <w:t>处</w:t>
      </w:r>
      <w:r>
        <w:rPr>
          <w:rFonts w:hint="eastAsia"/>
        </w:rPr>
        <w:t>的</w:t>
      </w:r>
      <w:r>
        <w:t>温</w:t>
      </w:r>
      <w:r>
        <w:rPr>
          <w:rFonts w:hint="eastAsia"/>
        </w:rPr>
        <w:t>度低于</w:t>
      </w:r>
      <w:r>
        <w:t>-20</w:t>
      </w:r>
      <w:r>
        <w:rPr>
          <w:rFonts w:hint="eastAsia"/>
        </w:rPr>
        <w:t>度</w:t>
      </w:r>
      <w:r>
        <w:t>时严</w:t>
      </w:r>
      <w:r>
        <w:rPr>
          <w:rFonts w:hint="eastAsia"/>
        </w:rPr>
        <w:t>禁焊接。</w:t>
      </w:r>
      <w:r>
        <w:t>当</w:t>
      </w:r>
      <w:r>
        <w:rPr>
          <w:rFonts w:hint="eastAsia"/>
        </w:rPr>
        <w:t>母材</w:t>
      </w:r>
      <w:r>
        <w:t>温</w:t>
      </w:r>
      <w:r>
        <w:rPr>
          <w:rFonts w:hint="eastAsia"/>
        </w:rPr>
        <w:t>度低于</w:t>
      </w:r>
      <w:r>
        <w:t>0</w:t>
      </w:r>
      <w:r>
        <w:rPr>
          <w:rFonts w:hint="eastAsia"/>
        </w:rPr>
        <w:t>度</w:t>
      </w:r>
      <w:r>
        <w:t>时</w:t>
      </w:r>
      <w:r>
        <w:rPr>
          <w:rFonts w:hint="eastAsia"/>
        </w:rPr>
        <w:t>，不得</w:t>
      </w:r>
      <w:r>
        <w:t>进</w:t>
      </w:r>
      <w:r>
        <w:rPr>
          <w:rFonts w:hint="eastAsia"/>
        </w:rPr>
        <w:t>行焊接。必需采取加</w:t>
      </w:r>
      <w:r>
        <w:t>热</w:t>
      </w:r>
      <w:r>
        <w:rPr>
          <w:rFonts w:hint="eastAsia"/>
        </w:rPr>
        <w:t>措施，需</w:t>
      </w:r>
      <w:r>
        <w:t>将</w:t>
      </w:r>
      <w:r>
        <w:rPr>
          <w:rFonts w:hint="eastAsia"/>
        </w:rPr>
        <w:t>母材在施焊</w:t>
      </w:r>
      <w:r>
        <w:t>处100mm</w:t>
      </w:r>
      <w:r>
        <w:rPr>
          <w:rFonts w:hint="eastAsia"/>
        </w:rPr>
        <w:t>的范</w:t>
      </w:r>
      <w:r>
        <w:t>围内</w:t>
      </w:r>
      <w:r>
        <w:rPr>
          <w:rFonts w:hint="eastAsia"/>
        </w:rPr>
        <w:t>至少加</w:t>
      </w:r>
      <w:r>
        <w:t>热</w:t>
      </w:r>
      <w:r>
        <w:rPr>
          <w:rFonts w:hint="eastAsia"/>
        </w:rPr>
        <w:t>至</w:t>
      </w:r>
      <w:r>
        <w:t>70-100</w:t>
      </w:r>
      <w:r>
        <w:rPr>
          <w:rFonts w:hint="eastAsia"/>
        </w:rPr>
        <w:t>度，并在焊接</w:t>
      </w:r>
      <w:r>
        <w:t>过</w:t>
      </w:r>
      <w:r>
        <w:rPr>
          <w:rFonts w:hint="eastAsia"/>
        </w:rPr>
        <w:t>程中保持</w:t>
      </w:r>
      <w:r>
        <w:t>这</w:t>
      </w:r>
      <w:r>
        <w:rPr>
          <w:rFonts w:hint="eastAsia"/>
        </w:rPr>
        <w:t>一最低</w:t>
      </w:r>
      <w:r>
        <w:t>温</w:t>
      </w:r>
      <w:r>
        <w:rPr>
          <w:rFonts w:hint="eastAsia"/>
        </w:rPr>
        <w:t>度。</w:t>
      </w:r>
    </w:p>
    <w:p w14:paraId="4FB242E7">
      <w:pPr>
        <w:pStyle w:val="114"/>
        <w:rPr>
          <w:rFonts w:eastAsia="PMingLiU"/>
        </w:rPr>
      </w:pPr>
      <w:r>
        <w:rPr>
          <w:rFonts w:hint="eastAsia"/>
        </w:rPr>
        <w:t>焊条</w:t>
      </w:r>
      <w:r>
        <w:rPr>
          <w:rFonts w:hint="eastAsia" w:eastAsia="PMingLiU"/>
        </w:rPr>
        <w:t>暴露</w:t>
      </w:r>
      <w:r>
        <w:rPr>
          <w:rFonts w:hint="eastAsia"/>
        </w:rPr>
        <w:t>于大气中不得超过所规定时间</w:t>
      </w:r>
      <w:r>
        <w:br w:type="textWrapping"/>
      </w:r>
      <w:r>
        <w:rPr>
          <w:rFonts w:hint="eastAsia"/>
        </w:rPr>
        <w:t xml:space="preserve">低氢焊条     E70xx  </w:t>
      </w:r>
      <w:r>
        <w:t xml:space="preserve">     </w:t>
      </w:r>
      <w:r>
        <w:rPr>
          <w:rFonts w:hint="eastAsia"/>
        </w:rPr>
        <w:t>4小时以内</w:t>
      </w:r>
      <w:r>
        <w:br w:type="textWrapping"/>
      </w:r>
      <w:r>
        <w:rPr>
          <w:rFonts w:hint="eastAsia"/>
        </w:rPr>
        <w:t xml:space="preserve">             E70xxR      9小时以内</w:t>
      </w:r>
      <w:r>
        <w:br w:type="textWrapping"/>
      </w:r>
      <w:r>
        <w:rPr>
          <w:rFonts w:hint="eastAsia"/>
        </w:rPr>
        <w:t xml:space="preserve">             E80xx       2小时以内</w:t>
      </w:r>
      <w:r>
        <w:br w:type="textWrapping"/>
      </w:r>
      <w:r>
        <w:rPr>
          <w:rFonts w:hint="eastAsia"/>
        </w:rPr>
        <w:t xml:space="preserve">             E90xx       1小时以内……等</w:t>
      </w:r>
      <w:r>
        <w:br w:type="textWrapping"/>
      </w:r>
      <w:r>
        <w:rPr>
          <w:rFonts w:hint="eastAsia"/>
        </w:rPr>
        <w:t>焊条暴露于大气中超过上述时间，使用前须先行干燥，置260C－430C/HR干燥箱中4－10小时，方行使用。</w:t>
      </w:r>
    </w:p>
    <w:p w14:paraId="40762F33">
      <w:pPr>
        <w:pStyle w:val="114"/>
      </w:pPr>
      <w:r>
        <w:rPr>
          <w:rFonts w:hint="eastAsia"/>
        </w:rPr>
        <w:t>焊接施工過程中，需做好紀錄，并隨時供檢查。</w:t>
      </w:r>
    </w:p>
    <w:p w14:paraId="270D3CB5">
      <w:pPr>
        <w:pStyle w:val="112"/>
      </w:pPr>
      <w:r>
        <w:rPr>
          <w:rFonts w:hint="eastAsia"/>
        </w:rPr>
        <w:t>涂料（油漆）品保</w:t>
      </w:r>
    </w:p>
    <w:p w14:paraId="4515676C">
      <w:pPr>
        <w:pStyle w:val="114"/>
        <w:numPr>
          <w:ilvl w:val="0"/>
          <w:numId w:val="0"/>
        </w:numPr>
        <w:ind w:left="992"/>
      </w:pPr>
      <w:r>
        <w:rPr>
          <w:rFonts w:hint="eastAsia"/>
        </w:rPr>
        <w:t>所有使用涂料须附涂料出厂合格检验证明。</w:t>
      </w:r>
    </w:p>
    <w:p w14:paraId="59263C72">
      <w:pPr>
        <w:pStyle w:val="114"/>
        <w:rPr>
          <w:rFonts w:ascii="宋体" w:hAnsi="宋体"/>
        </w:rPr>
      </w:pPr>
      <w:r>
        <w:rPr>
          <w:rFonts w:hint="eastAsia" w:ascii="宋体" w:hAnsi="宋体"/>
        </w:rPr>
        <w:t>涂料之容器应表明品名、规格、容量及制造年月等各项资料。</w:t>
      </w:r>
    </w:p>
    <w:p w14:paraId="7A40C2F5">
      <w:pPr>
        <w:pStyle w:val="114"/>
        <w:rPr>
          <w:rFonts w:ascii="宋体" w:hAnsi="宋体"/>
        </w:rPr>
      </w:pPr>
      <w:r>
        <w:rPr>
          <w:rFonts w:hint="eastAsia" w:ascii="宋体" w:hAnsi="宋体"/>
        </w:rPr>
        <w:t>涂料须妥善储存，防止变质，并注意防火措施。</w:t>
      </w:r>
    </w:p>
    <w:p w14:paraId="7E2BEE4D">
      <w:pPr>
        <w:pStyle w:val="114"/>
        <w:rPr>
          <w:rFonts w:ascii="宋体" w:hAnsi="宋体"/>
        </w:rPr>
      </w:pPr>
      <w:r>
        <w:rPr>
          <w:rFonts w:hint="eastAsia" w:ascii="宋体" w:hAnsi="宋体"/>
        </w:rPr>
        <w:t>涂装前，需制作底漆及面漆样品及色板送业主认可。</w:t>
      </w:r>
    </w:p>
    <w:p w14:paraId="52F7C4F7">
      <w:pPr>
        <w:pStyle w:val="112"/>
      </w:pPr>
      <w:r>
        <w:rPr>
          <w:rFonts w:hint="eastAsia"/>
        </w:rPr>
        <w:t>除绣及涂装要求</w:t>
      </w:r>
    </w:p>
    <w:p w14:paraId="0E49F87A">
      <w:pPr>
        <w:pStyle w:val="114"/>
      </w:pPr>
      <w:r>
        <w:rPr>
          <w:rFonts w:hint="eastAsia"/>
        </w:rPr>
        <w:t>本工程钢结构表面除绣依设计规定处理。</w:t>
      </w:r>
    </w:p>
    <w:p w14:paraId="588E2347">
      <w:pPr>
        <w:pStyle w:val="114"/>
      </w:pPr>
      <w:r>
        <w:rPr>
          <w:rFonts w:hint="eastAsia"/>
        </w:rPr>
        <w:t>除绣处理段以钢珠自动喷砂施工。</w:t>
      </w:r>
    </w:p>
    <w:p w14:paraId="175DB8D9">
      <w:pPr>
        <w:pStyle w:val="114"/>
      </w:pPr>
      <w:r>
        <w:rPr>
          <w:rFonts w:hint="eastAsia"/>
        </w:rPr>
        <w:t>摩擦接合面高拉力螺栓接合部位及与混凝土接合面工厂内不予涂装，但应贴纸进行保护。</w:t>
      </w:r>
    </w:p>
    <w:p w14:paraId="798489A2">
      <w:pPr>
        <w:pStyle w:val="114"/>
      </w:pPr>
      <w:r>
        <w:rPr>
          <w:rFonts w:hint="eastAsia"/>
        </w:rPr>
        <w:t>钢结构表面于除绣处理后4小时内须予以涂装施作，超过时限者，构件需重新钢珠除绣处理。</w:t>
      </w:r>
    </w:p>
    <w:p w14:paraId="2FB90B43">
      <w:pPr>
        <w:pStyle w:val="114"/>
      </w:pPr>
      <w:r>
        <w:rPr>
          <w:rFonts w:hint="eastAsia"/>
        </w:rPr>
        <w:t>表面涂装处理须以喷漆施工，否则不予接受。</w:t>
      </w:r>
    </w:p>
    <w:p w14:paraId="665717D3">
      <w:pPr>
        <w:pStyle w:val="114"/>
      </w:pPr>
      <w:r>
        <w:rPr>
          <w:rFonts w:hint="eastAsia"/>
        </w:rPr>
        <w:t>涂装油漆施作后，须用膜厚计来量度干膜厚度是否符合要求，凡不合格构件须予以修补或重新施作，合格者方可出厂。</w:t>
      </w:r>
    </w:p>
    <w:p w14:paraId="548FA691">
      <w:pPr>
        <w:pStyle w:val="114"/>
      </w:pPr>
      <w:r>
        <w:rPr>
          <w:rFonts w:hint="eastAsia"/>
        </w:rPr>
        <w:t>涂装油漆后，漆膜如发现有龟裂、起皱、垂流粉化、失光或散雾等现象时应将漆膜刮除或以砂纸磨后，重新补漆。</w:t>
      </w:r>
    </w:p>
    <w:p w14:paraId="46E042ED">
      <w:pPr>
        <w:pStyle w:val="112"/>
      </w:pPr>
      <w:r>
        <w:rPr>
          <w:rFonts w:hint="eastAsia"/>
        </w:rPr>
        <w:t>钢结构的防火处理</w:t>
      </w:r>
    </w:p>
    <w:p w14:paraId="41B77B13">
      <w:pPr>
        <w:pStyle w:val="114"/>
      </w:pPr>
      <w:r>
        <w:rPr>
          <w:rFonts w:hint="eastAsia"/>
        </w:rPr>
        <w:t>结构耐火等级一级，钢架建议采用超薄型防火涂料</w:t>
      </w:r>
      <w:r>
        <w:t>(</w:t>
      </w:r>
      <w:r>
        <w:rPr>
          <w:rFonts w:hint="eastAsia"/>
        </w:rPr>
        <w:t>耐火极限不多于</w:t>
      </w:r>
      <w:r>
        <w:t>2</w:t>
      </w:r>
      <w:r>
        <w:rPr>
          <w:rFonts w:hint="eastAsia"/>
        </w:rPr>
        <w:t>小时</w:t>
      </w:r>
      <w:r>
        <w:t>)</w:t>
      </w:r>
      <w:r>
        <w:rPr>
          <w:rFonts w:hint="eastAsia"/>
        </w:rPr>
        <w:t>，及厚型防火涂料</w:t>
      </w:r>
      <w:r>
        <w:t>(</w:t>
      </w:r>
      <w:r>
        <w:rPr>
          <w:rFonts w:hint="eastAsia"/>
        </w:rPr>
        <w:t>抹涂</w:t>
      </w:r>
      <w:r>
        <w:t>)(</w:t>
      </w:r>
      <w:r>
        <w:rPr>
          <w:rFonts w:hint="eastAsia"/>
        </w:rPr>
        <w:t>耐火极限大于</w:t>
      </w:r>
      <w:r>
        <w:t>2</w:t>
      </w:r>
      <w:r>
        <w:rPr>
          <w:rFonts w:hint="eastAsia"/>
        </w:rPr>
        <w:t>小时</w:t>
      </w:r>
      <w:r>
        <w:t>)</w:t>
      </w:r>
      <w:r>
        <w:rPr>
          <w:rFonts w:hint="eastAsia"/>
        </w:rPr>
        <w:t>，喷涂场地要求、构件表面处理、接缝填补、涂料配制、喷涂遍数、质量控制与验收等，均应符合现行国家标准《钢结构防火涂料应用技术规范》</w:t>
      </w:r>
      <w:r>
        <w:t>(CECS24:90)</w:t>
      </w:r>
      <w:r>
        <w:rPr>
          <w:rFonts w:hint="eastAsia"/>
        </w:rPr>
        <w:t>及《钢结构防火涂料》</w:t>
      </w:r>
      <w:r>
        <w:t>(GB14907</w:t>
      </w:r>
      <w:r>
        <w:rPr>
          <w:rFonts w:hint="eastAsia"/>
        </w:rPr>
        <w:t>─</w:t>
      </w:r>
      <w:r>
        <w:t>2002)</w:t>
      </w:r>
      <w:r>
        <w:rPr>
          <w:rFonts w:hint="eastAsia"/>
        </w:rPr>
        <w:t>的规定。各种构件钢结构耐火极限应符合现行国家标准《建筑</w:t>
      </w:r>
      <w:r>
        <w:t>/</w:t>
      </w:r>
      <w:r>
        <w:rPr>
          <w:rFonts w:hint="eastAsia"/>
        </w:rPr>
        <w:t>设计防火规范》</w:t>
      </w:r>
      <w:r>
        <w:t>(GBJ16)</w:t>
      </w:r>
      <w:r>
        <w:rPr>
          <w:rFonts w:hint="eastAsia"/>
        </w:rPr>
        <w:t>及《高层民用建筑设计防火规范》</w:t>
      </w:r>
      <w:r>
        <w:t>(GB50045)</w:t>
      </w:r>
      <w:r>
        <w:rPr>
          <w:rFonts w:hint="eastAsia"/>
        </w:rPr>
        <w:t>的规定。</w:t>
      </w:r>
    </w:p>
    <w:p w14:paraId="1BB7B1CF">
      <w:pPr>
        <w:pStyle w:val="114"/>
      </w:pPr>
      <w:r>
        <w:rPr>
          <w:rFonts w:hint="eastAsia"/>
        </w:rPr>
        <w:t>根据钢结构的使用部位，主要承重结构，次要结构构件，应进行专项防火、防腐标准统一研究确定，进行专项设计。</w:t>
      </w:r>
    </w:p>
    <w:p w14:paraId="438415FB">
      <w:pPr>
        <w:pStyle w:val="112"/>
      </w:pPr>
      <w:r>
        <w:rPr>
          <w:rFonts w:hint="eastAsia"/>
        </w:rPr>
        <w:t>型钢混凝土梁，柱构造要求：</w:t>
      </w:r>
    </w:p>
    <w:p w14:paraId="70E8F903">
      <w:pPr>
        <w:pStyle w:val="114"/>
      </w:pPr>
      <w:r>
        <w:rPr>
          <w:rFonts w:hint="eastAsia"/>
        </w:rPr>
        <w:t>梁中型钢的保护层厚度不宜少于</w:t>
      </w:r>
      <w:r>
        <w:t>150mm</w:t>
      </w:r>
      <w:r>
        <w:rPr>
          <w:rFonts w:hint="eastAsia"/>
        </w:rPr>
        <w:t>，梁纵筋与型钢骨架的最小净距不应少于</w:t>
      </w:r>
      <w:r>
        <w:t>30mm</w:t>
      </w:r>
      <w:r>
        <w:rPr>
          <w:rFonts w:hint="eastAsia"/>
        </w:rPr>
        <w:t>，且不小于梁緃筋直径的</w:t>
      </w:r>
      <w:r>
        <w:t>1.5</w:t>
      </w:r>
      <w:r>
        <w:rPr>
          <w:rFonts w:hint="eastAsia"/>
        </w:rPr>
        <w:t>偣；型钢柱中型钢的保护层厚度不宜少于</w:t>
      </w:r>
      <w:r>
        <w:t>120mm</w:t>
      </w:r>
      <w:r>
        <w:rPr>
          <w:rFonts w:hint="eastAsia"/>
        </w:rPr>
        <w:t>，柱緃筋与型钢的最小净距不应小于</w:t>
      </w:r>
      <w:r>
        <w:t>25mm</w:t>
      </w:r>
      <w:r>
        <w:rPr>
          <w:rFonts w:hint="eastAsia"/>
        </w:rPr>
        <w:t>；</w:t>
      </w:r>
    </w:p>
    <w:p w14:paraId="640CDEEC">
      <w:pPr>
        <w:pStyle w:val="114"/>
      </w:pPr>
      <w:r>
        <w:rPr>
          <w:rFonts w:hint="eastAsia"/>
        </w:rPr>
        <w:t>梁，柱受力钢筋宜优先采用机械连接。如梁纵向钢筋需贯穿型钢柱腹板并以</w:t>
      </w:r>
      <w:r>
        <w:t>90</w:t>
      </w:r>
      <w:r>
        <w:rPr>
          <w:rFonts w:ascii="Arial" w:hAnsi="Arial" w:cs="Arial"/>
        </w:rPr>
        <w:t>°</w:t>
      </w:r>
      <w:r>
        <w:rPr>
          <w:rFonts w:hint="eastAsia"/>
        </w:rPr>
        <w:t>弯折固定在柱截面内时，其弯折前直段长度不应少于</w:t>
      </w:r>
      <w:r>
        <w:t>0.40</w:t>
      </w:r>
      <w:r>
        <w:rPr>
          <w:rFonts w:hint="eastAsia"/>
        </w:rPr>
        <w:t>倍的钢筋抗震锚固长度</w:t>
      </w:r>
      <w:r>
        <w:t>L</w:t>
      </w:r>
      <w:r>
        <w:rPr>
          <w:vertAlign w:val="subscript"/>
        </w:rPr>
        <w:t>oE</w:t>
      </w:r>
      <w:r>
        <w:rPr>
          <w:rFonts w:hint="eastAsia"/>
        </w:rPr>
        <w:t>，弯折直段长度不应小于</w:t>
      </w:r>
      <w:r>
        <w:t>15</w:t>
      </w:r>
      <w:r>
        <w:rPr>
          <w:rFonts w:hint="eastAsia"/>
        </w:rPr>
        <w:t>倍纵向纲筋直径；</w:t>
      </w:r>
    </w:p>
    <w:p w14:paraId="43D54476">
      <w:pPr>
        <w:pStyle w:val="114"/>
      </w:pPr>
      <w:r>
        <w:rPr>
          <w:rFonts w:hint="eastAsia"/>
        </w:rPr>
        <w:t>梁上开洞不宜大于梁截面高度的</w:t>
      </w:r>
      <w:r>
        <w:t>0.4</w:t>
      </w:r>
      <w:r>
        <w:rPr>
          <w:rFonts w:hint="eastAsia"/>
        </w:rPr>
        <w:t>倍，且不宜大于内含型钢高度的</w:t>
      </w:r>
      <w:r>
        <w:t>0.7</w:t>
      </w:r>
      <w:r>
        <w:rPr>
          <w:rFonts w:hint="eastAsia"/>
        </w:rPr>
        <w:t>倍，并应位于梁高及型钢高度的中间区域；</w:t>
      </w:r>
    </w:p>
    <w:p w14:paraId="01D16830">
      <w:pPr>
        <w:pStyle w:val="114"/>
      </w:pPr>
      <w:r>
        <w:rPr>
          <w:rFonts w:hint="eastAsia"/>
        </w:rPr>
        <w:t>柱箍筋应做成</w:t>
      </w:r>
      <w:r>
        <w:t>135</w:t>
      </w:r>
      <w:r>
        <w:rPr>
          <w:rFonts w:ascii="Arial" w:hAnsi="Arial" w:cs="Arial"/>
        </w:rPr>
        <w:t>°</w:t>
      </w:r>
      <w:r>
        <w:rPr>
          <w:rFonts w:hint="eastAsia"/>
        </w:rPr>
        <w:t>的弯钩，弯钓直段长度不应小于</w:t>
      </w:r>
      <w:r>
        <w:t>10</w:t>
      </w:r>
      <w:r>
        <w:rPr>
          <w:rFonts w:hint="eastAsia"/>
        </w:rPr>
        <w:t>倍箍筋直径；</w:t>
      </w:r>
    </w:p>
    <w:p w14:paraId="367184BA">
      <w:pPr>
        <w:pStyle w:val="114"/>
      </w:pPr>
      <w:r>
        <w:rPr>
          <w:rFonts w:hint="eastAsia"/>
        </w:rPr>
        <w:t>型钢砼柱内型钢不应刷油漆，但必须除锈。</w:t>
      </w:r>
    </w:p>
    <w:p w14:paraId="38376C4B">
      <w:pPr>
        <w:pStyle w:val="114"/>
      </w:pPr>
      <w:r>
        <w:rPr>
          <w:rFonts w:hint="eastAsia"/>
        </w:rPr>
        <w:t>未说明的施工要求及构造措施均同钢筋混凝土及钢结构部分。</w:t>
      </w:r>
    </w:p>
    <w:p w14:paraId="05BAFAF9">
      <w:pPr>
        <w:pStyle w:val="119"/>
      </w:pPr>
      <w:bookmarkStart w:id="84" w:name="_Toc291153946"/>
      <w:bookmarkStart w:id="85" w:name="_Toc136956858"/>
      <w:r>
        <w:rPr>
          <w:rFonts w:hint="eastAsia"/>
        </w:rPr>
        <w:t>钢构件安装</w:t>
      </w:r>
      <w:bookmarkEnd w:id="84"/>
      <w:bookmarkEnd w:id="85"/>
    </w:p>
    <w:p w14:paraId="73EB4E76">
      <w:pPr>
        <w:pStyle w:val="112"/>
      </w:pPr>
      <w:r>
        <w:t>钢结</w:t>
      </w:r>
      <w:r>
        <w:rPr>
          <w:rFonts w:hint="eastAsia"/>
        </w:rPr>
        <w:t>构的安</w:t>
      </w:r>
      <w:r>
        <w:t>装单</w:t>
      </w:r>
      <w:r>
        <w:rPr>
          <w:rFonts w:hint="eastAsia"/>
        </w:rPr>
        <w:t>位需制定一</w:t>
      </w:r>
      <w:r>
        <w:t>个</w:t>
      </w:r>
      <w:r>
        <w:rPr>
          <w:rFonts w:hint="eastAsia"/>
        </w:rPr>
        <w:t>施工</w:t>
      </w:r>
      <w:r>
        <w:t>组织设计</w:t>
      </w:r>
      <w:r>
        <w:rPr>
          <w:rFonts w:hint="eastAsia"/>
        </w:rPr>
        <w:t>，</w:t>
      </w:r>
      <w:r>
        <w:t>内</w:t>
      </w:r>
      <w:r>
        <w:rPr>
          <w:rFonts w:hint="eastAsia"/>
        </w:rPr>
        <w:t>容包括施工方法、施工步</w:t>
      </w:r>
      <w:r>
        <w:t>骤</w:t>
      </w:r>
      <w:r>
        <w:rPr>
          <w:rFonts w:hint="eastAsia"/>
        </w:rPr>
        <w:t>、施工管理、并能确保安</w:t>
      </w:r>
      <w:r>
        <w:t>装质</w:t>
      </w:r>
      <w:r>
        <w:rPr>
          <w:rFonts w:hint="eastAsia"/>
        </w:rPr>
        <w:t>量、安</w:t>
      </w:r>
      <w:r>
        <w:t>装</w:t>
      </w:r>
      <w:r>
        <w:rPr>
          <w:rFonts w:hint="eastAsia"/>
        </w:rPr>
        <w:t>精度以及安</w:t>
      </w:r>
      <w:r>
        <w:t>装</w:t>
      </w:r>
      <w:r>
        <w:rPr>
          <w:rFonts w:hint="eastAsia"/>
        </w:rPr>
        <w:t>安全。</w:t>
      </w:r>
      <w:r>
        <w:t>该设计</w:t>
      </w:r>
      <w:r>
        <w:rPr>
          <w:rFonts w:hint="eastAsia"/>
        </w:rPr>
        <w:t>必需</w:t>
      </w:r>
      <w:r>
        <w:t>经</w:t>
      </w:r>
      <w:r>
        <w:rPr>
          <w:rFonts w:hint="eastAsia"/>
        </w:rPr>
        <w:t>建筑</w:t>
      </w:r>
      <w:r>
        <w:t>师</w:t>
      </w:r>
      <w:r>
        <w:rPr>
          <w:rFonts w:hint="eastAsia"/>
        </w:rPr>
        <w:t>批准后方可施工。</w:t>
      </w:r>
    </w:p>
    <w:p w14:paraId="641CF434">
      <w:pPr>
        <w:pStyle w:val="112"/>
      </w:pPr>
      <w:r>
        <w:rPr>
          <w:rFonts w:hint="eastAsia"/>
        </w:rPr>
        <w:t>安</w:t>
      </w:r>
      <w:r>
        <w:t>装单</w:t>
      </w:r>
      <w:r>
        <w:rPr>
          <w:rFonts w:hint="eastAsia"/>
        </w:rPr>
        <w:t>位施工前，需</w:t>
      </w:r>
      <w:r>
        <w:t>对</w:t>
      </w:r>
      <w:r>
        <w:rPr>
          <w:rFonts w:hint="eastAsia"/>
        </w:rPr>
        <w:t>构件</w:t>
      </w:r>
      <w:r>
        <w:t>进</w:t>
      </w:r>
      <w:r>
        <w:rPr>
          <w:rFonts w:hint="eastAsia"/>
        </w:rPr>
        <w:t>行全面</w:t>
      </w:r>
      <w:r>
        <w:t>检</w:t>
      </w:r>
      <w:r>
        <w:rPr>
          <w:rFonts w:hint="eastAsia"/>
        </w:rPr>
        <w:t>查，在符合</w:t>
      </w:r>
      <w:r>
        <w:t>设计</w:t>
      </w:r>
      <w:r>
        <w:rPr>
          <w:rFonts w:hint="eastAsia"/>
        </w:rPr>
        <w:t>文件或有</w:t>
      </w:r>
      <w:r>
        <w:t>关</w:t>
      </w:r>
      <w:r>
        <w:rPr>
          <w:rFonts w:hint="eastAsia"/>
        </w:rPr>
        <w:t>文件</w:t>
      </w:r>
      <w:r>
        <w:t>标</w:t>
      </w:r>
      <w:r>
        <w:rPr>
          <w:rFonts w:hint="eastAsia"/>
        </w:rPr>
        <w:t>准的要求后方可施工。</w:t>
      </w:r>
    </w:p>
    <w:p w14:paraId="32CD3FA4">
      <w:pPr>
        <w:pStyle w:val="112"/>
      </w:pPr>
      <w:r>
        <w:rPr>
          <w:rFonts w:hint="eastAsia"/>
        </w:rPr>
        <w:t>构件安装前需妥善安排安装顺序及使用机具及出入路线等。</w:t>
      </w:r>
    </w:p>
    <w:p w14:paraId="3F294DDB">
      <w:pPr>
        <w:pStyle w:val="112"/>
      </w:pPr>
      <w:r>
        <w:rPr>
          <w:rFonts w:hint="eastAsia"/>
          <w:lang w:val="en-GB"/>
        </w:rPr>
        <w:t>构件在</w:t>
      </w:r>
      <w:r>
        <w:rPr>
          <w:lang w:val="en-GB"/>
        </w:rPr>
        <w:t>运输</w:t>
      </w:r>
      <w:r>
        <w:rPr>
          <w:rFonts w:hint="eastAsia"/>
          <w:lang w:val="en-GB"/>
        </w:rPr>
        <w:t>、堆放与安</w:t>
      </w:r>
      <w:r>
        <w:rPr>
          <w:lang w:val="en-GB"/>
        </w:rPr>
        <w:t>装</w:t>
      </w:r>
      <w:r>
        <w:rPr>
          <w:rFonts w:hint="eastAsia"/>
          <w:lang w:val="en-GB"/>
        </w:rPr>
        <w:t>以及</w:t>
      </w:r>
      <w:r>
        <w:rPr>
          <w:lang w:val="en-GB"/>
        </w:rPr>
        <w:t>临时</w:t>
      </w:r>
      <w:r>
        <w:rPr>
          <w:rFonts w:hint="eastAsia"/>
          <w:lang w:val="en-GB"/>
        </w:rPr>
        <w:t>安</w:t>
      </w:r>
      <w:r>
        <w:rPr>
          <w:lang w:val="en-GB"/>
        </w:rPr>
        <w:t>装时</w:t>
      </w:r>
      <w:r>
        <w:rPr>
          <w:rFonts w:hint="eastAsia"/>
          <w:lang w:val="en-GB"/>
        </w:rPr>
        <w:t>，</w:t>
      </w:r>
      <w:r>
        <w:rPr>
          <w:lang w:val="en-GB"/>
        </w:rPr>
        <w:t>应</w:t>
      </w:r>
      <w:r>
        <w:rPr>
          <w:rFonts w:hint="eastAsia"/>
          <w:lang w:val="en-GB"/>
        </w:rPr>
        <w:t>确保</w:t>
      </w:r>
      <w:r>
        <w:rPr>
          <w:lang w:val="en-GB"/>
        </w:rPr>
        <w:t>结</w:t>
      </w:r>
      <w:r>
        <w:rPr>
          <w:rFonts w:hint="eastAsia"/>
          <w:lang w:val="en-GB"/>
        </w:rPr>
        <w:t>构的</w:t>
      </w:r>
      <w:r>
        <w:rPr>
          <w:lang w:val="en-GB"/>
        </w:rPr>
        <w:t>稳</w:t>
      </w:r>
      <w:r>
        <w:rPr>
          <w:rFonts w:hint="eastAsia"/>
          <w:lang w:val="en-GB"/>
        </w:rPr>
        <w:t>定，不</w:t>
      </w:r>
      <w:r>
        <w:rPr>
          <w:lang w:val="en-GB"/>
        </w:rPr>
        <w:t>会产</w:t>
      </w:r>
      <w:r>
        <w:rPr>
          <w:rFonts w:hint="eastAsia"/>
          <w:lang w:val="en-GB"/>
        </w:rPr>
        <w:t>生永久</w:t>
      </w:r>
      <w:r>
        <w:rPr>
          <w:lang w:val="en-GB"/>
        </w:rPr>
        <w:t>变</w:t>
      </w:r>
      <w:r>
        <w:rPr>
          <w:rFonts w:hint="eastAsia"/>
          <w:lang w:val="en-GB"/>
        </w:rPr>
        <w:t>形。</w:t>
      </w:r>
    </w:p>
    <w:p w14:paraId="54589EB9">
      <w:pPr>
        <w:pStyle w:val="112"/>
      </w:pPr>
      <w:r>
        <w:rPr>
          <w:rFonts w:hint="eastAsia"/>
        </w:rPr>
        <w:t>螺栓初装配前不宜锁得太紧，以不会移动为原则，待整体校正完毕后才一并锁紧。</w:t>
      </w:r>
    </w:p>
    <w:p w14:paraId="074B157A">
      <w:pPr>
        <w:pStyle w:val="112"/>
      </w:pPr>
      <w:r>
        <w:rPr>
          <w:rFonts w:hint="eastAsia"/>
        </w:rPr>
        <w:t>安装前应先检查各种构件均平直无变形，高拉力螺栓接触面需清除干净方可安装。</w:t>
      </w:r>
    </w:p>
    <w:p w14:paraId="40AD145D">
      <w:pPr>
        <w:pStyle w:val="112"/>
        <w:rPr>
          <w:lang w:eastAsia="zh-TW"/>
        </w:rPr>
      </w:pPr>
      <w:r>
        <w:rPr>
          <w:rFonts w:hint="eastAsia"/>
          <w:lang w:val="en-GB"/>
        </w:rPr>
        <w:t>高</w:t>
      </w:r>
      <w:r>
        <w:rPr>
          <w:lang w:val="en-GB"/>
        </w:rPr>
        <w:t>强</w:t>
      </w:r>
      <w:r>
        <w:rPr>
          <w:rFonts w:hint="eastAsia"/>
          <w:lang w:val="en-GB"/>
        </w:rPr>
        <w:t>螺栓</w:t>
      </w:r>
      <w:r>
        <w:rPr>
          <w:lang w:val="en-GB"/>
        </w:rPr>
        <w:t>连</w:t>
      </w:r>
      <w:r>
        <w:rPr>
          <w:rFonts w:hint="eastAsia"/>
          <w:lang w:val="en-GB"/>
        </w:rPr>
        <w:t>接的构件，不得</w:t>
      </w:r>
      <w:r>
        <w:rPr>
          <w:lang w:val="en-GB"/>
        </w:rPr>
        <w:t>随</w:t>
      </w:r>
      <w:r>
        <w:rPr>
          <w:rFonts w:hint="eastAsia"/>
          <w:lang w:val="en-GB"/>
        </w:rPr>
        <w:t>意</w:t>
      </w:r>
      <w:r>
        <w:rPr>
          <w:lang w:val="en-GB"/>
        </w:rPr>
        <w:t>扩</w:t>
      </w:r>
      <w:r>
        <w:rPr>
          <w:rFonts w:hint="eastAsia"/>
          <w:lang w:val="en-GB"/>
        </w:rPr>
        <w:t>孔，并</w:t>
      </w:r>
      <w:r>
        <w:rPr>
          <w:lang w:val="en-GB"/>
        </w:rPr>
        <w:t>严</w:t>
      </w:r>
      <w:r>
        <w:rPr>
          <w:rFonts w:hint="eastAsia"/>
          <w:lang w:val="en-GB"/>
        </w:rPr>
        <w:t>禁气割</w:t>
      </w:r>
      <w:r>
        <w:rPr>
          <w:lang w:val="en-GB"/>
        </w:rPr>
        <w:t>扩</w:t>
      </w:r>
      <w:r>
        <w:rPr>
          <w:rFonts w:hint="eastAsia"/>
          <w:lang w:val="en-GB"/>
        </w:rPr>
        <w:t>孔。无论何种</w:t>
      </w:r>
      <w:r>
        <w:rPr>
          <w:rFonts w:hint="eastAsia" w:eastAsia="PMingLiU"/>
          <w:lang w:val="en-GB" w:eastAsia="zh-TW"/>
        </w:rPr>
        <w:t>原因，</w:t>
      </w:r>
      <w:r>
        <w:rPr>
          <w:rFonts w:hint="eastAsia"/>
          <w:lang w:val="en-GB" w:eastAsia="zh-TW"/>
        </w:rPr>
        <w:t>螺栓</w:t>
      </w:r>
      <w:r>
        <w:rPr>
          <w:rFonts w:hint="eastAsia"/>
          <w:lang w:val="en-GB"/>
        </w:rPr>
        <w:t>拧紧后</w:t>
      </w:r>
      <w:r>
        <w:rPr>
          <w:rFonts w:hint="eastAsia" w:eastAsia="PMingLiU"/>
          <w:lang w:val="en-GB" w:eastAsia="zh-TW"/>
        </w:rPr>
        <w:t>，若</w:t>
      </w:r>
      <w:r>
        <w:rPr>
          <w:rFonts w:hint="eastAsia"/>
          <w:lang w:val="en-GB" w:eastAsia="zh-TW"/>
        </w:rPr>
        <w:t>螺栓</w:t>
      </w:r>
      <w:r>
        <w:rPr>
          <w:rFonts w:hint="eastAsia" w:eastAsia="PMingLiU"/>
          <w:lang w:val="en-GB" w:eastAsia="zh-TW"/>
        </w:rPr>
        <w:t>或螺帽</w:t>
      </w:r>
      <w:r>
        <w:rPr>
          <w:rFonts w:hint="eastAsia"/>
          <w:lang w:val="en-GB"/>
        </w:rPr>
        <w:t>出现松脱</w:t>
      </w:r>
      <w:r>
        <w:rPr>
          <w:lang w:val="en-GB"/>
        </w:rPr>
        <w:t>，</w:t>
      </w:r>
      <w:r>
        <w:rPr>
          <w:rFonts w:hint="eastAsia"/>
          <w:lang w:val="en-GB"/>
        </w:rPr>
        <w:t>整个螺栓组合件</w:t>
      </w:r>
      <w:r>
        <w:rPr>
          <w:lang w:val="en-GB"/>
        </w:rPr>
        <w:t>不可再用</w:t>
      </w:r>
      <w:r>
        <w:rPr>
          <w:rFonts w:hint="eastAsia" w:eastAsia="PMingLiU"/>
          <w:lang w:val="en-GB" w:eastAsia="zh-TW"/>
        </w:rPr>
        <w:t>。</w:t>
      </w:r>
    </w:p>
    <w:p w14:paraId="103FE175">
      <w:pPr>
        <w:pStyle w:val="112"/>
        <w:rPr>
          <w:lang w:eastAsia="zh-TW"/>
        </w:rPr>
      </w:pPr>
      <w:r>
        <w:rPr>
          <w:rFonts w:hint="eastAsia"/>
          <w:lang w:val="en-GB"/>
        </w:rPr>
        <w:t>一组高强</w:t>
      </w:r>
      <w:r>
        <w:rPr>
          <w:lang w:val="en-GB"/>
        </w:rPr>
        <w:t>螺栓</w:t>
      </w:r>
      <w:r>
        <w:rPr>
          <w:rFonts w:hint="eastAsia"/>
          <w:lang w:val="en-GB"/>
        </w:rPr>
        <w:t>拧紧次序应由</w:t>
      </w:r>
      <w:r>
        <w:rPr>
          <w:lang w:val="en-GB"/>
        </w:rPr>
        <w:t>中间开始然后逐渐向四周扩展</w:t>
      </w:r>
      <w:r>
        <w:rPr>
          <w:rFonts w:hint="eastAsia"/>
          <w:lang w:val="en-GB"/>
        </w:rPr>
        <w:t>。当天</w:t>
      </w:r>
      <w:r>
        <w:rPr>
          <w:lang w:val="en-GB"/>
        </w:rPr>
        <w:t>安装的高强螺栓应当天终</w:t>
      </w:r>
      <w:r>
        <w:rPr>
          <w:rFonts w:hint="eastAsia"/>
          <w:lang w:val="en-GB"/>
        </w:rPr>
        <w:t>拧</w:t>
      </w:r>
      <w:r>
        <w:rPr>
          <w:lang w:val="en-GB"/>
        </w:rPr>
        <w:t>完毕</w:t>
      </w:r>
      <w:r>
        <w:rPr>
          <w:rFonts w:hint="eastAsia"/>
          <w:lang w:val="en-GB"/>
        </w:rPr>
        <w:t>。</w:t>
      </w:r>
    </w:p>
    <w:p w14:paraId="292FBC89">
      <w:pPr>
        <w:pStyle w:val="112"/>
      </w:pPr>
      <w:r>
        <w:rPr>
          <w:rFonts w:hint="eastAsia"/>
        </w:rPr>
        <w:t>待整体结构锁紧后，所有高强度螺栓需除绣涂装。</w:t>
      </w:r>
    </w:p>
    <w:p w14:paraId="289B3BFD">
      <w:pPr>
        <w:pStyle w:val="112"/>
      </w:pPr>
      <w:r>
        <w:rPr>
          <w:rFonts w:hint="eastAsia"/>
        </w:rPr>
        <w:t>基础螺栓埋设时应先行制作形板，以控制基础螺栓放置及混凝土浇注时相邻螺栓产生位移，并且应准备螺栓套简。</w:t>
      </w:r>
    </w:p>
    <w:p w14:paraId="6A56F257">
      <w:pPr>
        <w:pStyle w:val="112"/>
      </w:pPr>
      <w:r>
        <w:rPr>
          <w:rFonts w:hint="eastAsia"/>
        </w:rPr>
        <w:t>对于钢柱脚无收缩砼应负责预埋钢板及填塞。螺栓固定架由钢构厂商设计制造，由土建承包商负责安装。</w:t>
      </w:r>
    </w:p>
    <w:p w14:paraId="5E922375">
      <w:pPr>
        <w:pStyle w:val="112"/>
      </w:pPr>
      <w:r>
        <w:rPr>
          <w:rFonts w:hint="eastAsia"/>
        </w:rPr>
        <w:t>承包人应严格按照业主要求选用得建材来施工，不得使用未经业主及设计院书面同意得材料，若发现擅自乱用材料，业主有权要求更换、整改、勒令停工、罚款，其损失及工期延误由承包商自负。</w:t>
      </w:r>
    </w:p>
    <w:p w14:paraId="238FDDE4">
      <w:pPr>
        <w:pStyle w:val="112"/>
      </w:pPr>
      <w:r>
        <w:rPr>
          <w:rFonts w:hint="eastAsia"/>
        </w:rPr>
        <w:t>所有施工材料机具除另有规定外，全部有承包商自备，并经监理检验合格后使用，若不合格需立即迁出厂外并更换合格机具。</w:t>
      </w:r>
    </w:p>
    <w:p w14:paraId="6BA7621A">
      <w:pPr>
        <w:pStyle w:val="112"/>
      </w:pPr>
      <w:r>
        <w:rPr>
          <w:rFonts w:hint="eastAsia"/>
        </w:rPr>
        <w:t>厂商应按照国家有关劳动安全卫生的规定办理：凡进入工地的人员，均需佩戴安全帽，高空作业必须设安全网，施工人员需挂安全带。施工人员在场内严禁吸烟。施工应自备带漏电保护器的配电箱。</w:t>
      </w:r>
    </w:p>
    <w:p w14:paraId="3E0E1D86">
      <w:pPr>
        <w:pStyle w:val="112"/>
      </w:pPr>
      <w:r>
        <w:rPr>
          <w:rFonts w:hint="eastAsia"/>
        </w:rPr>
        <w:t>施工期间，承包人应在施工地点按照国家有关规定设立明显的道路标志、标线、警示灯等，以利安全。</w:t>
      </w:r>
    </w:p>
    <w:p w14:paraId="4AB67BD5">
      <w:pPr>
        <w:pStyle w:val="112"/>
      </w:pPr>
      <w:r>
        <w:rPr>
          <w:rFonts w:hint="eastAsia" w:ascii="仿宋体"/>
        </w:rPr>
        <w:t>钢构件运至现场后，钢构厂商应提供相应的出厂检验证书，由业主及监理验收后，可安装。</w:t>
      </w:r>
    </w:p>
    <w:p w14:paraId="3F8BB2CB">
      <w:pPr>
        <w:pStyle w:val="112"/>
      </w:pPr>
      <w:r>
        <w:rPr>
          <w:rFonts w:hint="eastAsia" w:ascii="仿宋体"/>
        </w:rPr>
        <w:t>钢构厂商于开工前一日派至少</w:t>
      </w:r>
      <w:r>
        <w:rPr>
          <w:rFonts w:hint="eastAsia"/>
        </w:rPr>
        <w:t>2名有</w:t>
      </w:r>
      <w:r>
        <w:t>5</w:t>
      </w:r>
      <w:r>
        <w:rPr>
          <w:rFonts w:hint="eastAsia"/>
        </w:rPr>
        <w:t>年</w:t>
      </w:r>
      <w:r>
        <w:rPr>
          <w:rFonts w:hint="eastAsia" w:ascii="仿宋体"/>
        </w:rPr>
        <w:t>以上现场安装经验的技术人员到工地负责安装，于工程安装完工后撤走，当工程施工要求紧时，业主可要求无偿增加或更换现场安装技术人员到施工现场督促施工进度及工程质量。</w:t>
      </w:r>
    </w:p>
    <w:p w14:paraId="4B8292B6">
      <w:pPr>
        <w:pStyle w:val="119"/>
      </w:pPr>
      <w:bookmarkStart w:id="86" w:name="_Toc136956859"/>
      <w:bookmarkStart w:id="87" w:name="_Toc291153947"/>
      <w:r>
        <w:rPr>
          <w:rFonts w:hint="eastAsia"/>
        </w:rPr>
        <w:t>资质要求</w:t>
      </w:r>
      <w:bookmarkEnd w:id="86"/>
      <w:bookmarkEnd w:id="87"/>
    </w:p>
    <w:p w14:paraId="5747573B">
      <w:pPr>
        <w:pStyle w:val="112"/>
        <w:rPr>
          <w:rFonts w:ascii="宋体" w:hAnsi="宋体"/>
        </w:rPr>
      </w:pPr>
      <w:r>
        <w:rPr>
          <w:rFonts w:hint="eastAsia"/>
        </w:rPr>
        <w:t>承担钢结构工程制作、安装的企业必需具有与工程类型相应的资质要求。并由建筑师认可。</w:t>
      </w:r>
    </w:p>
    <w:p w14:paraId="5D0413FC">
      <w:pPr>
        <w:pStyle w:val="112"/>
        <w:rPr>
          <w:rFonts w:ascii="宋体" w:hAnsi="宋体"/>
        </w:rPr>
      </w:pPr>
      <w:r>
        <w:rPr>
          <w:rFonts w:hint="eastAsia" w:ascii="宋体" w:hAnsi="宋体"/>
        </w:rPr>
        <w:t>焊工</w:t>
      </w:r>
      <w:r>
        <w:rPr>
          <w:rFonts w:ascii="宋体" w:hAnsi="宋体"/>
        </w:rPr>
        <w:t>应</w:t>
      </w:r>
      <w:r>
        <w:rPr>
          <w:rFonts w:hint="eastAsia" w:ascii="宋体" w:hAnsi="宋体"/>
        </w:rPr>
        <w:t>持有上</w:t>
      </w:r>
      <w:r>
        <w:rPr>
          <w:rFonts w:ascii="宋体" w:hAnsi="宋体"/>
        </w:rPr>
        <w:t>岗资</w:t>
      </w:r>
      <w:r>
        <w:rPr>
          <w:rFonts w:hint="eastAsia" w:ascii="宋体" w:hAnsi="宋体"/>
        </w:rPr>
        <w:t>格</w:t>
      </w:r>
      <w:r>
        <w:rPr>
          <w:rFonts w:ascii="宋体" w:hAnsi="宋体"/>
        </w:rPr>
        <w:t>证书</w:t>
      </w:r>
      <w:r>
        <w:rPr>
          <w:rFonts w:hint="eastAsia" w:ascii="宋体" w:hAnsi="宋体"/>
        </w:rPr>
        <w:t>，其施焊范</w:t>
      </w:r>
      <w:r>
        <w:rPr>
          <w:rFonts w:ascii="宋体" w:hAnsi="宋体"/>
        </w:rPr>
        <w:t>围</w:t>
      </w:r>
      <w:r>
        <w:rPr>
          <w:rFonts w:hint="eastAsia" w:ascii="宋体" w:hAnsi="宋体"/>
        </w:rPr>
        <w:t>不得超越</w:t>
      </w:r>
      <w:r>
        <w:rPr>
          <w:rFonts w:ascii="宋体" w:hAnsi="宋体"/>
        </w:rPr>
        <w:t>资</w:t>
      </w:r>
      <w:r>
        <w:rPr>
          <w:rFonts w:hint="eastAsia" w:ascii="宋体" w:hAnsi="宋体"/>
        </w:rPr>
        <w:t>格</w:t>
      </w:r>
      <w:r>
        <w:rPr>
          <w:rFonts w:ascii="宋体" w:hAnsi="宋体"/>
        </w:rPr>
        <w:t>证书</w:t>
      </w:r>
      <w:r>
        <w:rPr>
          <w:rFonts w:hint="eastAsia" w:ascii="宋体" w:hAnsi="宋体"/>
        </w:rPr>
        <w:t>的</w:t>
      </w:r>
      <w:r>
        <w:rPr>
          <w:rFonts w:ascii="宋体" w:hAnsi="宋体"/>
        </w:rPr>
        <w:t>规</w:t>
      </w:r>
      <w:r>
        <w:rPr>
          <w:rFonts w:hint="eastAsia" w:ascii="宋体" w:hAnsi="宋体"/>
        </w:rPr>
        <w:t>定。</w:t>
      </w:r>
    </w:p>
    <w:p w14:paraId="23999365">
      <w:pPr>
        <w:pStyle w:val="112"/>
        <w:rPr>
          <w:rFonts w:ascii="宋体" w:hAnsi="宋体"/>
        </w:rPr>
      </w:pPr>
      <w:r>
        <w:rPr>
          <w:rFonts w:hint="eastAsia" w:ascii="宋体" w:hAnsi="宋体"/>
        </w:rPr>
        <w:t>气体火焰加</w:t>
      </w:r>
      <w:r>
        <w:rPr>
          <w:rFonts w:ascii="宋体" w:hAnsi="宋体"/>
        </w:rPr>
        <w:t>热</w:t>
      </w:r>
      <w:r>
        <w:rPr>
          <w:rFonts w:hint="eastAsia" w:ascii="宋体" w:hAnsi="宋体"/>
        </w:rPr>
        <w:t>、切割、</w:t>
      </w:r>
      <w:r>
        <w:rPr>
          <w:rFonts w:ascii="宋体" w:hAnsi="宋体"/>
        </w:rPr>
        <w:t>预热区处</w:t>
      </w:r>
      <w:r>
        <w:rPr>
          <w:rFonts w:hint="eastAsia" w:ascii="宋体" w:hAnsi="宋体"/>
        </w:rPr>
        <w:t>理等人</w:t>
      </w:r>
      <w:r>
        <w:rPr>
          <w:rFonts w:ascii="宋体" w:hAnsi="宋体"/>
        </w:rPr>
        <w:t>员应经过专业</w:t>
      </w:r>
      <w:r>
        <w:rPr>
          <w:rFonts w:hint="eastAsia" w:ascii="宋体" w:hAnsi="宋体"/>
        </w:rPr>
        <w:t>培</w:t>
      </w:r>
      <w:r>
        <w:rPr>
          <w:rFonts w:ascii="宋体" w:hAnsi="宋体"/>
        </w:rPr>
        <w:t>训</w:t>
      </w:r>
      <w:r>
        <w:rPr>
          <w:rFonts w:hint="eastAsia" w:ascii="宋体" w:hAnsi="宋体"/>
        </w:rPr>
        <w:t>，并具有上</w:t>
      </w:r>
      <w:r>
        <w:rPr>
          <w:rFonts w:ascii="宋体" w:hAnsi="宋体"/>
        </w:rPr>
        <w:t>岗证书</w:t>
      </w:r>
      <w:r>
        <w:rPr>
          <w:rFonts w:hint="eastAsia" w:ascii="宋体" w:hAnsi="宋体"/>
        </w:rPr>
        <w:t>。</w:t>
      </w:r>
    </w:p>
    <w:p w14:paraId="17A6FFB6">
      <w:pPr>
        <w:pStyle w:val="119"/>
      </w:pPr>
      <w:bookmarkStart w:id="88" w:name="_Toc136956860"/>
      <w:bookmarkStart w:id="89" w:name="_Toc291153948"/>
      <w:r>
        <w:rPr>
          <w:rFonts w:hint="eastAsia"/>
        </w:rPr>
        <w:t>总承包商需提交资料说明</w:t>
      </w:r>
      <w:bookmarkEnd w:id="88"/>
      <w:bookmarkEnd w:id="89"/>
    </w:p>
    <w:p w14:paraId="28C0EA10">
      <w:pPr>
        <w:pStyle w:val="112"/>
      </w:pPr>
      <w:r>
        <w:rPr>
          <w:rFonts w:hint="eastAsia"/>
        </w:rPr>
        <w:t>承包方须按结构图纸，依有关规范进行制施工加工图纸。</w:t>
      </w:r>
    </w:p>
    <w:p w14:paraId="2FCD0EB4">
      <w:pPr>
        <w:pStyle w:val="112"/>
      </w:pPr>
      <w:r>
        <w:rPr>
          <w:rFonts w:hint="eastAsia"/>
        </w:rPr>
        <w:t>施工加工图纸应表</w:t>
      </w:r>
      <w:r>
        <w:rPr>
          <w:rFonts w:hint="eastAsia" w:ascii="PMingLiU" w:hAnsi="PMingLiU" w:eastAsia="PMingLiU"/>
        </w:rPr>
        <w:t>构</w:t>
      </w:r>
      <w:r>
        <w:rPr>
          <w:rFonts w:hint="eastAsia"/>
        </w:rPr>
        <w:t>件，所需数量、类型、位置和典型细节、用料数量和图纸标示都必须符合现行中国国家标准及有关规程。</w:t>
      </w:r>
    </w:p>
    <w:p w14:paraId="7DB4F3B7">
      <w:pPr>
        <w:pStyle w:val="112"/>
      </w:pPr>
      <w:r>
        <w:rPr>
          <w:rFonts w:hint="eastAsia"/>
        </w:rPr>
        <w:t>承包商应按我司认可的图纸、技术要求、施工加工图纸和有关规程和规范施工，并建造完成，如果图纸有遗漏，而按常规必须配合完成的部分，承包商也不应借故推亦不可要求加价，必须在合约规定的施工期限内将之完成。</w:t>
      </w:r>
      <w:r>
        <w:t>”</w:t>
      </w:r>
      <w:r>
        <w:rPr>
          <w:rFonts w:hint="eastAsia"/>
        </w:rPr>
        <w:t>按常规</w:t>
      </w:r>
      <w:r>
        <w:t>”</w:t>
      </w:r>
      <w:r>
        <w:rPr>
          <w:rFonts w:hint="eastAsia"/>
        </w:rPr>
        <w:t>一词由工程师解释为准。</w:t>
      </w:r>
    </w:p>
    <w:p w14:paraId="6D969A1C">
      <w:pPr>
        <w:pStyle w:val="112"/>
      </w:pPr>
      <w:r>
        <w:rPr>
          <w:rFonts w:hint="eastAsia"/>
        </w:rPr>
        <w:t>任何施工方案的变更，必须在施工前以书面提交工程师及有关单位审批，承包方应预留足够的时间，让工程师及有关单位考虑及答复，承包方不得以任何方案变更之理要求延长工期、或借故要求加价。</w:t>
      </w:r>
    </w:p>
    <w:p w14:paraId="6C2FF90D">
      <w:pPr>
        <w:pStyle w:val="112"/>
      </w:pPr>
      <w:r>
        <w:rPr>
          <w:rFonts w:hint="eastAsia"/>
        </w:rPr>
        <w:t>任何在本项目中使用的商业产品，例如止水带、抗震缝连接、预埋件、螺栓、钢筋连接器等，承建商应在施工前提供有关产品的样品技术资料及其他参考资料。以上资料只有在得到业主、监理、建筑师、结构工程师等相关单位审批同意后方可施工。</w:t>
      </w:r>
    </w:p>
    <w:p w14:paraId="77A390EB">
      <w:pPr>
        <w:pStyle w:val="112"/>
      </w:pPr>
      <w:r>
        <w:rPr>
          <w:rFonts w:hint="eastAsia"/>
        </w:rPr>
        <w:t>施工单位必须于结构工程竣工后，施工单位须于应一個月向甲方竣工图。竣工图需要包括有关设计变更和补充设计的图纸或文件。</w:t>
      </w:r>
    </w:p>
    <w:p w14:paraId="5280F018">
      <w:pPr>
        <w:pStyle w:val="112"/>
        <w:sectPr>
          <w:footerReference r:id="rId12" w:type="default"/>
          <w:type w:val="continuous"/>
          <w:pgSz w:w="11906" w:h="16838"/>
          <w:pgMar w:top="709" w:right="1133" w:bottom="720" w:left="1134" w:header="794" w:footer="490" w:gutter="0"/>
          <w:pgNumType w:fmt="decimal"/>
          <w:cols w:space="425" w:num="1"/>
          <w:docGrid w:type="lines" w:linePitch="312" w:charSpace="0"/>
        </w:sectPr>
      </w:pPr>
    </w:p>
    <w:p w14:paraId="7E3A010C">
      <w:pPr>
        <w:pStyle w:val="120"/>
        <w:spacing w:before="0" w:after="0"/>
        <w:ind w:left="0" w:firstLine="0"/>
        <w:jc w:val="center"/>
      </w:pPr>
      <w:bookmarkStart w:id="90" w:name="_Toc136956861"/>
      <w:r>
        <w:rPr>
          <w:rFonts w:hint="eastAsia"/>
        </w:rPr>
        <w:t>砌体工程技术要求</w:t>
      </w:r>
      <w:bookmarkEnd w:id="90"/>
    </w:p>
    <w:p w14:paraId="7435E3A1">
      <w:pPr>
        <w:pStyle w:val="119"/>
      </w:pPr>
      <w:bookmarkStart w:id="91" w:name="_Toc136956862"/>
      <w:r>
        <w:rPr>
          <w:rFonts w:hint="eastAsia"/>
        </w:rPr>
        <w:t>概说</w:t>
      </w:r>
      <w:bookmarkEnd w:id="91"/>
    </w:p>
    <w:p w14:paraId="69422195">
      <w:pPr>
        <w:pStyle w:val="112"/>
      </w:pPr>
      <w:r>
        <w:rPr>
          <w:rFonts w:hint="eastAsia"/>
        </w:rPr>
        <w:t>所有砖及方块工程应符合有关的中国规范。并须符合国家现行有关“新型墙体使用”之要求，向供应商订购之前必须为每种砖块或砌块向业主及建筑师提交样本及资质证明，并取得批准。卸货及搬运时避免污染，劈碎或任何损毁。</w:t>
      </w:r>
    </w:p>
    <w:p w14:paraId="083F03E4">
      <w:pPr>
        <w:pStyle w:val="112"/>
      </w:pPr>
      <w:r>
        <w:rPr>
          <w:rFonts w:hint="eastAsia"/>
        </w:rPr>
        <w:t>主要适用规范：</w:t>
      </w:r>
    </w:p>
    <w:p w14:paraId="19804800">
      <w:pPr>
        <w:pStyle w:val="114"/>
      </w:pPr>
      <w:r>
        <w:rPr>
          <w:rFonts w:hint="eastAsia"/>
        </w:rPr>
        <w:t>砌体结构设计规范</w:t>
      </w:r>
      <w:r>
        <w:t>GB 50003-2001</w:t>
      </w:r>
    </w:p>
    <w:p w14:paraId="6FA83122">
      <w:pPr>
        <w:pStyle w:val="114"/>
      </w:pPr>
      <w:r>
        <w:rPr>
          <w:rFonts w:hint="eastAsia"/>
        </w:rPr>
        <w:t>砌体工程施工及验收规范</w:t>
      </w:r>
      <w:r>
        <w:t>GB 50203-2002</w:t>
      </w:r>
    </w:p>
    <w:p w14:paraId="4437BE5B">
      <w:pPr>
        <w:pStyle w:val="114"/>
      </w:pPr>
      <w:r>
        <w:rPr>
          <w:rFonts w:hint="eastAsia"/>
        </w:rPr>
        <w:t>混凝土小型空心砌块建筑技术规程</w:t>
      </w:r>
      <w:r>
        <w:t>JGJ/T14-2004</w:t>
      </w:r>
    </w:p>
    <w:p w14:paraId="3060A930">
      <w:pPr>
        <w:pStyle w:val="114"/>
      </w:pPr>
      <w:r>
        <w:rPr>
          <w:rFonts w:hint="eastAsia"/>
        </w:rPr>
        <w:t>多孔砖砌体结构技术规范</w:t>
      </w:r>
      <w:r>
        <w:t>JGJ137-2001</w:t>
      </w:r>
    </w:p>
    <w:p w14:paraId="05DE8A9B">
      <w:pPr>
        <w:pStyle w:val="114"/>
      </w:pPr>
      <w:r>
        <w:rPr>
          <w:rFonts w:hint="eastAsia"/>
        </w:rPr>
        <w:t>砌墙砖试验方法</w:t>
      </w:r>
      <w:r>
        <w:t>GB/T2542-1992</w:t>
      </w:r>
    </w:p>
    <w:p w14:paraId="581C08AB">
      <w:pPr>
        <w:pStyle w:val="114"/>
      </w:pPr>
      <w:r>
        <w:rPr>
          <w:rFonts w:hint="eastAsia"/>
        </w:rPr>
        <w:t>砌体基本力学性能试验方法标准</w:t>
      </w:r>
      <w:r>
        <w:t>GBJ129-90</w:t>
      </w:r>
    </w:p>
    <w:p w14:paraId="20F8B488">
      <w:pPr>
        <w:pStyle w:val="114"/>
      </w:pPr>
      <w:r>
        <w:rPr>
          <w:rFonts w:hint="eastAsia"/>
        </w:rPr>
        <w:t>砌筑砂浆配合比设计规程</w:t>
      </w:r>
      <w:r>
        <w:t>JGJ98-2000</w:t>
      </w:r>
    </w:p>
    <w:p w14:paraId="7F26B15E">
      <w:pPr>
        <w:pStyle w:val="119"/>
      </w:pPr>
      <w:bookmarkStart w:id="92" w:name="_Toc136956863"/>
      <w:r>
        <w:rPr>
          <w:rFonts w:hint="eastAsia"/>
        </w:rPr>
        <w:t>材料</w:t>
      </w:r>
      <w:bookmarkEnd w:id="92"/>
    </w:p>
    <w:p w14:paraId="4390B509">
      <w:pPr>
        <w:pStyle w:val="110"/>
      </w:pPr>
      <w:r>
        <w:rPr>
          <w:rFonts w:hint="eastAsia"/>
        </w:rPr>
        <w:t>砌块</w:t>
      </w:r>
    </w:p>
    <w:p w14:paraId="586BCF47">
      <w:pPr>
        <w:pStyle w:val="112"/>
      </w:pPr>
      <w:r>
        <w:rPr>
          <w:rFonts w:hint="eastAsia"/>
        </w:rPr>
        <w:t>所有砌块必须坚固、完整、锻烧良好、形状均匀和一致，而且不含裂缝和其他瑕疵，相当于所贮存的样木，井经得建筑师批准，如果砌块浸于水中24小时后所吸收的重量多于20%，则不获接纳。</w:t>
      </w:r>
    </w:p>
    <w:p w14:paraId="2F0D0416">
      <w:pPr>
        <w:pStyle w:val="112"/>
      </w:pPr>
      <w:r>
        <w:rPr>
          <w:rFonts w:hint="eastAsia"/>
        </w:rPr>
        <w:t>砌块的尺寸须均匀，容许偏差须符合中华人民共和国标准所定。</w:t>
      </w:r>
    </w:p>
    <w:p w14:paraId="4999D97E">
      <w:pPr>
        <w:pStyle w:val="112"/>
      </w:pPr>
      <w:r>
        <w:rPr>
          <w:rFonts w:hint="eastAsia"/>
        </w:rPr>
        <w:t>如果砌块墙而不再进一步抹灰或粉饰.则所用的砌块尤须从材料中小心选择，以形状和颜色的均同和一致，纹理及砖角的准确及洁晰为选择标准.</w:t>
      </w:r>
    </w:p>
    <w:p w14:paraId="75ED6D66">
      <w:pPr>
        <w:pStyle w:val="112"/>
      </w:pPr>
      <w:r>
        <w:rPr>
          <w:rFonts w:hint="eastAsia"/>
        </w:rPr>
        <w:t>砌块的压毁强度应如下所示：</w:t>
      </w:r>
    </w:p>
    <w:p w14:paraId="132498EE">
      <w:pPr>
        <w:pStyle w:val="114"/>
      </w:pPr>
      <w:r>
        <w:rPr>
          <w:rFonts w:hint="eastAsia"/>
        </w:rPr>
        <w:t>承重墙：不少于</w:t>
      </w:r>
      <w:r>
        <w:t>20MPa</w:t>
      </w:r>
      <w:r>
        <w:rPr>
          <w:rFonts w:hint="eastAsia"/>
        </w:rPr>
        <w:t>（</w:t>
      </w:r>
      <w:r>
        <w:t>3000</w:t>
      </w:r>
      <w:r>
        <w:rPr>
          <w:rFonts w:hint="eastAsia"/>
        </w:rPr>
        <w:t>磅／平方寸）或是图纸上所列明的标准。</w:t>
      </w:r>
    </w:p>
    <w:p w14:paraId="77221EC5">
      <w:pPr>
        <w:pStyle w:val="114"/>
      </w:pPr>
      <w:r>
        <w:rPr>
          <w:rFonts w:hint="eastAsia"/>
        </w:rPr>
        <w:t>非承重墙：不少于</w:t>
      </w:r>
      <w:r>
        <w:t>3.5MPa</w:t>
      </w:r>
      <w:r>
        <w:rPr>
          <w:rFonts w:hint="eastAsia"/>
        </w:rPr>
        <w:t>（</w:t>
      </w:r>
      <w:r>
        <w:t>500</w:t>
      </w:r>
      <w:r>
        <w:rPr>
          <w:rFonts w:hint="eastAsia"/>
        </w:rPr>
        <w:t>磅／平方寸）。</w:t>
      </w:r>
    </w:p>
    <w:p w14:paraId="75254795">
      <w:pPr>
        <w:pStyle w:val="112"/>
      </w:pPr>
      <w:r>
        <w:rPr>
          <w:rFonts w:hint="eastAsia"/>
        </w:rPr>
        <w:t>运送至现场的砌块应由人手释卸，并堆叠整齐。</w:t>
      </w:r>
    </w:p>
    <w:p w14:paraId="7ADCB7AA">
      <w:pPr>
        <w:pStyle w:val="110"/>
      </w:pPr>
      <w:r>
        <w:rPr>
          <w:rFonts w:hint="eastAsia"/>
        </w:rPr>
        <w:t>试块</w:t>
      </w:r>
    </w:p>
    <w:p w14:paraId="737BA2DC">
      <w:pPr>
        <w:pStyle w:val="112"/>
        <w:numPr>
          <w:ilvl w:val="0"/>
          <w:numId w:val="0"/>
        </w:numPr>
        <w:ind w:left="964"/>
      </w:pPr>
      <w:r>
        <w:rPr>
          <w:rFonts w:hint="eastAsia"/>
        </w:rPr>
        <w:t>一切试块应由经国家批准的试验单位按中华人民共和国标准的规定压轧。</w:t>
      </w:r>
    </w:p>
    <w:p w14:paraId="4B9F8DA5">
      <w:pPr>
        <w:pStyle w:val="110"/>
      </w:pPr>
      <w:r>
        <w:rPr>
          <w:rFonts w:hint="eastAsia"/>
        </w:rPr>
        <w:t>防火砌块</w:t>
      </w:r>
    </w:p>
    <w:p w14:paraId="763839EE">
      <w:pPr>
        <w:pStyle w:val="112"/>
        <w:numPr>
          <w:ilvl w:val="0"/>
          <w:numId w:val="0"/>
        </w:numPr>
        <w:ind w:left="964"/>
      </w:pPr>
      <w:r>
        <w:rPr>
          <w:rFonts w:hint="eastAsia"/>
        </w:rPr>
        <w:t>防火砌块应为高质的入口砌砖、颜色浅淡、结构密致、由含有高v硅石的耐火钻土制成，不具放水沟，且在使用前经得建筑师的批准，并备有国家认可测试单位发出之防火性能检测报告.</w:t>
      </w:r>
    </w:p>
    <w:p w14:paraId="3D6E811E">
      <w:pPr>
        <w:pStyle w:val="110"/>
      </w:pPr>
      <w:r>
        <w:rPr>
          <w:rFonts w:hint="eastAsia"/>
        </w:rPr>
        <w:t>混凝土块</w:t>
      </w:r>
    </w:p>
    <w:p w14:paraId="7AEAB12E">
      <w:pPr>
        <w:pStyle w:val="112"/>
      </w:pPr>
      <w:r>
        <w:rPr>
          <w:rFonts w:hint="eastAsia"/>
        </w:rPr>
        <w:t>工程中的预浇混凝土块不论为经批准的专利商标货品，或由承包人浇灌，均应符合中华人民共和国标准的规定，井应符合中华人民共和国施工条例的规定。</w:t>
      </w:r>
    </w:p>
    <w:p w14:paraId="0927B2AF">
      <w:pPr>
        <w:pStyle w:val="112"/>
      </w:pPr>
      <w:r>
        <w:rPr>
          <w:rFonts w:hint="eastAsia"/>
        </w:rPr>
        <w:t>建筑师可随意从现场的堆块中抽取十个!几块样木，进行实验室测试，测试费用由承包方负责。如果进行测试的混凝土块末达所需的强度，建筑师可指令将其他混凝土块搬离现场，由制造日期起最少在二个月内仍未凝固的混凝土块不可使用。</w:t>
      </w:r>
    </w:p>
    <w:p w14:paraId="2668F044">
      <w:pPr>
        <w:pStyle w:val="110"/>
      </w:pPr>
      <w:r>
        <w:rPr>
          <w:rFonts w:hint="eastAsia"/>
        </w:rPr>
        <w:t>实心蛭石块</w:t>
      </w:r>
    </w:p>
    <w:p w14:paraId="1016EED9">
      <w:pPr>
        <w:pStyle w:val="112"/>
        <w:numPr>
          <w:ilvl w:val="0"/>
          <w:numId w:val="0"/>
        </w:numPr>
        <w:ind w:left="964"/>
      </w:pPr>
      <w:r>
        <w:rPr>
          <w:rFonts w:hint="eastAsia"/>
        </w:rPr>
        <w:t>采用专利商标经批准的实心蛭石块，或由承包人按份体积水泥和</w:t>
      </w:r>
      <w:r>
        <w:t>4.5</w:t>
      </w:r>
      <w:r>
        <w:rPr>
          <w:rFonts w:hint="eastAsia"/>
        </w:rPr>
        <w:t>份体积标号层离蛭石的混和比例浇灌，石块的压毁强度不可少于水平净面积</w:t>
      </w:r>
      <w:r>
        <w:t xml:space="preserve"> 1MPa</w:t>
      </w:r>
      <w:r>
        <w:rPr>
          <w:rFonts w:hint="eastAsia"/>
        </w:rPr>
        <w:t>。</w:t>
      </w:r>
    </w:p>
    <w:p w14:paraId="2BAFD204">
      <w:pPr>
        <w:pStyle w:val="110"/>
      </w:pPr>
      <w:r>
        <w:rPr>
          <w:rFonts w:hint="eastAsia"/>
        </w:rPr>
        <w:t>刨花石板</w:t>
      </w:r>
    </w:p>
    <w:p w14:paraId="39ADFBE4">
      <w:pPr>
        <w:pStyle w:val="112"/>
        <w:numPr>
          <w:ilvl w:val="0"/>
          <w:numId w:val="0"/>
        </w:numPr>
        <w:ind w:left="964"/>
      </w:pPr>
      <w:r>
        <w:rPr>
          <w:rFonts w:hint="eastAsia"/>
        </w:rPr>
        <w:t>刨花的石隔板应为经建筑师批准的项目，石板须保持干燥，不含剥落的表面物质。</w:t>
      </w:r>
    </w:p>
    <w:p w14:paraId="5858F9D5">
      <w:pPr>
        <w:pStyle w:val="110"/>
      </w:pPr>
      <w:r>
        <w:rPr>
          <w:rFonts w:hint="eastAsia"/>
        </w:rPr>
        <w:t>玻璃砖</w:t>
      </w:r>
    </w:p>
    <w:p w14:paraId="07E3C821">
      <w:pPr>
        <w:pStyle w:val="112"/>
        <w:numPr>
          <w:ilvl w:val="0"/>
          <w:numId w:val="0"/>
        </w:numPr>
        <w:ind w:left="964"/>
      </w:pPr>
      <w:r>
        <w:rPr>
          <w:rFonts w:hint="eastAsia"/>
        </w:rPr>
        <w:t>空心玻璃砖块应符合中华人民共和国标准的规定，且表面式样须经建筑师批准。</w:t>
      </w:r>
    </w:p>
    <w:p w14:paraId="66046755">
      <w:pPr>
        <w:pStyle w:val="110"/>
      </w:pPr>
      <w:r>
        <w:rPr>
          <w:rFonts w:hint="eastAsia"/>
        </w:rPr>
        <w:t>混凝土块及蛭石块的贮存</w:t>
      </w:r>
    </w:p>
    <w:p w14:paraId="6AAE5802">
      <w:pPr>
        <w:pStyle w:val="112"/>
        <w:numPr>
          <w:ilvl w:val="0"/>
          <w:numId w:val="0"/>
        </w:numPr>
        <w:ind w:left="964"/>
      </w:pPr>
      <w:r>
        <w:rPr>
          <w:rFonts w:hint="eastAsia"/>
        </w:rPr>
        <w:t>现场内收到混凝工块及蛭石块后，应保持干燥，并加以保护，免受雨水的侵扰。</w:t>
      </w:r>
    </w:p>
    <w:p w14:paraId="63D4F1E4">
      <w:pPr>
        <w:pStyle w:val="110"/>
      </w:pPr>
      <w:r>
        <w:rPr>
          <w:rFonts w:hint="eastAsia"/>
        </w:rPr>
        <w:t>存放</w:t>
      </w:r>
    </w:p>
    <w:p w14:paraId="4DAE805C">
      <w:pPr>
        <w:pStyle w:val="112"/>
        <w:numPr>
          <w:ilvl w:val="0"/>
          <w:numId w:val="0"/>
        </w:numPr>
        <w:ind w:left="964"/>
      </w:pPr>
      <w:r>
        <w:rPr>
          <w:rFonts w:hint="eastAsia"/>
        </w:rPr>
        <w:t>叠放在坚硬而平稳的平台上，并加以保护，免受损毁或污染。</w:t>
      </w:r>
    </w:p>
    <w:p w14:paraId="52B26EE6">
      <w:pPr>
        <w:pStyle w:val="110"/>
      </w:pPr>
      <w:r>
        <w:rPr>
          <w:rFonts w:hint="eastAsia"/>
        </w:rPr>
        <w:t>加固</w:t>
      </w:r>
    </w:p>
    <w:p w14:paraId="46794B32">
      <w:pPr>
        <w:pStyle w:val="112"/>
        <w:numPr>
          <w:ilvl w:val="0"/>
          <w:numId w:val="0"/>
        </w:numPr>
        <w:ind w:left="964"/>
      </w:pPr>
      <w:r>
        <w:rPr>
          <w:rFonts w:hint="eastAsia"/>
        </w:rPr>
        <w:t>砖石工程的加固料应为多孔拉制金属网，按指定或由</w:t>
      </w:r>
      <w:r>
        <w:t>0.6mm</w:t>
      </w:r>
      <w:r>
        <w:rPr>
          <w:rFonts w:hint="eastAsia"/>
        </w:rPr>
        <w:t>的片材所制，并为建筑师指定牌子的热浸镀锌加工，且由制造商涂以沥青油漆。</w:t>
      </w:r>
    </w:p>
    <w:p w14:paraId="625D6CE2">
      <w:pPr>
        <w:pStyle w:val="110"/>
      </w:pPr>
      <w:r>
        <w:rPr>
          <w:rFonts w:hint="eastAsia"/>
        </w:rPr>
        <w:t>防潮层</w:t>
      </w:r>
    </w:p>
    <w:p w14:paraId="6A4F59F5">
      <w:pPr>
        <w:pStyle w:val="112"/>
      </w:pPr>
      <w:r>
        <w:rPr>
          <w:rFonts w:hint="eastAsia"/>
        </w:rPr>
        <w:t>防潮层应符合中华人民共和国标准的规定的沥洁毡，类型亦应符合规定，不可使用浸沥青的粗麻布防潮层.</w:t>
      </w:r>
    </w:p>
    <w:p w14:paraId="200DE6AB">
      <w:pPr>
        <w:pStyle w:val="112"/>
      </w:pPr>
      <w:r>
        <w:rPr>
          <w:rFonts w:hint="eastAsia"/>
        </w:rPr>
        <w:t>沥青毡应以卷状供应到工地，这些卷材的阔度应等同需要防潮层的墙及隔墙的厚度。</w:t>
      </w:r>
    </w:p>
    <w:p w14:paraId="11CE1150">
      <w:pPr>
        <w:pStyle w:val="112"/>
      </w:pPr>
      <w:r>
        <w:rPr>
          <w:rFonts w:hint="eastAsia"/>
        </w:rPr>
        <w:t>所有接班地而的外墙、内墙及隔墙的底部应铺上连绵不断的防潮层:这防潮层应铺在(离地而至少150mm或图纸所示位置)一层平坦的及填满墙及确墙的整个厚度的砂浆底涂上。</w:t>
      </w:r>
    </w:p>
    <w:p w14:paraId="4712E5BD">
      <w:pPr>
        <w:pStyle w:val="112"/>
      </w:pPr>
      <w:r>
        <w:rPr>
          <w:rFonts w:hint="eastAsia"/>
        </w:rPr>
        <w:t>除在毡的尾部或方向转变外不准有任何接缝，在接缝处毡应重叠不少于</w:t>
      </w:r>
      <w:r>
        <w:t>l00mm</w:t>
      </w:r>
      <w:r>
        <w:rPr>
          <w:rFonts w:hint="eastAsia"/>
        </w:rPr>
        <w:t>，在防潮层上应铺上一层平坦的砂浆层以便继续在上面砌砖。</w:t>
      </w:r>
      <w:r>
        <w:t xml:space="preserve"> </w:t>
      </w:r>
    </w:p>
    <w:p w14:paraId="56031AF9">
      <w:pPr>
        <w:pStyle w:val="112"/>
      </w:pPr>
      <w:r>
        <w:rPr>
          <w:rFonts w:hint="eastAsia"/>
        </w:rPr>
        <w:t>当地而成斜形时，防潮层应铺成梯级形以便保持地而及防潮层的标高关系，而这梯形应是均匀的及连绵不断的。</w:t>
      </w:r>
    </w:p>
    <w:p w14:paraId="58B693E7">
      <w:pPr>
        <w:pStyle w:val="110"/>
      </w:pPr>
      <w:r>
        <w:rPr>
          <w:rFonts w:hint="eastAsia"/>
        </w:rPr>
        <w:t>墙壁拉条</w:t>
      </w:r>
    </w:p>
    <w:p w14:paraId="1C2FF0A0">
      <w:pPr>
        <w:pStyle w:val="112"/>
      </w:pPr>
      <w:r>
        <w:rPr>
          <w:rFonts w:hint="eastAsia"/>
        </w:rPr>
        <w:t>墙端与混凝土之间的拉条应不少于</w:t>
      </w:r>
      <w:r>
        <w:t>6mm</w:t>
      </w:r>
      <w:r>
        <w:rPr>
          <w:rFonts w:hint="eastAsia"/>
        </w:rPr>
        <w:t>直径或详设计图纸。</w:t>
      </w:r>
    </w:p>
    <w:p w14:paraId="19BE6758">
      <w:pPr>
        <w:pStyle w:val="112"/>
      </w:pPr>
      <w:r>
        <w:rPr>
          <w:rFonts w:hint="eastAsia"/>
        </w:rPr>
        <w:t>靠于土面的拉条应由</w:t>
      </w:r>
      <w:r>
        <w:t>20</w:t>
      </w:r>
      <w:r>
        <w:rPr>
          <w:rFonts w:hint="eastAsia"/>
        </w:rPr>
        <w:t>×</w:t>
      </w:r>
      <w:r>
        <w:t>3mm</w:t>
      </w:r>
      <w:r>
        <w:rPr>
          <w:rFonts w:hint="eastAsia"/>
        </w:rPr>
        <w:t>热浸镀锌低碳钢板片所构成，</w:t>
      </w:r>
      <w:r>
        <w:t>150mm</w:t>
      </w:r>
      <w:r>
        <w:rPr>
          <w:rFonts w:hint="eastAsia"/>
        </w:rPr>
        <w:t>长，两端呈爪钩状。</w:t>
      </w:r>
      <w:r>
        <w:t xml:space="preserve"> </w:t>
      </w:r>
    </w:p>
    <w:p w14:paraId="4719C8EB">
      <w:pPr>
        <w:pStyle w:val="119"/>
      </w:pPr>
      <w:bookmarkStart w:id="93" w:name="_Toc136956864"/>
      <w:r>
        <w:rPr>
          <w:rFonts w:hint="eastAsia"/>
        </w:rPr>
        <w:t>砂浆</w:t>
      </w:r>
      <w:bookmarkEnd w:id="93"/>
    </w:p>
    <w:p w14:paraId="6CBC8646">
      <w:pPr>
        <w:pStyle w:val="110"/>
      </w:pPr>
      <w:r>
        <w:rPr>
          <w:rFonts w:hint="eastAsia"/>
        </w:rPr>
        <w:t>水泥水泥应如“混凝土工程”章节内所指定。</w:t>
      </w:r>
    </w:p>
    <w:p w14:paraId="3E2E9165">
      <w:pPr>
        <w:pStyle w:val="110"/>
      </w:pPr>
      <w:r>
        <w:rPr>
          <w:rFonts w:hint="eastAsia"/>
        </w:rPr>
        <w:t>彩色水泥（不适用）</w:t>
      </w:r>
    </w:p>
    <w:p w14:paraId="36809A66">
      <w:pPr>
        <w:pStyle w:val="112"/>
        <w:numPr>
          <w:ilvl w:val="0"/>
          <w:numId w:val="0"/>
        </w:numPr>
        <w:ind w:left="964"/>
      </w:pPr>
      <w:r>
        <w:rPr>
          <w:rFonts w:hint="eastAsia"/>
        </w:rPr>
        <w:t>如“抹灰工程、铺路工程及铺墙工程”内所指定。</w:t>
      </w:r>
    </w:p>
    <w:p w14:paraId="50417CCD">
      <w:pPr>
        <w:pStyle w:val="110"/>
      </w:pPr>
      <w:r>
        <w:rPr>
          <w:rFonts w:hint="eastAsia"/>
        </w:rPr>
        <w:t>用水</w:t>
      </w:r>
    </w:p>
    <w:p w14:paraId="36FA12C8">
      <w:pPr>
        <w:pStyle w:val="112"/>
        <w:numPr>
          <w:ilvl w:val="0"/>
          <w:numId w:val="0"/>
        </w:numPr>
        <w:ind w:left="964"/>
      </w:pPr>
      <w:r>
        <w:rPr>
          <w:rFonts w:hint="eastAsia"/>
        </w:rPr>
        <w:t>如“混凝土工程”所指定的用水。</w:t>
      </w:r>
    </w:p>
    <w:p w14:paraId="4C3F0E88">
      <w:pPr>
        <w:pStyle w:val="110"/>
      </w:pPr>
      <w:r>
        <w:rPr>
          <w:rFonts w:hint="eastAsia"/>
        </w:rPr>
        <w:t>砂粒</w:t>
      </w:r>
    </w:p>
    <w:p w14:paraId="409E34C7">
      <w:pPr>
        <w:pStyle w:val="112"/>
        <w:numPr>
          <w:ilvl w:val="0"/>
          <w:numId w:val="0"/>
        </w:numPr>
        <w:ind w:left="964"/>
      </w:pPr>
      <w:r>
        <w:rPr>
          <w:rFonts w:hint="eastAsia"/>
        </w:rPr>
        <w:t>应如“混凝土工程”内的细骨料内指定的加工砂粒。</w:t>
      </w:r>
    </w:p>
    <w:p w14:paraId="6FC6A15B">
      <w:pPr>
        <w:pStyle w:val="110"/>
      </w:pPr>
      <w:r>
        <w:rPr>
          <w:rFonts w:hint="eastAsia"/>
        </w:rPr>
        <w:t>加工砂</w:t>
      </w:r>
    </w:p>
    <w:p w14:paraId="280DCB0E">
      <w:pPr>
        <w:pStyle w:val="112"/>
      </w:pPr>
      <w:r>
        <w:rPr>
          <w:rFonts w:hint="eastAsia"/>
        </w:rPr>
        <w:t>加工砂的类型应适用于一般砂浆及抹灰工程，井符合以卜列明的级比范围，且不可含有杂质，例如钻土、片状颗粒、或细长的a粒、云毋、贞岩、或其他层压物料、有机杂质、黄铁扩等，砂内不可含有多于1%可溶的硫化盐。除本规范另有特别指定外.矿砂一般应符合中华人民共和国标准的规定。</w:t>
      </w:r>
    </w:p>
    <w:p w14:paraId="08735B13">
      <w:pPr>
        <w:pStyle w:val="112"/>
      </w:pPr>
      <w:r>
        <w:rPr>
          <w:rFonts w:hint="eastAsia"/>
        </w:rPr>
        <w:t>黏土、幼砂及尘灰重量的含量不可超过</w:t>
      </w:r>
      <w:r>
        <w:t>10</w:t>
      </w:r>
      <w:r>
        <w:rPr>
          <w:rFonts w:hint="eastAsia"/>
        </w:rPr>
        <w:t>％。</w:t>
      </w:r>
    </w:p>
    <w:p w14:paraId="1363B272">
      <w:pPr>
        <w:pStyle w:val="110"/>
      </w:pPr>
      <w:r>
        <w:rPr>
          <w:rFonts w:hint="eastAsia"/>
        </w:rPr>
        <w:t>石灰</w:t>
      </w:r>
    </w:p>
    <w:p w14:paraId="6A62792B">
      <w:pPr>
        <w:pStyle w:val="112"/>
        <w:numPr>
          <w:ilvl w:val="0"/>
          <w:numId w:val="0"/>
        </w:numPr>
        <w:ind w:left="964"/>
      </w:pPr>
      <w:r>
        <w:rPr>
          <w:rFonts w:hint="eastAsia"/>
        </w:rPr>
        <w:t>石灰膏应为符合中华人民共和国标准规定的熟石灰或生石灰，运送时以附有制造商商号名称或商标的密封纸袋包装，不允许用贝壳灰拌和砂浆。</w:t>
      </w:r>
    </w:p>
    <w:p w14:paraId="73C7352C">
      <w:pPr>
        <w:pStyle w:val="110"/>
      </w:pPr>
      <w:r>
        <w:rPr>
          <w:rFonts w:hint="eastAsia"/>
        </w:rPr>
        <w:t>石灰膏</w:t>
      </w:r>
    </w:p>
    <w:p w14:paraId="7BC2609B">
      <w:pPr>
        <w:pStyle w:val="112"/>
        <w:numPr>
          <w:ilvl w:val="0"/>
          <w:numId w:val="0"/>
        </w:numPr>
        <w:ind w:left="964"/>
      </w:pPr>
      <w:r>
        <w:rPr>
          <w:rFonts w:hint="eastAsia"/>
        </w:rPr>
        <w:t>石灰膏预备规定如下：</w:t>
      </w:r>
    </w:p>
    <w:p w14:paraId="54BB024B">
      <w:pPr>
        <w:pStyle w:val="112"/>
      </w:pPr>
      <w:r>
        <w:rPr>
          <w:rFonts w:hint="eastAsia"/>
        </w:rPr>
        <w:t>将熟石灰加于水中，并搅拌成浓厚的米色浆状物，并在使用前最少保持</w:t>
      </w:r>
      <w:r>
        <w:t>16</w:t>
      </w:r>
      <w:r>
        <w:rPr>
          <w:rFonts w:hint="eastAsia"/>
        </w:rPr>
        <w:t>小时不受搅动</w:t>
      </w:r>
      <w:r>
        <w:t xml:space="preserve"> </w:t>
      </w:r>
    </w:p>
    <w:p w14:paraId="40213EFF">
      <w:pPr>
        <w:pStyle w:val="112"/>
      </w:pPr>
      <w:r>
        <w:rPr>
          <w:rFonts w:hint="eastAsia"/>
        </w:rPr>
        <w:t>或将生石灰熟化，灰石灰使用前须保持最少</w:t>
      </w:r>
      <w:r>
        <w:t>36</w:t>
      </w:r>
      <w:r>
        <w:rPr>
          <w:rFonts w:hint="eastAsia"/>
        </w:rPr>
        <w:t>小时不受搅动，白石灰则保持最少</w:t>
      </w:r>
      <w:r>
        <w:t>2</w:t>
      </w:r>
      <w:r>
        <w:rPr>
          <w:rFonts w:hint="eastAsia"/>
        </w:rPr>
        <w:t>星期不受搅动。</w:t>
      </w:r>
    </w:p>
    <w:p w14:paraId="067153A5">
      <w:pPr>
        <w:pStyle w:val="110"/>
      </w:pPr>
      <w:r>
        <w:rPr>
          <w:rFonts w:hint="eastAsia"/>
        </w:rPr>
        <w:t>塑化剂</w:t>
      </w:r>
    </w:p>
    <w:p w14:paraId="51D274F7">
      <w:pPr>
        <w:pStyle w:val="112"/>
        <w:numPr>
          <w:ilvl w:val="0"/>
          <w:numId w:val="0"/>
        </w:numPr>
        <w:ind w:left="964"/>
      </w:pPr>
      <w:r>
        <w:rPr>
          <w:rFonts w:hint="eastAsia"/>
        </w:rPr>
        <w:t>采用经批准的有资质证明的塑化剂。</w:t>
      </w:r>
    </w:p>
    <w:p w14:paraId="35D6A855">
      <w:pPr>
        <w:pStyle w:val="110"/>
      </w:pPr>
      <w:r>
        <w:rPr>
          <w:rFonts w:hint="eastAsia"/>
        </w:rPr>
        <w:t>量料箱</w:t>
      </w:r>
    </w:p>
    <w:p w14:paraId="3153DD83">
      <w:pPr>
        <w:pStyle w:val="112"/>
        <w:numPr>
          <w:ilvl w:val="0"/>
          <w:numId w:val="0"/>
        </w:numPr>
        <w:ind w:left="964"/>
      </w:pPr>
      <w:r>
        <w:rPr>
          <w:rFonts w:hint="eastAsia"/>
        </w:rPr>
        <w:t>采用清洁的量料箱量度砂浆内含料，而且大小应符合所需的体积。</w:t>
      </w:r>
    </w:p>
    <w:p w14:paraId="1EB495BC">
      <w:pPr>
        <w:pStyle w:val="110"/>
      </w:pPr>
      <w:r>
        <w:rPr>
          <w:rFonts w:hint="eastAsia"/>
        </w:rPr>
        <w:t>比例</w:t>
      </w:r>
    </w:p>
    <w:p w14:paraId="448A4747">
      <w:pPr>
        <w:pStyle w:val="112"/>
      </w:pPr>
      <w:r>
        <w:rPr>
          <w:rFonts w:hint="eastAsia"/>
        </w:rPr>
        <w:t>按以下比例将用料拌和：</w:t>
      </w:r>
    </w:p>
    <w:p w14:paraId="5F21EA8E">
      <w:pPr>
        <w:pStyle w:val="114"/>
      </w:pPr>
      <w:r>
        <w:rPr>
          <w:rFonts w:hint="eastAsia"/>
        </w:rPr>
        <w:t>水泥砂浆</w:t>
      </w:r>
    </w:p>
    <w:p w14:paraId="1E7A2E0C">
      <w:pPr>
        <w:pStyle w:val="114"/>
        <w:numPr>
          <w:ilvl w:val="0"/>
          <w:numId w:val="0"/>
        </w:numPr>
        <w:ind w:left="992"/>
      </w:pPr>
      <w:r>
        <w:rPr>
          <w:rFonts w:hint="eastAsia"/>
        </w:rPr>
        <w:t>普通水泥及砂为</w:t>
      </w:r>
      <w:r>
        <w:t>1:3</w:t>
      </w:r>
      <w:r>
        <w:rPr>
          <w:rFonts w:hint="eastAsia"/>
        </w:rPr>
        <w:t>，或普通水泥及花岗石、细料为</w:t>
      </w:r>
      <w:r>
        <w:t>1:3</w:t>
      </w:r>
      <w:r>
        <w:rPr>
          <w:rFonts w:hint="eastAsia"/>
        </w:rPr>
        <w:t>，或普通水泥及加工砂为</w:t>
      </w:r>
      <w:r>
        <w:t>1:3</w:t>
      </w:r>
      <w:r>
        <w:rPr>
          <w:rFonts w:hint="eastAsia"/>
        </w:rPr>
        <w:t>。</w:t>
      </w:r>
    </w:p>
    <w:p w14:paraId="2E20A714">
      <w:pPr>
        <w:pStyle w:val="114"/>
      </w:pPr>
      <w:r>
        <w:rPr>
          <w:rFonts w:hint="eastAsia"/>
        </w:rPr>
        <w:t>水泥／石灰砂浆</w:t>
      </w:r>
    </w:p>
    <w:p w14:paraId="6BB8E6C6">
      <w:pPr>
        <w:pStyle w:val="114"/>
        <w:numPr>
          <w:ilvl w:val="0"/>
          <w:numId w:val="0"/>
        </w:numPr>
        <w:ind w:left="992"/>
      </w:pPr>
      <w:r>
        <w:rPr>
          <w:rFonts w:hint="eastAsia"/>
        </w:rPr>
        <w:t>普通水泥、石灰膏及砂为</w:t>
      </w:r>
      <w:r>
        <w:t>1:1:6</w:t>
      </w:r>
      <w:r>
        <w:rPr>
          <w:rFonts w:hint="eastAsia"/>
        </w:rPr>
        <w:t>，或普通水泥、石灰膏及加工砂</w:t>
      </w:r>
      <w:r>
        <w:t>1:1:6</w:t>
      </w:r>
    </w:p>
    <w:p w14:paraId="44114BFE">
      <w:pPr>
        <w:pStyle w:val="114"/>
      </w:pPr>
      <w:r>
        <w:rPr>
          <w:rFonts w:hint="eastAsia"/>
        </w:rPr>
        <w:t>水泥／石灰砂浆（用于实心蛭石块）</w:t>
      </w:r>
    </w:p>
    <w:p w14:paraId="36BC169B">
      <w:pPr>
        <w:pStyle w:val="114"/>
        <w:numPr>
          <w:ilvl w:val="0"/>
          <w:numId w:val="0"/>
        </w:numPr>
        <w:ind w:left="992"/>
      </w:pPr>
      <w:r>
        <w:rPr>
          <w:rFonts w:hint="eastAsia"/>
        </w:rPr>
        <w:t>普通水泥、石灰膏及砂为</w:t>
      </w:r>
      <w:r>
        <w:t>1:2:9</w:t>
      </w:r>
      <w:r>
        <w:rPr>
          <w:rFonts w:hint="eastAsia"/>
        </w:rPr>
        <w:t>，或普通水泥、石灰膏及加工泥为</w:t>
      </w:r>
      <w:r>
        <w:t>1:2:9</w:t>
      </w:r>
      <w:r>
        <w:rPr>
          <w:rFonts w:hint="eastAsia"/>
        </w:rPr>
        <w:t>，或水泥／石灰／砂／二级蛭石为</w:t>
      </w:r>
      <w:r>
        <w:t>1:3:3</w:t>
      </w:r>
    </w:p>
    <w:p w14:paraId="27B38BA7">
      <w:pPr>
        <w:pStyle w:val="114"/>
      </w:pPr>
      <w:r>
        <w:rPr>
          <w:rFonts w:hint="eastAsia"/>
        </w:rPr>
        <w:t>耐火砖砂浆</w:t>
      </w:r>
    </w:p>
    <w:p w14:paraId="5C662960">
      <w:pPr>
        <w:pStyle w:val="114"/>
        <w:numPr>
          <w:ilvl w:val="0"/>
          <w:numId w:val="0"/>
        </w:numPr>
        <w:ind w:left="992"/>
      </w:pPr>
      <w:r>
        <w:t>i)</w:t>
      </w:r>
      <w:r>
        <w:rPr>
          <w:rFonts w:hint="eastAsia"/>
        </w:rPr>
        <w:t>采用专利商号且经批准的耐火水泥，并须为净水泥；或</w:t>
      </w:r>
    </w:p>
    <w:p w14:paraId="45B68A8C">
      <w:pPr>
        <w:pStyle w:val="114"/>
        <w:numPr>
          <w:ilvl w:val="0"/>
          <w:numId w:val="0"/>
        </w:numPr>
        <w:ind w:left="992"/>
      </w:pPr>
      <w:r>
        <w:t>ii)</w:t>
      </w:r>
      <w:r>
        <w:rPr>
          <w:rFonts w:hint="eastAsia"/>
        </w:rPr>
        <w:t>符合高铝水泥及研碎的耐火砖细料为</w:t>
      </w:r>
      <w:r>
        <w:t>1:2</w:t>
      </w:r>
    </w:p>
    <w:p w14:paraId="4A3C02B9">
      <w:pPr>
        <w:pStyle w:val="114"/>
        <w:numPr>
          <w:ilvl w:val="0"/>
          <w:numId w:val="0"/>
        </w:numPr>
        <w:ind w:left="992"/>
      </w:pPr>
      <w:r>
        <w:rPr>
          <w:rFonts w:hint="eastAsia"/>
        </w:rPr>
        <w:t>上述的比例只限用于干砂。为砂塑化剂，</w:t>
      </w:r>
      <w:r>
        <w:t xml:space="preserve"> </w:t>
      </w:r>
      <w:r>
        <w:rPr>
          <w:rFonts w:hint="eastAsia"/>
        </w:rPr>
        <w:t>粒的湿胀酌情处理，按制造商的书面指示加入塑化剂，</w:t>
      </w:r>
    </w:p>
    <w:p w14:paraId="106BCA34">
      <w:pPr>
        <w:pStyle w:val="114"/>
      </w:pPr>
      <w:r>
        <w:rPr>
          <w:rFonts w:hint="eastAsia"/>
        </w:rPr>
        <w:t>防水砂浆</w:t>
      </w:r>
    </w:p>
    <w:p w14:paraId="13019C17">
      <w:pPr>
        <w:pStyle w:val="114"/>
        <w:numPr>
          <w:ilvl w:val="0"/>
          <w:numId w:val="0"/>
        </w:numPr>
        <w:ind w:left="992"/>
      </w:pPr>
      <w:r>
        <w:rPr>
          <w:rFonts w:hint="eastAsia"/>
        </w:rPr>
        <w:t>如某一些地方表明要用防水砂浆，其比例、拌和方法和应用方法均应依照相关规范要求及制造供应商的书面指示。上述的比例只限用于干砂为砂粒的湿胀性酌情处理，按制造商的书面指示加入塑化剂。</w:t>
      </w:r>
    </w:p>
    <w:p w14:paraId="73B2EB7E">
      <w:pPr>
        <w:pStyle w:val="112"/>
      </w:pPr>
      <w:r>
        <w:rPr>
          <w:rFonts w:hint="eastAsia"/>
        </w:rPr>
        <w:t>如果要求采用有色的砂浆，则应按指定的比例使用有色的水泥，以代替普通水泥。</w:t>
      </w:r>
    </w:p>
    <w:p w14:paraId="0678F67F">
      <w:pPr>
        <w:pStyle w:val="110"/>
      </w:pPr>
      <w:r>
        <w:rPr>
          <w:rFonts w:hint="eastAsia"/>
        </w:rPr>
        <w:t>拌和</w:t>
      </w:r>
    </w:p>
    <w:p w14:paraId="4E4AE27A">
      <w:pPr>
        <w:pStyle w:val="112"/>
      </w:pPr>
      <w:r>
        <w:rPr>
          <w:rFonts w:hint="eastAsia"/>
        </w:rPr>
        <w:t>以机动的拌和器、或在紧铺木板的洁洁平台七以人手拌和砂浆。拌和应要彻底足够，惟不可将含有塑化剂的砂浆过份拌和。</w:t>
      </w:r>
    </w:p>
    <w:p w14:paraId="5DDF4DCA">
      <w:pPr>
        <w:pStyle w:val="112"/>
      </w:pPr>
      <w:r>
        <w:rPr>
          <w:rFonts w:hint="eastAsia"/>
        </w:rPr>
        <w:t>拌以石灰膏或用水之前应将干燥的内含料拌和。</w:t>
      </w:r>
    </w:p>
    <w:p w14:paraId="66328E21">
      <w:pPr>
        <w:pStyle w:val="112"/>
      </w:pPr>
      <w:r>
        <w:rPr>
          <w:rFonts w:hint="eastAsia"/>
        </w:rPr>
        <w:t>尽量以少量的水份拌和内含料，直致所需的黏度。</w:t>
      </w:r>
    </w:p>
    <w:p w14:paraId="7DB43C1F">
      <w:pPr>
        <w:pStyle w:val="112"/>
      </w:pPr>
      <w:r>
        <w:rPr>
          <w:rFonts w:hint="eastAsia"/>
        </w:rPr>
        <w:t>砂浆应在拌和后的一小时内使用，否则应从工地移走。经过固话的砂浆在任何情况下均不可使用，不准将砂浆重复制定，井应从工地移走。</w:t>
      </w:r>
    </w:p>
    <w:p w14:paraId="595FAF6A">
      <w:pPr>
        <w:pStyle w:val="110"/>
      </w:pPr>
      <w:r>
        <w:rPr>
          <w:rFonts w:hint="eastAsia"/>
        </w:rPr>
        <w:t>使用</w:t>
      </w:r>
    </w:p>
    <w:p w14:paraId="54C58908">
      <w:pPr>
        <w:pStyle w:val="112"/>
      </w:pPr>
      <w:r>
        <w:rPr>
          <w:rFonts w:hint="eastAsia"/>
        </w:rPr>
        <w:t>在以下项目使用砂浆：</w:t>
      </w:r>
    </w:p>
    <w:p w14:paraId="7F4CA460">
      <w:pPr>
        <w:pStyle w:val="114"/>
      </w:pPr>
      <w:r>
        <w:rPr>
          <w:rFonts w:hint="eastAsia"/>
        </w:rPr>
        <w:t>防湿层以下的工程，包括地下室的墙壁；</w:t>
      </w:r>
    </w:p>
    <w:p w14:paraId="1195993F">
      <w:pPr>
        <w:pStyle w:val="114"/>
      </w:pPr>
      <w:r>
        <w:rPr>
          <w:rFonts w:hint="eastAsia"/>
        </w:rPr>
        <w:t>屋面层的烟囱群；</w:t>
      </w:r>
    </w:p>
    <w:p w14:paraId="038399B9">
      <w:pPr>
        <w:pStyle w:val="114"/>
      </w:pPr>
      <w:r>
        <w:t>70</w:t>
      </w:r>
      <w:r>
        <w:rPr>
          <w:rFonts w:hint="eastAsia"/>
        </w:rPr>
        <w:t>及</w:t>
      </w:r>
      <w:r>
        <w:t>105mm</w:t>
      </w:r>
      <w:r>
        <w:rPr>
          <w:rFonts w:hint="eastAsia"/>
        </w:rPr>
        <w:t>的砌砖工程；</w:t>
      </w:r>
    </w:p>
    <w:p w14:paraId="783D534B">
      <w:pPr>
        <w:pStyle w:val="114"/>
      </w:pPr>
      <w:r>
        <w:rPr>
          <w:rFonts w:hint="eastAsia"/>
        </w:rPr>
        <w:t>不超过</w:t>
      </w:r>
      <w:r>
        <w:t>150mm</w:t>
      </w:r>
      <w:r>
        <w:rPr>
          <w:rFonts w:hint="eastAsia"/>
        </w:rPr>
        <w:t>的混凝土砌块工程；</w:t>
      </w:r>
    </w:p>
    <w:p w14:paraId="24701F01">
      <w:pPr>
        <w:pStyle w:val="114"/>
      </w:pPr>
      <w:r>
        <w:rPr>
          <w:rFonts w:hint="eastAsia"/>
        </w:rPr>
        <w:t>承重墙；</w:t>
      </w:r>
    </w:p>
    <w:p w14:paraId="458B72A3">
      <w:pPr>
        <w:pStyle w:val="114"/>
      </w:pPr>
      <w:r>
        <w:rPr>
          <w:rFonts w:hint="eastAsia"/>
        </w:rPr>
        <w:t>于所指示的砌砖上填嵌及水泥砂浆的铺层。</w:t>
      </w:r>
    </w:p>
    <w:p w14:paraId="39A9AE10">
      <w:pPr>
        <w:pStyle w:val="112"/>
      </w:pPr>
      <w:r>
        <w:rPr>
          <w:rFonts w:hint="eastAsia"/>
        </w:rPr>
        <w:t>按第</w:t>
      </w:r>
      <w:r>
        <w:t>4.2.10</w:t>
      </w:r>
      <w:r>
        <w:rPr>
          <w:rFonts w:hint="eastAsia"/>
        </w:rPr>
        <w:t>条</w:t>
      </w:r>
      <w:r>
        <w:t>c)</w:t>
      </w:r>
      <w:r>
        <w:rPr>
          <w:rFonts w:hint="eastAsia"/>
        </w:rPr>
        <w:t>项的指定在蛭石工程上使用水泥／石灰砂浆。</w:t>
      </w:r>
    </w:p>
    <w:p w14:paraId="6F8705F9">
      <w:pPr>
        <w:pStyle w:val="112"/>
      </w:pPr>
      <w:r>
        <w:rPr>
          <w:rFonts w:hint="eastAsia"/>
        </w:rPr>
        <w:t>于耐火砖石工程中使用耐火砖石砂浆。</w:t>
      </w:r>
    </w:p>
    <w:p w14:paraId="74A3FB26">
      <w:pPr>
        <w:pStyle w:val="112"/>
      </w:pPr>
      <w:r>
        <w:rPr>
          <w:rFonts w:hint="eastAsia"/>
        </w:rPr>
        <w:t>除上述的指定外，在砖石及砌块工程中的水泥／石灰砂浆使用一般按第</w:t>
      </w:r>
      <w:r>
        <w:t>4.2.10</w:t>
      </w:r>
      <w:r>
        <w:rPr>
          <w:rFonts w:hint="eastAsia"/>
        </w:rPr>
        <w:t>条</w:t>
      </w:r>
      <w:r>
        <w:t>b)</w:t>
      </w:r>
      <w:r>
        <w:rPr>
          <w:rFonts w:hint="eastAsia"/>
        </w:rPr>
        <w:t>项的指定。</w:t>
      </w:r>
    </w:p>
    <w:p w14:paraId="5E33E0F7">
      <w:pPr>
        <w:pStyle w:val="119"/>
      </w:pPr>
      <w:bookmarkStart w:id="94" w:name="_Toc136956865"/>
      <w:r>
        <w:rPr>
          <w:rFonts w:hint="eastAsia"/>
        </w:rPr>
        <w:t>操作工艺</w:t>
      </w:r>
      <w:bookmarkEnd w:id="94"/>
    </w:p>
    <w:p w14:paraId="028B2FCA">
      <w:pPr>
        <w:pStyle w:val="110"/>
      </w:pPr>
      <w:r>
        <w:rPr>
          <w:rFonts w:hint="eastAsia"/>
        </w:rPr>
        <w:t>饰面砌砖工程的样本</w:t>
      </w:r>
    </w:p>
    <w:p w14:paraId="7799DA9C">
      <w:pPr>
        <w:pStyle w:val="112"/>
        <w:numPr>
          <w:ilvl w:val="0"/>
          <w:numId w:val="0"/>
        </w:numPr>
        <w:ind w:left="964"/>
      </w:pPr>
      <w:r>
        <w:rPr>
          <w:rFonts w:hint="eastAsia"/>
        </w:rPr>
        <w:t>为饰面砌砖工程预先制备</w:t>
      </w:r>
      <w:r>
        <w:t>1m2</w:t>
      </w:r>
      <w:r>
        <w:rPr>
          <w:rFonts w:hint="eastAsia"/>
        </w:rPr>
        <w:t>的样本块（包括填嵌的工程）供业主及建筑师检查认可，并须在开始正式工程前取得批准。</w:t>
      </w:r>
    </w:p>
    <w:p w14:paraId="0F631797">
      <w:pPr>
        <w:pStyle w:val="110"/>
      </w:pPr>
      <w:r>
        <w:rPr>
          <w:rFonts w:hint="eastAsia"/>
        </w:rPr>
        <w:t>干燥天气</w:t>
      </w:r>
    </w:p>
    <w:p w14:paraId="0A85FBFD">
      <w:pPr>
        <w:pStyle w:val="112"/>
        <w:numPr>
          <w:ilvl w:val="0"/>
          <w:numId w:val="0"/>
        </w:numPr>
        <w:ind w:left="964"/>
      </w:pPr>
      <w:r>
        <w:rPr>
          <w:rFonts w:hint="eastAsia"/>
        </w:rPr>
        <w:t>于干燥气候下进行工程时，将砖块适当弄湿，以防止砂浆过早干涸。若刚砌好的一层已经变干.则应在摆新砖之前重新洗湿。</w:t>
      </w:r>
    </w:p>
    <w:p w14:paraId="50753609">
      <w:pPr>
        <w:pStyle w:val="110"/>
      </w:pPr>
      <w:r>
        <w:rPr>
          <w:rFonts w:hint="eastAsia"/>
        </w:rPr>
        <w:t>潮湿天气</w:t>
      </w:r>
    </w:p>
    <w:p w14:paraId="059AA680">
      <w:pPr>
        <w:pStyle w:val="112"/>
        <w:numPr>
          <w:ilvl w:val="0"/>
          <w:numId w:val="0"/>
        </w:numPr>
        <w:ind w:left="964"/>
      </w:pPr>
      <w:r>
        <w:rPr>
          <w:rFonts w:hint="eastAsia"/>
        </w:rPr>
        <w:t>在潮湿气候下进行工程时，以及在每天完成工程时，均应将新铺砌的砌砖或砌块加以保护.以防雨水的损毁。</w:t>
      </w:r>
    </w:p>
    <w:p w14:paraId="0DCF6C13">
      <w:pPr>
        <w:pStyle w:val="110"/>
      </w:pPr>
      <w:r>
        <w:rPr>
          <w:rFonts w:hint="eastAsia"/>
        </w:rPr>
        <w:t>饰面工程</w:t>
      </w:r>
    </w:p>
    <w:p w14:paraId="36A1A830">
      <w:pPr>
        <w:pStyle w:val="112"/>
        <w:numPr>
          <w:ilvl w:val="0"/>
          <w:numId w:val="0"/>
        </w:numPr>
        <w:ind w:left="964"/>
      </w:pPr>
      <w:r>
        <w:rPr>
          <w:rFonts w:hint="eastAsia"/>
        </w:rPr>
        <w:t>施工期间将饰面工程保护，直至实际竣工止。</w:t>
      </w:r>
    </w:p>
    <w:p w14:paraId="32B4D0F8">
      <w:pPr>
        <w:pStyle w:val="110"/>
      </w:pPr>
      <w:r>
        <w:rPr>
          <w:rFonts w:hint="eastAsia"/>
        </w:rPr>
        <w:t>铺面砖的颜色调和</w:t>
      </w:r>
    </w:p>
    <w:p w14:paraId="2F79AF27">
      <w:pPr>
        <w:pStyle w:val="112"/>
        <w:numPr>
          <w:ilvl w:val="0"/>
          <w:numId w:val="0"/>
        </w:numPr>
        <w:ind w:left="964"/>
      </w:pPr>
      <w:r>
        <w:rPr>
          <w:rFonts w:hint="eastAsia"/>
        </w:rPr>
        <w:t>将各种不同颜色的铺面砖均匀布置在整项工程上，直至掩盖所有修补的痕迹。</w:t>
      </w:r>
    </w:p>
    <w:p w14:paraId="6A1EB93C">
      <w:pPr>
        <w:pStyle w:val="110"/>
      </w:pPr>
      <w:r>
        <w:rPr>
          <w:rFonts w:hint="eastAsia"/>
        </w:rPr>
        <w:t>一致性</w:t>
      </w:r>
    </w:p>
    <w:p w14:paraId="46EC5136">
      <w:pPr>
        <w:pStyle w:val="112"/>
        <w:numPr>
          <w:ilvl w:val="0"/>
          <w:numId w:val="0"/>
        </w:numPr>
        <w:ind w:left="964"/>
      </w:pPr>
      <w:r>
        <w:rPr>
          <w:rFonts w:hint="eastAsia"/>
        </w:rPr>
        <w:t>在其他部份的砌砖上进行叠砌砖块工程时，所高出的部份不可超过</w:t>
      </w:r>
      <w:r>
        <w:t>1mm</w:t>
      </w:r>
      <w:r>
        <w:rPr>
          <w:rFonts w:hint="eastAsia"/>
        </w:rPr>
        <w:t>，各层之间的接缝必须剔清。</w:t>
      </w:r>
      <w:r>
        <w:t xml:space="preserve"> </w:t>
      </w:r>
    </w:p>
    <w:p w14:paraId="5A8B4000">
      <w:pPr>
        <w:pStyle w:val="110"/>
      </w:pPr>
      <w:r>
        <w:rPr>
          <w:rFonts w:hint="eastAsia"/>
        </w:rPr>
        <w:t>尺寸量度</w:t>
      </w:r>
    </w:p>
    <w:p w14:paraId="603AA3B5">
      <w:pPr>
        <w:pStyle w:val="112"/>
        <w:numPr>
          <w:ilvl w:val="0"/>
          <w:numId w:val="0"/>
        </w:numPr>
        <w:ind w:left="964"/>
      </w:pPr>
      <w:r>
        <w:rPr>
          <w:rFonts w:hint="eastAsia"/>
        </w:rPr>
        <w:t>按砌体工程施工及验收规范</w:t>
      </w:r>
      <w:r>
        <w:t>GB50203-2000</w:t>
      </w:r>
      <w:r>
        <w:rPr>
          <w:rFonts w:hint="eastAsia"/>
        </w:rPr>
        <w:t>执行。</w:t>
      </w:r>
    </w:p>
    <w:p w14:paraId="7100BD5A">
      <w:pPr>
        <w:pStyle w:val="110"/>
      </w:pPr>
      <w:r>
        <w:rPr>
          <w:rFonts w:hint="eastAsia"/>
        </w:rPr>
        <w:t>接缝</w:t>
      </w:r>
    </w:p>
    <w:p w14:paraId="3F1C5929">
      <w:pPr>
        <w:pStyle w:val="112"/>
      </w:pPr>
      <w:r>
        <w:rPr>
          <w:rFonts w:hint="eastAsia"/>
        </w:rPr>
        <w:t>将砖块或砌块置于充份铺放的砂浆垫层上，接缝应紧密填充，厚度一致为</w:t>
      </w:r>
      <w:r>
        <w:t>l0mm</w:t>
      </w:r>
      <w:r>
        <w:rPr>
          <w:rFonts w:hint="eastAsia"/>
        </w:rPr>
        <w:t>。</w:t>
      </w:r>
    </w:p>
    <w:p w14:paraId="46280A23">
      <w:pPr>
        <w:pStyle w:val="112"/>
      </w:pPr>
      <w:r>
        <w:rPr>
          <w:rFonts w:hint="eastAsia"/>
        </w:rPr>
        <w:t>在承压墙上设置单式砖凹槽，凹口置于最顶端，且填以砂浆。</w:t>
      </w:r>
    </w:p>
    <w:p w14:paraId="10D29D13">
      <w:pPr>
        <w:pStyle w:val="110"/>
      </w:pPr>
      <w:r>
        <w:rPr>
          <w:rFonts w:hint="eastAsia"/>
        </w:rPr>
        <w:t>准确性</w:t>
      </w:r>
    </w:p>
    <w:p w14:paraId="11B7E358">
      <w:pPr>
        <w:pStyle w:val="112"/>
      </w:pPr>
      <w:r>
        <w:rPr>
          <w:rFonts w:hint="eastAsia"/>
        </w:rPr>
        <w:t>每层均应保持齐平，穿墙石保持垂直及一致整齐。</w:t>
      </w:r>
    </w:p>
    <w:p w14:paraId="1D1FD405">
      <w:pPr>
        <w:pStyle w:val="112"/>
      </w:pPr>
      <w:r>
        <w:rPr>
          <w:rFonts w:hint="eastAsia"/>
        </w:rPr>
        <w:t>工程进行时用铅锤测量突角和其他角隅</w:t>
      </w:r>
    </w:p>
    <w:p w14:paraId="1521E12C">
      <w:pPr>
        <w:pStyle w:val="110"/>
      </w:pPr>
      <w:r>
        <w:rPr>
          <w:rFonts w:hint="eastAsia"/>
        </w:rPr>
        <w:t>容许偏差</w:t>
      </w:r>
    </w:p>
    <w:p w14:paraId="459A27EB">
      <w:pPr>
        <w:pStyle w:val="112"/>
        <w:numPr>
          <w:ilvl w:val="0"/>
          <w:numId w:val="0"/>
        </w:numPr>
        <w:ind w:left="964"/>
      </w:pPr>
      <w:r>
        <w:rPr>
          <w:rFonts w:hint="eastAsia"/>
        </w:rPr>
        <w:t>按砌体工程施工及验收规范</w:t>
      </w:r>
      <w:r>
        <w:t>GB50203-2000</w:t>
      </w:r>
      <w:r>
        <w:rPr>
          <w:rFonts w:hint="eastAsia"/>
        </w:rPr>
        <w:t>表</w:t>
      </w:r>
      <w:r>
        <w:t>4.1.8</w:t>
      </w:r>
      <w:r>
        <w:rPr>
          <w:rFonts w:hint="eastAsia"/>
        </w:rPr>
        <w:t>执行。</w:t>
      </w:r>
    </w:p>
    <w:p w14:paraId="2F8D3347">
      <w:pPr>
        <w:pStyle w:val="110"/>
      </w:pPr>
      <w:r>
        <w:rPr>
          <w:rFonts w:hint="eastAsia"/>
        </w:rPr>
        <w:t>饰面工程</w:t>
      </w:r>
    </w:p>
    <w:p w14:paraId="37242C36">
      <w:pPr>
        <w:pStyle w:val="112"/>
        <w:numPr>
          <w:ilvl w:val="0"/>
          <w:numId w:val="0"/>
        </w:numPr>
        <w:ind w:left="964"/>
      </w:pPr>
      <w:r>
        <w:rPr>
          <w:rFonts w:hint="eastAsia"/>
        </w:rPr>
        <w:t>选用边棱完整及外面平整的砖块及砌块，置放时外面层须整齐一致。</w:t>
      </w:r>
    </w:p>
    <w:p w14:paraId="678FC348">
      <w:pPr>
        <w:pStyle w:val="110"/>
      </w:pPr>
      <w:r>
        <w:rPr>
          <w:rFonts w:hint="eastAsia"/>
        </w:rPr>
        <w:t>砌法</w:t>
      </w:r>
    </w:p>
    <w:p w14:paraId="7CEABDD0">
      <w:pPr>
        <w:pStyle w:val="112"/>
      </w:pPr>
      <w:r>
        <w:rPr>
          <w:rFonts w:hint="eastAsia"/>
        </w:rPr>
        <w:t>铺砌砖块时各层的竖缝应彼此交错，的四分之一。</w:t>
      </w:r>
      <w:r>
        <w:t xml:space="preserve"> </w:t>
      </w:r>
      <w:r>
        <w:rPr>
          <w:rFonts w:hint="eastAsia"/>
        </w:rPr>
        <w:t>上层砖块与下层砖块交叠的部份不可少于砖块</w:t>
      </w:r>
    </w:p>
    <w:p w14:paraId="01C35EB1">
      <w:pPr>
        <w:pStyle w:val="112"/>
      </w:pPr>
      <w:r>
        <w:rPr>
          <w:rFonts w:hint="eastAsia"/>
        </w:rPr>
        <w:t>顺砖砌合法铺砌</w:t>
      </w:r>
      <w:r>
        <w:t>60</w:t>
      </w:r>
      <w:r>
        <w:rPr>
          <w:rFonts w:hint="eastAsia"/>
        </w:rPr>
        <w:t>及</w:t>
      </w:r>
      <w:r>
        <w:t>120mm</w:t>
      </w:r>
      <w:r>
        <w:rPr>
          <w:rFonts w:hint="eastAsia"/>
        </w:rPr>
        <w:t>砖墙。</w:t>
      </w:r>
    </w:p>
    <w:p w14:paraId="58858D47">
      <w:pPr>
        <w:pStyle w:val="112"/>
      </w:pPr>
      <w:r>
        <w:rPr>
          <w:rFonts w:hint="eastAsia"/>
        </w:rPr>
        <w:t>除非另有指示，用英式砌法铺砌</w:t>
      </w:r>
      <w:r>
        <w:t>240mm</w:t>
      </w:r>
      <w:r>
        <w:rPr>
          <w:rFonts w:hint="eastAsia"/>
        </w:rPr>
        <w:t>砖墙。</w:t>
      </w:r>
    </w:p>
    <w:p w14:paraId="3F8358BC">
      <w:pPr>
        <w:pStyle w:val="112"/>
      </w:pPr>
      <w:r>
        <w:rPr>
          <w:rFonts w:hint="eastAsia"/>
        </w:rPr>
        <w:t>用顺砖砌合法进行砖石工程。</w:t>
      </w:r>
    </w:p>
    <w:p w14:paraId="1E6ABD28">
      <w:pPr>
        <w:pStyle w:val="112"/>
      </w:pPr>
      <w:r>
        <w:rPr>
          <w:rFonts w:hint="eastAsia"/>
        </w:rPr>
        <w:t>划区墙及间壁应适当接驳于主墙上。</w:t>
      </w:r>
    </w:p>
    <w:p w14:paraId="09842ACD">
      <w:pPr>
        <w:pStyle w:val="110"/>
      </w:pPr>
      <w:r>
        <w:rPr>
          <w:rFonts w:hint="eastAsia"/>
        </w:rPr>
        <w:t>空心墙</w:t>
      </w:r>
    </w:p>
    <w:p w14:paraId="09FF84B9">
      <w:pPr>
        <w:pStyle w:val="112"/>
        <w:numPr>
          <w:ilvl w:val="0"/>
          <w:numId w:val="0"/>
        </w:numPr>
        <w:ind w:left="964"/>
      </w:pPr>
      <w:r>
        <w:rPr>
          <w:rFonts w:hint="eastAsia"/>
        </w:rPr>
        <w:t>建造空心墙时，空气层的阔度及墙壁厚度应符合要求，采用20 X 3mm扭夹式的热浸镀锌低碳钢拉条将墙壁的两边厚边拉紧在一起，拉条的长度最低限度比空气层的阔度长100mm，两端为爪状，水平的分隔距离为900mm，垂直距离为320mm，交错排列，于外露与开孔的地方多置额外的拉条。拉条应小心置放，使拉条倾向墙壁的外厚边，利用搬动的板条将空心保持清洁。开孔应置于空气层的底部，以便于竣工时的洁理以及其后用墙围住工程.以配合四周的工程。</w:t>
      </w:r>
    </w:p>
    <w:p w14:paraId="3CCC6FC8">
      <w:pPr>
        <w:pStyle w:val="110"/>
      </w:pPr>
      <w:r>
        <w:rPr>
          <w:rFonts w:hint="eastAsia"/>
        </w:rPr>
        <w:t>混凝土砌块墙</w:t>
      </w:r>
    </w:p>
    <w:p w14:paraId="1E664A08">
      <w:pPr>
        <w:pStyle w:val="112"/>
        <w:numPr>
          <w:ilvl w:val="0"/>
          <w:numId w:val="0"/>
        </w:numPr>
        <w:ind w:left="964"/>
      </w:pPr>
      <w:r>
        <w:rPr>
          <w:rFonts w:hint="eastAsia"/>
        </w:rPr>
        <w:t>用砂浆按指示将于混凝土砌块铺砌，置放时所有接缝应嵌平妥当。墙壁及间壁应以顺砖砌合法铺放，该砌合接驳应由特制的半砖和镶边石所构成，所有币直缝及角阴应准确无误.</w:t>
      </w:r>
      <w:r>
        <w:t xml:space="preserve"> </w:t>
      </w:r>
    </w:p>
    <w:p w14:paraId="51A6B706">
      <w:pPr>
        <w:pStyle w:val="110"/>
      </w:pPr>
      <w:r>
        <w:rPr>
          <w:rFonts w:hint="eastAsia"/>
        </w:rPr>
        <w:t>木丝板间壁</w:t>
      </w:r>
    </w:p>
    <w:p w14:paraId="6F3077E1">
      <w:pPr>
        <w:pStyle w:val="112"/>
      </w:pPr>
      <w:r>
        <w:rPr>
          <w:rFonts w:hint="eastAsia"/>
        </w:rPr>
        <w:t>如同混凝土砌块工程指示将所有接缝保持干燥，并应在抹灰之前于每边以</w:t>
      </w:r>
      <w:r>
        <w:t>150mm</w:t>
      </w:r>
      <w:r>
        <w:rPr>
          <w:rFonts w:hint="eastAsia"/>
        </w:rPr>
        <w:t>阔的网形铁条加固。木丝板间壁及混凝土结构之间的接缝应作类似的加固。如果木丝板间壁与砌砖工程相接，则应以交替的板块接驳。</w:t>
      </w:r>
    </w:p>
    <w:p w14:paraId="06365733">
      <w:pPr>
        <w:pStyle w:val="112"/>
      </w:pPr>
      <w:r>
        <w:rPr>
          <w:rFonts w:hint="eastAsia"/>
        </w:rPr>
        <w:t>木丝板间壁应固定在原本的位置，最少在二星期后始可进行抹灰工程。</w:t>
      </w:r>
    </w:p>
    <w:p w14:paraId="2A2018C5">
      <w:pPr>
        <w:pStyle w:val="110"/>
      </w:pPr>
      <w:r>
        <w:rPr>
          <w:rFonts w:hint="eastAsia"/>
        </w:rPr>
        <w:t>混凝土的拉条</w:t>
      </w:r>
    </w:p>
    <w:p w14:paraId="71B1A618">
      <w:pPr>
        <w:pStyle w:val="112"/>
      </w:pPr>
      <w:r>
        <w:rPr>
          <w:rFonts w:hint="eastAsia"/>
        </w:rPr>
        <w:t>于墙壁与混凝土交接处按</w:t>
      </w:r>
      <w:r>
        <w:t>300mm</w:t>
      </w:r>
      <w:r>
        <w:rPr>
          <w:rFonts w:hint="eastAsia"/>
        </w:rPr>
        <w:t>的中心距垂直装上拉条，凸出</w:t>
      </w:r>
      <w:r>
        <w:t>250mm</w:t>
      </w:r>
      <w:r>
        <w:rPr>
          <w:rFonts w:hint="eastAsia"/>
        </w:rPr>
        <w:t>，并置于砌砖墙或砌块墙的末端。</w:t>
      </w:r>
      <w:r>
        <w:t xml:space="preserve"> </w:t>
      </w:r>
    </w:p>
    <w:p w14:paraId="5396F7F3">
      <w:pPr>
        <w:pStyle w:val="112"/>
      </w:pPr>
      <w:r>
        <w:rPr>
          <w:rFonts w:hint="eastAsia"/>
        </w:rPr>
        <w:t>对于靠于混凝土结构表面而建的砌砖工程或砌块工程，按</w:t>
      </w:r>
      <w:r>
        <w:t>900mm</w:t>
      </w:r>
      <w:r>
        <w:rPr>
          <w:rFonts w:hint="eastAsia"/>
        </w:rPr>
        <w:t>的水平中心距及</w:t>
      </w:r>
      <w:r>
        <w:t>300mm</w:t>
      </w:r>
      <w:r>
        <w:rPr>
          <w:rFonts w:hint="eastAsia"/>
        </w:rPr>
        <w:t>的垂直中心距装上拉条，并交错排列，凸出</w:t>
      </w:r>
      <w:r>
        <w:t>75mm</w:t>
      </w:r>
      <w:r>
        <w:rPr>
          <w:rFonts w:hint="eastAsia"/>
        </w:rPr>
        <w:t>，且端头内插</w:t>
      </w:r>
    </w:p>
    <w:p w14:paraId="4E8D1305">
      <w:pPr>
        <w:pStyle w:val="110"/>
      </w:pPr>
      <w:r>
        <w:rPr>
          <w:rFonts w:hint="eastAsia"/>
        </w:rPr>
        <w:t>加固</w:t>
      </w:r>
    </w:p>
    <w:p w14:paraId="479A3F01">
      <w:pPr>
        <w:pStyle w:val="112"/>
      </w:pPr>
      <w:r>
        <w:rPr>
          <w:rFonts w:hint="eastAsia"/>
        </w:rPr>
        <w:t>一切混凝土砌块墙壁须妥善地嵌入一层牛眼网用以加固，接驳处的褶叠不少于</w:t>
      </w:r>
      <w:r>
        <w:t>75mm</w:t>
      </w:r>
      <w:r>
        <w:rPr>
          <w:rFonts w:hint="eastAsia"/>
        </w:rPr>
        <w:t>置于对抵的砌块工程或砌砖工程内的部份不少于</w:t>
      </w:r>
      <w:r>
        <w:t xml:space="preserve"> </w:t>
      </w:r>
      <w:r>
        <w:rPr>
          <w:rFonts w:hint="eastAsia"/>
        </w:rPr>
        <w:t>，</w:t>
      </w:r>
      <w:r>
        <w:t>114mm</w:t>
      </w:r>
      <w:r>
        <w:rPr>
          <w:rFonts w:hint="eastAsia"/>
        </w:rPr>
        <w:t>除非图纸另有指示，加固装置应在水平接缝上按</w:t>
      </w:r>
      <w:r>
        <w:t xml:space="preserve"> </w:t>
      </w:r>
      <w:r>
        <w:rPr>
          <w:rFonts w:hint="eastAsia"/>
        </w:rPr>
        <w:t>。</w:t>
      </w:r>
      <w:r>
        <w:t>450mm</w:t>
      </w:r>
      <w:r>
        <w:rPr>
          <w:rFonts w:hint="eastAsia"/>
        </w:rPr>
        <w:t>的中心距安装。</w:t>
      </w:r>
    </w:p>
    <w:p w14:paraId="452E3254">
      <w:pPr>
        <w:pStyle w:val="112"/>
      </w:pPr>
      <w:r>
        <w:rPr>
          <w:rFonts w:hint="eastAsia"/>
        </w:rPr>
        <w:t>所有砌块墙壁应根据工程师设计图纸或有关标准图集的构造措施，设置构造柱和构造过梁以满足其稳定性要求。</w:t>
      </w:r>
    </w:p>
    <w:p w14:paraId="3201C4C6">
      <w:pPr>
        <w:pStyle w:val="110"/>
      </w:pPr>
      <w:r>
        <w:rPr>
          <w:rFonts w:hint="eastAsia"/>
        </w:rPr>
        <w:t>接驳的装修</w:t>
      </w:r>
    </w:p>
    <w:p w14:paraId="61CF99E8">
      <w:pPr>
        <w:pStyle w:val="112"/>
      </w:pPr>
      <w:r>
        <w:rPr>
          <w:rFonts w:hint="eastAsia"/>
        </w:rPr>
        <w:t>工程进行期间，用镘刀将装修工程中隐蔽的接缝刮平。</w:t>
      </w:r>
    </w:p>
    <w:p w14:paraId="2FFBAF4D">
      <w:pPr>
        <w:pStyle w:val="112"/>
      </w:pPr>
      <w:r>
        <w:rPr>
          <w:rFonts w:hint="eastAsia"/>
        </w:rPr>
        <w:t>工程进行期间，应将内部整饰面工程的接缝填充，务求砖块或砌块表面光滑齐平。</w:t>
      </w:r>
    </w:p>
    <w:p w14:paraId="6C2D7C06">
      <w:pPr>
        <w:pStyle w:val="112"/>
      </w:pPr>
      <w:r>
        <w:rPr>
          <w:rFonts w:hint="eastAsia"/>
        </w:rPr>
        <w:t>经饰面的砌砖工程及砌砖工程的外饰而接缝，可在工程进行期间修饰为锓光的泻水缝，或在施工期间将接缝剔洁至100mm深，在竣工时按指示填嵌为泻水缝，井嵌成平接缝、凹圆接缝或凹方徽缝.</w:t>
      </w:r>
      <w:r>
        <w:t xml:space="preserve"> </w:t>
      </w:r>
    </w:p>
    <w:p w14:paraId="3A7C04D3">
      <w:pPr>
        <w:pStyle w:val="112"/>
      </w:pPr>
      <w:r>
        <w:rPr>
          <w:rFonts w:hint="eastAsia"/>
        </w:rPr>
        <w:t>将砌砖工程的接缝剔清至</w:t>
      </w:r>
      <w:r>
        <w:t>10mm</w:t>
      </w:r>
      <w:r>
        <w:rPr>
          <w:rFonts w:hint="eastAsia"/>
        </w:rPr>
        <w:t>深，以便进行抹灰或涂敷其他装修料。</w:t>
      </w:r>
    </w:p>
    <w:p w14:paraId="2834C5CA">
      <w:pPr>
        <w:pStyle w:val="112"/>
      </w:pPr>
      <w:r>
        <w:rPr>
          <w:rFonts w:hint="eastAsia"/>
        </w:rPr>
        <w:t>如果规定砌砖工程或砌块工程采用上套装修.则应在工程进行期间进行饰面装修及齐平填嵌，整座墙砌体随后亦应涂上乳状的水泥砂浆作为髹漆前的填嵌预备工程.而多余的砂浆以粗麻袋擦拭。</w:t>
      </w:r>
    </w:p>
    <w:p w14:paraId="5AFAC3A4">
      <w:pPr>
        <w:pStyle w:val="110"/>
      </w:pPr>
      <w:r>
        <w:rPr>
          <w:rFonts w:hint="eastAsia"/>
        </w:rPr>
        <w:t>防水层</w:t>
      </w:r>
    </w:p>
    <w:p w14:paraId="7B6A7E7F">
      <w:pPr>
        <w:pStyle w:val="112"/>
      </w:pPr>
      <w:r>
        <w:rPr>
          <w:rFonts w:hint="eastAsia"/>
        </w:rPr>
        <w:t>按以下的砌砖工程规定，用砂浆将砌水层。</w:t>
      </w:r>
      <w:r>
        <w:t xml:space="preserve"> </w:t>
      </w:r>
      <w:r>
        <w:rPr>
          <w:rFonts w:hint="eastAsia"/>
        </w:rPr>
        <w:t>砖工程嵌平成平坦的垫层，以便铺盖平放的防水层。</w:t>
      </w:r>
    </w:p>
    <w:p w14:paraId="7F8C1D99">
      <w:pPr>
        <w:pStyle w:val="112"/>
      </w:pPr>
      <w:r>
        <w:rPr>
          <w:rFonts w:hint="eastAsia"/>
        </w:rPr>
        <w:t>为防水层铺上连续完整的带条，搭接为</w:t>
      </w:r>
      <w:r>
        <w:t>150mm</w:t>
      </w:r>
      <w:r>
        <w:rPr>
          <w:rFonts w:hint="eastAsia"/>
        </w:rPr>
        <w:t>长，所有角落均应搭接，并按一般厚度完成砂浆接缝。</w:t>
      </w:r>
      <w:r>
        <w:t xml:space="preserve"> </w:t>
      </w:r>
    </w:p>
    <w:p w14:paraId="314C2C67">
      <w:pPr>
        <w:pStyle w:val="110"/>
      </w:pPr>
      <w:r>
        <w:rPr>
          <w:rFonts w:hint="eastAsia"/>
        </w:rPr>
        <w:t>钉扣及梁间墙</w:t>
      </w:r>
    </w:p>
    <w:p w14:paraId="6CCEA40B">
      <w:pPr>
        <w:pStyle w:val="112"/>
      </w:pPr>
      <w:r>
        <w:rPr>
          <w:rFonts w:hint="eastAsia"/>
        </w:rPr>
        <w:t>将结构背面部份的砌砖工程及砌块工程钉扣及楔牢.并以砂浆填实，但其砌合加固深度通常不超过25mm.如深度超过25mm.则应用特制的预制水泥砖填置在水泥砂浆中。此种预制水泥砖的标号须经建筑师批准，厚度则按需要而定。墙厚120mm和超过3.6m高度及砖墙厚240mm和超过4.9m高度者，墙顶应按上述办法用6mm钢筋与梁板砌合加固</w:t>
      </w:r>
    </w:p>
    <w:p w14:paraId="64B2FFC6">
      <w:pPr>
        <w:pStyle w:val="112"/>
      </w:pPr>
      <w:r>
        <w:rPr>
          <w:rFonts w:hint="eastAsia"/>
        </w:rPr>
        <w:t>按指示或按要求于槽形楼面部份的凸条之间设置一切所需的梁间墙。</w:t>
      </w:r>
    </w:p>
    <w:p w14:paraId="4C7041DE">
      <w:pPr>
        <w:pStyle w:val="110"/>
      </w:pPr>
      <w:r>
        <w:rPr>
          <w:rFonts w:hint="eastAsia"/>
        </w:rPr>
        <w:t>砖墙或砌块墙等工程的伸缩缝</w:t>
      </w:r>
    </w:p>
    <w:p w14:paraId="4C6C854A">
      <w:pPr>
        <w:pStyle w:val="112"/>
        <w:numPr>
          <w:ilvl w:val="0"/>
          <w:numId w:val="0"/>
        </w:numPr>
        <w:ind w:left="964"/>
      </w:pPr>
      <w:r>
        <w:rPr>
          <w:rFonts w:hint="eastAsia"/>
        </w:rPr>
        <w:t>如果图纸有所指示或要求，应于砖块或砌块上装置一条I2mm厚，经建筑师批准的泡沫聚笨乙烯或柔性板的伸缩缝，接缝应延伸至饰而，如有指示，应盖上经批准的伸缩缝覆盖。</w:t>
      </w:r>
    </w:p>
    <w:p w14:paraId="2B4D1A41">
      <w:pPr>
        <w:pStyle w:val="110"/>
      </w:pPr>
      <w:r>
        <w:rPr>
          <w:rFonts w:hint="eastAsia"/>
        </w:rPr>
        <w:t>间墙顶部的详图</w:t>
      </w:r>
    </w:p>
    <w:p w14:paraId="0546C951">
      <w:pPr>
        <w:pStyle w:val="112"/>
        <w:numPr>
          <w:ilvl w:val="0"/>
          <w:numId w:val="0"/>
        </w:numPr>
        <w:ind w:left="964"/>
      </w:pPr>
      <w:r>
        <w:rPr>
          <w:rFonts w:hint="eastAsia"/>
        </w:rPr>
        <w:t>如果图纸上有所指定或详示，应在砖石及 混凝土间墙的墙顶与其上的混凝土背腹之间备设经批准的泡沫聚苯乙烯间条。</w:t>
      </w:r>
    </w:p>
    <w:p w14:paraId="44EAD20D">
      <w:pPr>
        <w:pStyle w:val="110"/>
      </w:pPr>
      <w:r>
        <w:rPr>
          <w:rFonts w:hint="eastAsia"/>
        </w:rPr>
        <w:t>嵌镶</w:t>
      </w:r>
    </w:p>
    <w:p w14:paraId="16B88CB3">
      <w:pPr>
        <w:pStyle w:val="112"/>
      </w:pPr>
      <w:r>
        <w:rPr>
          <w:rFonts w:hint="eastAsia"/>
        </w:rPr>
        <w:t>以四周墙壁所采用的类似砂浆嵌镶横楣、底门及窗框等。</w:t>
      </w:r>
    </w:p>
    <w:p w14:paraId="6AACD2FB">
      <w:pPr>
        <w:pStyle w:val="112"/>
      </w:pPr>
      <w:r>
        <w:rPr>
          <w:rFonts w:hint="eastAsia"/>
        </w:rPr>
        <w:t>所镶嵌的木材末端与烟道内面之间应最少保持</w:t>
      </w:r>
      <w:r>
        <w:t>225mm</w:t>
      </w:r>
      <w:r>
        <w:rPr>
          <w:rFonts w:hint="eastAsia"/>
        </w:rPr>
        <w:t>的距离。</w:t>
      </w:r>
    </w:p>
    <w:p w14:paraId="742B788E">
      <w:pPr>
        <w:pStyle w:val="110"/>
      </w:pPr>
      <w:r>
        <w:rPr>
          <w:rFonts w:hint="eastAsia"/>
        </w:rPr>
        <w:t>蛭石间壁上的定位点</w:t>
      </w:r>
    </w:p>
    <w:p w14:paraId="311BEED9">
      <w:pPr>
        <w:pStyle w:val="112"/>
      </w:pPr>
      <w:r>
        <w:rPr>
          <w:rFonts w:hint="eastAsia"/>
        </w:rPr>
        <w:t>不可在蛭石间壁上承载重物。</w:t>
      </w:r>
    </w:p>
    <w:p w14:paraId="5F5AD467">
      <w:pPr>
        <w:pStyle w:val="112"/>
      </w:pPr>
      <w:r>
        <w:rPr>
          <w:rFonts w:hint="eastAsia"/>
        </w:rPr>
        <w:t>如果规定在间壁安装固定的定位点块。则应在工程进行期间嵌入较高密度的特制砌块。</w:t>
      </w:r>
    </w:p>
    <w:p w14:paraId="2142CBA5">
      <w:pPr>
        <w:pStyle w:val="112"/>
      </w:pPr>
      <w:r>
        <w:rPr>
          <w:rFonts w:hint="eastAsia"/>
        </w:rPr>
        <w:t>尽可能将重物适当分置于不同的定位点上。</w:t>
      </w:r>
    </w:p>
    <w:p w14:paraId="57845589">
      <w:pPr>
        <w:pStyle w:val="110"/>
      </w:pPr>
      <w:r>
        <w:rPr>
          <w:rFonts w:hint="eastAsia"/>
        </w:rPr>
        <w:t>孔眼及坑槽</w:t>
      </w:r>
    </w:p>
    <w:p w14:paraId="030A5979">
      <w:pPr>
        <w:pStyle w:val="112"/>
        <w:numPr>
          <w:ilvl w:val="0"/>
          <w:numId w:val="0"/>
        </w:numPr>
        <w:ind w:left="964"/>
      </w:pPr>
      <w:r>
        <w:rPr>
          <w:rFonts w:hint="eastAsia"/>
        </w:rPr>
        <w:t>在墙壁上切凿坑槽、孔眼、凹口及半槽边，以备装嵌所需的框架、雨水管道或其他管道、导线管、电线等.</w:t>
      </w:r>
      <w:r>
        <w:t xml:space="preserve"> </w:t>
      </w:r>
    </w:p>
    <w:p w14:paraId="2E93886D">
      <w:pPr>
        <w:pStyle w:val="110"/>
      </w:pPr>
      <w:r>
        <w:rPr>
          <w:rFonts w:hint="eastAsia"/>
        </w:rPr>
        <w:t>将飞边等部份剔清及嵌填</w:t>
      </w:r>
    </w:p>
    <w:p w14:paraId="59655813">
      <w:pPr>
        <w:pStyle w:val="112"/>
      </w:pPr>
      <w:r>
        <w:rPr>
          <w:rFonts w:hint="eastAsia"/>
        </w:rPr>
        <w:t>为金属飞边或沥青毡边缘的内折部份将接缝剔清至</w:t>
      </w:r>
      <w:r>
        <w:t>25mm</w:t>
      </w:r>
      <w:r>
        <w:rPr>
          <w:rFonts w:hint="eastAsia"/>
        </w:rPr>
        <w:t>深。</w:t>
      </w:r>
    </w:p>
    <w:p w14:paraId="020FD983">
      <w:pPr>
        <w:pStyle w:val="112"/>
      </w:pPr>
      <w:r>
        <w:rPr>
          <w:rFonts w:hint="eastAsia"/>
        </w:rPr>
        <w:t>为沥青边缘的内折部份将接缝剔清及扩大至</w:t>
      </w:r>
      <w:r>
        <w:t>25</w:t>
      </w:r>
      <w:r>
        <w:rPr>
          <w:rFonts w:hint="eastAsia"/>
        </w:rPr>
        <w:t>×</w:t>
      </w:r>
      <w:r>
        <w:t>25mm</w:t>
      </w:r>
      <w:r>
        <w:rPr>
          <w:rFonts w:hint="eastAsia"/>
        </w:rPr>
        <w:t>。</w:t>
      </w:r>
    </w:p>
    <w:p w14:paraId="3BA094DF">
      <w:pPr>
        <w:pStyle w:val="112"/>
      </w:pPr>
      <w:r>
        <w:rPr>
          <w:rFonts w:hint="eastAsia"/>
        </w:rPr>
        <w:t>以四周工程的类似砂浆将金属飞边填嵌。</w:t>
      </w:r>
    </w:p>
    <w:p w14:paraId="120F3FFE">
      <w:pPr>
        <w:pStyle w:val="110"/>
      </w:pPr>
      <w:r>
        <w:rPr>
          <w:rFonts w:hint="eastAsia"/>
        </w:rPr>
        <w:t>烟道的粗涂</w:t>
      </w:r>
    </w:p>
    <w:p w14:paraId="4EDFEDB6">
      <w:pPr>
        <w:pStyle w:val="112"/>
        <w:numPr>
          <w:ilvl w:val="0"/>
          <w:numId w:val="0"/>
        </w:numPr>
        <w:ind w:left="964"/>
      </w:pPr>
      <w:r>
        <w:rPr>
          <w:rFonts w:hint="eastAsia"/>
        </w:rPr>
        <w:t>竣工时以水泥／石灰砂浆将烟道及样芯粗涂。</w:t>
      </w:r>
    </w:p>
    <w:p w14:paraId="3C04B0AA">
      <w:pPr>
        <w:pStyle w:val="110"/>
      </w:pPr>
      <w:r>
        <w:rPr>
          <w:rFonts w:hint="eastAsia"/>
        </w:rPr>
        <w:t>玻璃板块</w:t>
      </w:r>
    </w:p>
    <w:p w14:paraId="66A7DEF8">
      <w:pPr>
        <w:pStyle w:val="112"/>
      </w:pPr>
      <w:r>
        <w:rPr>
          <w:rFonts w:hint="eastAsia"/>
        </w:rPr>
        <w:t>将各类大小的结构开口髹上两层沥青油漆，以便安装玻璃板块。</w:t>
      </w:r>
    </w:p>
    <w:p w14:paraId="09425DA2">
      <w:pPr>
        <w:pStyle w:val="112"/>
      </w:pPr>
      <w:r>
        <w:rPr>
          <w:rFonts w:hint="eastAsia"/>
        </w:rPr>
        <w:t>用水泥／石灰砂浆铺放砌块，并将两边嵌填。</w:t>
      </w:r>
    </w:p>
    <w:p w14:paraId="4A19E9E3">
      <w:pPr>
        <w:pStyle w:val="112"/>
      </w:pPr>
      <w:r>
        <w:rPr>
          <w:rFonts w:hint="eastAsia"/>
        </w:rPr>
        <w:t>于门窗梃及板块预备留</w:t>
      </w:r>
      <w:r>
        <w:t>12mm</w:t>
      </w:r>
      <w:r>
        <w:rPr>
          <w:rFonts w:hint="eastAsia"/>
        </w:rPr>
        <w:t>的间隙，用活动填缝料将空隙填充，并用经批准的胶泥将两边密封。</w:t>
      </w:r>
      <w:r>
        <w:t xml:space="preserve"> </w:t>
      </w:r>
    </w:p>
    <w:p w14:paraId="1C8CBA2F">
      <w:pPr>
        <w:pStyle w:val="112"/>
      </w:pPr>
      <w:r>
        <w:rPr>
          <w:rFonts w:hint="eastAsia"/>
        </w:rPr>
        <w:t>每隔四层嵌入</w:t>
      </w:r>
      <w:r>
        <w:t>64mm</w:t>
      </w:r>
      <w:r>
        <w:rPr>
          <w:rFonts w:hint="eastAsia"/>
        </w:rPr>
        <w:t>阔的砌块加固条，加固条的末端应跨过间缝，并嵌入开口的门窗梃。</w:t>
      </w:r>
    </w:p>
    <w:p w14:paraId="3B06F487">
      <w:pPr>
        <w:pStyle w:val="110"/>
      </w:pPr>
      <w:r>
        <w:rPr>
          <w:rFonts w:hint="eastAsia"/>
        </w:rPr>
        <w:t>油灰填嵌</w:t>
      </w:r>
    </w:p>
    <w:p w14:paraId="6154B74F">
      <w:pPr>
        <w:pStyle w:val="112"/>
        <w:numPr>
          <w:ilvl w:val="0"/>
          <w:numId w:val="0"/>
        </w:numPr>
        <w:ind w:left="964"/>
      </w:pPr>
      <w:r>
        <w:rPr>
          <w:rFonts w:hint="eastAsia"/>
        </w:rPr>
        <w:t>以专用作填嵌的压力枪将门框、窗框等的一切外在接缝以及四周的砌砖工程、砖石工程或抹灰工程填以建筑师指定牌子或等同且经批准的填料.</w:t>
      </w:r>
    </w:p>
    <w:p w14:paraId="72033075">
      <w:pPr>
        <w:pStyle w:val="112"/>
        <w:numPr>
          <w:ilvl w:val="0"/>
          <w:numId w:val="0"/>
        </w:numPr>
        <w:ind w:left="964"/>
      </w:pPr>
    </w:p>
    <w:p w14:paraId="39A45F2B">
      <w:pPr>
        <w:pStyle w:val="119"/>
      </w:pPr>
      <w:bookmarkStart w:id="95" w:name="_Toc136956866"/>
      <w:r>
        <w:rPr>
          <w:rFonts w:hint="eastAsia"/>
        </w:rPr>
        <w:t>砖胎膜防护技术要求</w:t>
      </w:r>
      <w:bookmarkEnd w:id="95"/>
    </w:p>
    <w:p w14:paraId="77C98ED8">
      <w:pPr>
        <w:pStyle w:val="112"/>
        <w:numPr>
          <w:ilvl w:val="0"/>
          <w:numId w:val="78"/>
        </w:numPr>
        <w:ind w:left="993" w:hanging="567"/>
      </w:pPr>
      <w:r>
        <w:rPr>
          <w:rFonts w:hint="eastAsia"/>
        </w:rPr>
        <w:t>超过</w:t>
      </w:r>
      <w:r>
        <w:t>3米的坑中坑需编制安全专项方案，超过5米需进行专家论证，且</w:t>
      </w:r>
      <w:r>
        <w:rPr>
          <w:rFonts w:hint="eastAsia"/>
        </w:rPr>
        <w:t>建设单位项目负责人应参加专家论证。</w:t>
      </w:r>
    </w:p>
    <w:p w14:paraId="0D0F5B71">
      <w:pPr>
        <w:pStyle w:val="112"/>
        <w:numPr>
          <w:ilvl w:val="0"/>
          <w:numId w:val="78"/>
        </w:numPr>
        <w:ind w:left="993" w:hanging="567"/>
      </w:pPr>
      <w:bookmarkStart w:id="96" w:name="_Hlk118734478"/>
      <w:r>
        <w:rPr>
          <w:rFonts w:hint="eastAsia"/>
        </w:rPr>
        <w:t>“砖胎模”</w:t>
      </w:r>
      <w:bookmarkEnd w:id="96"/>
      <w:r>
        <w:rPr>
          <w:rFonts w:hint="eastAsia"/>
        </w:rPr>
        <w:t>外侧土方回填时，应确保砌筑砂浆达到侧压力计算要求的强度，土方回填须按照方案分层压实夯实，不得一次性倾倒挤推。</w:t>
      </w:r>
    </w:p>
    <w:p w14:paraId="3B9323AF">
      <w:pPr>
        <w:pStyle w:val="112"/>
        <w:numPr>
          <w:ilvl w:val="0"/>
          <w:numId w:val="78"/>
        </w:numPr>
        <w:ind w:left="993" w:hanging="567"/>
      </w:pPr>
      <w:r>
        <w:rPr>
          <w:rFonts w:hint="eastAsia"/>
        </w:rPr>
        <w:t>不得降低“砖胎模”专项方案关键工序、关键措施实施标准，例如：圈梁、构造柱必须严格按方案实施，监理按照方案逐项验收。</w:t>
      </w:r>
    </w:p>
    <w:p w14:paraId="4420E82F">
      <w:pPr>
        <w:pStyle w:val="112"/>
        <w:numPr>
          <w:ilvl w:val="0"/>
          <w:numId w:val="78"/>
        </w:numPr>
        <w:ind w:left="993" w:hanging="567"/>
      </w:pPr>
      <w:r>
        <w:rPr>
          <w:rFonts w:hint="eastAsia"/>
        </w:rPr>
        <w:t>砖胎模内侧应按方案设置相互撑顶，防止回填土压力过大而发生“砖胎模”垮塌事故，在砖胎模坑底作业严禁拆除砖胎模内侧支撑架，示意图如下：</w:t>
      </w:r>
    </w:p>
    <w:p w14:paraId="2AE3D522">
      <w:pPr>
        <w:rPr>
          <w:rFonts w:ascii="黑体" w:hAnsi="黑体" w:eastAsia="黑体"/>
          <w:kern w:val="0"/>
          <w:sz w:val="18"/>
          <w:szCs w:val="18"/>
        </w:rPr>
        <w:sectPr>
          <w:footerReference r:id="rId13" w:type="default"/>
          <w:type w:val="continuous"/>
          <w:pgSz w:w="11907" w:h="16840"/>
          <w:pgMar w:top="1440" w:right="1797" w:bottom="1440" w:left="1797" w:header="720" w:footer="720" w:gutter="0"/>
          <w:pgNumType w:fmt="decimal"/>
          <w:cols w:space="720" w:num="1"/>
        </w:sectPr>
      </w:pPr>
      <w:r>
        <w:rPr>
          <w:rFonts w:ascii="黑体" w:hAnsi="黑体" w:eastAsia="黑体"/>
          <w:kern w:val="0"/>
          <w:sz w:val="18"/>
          <w:szCs w:val="18"/>
        </w:rPr>
        <w:drawing>
          <wp:inline distT="0" distB="0" distL="0" distR="0">
            <wp:extent cx="5276850" cy="1809750"/>
            <wp:effectExtent l="0" t="0" r="0" b="0"/>
            <wp:docPr id="15" name="图片 15" descr="D0FB0EE6-98A8-4F30-BF11-64753300E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0FB0EE6-98A8-4F30-BF11-64753300EE8C"/>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a:xfrm>
                      <a:off x="0" y="0"/>
                      <a:ext cx="5276850" cy="1809750"/>
                    </a:xfrm>
                    <a:prstGeom prst="rect">
                      <a:avLst/>
                    </a:prstGeom>
                    <a:noFill/>
                    <a:ln>
                      <a:noFill/>
                    </a:ln>
                  </pic:spPr>
                </pic:pic>
              </a:graphicData>
            </a:graphic>
          </wp:inline>
        </w:drawing>
      </w:r>
    </w:p>
    <w:p w14:paraId="6827193A">
      <w:pPr>
        <w:rPr>
          <w:rFonts w:ascii="黑体" w:hAnsi="黑体" w:eastAsia="黑体"/>
          <w:kern w:val="0"/>
          <w:sz w:val="18"/>
          <w:szCs w:val="18"/>
        </w:rPr>
      </w:pPr>
    </w:p>
    <w:p w14:paraId="52762DFE">
      <w:pPr>
        <w:rPr>
          <w:rFonts w:ascii="黑体" w:hAnsi="黑体" w:eastAsia="黑体"/>
          <w:kern w:val="0"/>
          <w:sz w:val="18"/>
          <w:szCs w:val="18"/>
        </w:rPr>
      </w:pPr>
    </w:p>
    <w:p w14:paraId="695D4458">
      <w:pPr>
        <w:rPr>
          <w:rFonts w:ascii="黑体" w:hAnsi="黑体" w:eastAsia="黑体"/>
          <w:kern w:val="0"/>
          <w:sz w:val="18"/>
          <w:szCs w:val="18"/>
        </w:rPr>
      </w:pPr>
    </w:p>
    <w:p w14:paraId="5B7F88A0">
      <w:pPr>
        <w:pStyle w:val="112"/>
        <w:numPr>
          <w:ilvl w:val="0"/>
          <w:numId w:val="0"/>
        </w:numPr>
        <w:ind w:left="992" w:leftChars="1" w:hanging="990" w:hangingChars="550"/>
      </w:pPr>
    </w:p>
    <w:p w14:paraId="39BFE096">
      <w:pPr>
        <w:pStyle w:val="112"/>
        <w:numPr>
          <w:ilvl w:val="0"/>
          <w:numId w:val="0"/>
        </w:numPr>
        <w:ind w:left="964"/>
      </w:pPr>
    </w:p>
    <w:p w14:paraId="6750859C">
      <w:pPr>
        <w:pStyle w:val="112"/>
        <w:numPr>
          <w:ilvl w:val="0"/>
          <w:numId w:val="0"/>
        </w:numPr>
        <w:ind w:left="964"/>
      </w:pPr>
    </w:p>
    <w:p w14:paraId="0904EBD6">
      <w:pPr>
        <w:pStyle w:val="112"/>
        <w:numPr>
          <w:ilvl w:val="0"/>
          <w:numId w:val="0"/>
        </w:numPr>
        <w:ind w:left="964"/>
      </w:pPr>
    </w:p>
    <w:p w14:paraId="5342436E">
      <w:pPr>
        <w:pStyle w:val="112"/>
        <w:numPr>
          <w:ilvl w:val="0"/>
          <w:numId w:val="0"/>
        </w:numPr>
        <w:ind w:left="964"/>
      </w:pPr>
    </w:p>
    <w:p w14:paraId="7FE7C743">
      <w:pPr>
        <w:pStyle w:val="112"/>
        <w:numPr>
          <w:ilvl w:val="0"/>
          <w:numId w:val="0"/>
        </w:numPr>
        <w:ind w:left="964"/>
      </w:pPr>
    </w:p>
    <w:p w14:paraId="01930ED1">
      <w:pPr>
        <w:pStyle w:val="112"/>
        <w:numPr>
          <w:ilvl w:val="0"/>
          <w:numId w:val="0"/>
        </w:numPr>
        <w:ind w:left="964"/>
      </w:pPr>
    </w:p>
    <w:p w14:paraId="24F93F22">
      <w:pPr>
        <w:pStyle w:val="112"/>
        <w:numPr>
          <w:ilvl w:val="0"/>
          <w:numId w:val="0"/>
        </w:numPr>
        <w:ind w:left="964"/>
      </w:pPr>
    </w:p>
    <w:p w14:paraId="7B1B568F">
      <w:pPr>
        <w:pStyle w:val="120"/>
        <w:spacing w:before="0" w:after="0"/>
        <w:ind w:left="0" w:firstLine="0"/>
        <w:jc w:val="center"/>
        <w:rPr>
          <w:lang w:val="zh-CN"/>
        </w:rPr>
      </w:pPr>
      <w:bookmarkStart w:id="97" w:name="_Toc136956870"/>
      <w:bookmarkEnd w:id="97"/>
      <w:bookmarkStart w:id="98" w:name="_Toc136956867"/>
      <w:bookmarkEnd w:id="98"/>
      <w:bookmarkStart w:id="99" w:name="_Toc136953425"/>
      <w:bookmarkEnd w:id="99"/>
      <w:bookmarkStart w:id="100" w:name="_Toc136953428"/>
      <w:bookmarkEnd w:id="100"/>
      <w:bookmarkStart w:id="101" w:name="_Toc136953427"/>
      <w:bookmarkEnd w:id="101"/>
      <w:bookmarkStart w:id="102" w:name="_Toc136956868"/>
      <w:bookmarkEnd w:id="102"/>
      <w:bookmarkStart w:id="103" w:name="_Toc136953426"/>
      <w:bookmarkEnd w:id="103"/>
      <w:bookmarkStart w:id="104" w:name="_Toc136956869"/>
      <w:bookmarkEnd w:id="104"/>
      <w:bookmarkStart w:id="105" w:name="_Toc136956871"/>
      <w:r>
        <w:rPr>
          <w:rFonts w:hint="eastAsia"/>
          <w:lang w:val="zh-CN"/>
        </w:rPr>
        <w:t>耐磨地面技术要求</w:t>
      </w:r>
      <w:bookmarkEnd w:id="105"/>
    </w:p>
    <w:p w14:paraId="4C33130C">
      <w:pPr>
        <w:pStyle w:val="119"/>
        <w:spacing w:before="0" w:after="0"/>
        <w:rPr>
          <w:b w:val="0"/>
        </w:rPr>
      </w:pPr>
      <w:bookmarkStart w:id="106" w:name="_Toc136956872"/>
      <w:r>
        <w:rPr>
          <w:rFonts w:hint="eastAsia"/>
        </w:rPr>
        <w:t>标准依据</w:t>
      </w:r>
      <w:bookmarkEnd w:id="106"/>
    </w:p>
    <w:p w14:paraId="670611C2">
      <w:pPr>
        <w:pStyle w:val="51"/>
        <w:numPr>
          <w:ilvl w:val="0"/>
          <w:numId w:val="79"/>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《建筑地面设计规范》（</w:t>
      </w:r>
      <w:r>
        <w:rPr>
          <w:rFonts w:ascii="黑体" w:hAnsi="黑体" w:eastAsia="黑体"/>
          <w:sz w:val="18"/>
          <w:szCs w:val="18"/>
        </w:rPr>
        <w:t>GB50037</w:t>
      </w:r>
      <w:r>
        <w:rPr>
          <w:rFonts w:hint="eastAsia" w:ascii="黑体" w:hAnsi="黑体" w:eastAsia="黑体"/>
          <w:sz w:val="18"/>
          <w:szCs w:val="18"/>
        </w:rPr>
        <w:t>）</w:t>
      </w:r>
    </w:p>
    <w:p w14:paraId="1033606F">
      <w:pPr>
        <w:pStyle w:val="51"/>
        <w:numPr>
          <w:ilvl w:val="0"/>
          <w:numId w:val="79"/>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《建筑地面工程施工质量验收规范》（</w:t>
      </w:r>
      <w:r>
        <w:rPr>
          <w:rFonts w:ascii="黑体" w:hAnsi="黑体" w:eastAsia="黑体"/>
          <w:sz w:val="18"/>
          <w:szCs w:val="18"/>
        </w:rPr>
        <w:t>GB-50209</w:t>
      </w:r>
      <w:r>
        <w:rPr>
          <w:rFonts w:hint="eastAsia" w:ascii="黑体" w:hAnsi="黑体" w:eastAsia="黑体"/>
          <w:sz w:val="18"/>
          <w:szCs w:val="18"/>
        </w:rPr>
        <w:t>）</w:t>
      </w:r>
    </w:p>
    <w:p w14:paraId="5C959533">
      <w:pPr>
        <w:pStyle w:val="51"/>
        <w:numPr>
          <w:ilvl w:val="0"/>
          <w:numId w:val="79"/>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《建筑工程施工质量验收统一标准》（</w:t>
      </w:r>
      <w:r>
        <w:rPr>
          <w:rFonts w:ascii="黑体" w:hAnsi="黑体" w:eastAsia="黑体"/>
          <w:sz w:val="18"/>
          <w:szCs w:val="18"/>
        </w:rPr>
        <w:t>GB 50300</w:t>
      </w:r>
      <w:r>
        <w:rPr>
          <w:rFonts w:hint="eastAsia" w:ascii="黑体" w:hAnsi="黑体" w:eastAsia="黑体"/>
          <w:sz w:val="18"/>
          <w:szCs w:val="18"/>
        </w:rPr>
        <w:t>）</w:t>
      </w:r>
    </w:p>
    <w:p w14:paraId="6EBCB448">
      <w:pPr>
        <w:pStyle w:val="119"/>
        <w:spacing w:before="120" w:after="0" w:line="415" w:lineRule="auto"/>
        <w:rPr>
          <w:b w:val="0"/>
        </w:rPr>
      </w:pPr>
      <w:bookmarkStart w:id="107" w:name="_Toc136956873"/>
      <w:r>
        <w:rPr>
          <w:rFonts w:hint="eastAsia"/>
        </w:rPr>
        <w:t>地坪材料要求</w:t>
      </w:r>
      <w:bookmarkEnd w:id="107"/>
    </w:p>
    <w:p w14:paraId="5BF495A1">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混凝土：</w:t>
      </w:r>
    </w:p>
    <w:p w14:paraId="08D1E4D2">
      <w:pPr>
        <w:pStyle w:val="51"/>
        <w:ind w:left="1140" w:firstLine="0" w:firstLineChars="0"/>
        <w:rPr>
          <w:rFonts w:ascii="黑体" w:hAnsi="黑体" w:eastAsia="黑体"/>
          <w:sz w:val="18"/>
          <w:szCs w:val="18"/>
        </w:rPr>
      </w:pPr>
      <w:r>
        <w:rPr>
          <w:rFonts w:hint="eastAsia" w:ascii="黑体" w:hAnsi="黑体" w:eastAsia="黑体"/>
          <w:sz w:val="18"/>
          <w:szCs w:val="18"/>
        </w:rPr>
        <w:t>施工单位进场后应根据设计情况提交专门的施工配合比，其中要求混凝土强度不低于</w:t>
      </w:r>
      <w:r>
        <w:rPr>
          <w:rFonts w:ascii="黑体" w:hAnsi="黑体" w:eastAsia="黑体"/>
          <w:sz w:val="18"/>
          <w:szCs w:val="18"/>
        </w:rPr>
        <w:t>C30</w:t>
      </w:r>
      <w:r>
        <w:rPr>
          <w:rFonts w:hint="eastAsia" w:ascii="黑体" w:hAnsi="黑体" w:eastAsia="黑体"/>
          <w:sz w:val="18"/>
          <w:szCs w:val="18"/>
        </w:rPr>
        <w:t>。严控粉煤灰的掺加量，避免地坪使用期间的起灰、起尘和强度、硬度不足的问题，控制要求：</w:t>
      </w:r>
    </w:p>
    <w:p w14:paraId="377E6AF9">
      <w:pPr>
        <w:pStyle w:val="51"/>
        <w:numPr>
          <w:ilvl w:val="0"/>
          <w:numId w:val="81"/>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仓库区、物流区耐磨硬化地坪混凝土基层不得掺加粉煤灰；</w:t>
      </w:r>
    </w:p>
    <w:p w14:paraId="79A32F58">
      <w:pPr>
        <w:pStyle w:val="51"/>
        <w:numPr>
          <w:ilvl w:val="0"/>
          <w:numId w:val="81"/>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生产区、车库区环氧地坪混凝土基层粉煤灰掺量应小于水泥用量的</w:t>
      </w:r>
      <w:r>
        <w:rPr>
          <w:rFonts w:ascii="黑体" w:hAnsi="黑体" w:eastAsia="黑体"/>
          <w:sz w:val="18"/>
          <w:szCs w:val="18"/>
        </w:rPr>
        <w:t>5%</w:t>
      </w:r>
      <w:r>
        <w:rPr>
          <w:rFonts w:hint="eastAsia" w:ascii="黑体" w:hAnsi="黑体" w:eastAsia="黑体"/>
          <w:sz w:val="18"/>
          <w:szCs w:val="18"/>
        </w:rPr>
        <w:t>。</w:t>
      </w:r>
    </w:p>
    <w:p w14:paraId="71FF2F63">
      <w:pPr>
        <w:pStyle w:val="51"/>
        <w:numPr>
          <w:ilvl w:val="0"/>
          <w:numId w:val="81"/>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施工单位施工过程中严控混凝土供料质量，不合格来料无条件退场，同时要求承包商优先选择管控能力较强，口碑较好的搅拌站，须经项目组考察评审通过方可使用。</w:t>
      </w:r>
    </w:p>
    <w:p w14:paraId="28CA17DA">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非金属耐磨粉料：</w:t>
      </w:r>
    </w:p>
    <w:p w14:paraId="77A0A299">
      <w:pPr>
        <w:pStyle w:val="51"/>
        <w:ind w:left="1140" w:firstLine="0" w:firstLineChars="0"/>
        <w:rPr>
          <w:rFonts w:ascii="黑体" w:hAnsi="黑体" w:eastAsia="黑体"/>
          <w:sz w:val="18"/>
          <w:szCs w:val="18"/>
        </w:rPr>
      </w:pPr>
      <w:r>
        <w:rPr>
          <w:rFonts w:hint="eastAsia" w:ascii="黑体" w:hAnsi="黑体" w:eastAsia="黑体"/>
          <w:sz w:val="18"/>
          <w:szCs w:val="18"/>
        </w:rPr>
        <w:t>面撒非金属耐磨粉料，用量不少于</w:t>
      </w:r>
      <w:r>
        <w:rPr>
          <w:rFonts w:ascii="黑体" w:hAnsi="黑体" w:eastAsia="黑体"/>
          <w:sz w:val="18"/>
          <w:szCs w:val="18"/>
        </w:rPr>
        <w:t>5 kg/m</w:t>
      </w:r>
      <w:r>
        <w:rPr>
          <w:rFonts w:ascii="黑体" w:hAnsi="黑体" w:eastAsia="黑体"/>
          <w:sz w:val="18"/>
          <w:szCs w:val="18"/>
          <w:vertAlign w:val="superscript"/>
        </w:rPr>
        <w:t>2</w:t>
      </w:r>
      <w:r>
        <w:rPr>
          <w:rFonts w:hint="eastAsia" w:ascii="黑体" w:hAnsi="黑体" w:eastAsia="黑体"/>
          <w:sz w:val="18"/>
          <w:szCs w:val="18"/>
        </w:rPr>
        <w:t>，品牌标准高于国产优质，须经项目组考察评审通过方可使用。</w:t>
      </w:r>
    </w:p>
    <w:p w14:paraId="717A989A">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固化剂：</w:t>
      </w:r>
    </w:p>
    <w:p w14:paraId="07E58D2F">
      <w:pPr>
        <w:pStyle w:val="51"/>
        <w:ind w:left="1140" w:firstLine="0" w:firstLineChars="0"/>
        <w:rPr>
          <w:rFonts w:ascii="黑体" w:hAnsi="黑体" w:eastAsia="黑体"/>
          <w:sz w:val="18"/>
          <w:szCs w:val="18"/>
        </w:rPr>
      </w:pPr>
      <w:r>
        <w:rPr>
          <w:rFonts w:hint="eastAsia" w:ascii="黑体" w:hAnsi="黑体" w:eastAsia="黑体"/>
          <w:sz w:val="18"/>
          <w:szCs w:val="18"/>
        </w:rPr>
        <w:t>固化剂喷涂量</w:t>
      </w:r>
      <w:r>
        <w:rPr>
          <w:rFonts w:ascii="黑体" w:hAnsi="黑体" w:eastAsia="黑体"/>
          <w:sz w:val="18"/>
          <w:szCs w:val="18"/>
        </w:rPr>
        <w:t>0.2-0.3kg/m</w:t>
      </w:r>
      <w:r>
        <w:rPr>
          <w:rFonts w:ascii="黑体" w:hAnsi="黑体" w:eastAsia="黑体"/>
          <w:sz w:val="18"/>
          <w:szCs w:val="18"/>
          <w:vertAlign w:val="superscript"/>
        </w:rPr>
        <w:t>2</w:t>
      </w:r>
      <w:r>
        <w:rPr>
          <w:rFonts w:hint="eastAsia" w:ascii="黑体" w:hAnsi="黑体" w:eastAsia="黑体"/>
          <w:sz w:val="18"/>
          <w:szCs w:val="18"/>
        </w:rPr>
        <w:t>，采用锂基固化剂，品牌标准高于国产优质，须经项目组考察评审通过方可使用。</w:t>
      </w:r>
    </w:p>
    <w:p w14:paraId="06522464">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钢筋：</w:t>
      </w:r>
    </w:p>
    <w:p w14:paraId="41546F83">
      <w:pPr>
        <w:pStyle w:val="51"/>
        <w:ind w:left="1140" w:firstLine="0" w:firstLineChars="0"/>
        <w:rPr>
          <w:rFonts w:ascii="黑体" w:hAnsi="黑体" w:eastAsia="黑体"/>
          <w:sz w:val="18"/>
          <w:szCs w:val="18"/>
        </w:rPr>
      </w:pPr>
      <w:r>
        <w:rPr>
          <w:rFonts w:hint="eastAsia" w:ascii="黑体" w:hAnsi="黑体" w:eastAsia="黑体"/>
          <w:sz w:val="18"/>
          <w:szCs w:val="18"/>
        </w:rPr>
        <w:t>混凝土垫层内配钢筋</w:t>
      </w:r>
      <w:r>
        <w:rPr>
          <w:rFonts w:ascii="黑体" w:hAnsi="黑体" w:eastAsia="黑体"/>
          <w:sz w:val="18"/>
          <w:szCs w:val="18"/>
        </w:rPr>
        <w:t>6@150</w:t>
      </w:r>
      <w:r>
        <w:rPr>
          <w:rFonts w:hint="eastAsia" w:ascii="黑体" w:hAnsi="黑体" w:eastAsia="黑体"/>
          <w:sz w:val="18"/>
          <w:szCs w:val="18"/>
        </w:rPr>
        <w:t>（双向），置于该层上半部，保护层厚度≥</w:t>
      </w:r>
      <w:r>
        <w:rPr>
          <w:rFonts w:ascii="黑体" w:hAnsi="黑体" w:eastAsia="黑体"/>
          <w:sz w:val="18"/>
          <w:szCs w:val="18"/>
        </w:rPr>
        <w:t>15mm</w:t>
      </w:r>
      <w:r>
        <w:rPr>
          <w:rFonts w:hint="eastAsia" w:ascii="黑体" w:hAnsi="黑体" w:eastAsia="黑体"/>
          <w:sz w:val="18"/>
          <w:szCs w:val="18"/>
        </w:rPr>
        <w:t>，钢筋网片搭接宽度不小于</w:t>
      </w:r>
      <w:r>
        <w:rPr>
          <w:rFonts w:ascii="黑体" w:hAnsi="黑体" w:eastAsia="黑体"/>
          <w:sz w:val="18"/>
          <w:szCs w:val="18"/>
        </w:rPr>
        <w:t>150mm</w:t>
      </w:r>
      <w:r>
        <w:rPr>
          <w:rFonts w:hint="eastAsia" w:ascii="黑体" w:hAnsi="黑体" w:eastAsia="黑体"/>
          <w:sz w:val="18"/>
          <w:szCs w:val="18"/>
        </w:rPr>
        <w:t>（</w:t>
      </w:r>
      <w:r>
        <w:rPr>
          <w:rFonts w:ascii="黑体" w:hAnsi="黑体" w:eastAsia="黑体"/>
          <w:sz w:val="18"/>
          <w:szCs w:val="18"/>
        </w:rPr>
        <w:t>1</w:t>
      </w:r>
      <w:r>
        <w:rPr>
          <w:rFonts w:hint="eastAsia" w:ascii="黑体" w:hAnsi="黑体" w:eastAsia="黑体"/>
          <w:sz w:val="18"/>
          <w:szCs w:val="18"/>
        </w:rPr>
        <w:t>个网格）。</w:t>
      </w:r>
      <w:r>
        <w:rPr>
          <w:rFonts w:ascii="黑体" w:hAnsi="黑体" w:eastAsia="黑体"/>
          <w:sz w:val="18"/>
          <w:szCs w:val="18"/>
        </w:rPr>
        <w:t xml:space="preserve"> </w:t>
      </w:r>
    </w:p>
    <w:p w14:paraId="190440B1">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钢纤维</w:t>
      </w:r>
    </w:p>
    <w:p w14:paraId="6D38670F">
      <w:pPr>
        <w:pStyle w:val="51"/>
        <w:ind w:left="1140" w:firstLine="0" w:firstLineChars="0"/>
        <w:rPr>
          <w:rFonts w:ascii="黑体" w:hAnsi="黑体" w:eastAsia="黑体"/>
          <w:sz w:val="18"/>
          <w:szCs w:val="18"/>
        </w:rPr>
      </w:pPr>
      <w:r>
        <w:rPr>
          <w:rFonts w:hint="eastAsia" w:ascii="黑体" w:hAnsi="黑体" w:eastAsia="黑体"/>
          <w:sz w:val="18"/>
          <w:szCs w:val="18"/>
        </w:rPr>
        <w:t>地坪标准现有节点做法：</w:t>
      </w:r>
    </w:p>
    <w:p w14:paraId="33376682">
      <w:pPr>
        <w:pStyle w:val="51"/>
        <w:ind w:left="1140" w:firstLine="0" w:firstLineChars="0"/>
        <w:rPr>
          <w:rFonts w:ascii="黑体" w:hAnsi="黑体" w:eastAsia="黑体"/>
          <w:sz w:val="18"/>
          <w:szCs w:val="18"/>
          <w:highlight w:val="yellow"/>
        </w:rPr>
      </w:pPr>
    </w:p>
    <w:p w14:paraId="7720F5B8">
      <w:pPr>
        <w:pStyle w:val="51"/>
        <w:ind w:left="1140" w:firstLine="0" w:firstLineChars="0"/>
        <w:rPr>
          <w:rFonts w:ascii="黑体" w:hAnsi="黑体" w:eastAsia="黑体"/>
          <w:sz w:val="18"/>
          <w:szCs w:val="18"/>
          <w:highlight w:val="yellow"/>
        </w:rPr>
      </w:pPr>
      <w:r>
        <w:rPr>
          <w:rFonts w:ascii="黑体" w:hAnsi="黑体" w:eastAsia="黑体"/>
          <w:sz w:val="18"/>
          <w:szCs w:val="18"/>
        </w:rPr>
        <w:drawing>
          <wp:inline distT="0" distB="0" distL="0" distR="0">
            <wp:extent cx="4196080" cy="7842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249709" cy="794582"/>
                    </a:xfrm>
                    <a:prstGeom prst="rect">
                      <a:avLst/>
                    </a:prstGeom>
                  </pic:spPr>
                </pic:pic>
              </a:graphicData>
            </a:graphic>
          </wp:inline>
        </w:drawing>
      </w:r>
    </w:p>
    <w:p w14:paraId="509E8A2E">
      <w:pPr>
        <w:pStyle w:val="51"/>
        <w:ind w:left="1140" w:firstLine="0" w:firstLineChars="0"/>
        <w:rPr>
          <w:rFonts w:ascii="黑体" w:hAnsi="黑体" w:eastAsia="黑体"/>
          <w:sz w:val="18"/>
          <w:szCs w:val="18"/>
        </w:rPr>
      </w:pPr>
      <w:r>
        <w:rPr>
          <w:rFonts w:hint="eastAsia" w:ascii="黑体" w:hAnsi="黑体" w:eastAsia="黑体"/>
          <w:sz w:val="18"/>
          <w:szCs w:val="18"/>
        </w:rPr>
        <w:t>针对耐磨硬化地坪部分，在原有混凝土地坪中添加钢纤维，抗裂效果更佳，地面做法增加节点如下：</w:t>
      </w:r>
    </w:p>
    <w:p w14:paraId="409481AE">
      <w:pPr>
        <w:pStyle w:val="51"/>
        <w:ind w:left="1140" w:firstLine="0" w:firstLineChars="0"/>
        <w:rPr>
          <w:rFonts w:ascii="黑体" w:hAnsi="黑体" w:eastAsia="黑体"/>
          <w:sz w:val="18"/>
          <w:szCs w:val="18"/>
        </w:rPr>
      </w:pPr>
      <w:r>
        <w:rPr>
          <w:rFonts w:ascii="黑体" w:hAnsi="黑体" w:eastAsia="黑体"/>
          <w:sz w:val="18"/>
          <w:szCs w:val="18"/>
        </w:rPr>
        <w:drawing>
          <wp:anchor distT="0" distB="0" distL="114300" distR="114300" simplePos="0" relativeHeight="251662336" behindDoc="0" locked="0" layoutInCell="1" allowOverlap="1">
            <wp:simplePos x="0" y="0"/>
            <wp:positionH relativeFrom="margin">
              <wp:posOffset>3197860</wp:posOffset>
            </wp:positionH>
            <wp:positionV relativeFrom="paragraph">
              <wp:posOffset>67945</wp:posOffset>
            </wp:positionV>
            <wp:extent cx="2238375" cy="1541145"/>
            <wp:effectExtent l="0" t="0" r="0" b="254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8368" cy="1540933"/>
                    </a:xfrm>
                    <a:prstGeom prst="rect">
                      <a:avLst/>
                    </a:prstGeom>
                  </pic:spPr>
                </pic:pic>
              </a:graphicData>
            </a:graphic>
          </wp:anchor>
        </w:drawing>
      </w:r>
      <w:r>
        <w:rPr>
          <w:rFonts w:ascii="黑体" w:hAnsi="黑体" w:eastAsia="黑体"/>
          <w:sz w:val="18"/>
          <w:szCs w:val="18"/>
        </w:rPr>
        <w:drawing>
          <wp:anchor distT="0" distB="0" distL="114300" distR="114300" simplePos="0" relativeHeight="251661312" behindDoc="0" locked="0" layoutInCell="1" allowOverlap="1">
            <wp:simplePos x="0" y="0"/>
            <wp:positionH relativeFrom="column">
              <wp:posOffset>702945</wp:posOffset>
            </wp:positionH>
            <wp:positionV relativeFrom="paragraph">
              <wp:posOffset>83820</wp:posOffset>
            </wp:positionV>
            <wp:extent cx="2373630" cy="1532255"/>
            <wp:effectExtent l="0" t="0" r="825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3422" cy="1532466"/>
                    </a:xfrm>
                    <a:prstGeom prst="rect">
                      <a:avLst/>
                    </a:prstGeom>
                  </pic:spPr>
                </pic:pic>
              </a:graphicData>
            </a:graphic>
          </wp:anchor>
        </w:drawing>
      </w:r>
    </w:p>
    <w:p w14:paraId="48BE6B4A">
      <w:pPr>
        <w:pStyle w:val="51"/>
        <w:ind w:left="1140" w:firstLine="0" w:firstLineChars="0"/>
        <w:rPr>
          <w:rFonts w:ascii="黑体" w:hAnsi="黑体" w:eastAsia="黑体"/>
          <w:sz w:val="18"/>
          <w:szCs w:val="18"/>
        </w:rPr>
      </w:pPr>
    </w:p>
    <w:p w14:paraId="70D22896">
      <w:pPr>
        <w:pStyle w:val="51"/>
        <w:ind w:left="1140" w:firstLine="0" w:firstLineChars="0"/>
        <w:rPr>
          <w:rFonts w:ascii="黑体" w:hAnsi="黑体" w:eastAsia="黑体"/>
          <w:sz w:val="18"/>
          <w:szCs w:val="18"/>
        </w:rPr>
      </w:pPr>
    </w:p>
    <w:p w14:paraId="20B33635">
      <w:pPr>
        <w:pStyle w:val="51"/>
        <w:ind w:left="1140" w:firstLine="0" w:firstLineChars="0"/>
        <w:rPr>
          <w:rFonts w:ascii="黑体" w:hAnsi="黑体" w:eastAsia="黑体"/>
          <w:sz w:val="18"/>
          <w:szCs w:val="18"/>
        </w:rPr>
      </w:pPr>
    </w:p>
    <w:p w14:paraId="1D166813">
      <w:pPr>
        <w:pStyle w:val="51"/>
        <w:ind w:left="1140" w:firstLine="0" w:firstLineChars="0"/>
        <w:rPr>
          <w:rFonts w:ascii="黑体" w:hAnsi="黑体" w:eastAsia="黑体"/>
          <w:sz w:val="18"/>
          <w:szCs w:val="18"/>
        </w:rPr>
      </w:pPr>
    </w:p>
    <w:p w14:paraId="43BAC0BA">
      <w:pPr>
        <w:pStyle w:val="51"/>
        <w:ind w:left="1140" w:firstLine="0" w:firstLineChars="0"/>
        <w:rPr>
          <w:rFonts w:ascii="黑体" w:hAnsi="黑体" w:eastAsia="黑体"/>
          <w:sz w:val="18"/>
          <w:szCs w:val="18"/>
        </w:rPr>
      </w:pPr>
    </w:p>
    <w:p w14:paraId="721FAEC8">
      <w:pPr>
        <w:pStyle w:val="51"/>
        <w:ind w:left="1140" w:firstLine="0" w:firstLineChars="0"/>
        <w:rPr>
          <w:rFonts w:ascii="黑体" w:hAnsi="黑体" w:eastAsia="黑体"/>
          <w:sz w:val="18"/>
          <w:szCs w:val="18"/>
        </w:rPr>
      </w:pPr>
    </w:p>
    <w:p w14:paraId="0291CA68">
      <w:pPr>
        <w:pStyle w:val="51"/>
        <w:ind w:left="1140" w:firstLine="0" w:firstLineChars="0"/>
        <w:rPr>
          <w:rFonts w:ascii="黑体" w:hAnsi="黑体" w:eastAsia="黑体"/>
          <w:sz w:val="18"/>
          <w:szCs w:val="18"/>
        </w:rPr>
      </w:pPr>
    </w:p>
    <w:p w14:paraId="74F3094A">
      <w:pPr>
        <w:pStyle w:val="51"/>
        <w:ind w:left="1140" w:firstLine="0" w:firstLineChars="0"/>
        <w:rPr>
          <w:rFonts w:ascii="黑体" w:hAnsi="黑体" w:eastAsia="黑体"/>
          <w:sz w:val="18"/>
          <w:szCs w:val="18"/>
        </w:rPr>
      </w:pPr>
    </w:p>
    <w:p w14:paraId="51CBEE79">
      <w:pPr>
        <w:pStyle w:val="51"/>
        <w:ind w:left="1140" w:firstLine="0" w:firstLineChars="0"/>
        <w:rPr>
          <w:rFonts w:ascii="黑体" w:hAnsi="黑体" w:eastAsia="黑体"/>
          <w:sz w:val="18"/>
          <w:szCs w:val="18"/>
        </w:rPr>
      </w:pPr>
    </w:p>
    <w:p w14:paraId="4875A49A">
      <w:pPr>
        <w:pStyle w:val="51"/>
        <w:ind w:left="1140" w:firstLine="0" w:firstLineChars="0"/>
        <w:rPr>
          <w:rFonts w:ascii="黑体" w:hAnsi="黑体" w:eastAsia="黑体"/>
          <w:sz w:val="18"/>
          <w:szCs w:val="18"/>
        </w:rPr>
      </w:pPr>
    </w:p>
    <w:p w14:paraId="79F039B1">
      <w:pPr>
        <w:pStyle w:val="51"/>
        <w:ind w:left="1140" w:firstLine="0" w:firstLineChars="0"/>
        <w:rPr>
          <w:rFonts w:ascii="黑体" w:hAnsi="黑体" w:eastAsia="黑体"/>
          <w:sz w:val="18"/>
          <w:szCs w:val="18"/>
        </w:rPr>
      </w:pPr>
    </w:p>
    <w:p w14:paraId="6173B788">
      <w:pPr>
        <w:pStyle w:val="51"/>
        <w:ind w:left="1140" w:firstLine="0" w:firstLineChars="0"/>
        <w:rPr>
          <w:rFonts w:ascii="黑体" w:hAnsi="黑体" w:eastAsia="黑体"/>
          <w:sz w:val="18"/>
          <w:szCs w:val="18"/>
        </w:rPr>
      </w:pPr>
      <w:r>
        <w:rPr>
          <w:rFonts w:hint="eastAsia" w:ascii="黑体" w:hAnsi="黑体" w:eastAsia="黑体"/>
          <w:sz w:val="18"/>
          <w:szCs w:val="18"/>
        </w:rPr>
        <w:t>钢纤维技术要求</w:t>
      </w:r>
    </w:p>
    <w:p w14:paraId="07F22CE4">
      <w:pPr>
        <w:pStyle w:val="51"/>
        <w:ind w:left="1140" w:firstLine="0" w:firstLineChars="0"/>
        <w:rPr>
          <w:rFonts w:ascii="黑体" w:hAnsi="黑体" w:eastAsia="黑体"/>
          <w:sz w:val="18"/>
          <w:szCs w:val="18"/>
        </w:rPr>
      </w:pPr>
      <w:r>
        <w:rPr>
          <w:rFonts w:hint="eastAsia" w:ascii="黑体" w:hAnsi="黑体" w:eastAsia="黑体"/>
          <w:sz w:val="18"/>
          <w:szCs w:val="18"/>
        </w:rPr>
        <w:t>长度</w:t>
      </w:r>
      <w:r>
        <w:rPr>
          <w:rFonts w:ascii="黑体" w:hAnsi="黑体" w:eastAsia="黑体"/>
          <w:sz w:val="18"/>
          <w:szCs w:val="18"/>
        </w:rPr>
        <w:t xml:space="preserve"> 60mm</w:t>
      </w:r>
      <w:r>
        <w:rPr>
          <w:rFonts w:hint="eastAsia" w:ascii="黑体" w:hAnsi="黑体" w:eastAsia="黑体"/>
          <w:sz w:val="18"/>
          <w:szCs w:val="18"/>
        </w:rPr>
        <w:t>，直径：</w:t>
      </w:r>
      <w:r>
        <w:rPr>
          <w:rFonts w:ascii="黑体" w:hAnsi="黑体" w:eastAsia="黑体"/>
          <w:sz w:val="18"/>
          <w:szCs w:val="18"/>
        </w:rPr>
        <w:t xml:space="preserve">0.75mm, </w:t>
      </w:r>
      <w:r>
        <w:rPr>
          <w:rFonts w:hint="eastAsia" w:ascii="黑体" w:hAnsi="黑体" w:eastAsia="黑体"/>
          <w:sz w:val="18"/>
          <w:szCs w:val="18"/>
        </w:rPr>
        <w:t>长径比：</w:t>
      </w:r>
      <w:r>
        <w:rPr>
          <w:rFonts w:ascii="黑体" w:hAnsi="黑体" w:eastAsia="黑体"/>
          <w:sz w:val="18"/>
          <w:szCs w:val="18"/>
        </w:rPr>
        <w:t>80</w:t>
      </w:r>
      <w:r>
        <w:rPr>
          <w:rFonts w:hint="eastAsia" w:ascii="黑体" w:hAnsi="黑体" w:eastAsia="黑体"/>
          <w:sz w:val="18"/>
          <w:szCs w:val="18"/>
        </w:rPr>
        <w:t>，两端弯钩。钢纤维抗拉强度不小于</w:t>
      </w:r>
      <w:r>
        <w:rPr>
          <w:rFonts w:ascii="黑体" w:hAnsi="黑体" w:eastAsia="黑体"/>
          <w:sz w:val="18"/>
          <w:szCs w:val="18"/>
        </w:rPr>
        <w:t xml:space="preserve"> 1000Mpa</w:t>
      </w:r>
      <w:r>
        <w:rPr>
          <w:rFonts w:hint="eastAsia" w:ascii="黑体" w:hAnsi="黑体" w:eastAsia="黑体"/>
          <w:sz w:val="18"/>
          <w:szCs w:val="18"/>
        </w:rPr>
        <w:t>，掺量为</w:t>
      </w:r>
      <w:r>
        <w:rPr>
          <w:rFonts w:ascii="黑体" w:hAnsi="黑体" w:eastAsia="黑体"/>
          <w:sz w:val="18"/>
          <w:szCs w:val="18"/>
        </w:rPr>
        <w:t xml:space="preserve"> 20kg/m3</w:t>
      </w:r>
      <w:r>
        <w:rPr>
          <w:rFonts w:hint="eastAsia" w:ascii="黑体" w:hAnsi="黑体" w:eastAsia="黑体"/>
          <w:sz w:val="18"/>
          <w:szCs w:val="18"/>
        </w:rPr>
        <w:t>。如下图片供参考：</w:t>
      </w:r>
    </w:p>
    <w:p w14:paraId="49C9EB92">
      <w:pPr>
        <w:rPr>
          <w:rFonts w:ascii="黑体" w:hAnsi="黑体" w:eastAsia="黑体"/>
          <w:sz w:val="18"/>
          <w:szCs w:val="18"/>
          <w:highlight w:val="yellow"/>
        </w:rPr>
      </w:pPr>
      <w:r>
        <w:rPr>
          <w:rFonts w:ascii="黑体" w:hAnsi="黑体" w:eastAsia="黑体"/>
          <w:sz w:val="18"/>
          <w:szCs w:val="18"/>
        </w:rPr>
        <w:drawing>
          <wp:anchor distT="0" distB="0" distL="114300" distR="114300" simplePos="0" relativeHeight="251660288" behindDoc="0" locked="0" layoutInCell="1" allowOverlap="1">
            <wp:simplePos x="0" y="0"/>
            <wp:positionH relativeFrom="column">
              <wp:posOffset>3122295</wp:posOffset>
            </wp:positionH>
            <wp:positionV relativeFrom="paragraph">
              <wp:posOffset>142240</wp:posOffset>
            </wp:positionV>
            <wp:extent cx="1939290" cy="1432560"/>
            <wp:effectExtent l="0" t="0" r="444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39198" cy="1432560"/>
                    </a:xfrm>
                    <a:prstGeom prst="rect">
                      <a:avLst/>
                    </a:prstGeom>
                  </pic:spPr>
                </pic:pic>
              </a:graphicData>
            </a:graphic>
          </wp:anchor>
        </w:drawing>
      </w:r>
      <w:r>
        <w:rPr>
          <w:rFonts w:ascii="黑体" w:hAnsi="黑体" w:eastAsia="黑体"/>
          <w:sz w:val="18"/>
          <w:szCs w:val="18"/>
          <w:highlight w:val="yellow"/>
        </w:rPr>
        <w:drawing>
          <wp:anchor distT="0" distB="0" distL="114300" distR="114300" simplePos="0" relativeHeight="251659264" behindDoc="0" locked="0" layoutInCell="1" allowOverlap="1">
            <wp:simplePos x="0" y="0"/>
            <wp:positionH relativeFrom="margin">
              <wp:posOffset>674370</wp:posOffset>
            </wp:positionH>
            <wp:positionV relativeFrom="paragraph">
              <wp:posOffset>132715</wp:posOffset>
            </wp:positionV>
            <wp:extent cx="1917065" cy="1518920"/>
            <wp:effectExtent l="0" t="0" r="698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17151" cy="1518920"/>
                    </a:xfrm>
                    <a:prstGeom prst="rect">
                      <a:avLst/>
                    </a:prstGeom>
                  </pic:spPr>
                </pic:pic>
              </a:graphicData>
            </a:graphic>
          </wp:anchor>
        </w:drawing>
      </w:r>
    </w:p>
    <w:p w14:paraId="57C2013A">
      <w:pPr>
        <w:rPr>
          <w:rFonts w:ascii="黑体" w:hAnsi="黑体" w:eastAsia="黑体"/>
          <w:sz w:val="18"/>
          <w:szCs w:val="18"/>
          <w:highlight w:val="yellow"/>
        </w:rPr>
      </w:pPr>
    </w:p>
    <w:p w14:paraId="5A6C6A8D">
      <w:pPr>
        <w:rPr>
          <w:rFonts w:ascii="黑体" w:hAnsi="黑体" w:eastAsia="黑体"/>
          <w:sz w:val="18"/>
          <w:szCs w:val="18"/>
          <w:highlight w:val="yellow"/>
        </w:rPr>
      </w:pPr>
    </w:p>
    <w:p w14:paraId="0AFD4120">
      <w:pPr>
        <w:rPr>
          <w:rFonts w:ascii="黑体" w:hAnsi="黑体" w:eastAsia="黑体"/>
          <w:sz w:val="18"/>
          <w:szCs w:val="18"/>
          <w:highlight w:val="yellow"/>
        </w:rPr>
      </w:pPr>
    </w:p>
    <w:p w14:paraId="2EC45F5B">
      <w:pPr>
        <w:ind w:firstLine="540" w:firstLineChars="300"/>
        <w:rPr>
          <w:rFonts w:ascii="黑体" w:hAnsi="黑体" w:eastAsia="黑体"/>
          <w:sz w:val="18"/>
          <w:szCs w:val="18"/>
        </w:rPr>
      </w:pPr>
      <w:r>
        <w:rPr>
          <w:rFonts w:hint="eastAsia" w:ascii="黑体" w:hAnsi="黑体" w:eastAsia="黑体"/>
          <w:sz w:val="18"/>
          <w:szCs w:val="18"/>
        </w:rPr>
        <w:t>钢纤维添加</w:t>
      </w:r>
    </w:p>
    <w:p w14:paraId="6541185B">
      <w:pPr>
        <w:ind w:firstLine="540" w:firstLineChars="300"/>
        <w:rPr>
          <w:rFonts w:ascii="黑体" w:hAnsi="黑体" w:eastAsia="黑体"/>
          <w:sz w:val="18"/>
          <w:szCs w:val="18"/>
        </w:rPr>
      </w:pPr>
      <w:r>
        <w:rPr>
          <w:rFonts w:hint="eastAsia" w:ascii="黑体" w:hAnsi="黑体" w:eastAsia="黑体"/>
          <w:sz w:val="18"/>
          <w:szCs w:val="18"/>
        </w:rPr>
        <w:t>钢纤维投料时要均匀地投放在砂或石子上，混合进入搅拌机搅拌，搅</w:t>
      </w:r>
    </w:p>
    <w:p w14:paraId="09F4BFA0">
      <w:pPr>
        <w:ind w:firstLine="540" w:firstLineChars="300"/>
        <w:rPr>
          <w:rFonts w:ascii="黑体" w:hAnsi="黑体" w:eastAsia="黑体"/>
          <w:sz w:val="18"/>
          <w:szCs w:val="18"/>
        </w:rPr>
      </w:pPr>
      <w:r>
        <w:rPr>
          <w:rFonts w:hint="eastAsia" w:ascii="黑体" w:hAnsi="黑体" w:eastAsia="黑体"/>
          <w:sz w:val="18"/>
          <w:szCs w:val="18"/>
        </w:rPr>
        <w:t>拌时间</w:t>
      </w:r>
      <w:r>
        <w:rPr>
          <w:rFonts w:ascii="黑体" w:hAnsi="黑体" w:eastAsia="黑体"/>
          <w:sz w:val="18"/>
          <w:szCs w:val="18"/>
        </w:rPr>
        <w:t>35s</w:t>
      </w:r>
      <w:r>
        <w:rPr>
          <w:rFonts w:hint="eastAsia" w:ascii="黑体" w:hAnsi="黑体" w:eastAsia="黑体"/>
          <w:sz w:val="18"/>
          <w:szCs w:val="18"/>
        </w:rPr>
        <w:t>左右。钢纤维掺量、配合比、投料时间需严控。</w:t>
      </w:r>
    </w:p>
    <w:p w14:paraId="2EBD8EF8">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填缝剂：</w:t>
      </w:r>
    </w:p>
    <w:p w14:paraId="500198BC">
      <w:pPr>
        <w:pStyle w:val="51"/>
        <w:ind w:left="1140" w:firstLine="0" w:firstLineChars="0"/>
        <w:rPr>
          <w:rFonts w:ascii="黑体" w:hAnsi="黑体" w:eastAsia="黑体"/>
          <w:sz w:val="18"/>
          <w:szCs w:val="18"/>
        </w:rPr>
      </w:pPr>
      <w:r>
        <w:rPr>
          <w:rFonts w:hint="eastAsia" w:ascii="黑体" w:hAnsi="黑体" w:eastAsia="黑体"/>
          <w:sz w:val="18"/>
          <w:szCs w:val="18"/>
        </w:rPr>
        <w:t>填缝材料优先选用固化剂，品牌标准高于国产优质，须经项目组考察评审通过方可使用。待地坪混凝土收缩稳定，清理切割缝垃圾后填缝，填缝要保证美观耐久。</w:t>
      </w:r>
    </w:p>
    <w:p w14:paraId="19901543">
      <w:pPr>
        <w:pStyle w:val="51"/>
        <w:ind w:left="1140" w:firstLine="0" w:firstLineChars="0"/>
        <w:rPr>
          <w:rFonts w:ascii="黑体" w:hAnsi="黑体" w:eastAsia="黑体"/>
          <w:b/>
          <w:sz w:val="18"/>
          <w:szCs w:val="18"/>
        </w:rPr>
      </w:pPr>
    </w:p>
    <w:p w14:paraId="5B45CDE1">
      <w:pPr>
        <w:pStyle w:val="51"/>
        <w:ind w:left="1140" w:firstLine="0" w:firstLineChars="0"/>
        <w:rPr>
          <w:rFonts w:ascii="黑体" w:hAnsi="黑体" w:eastAsia="黑体"/>
          <w:b/>
          <w:sz w:val="18"/>
          <w:szCs w:val="18"/>
        </w:rPr>
      </w:pPr>
      <w:r>
        <w:rPr>
          <w:rFonts w:hint="eastAsia" w:ascii="黑体" w:hAnsi="黑体" w:eastAsia="黑体"/>
          <w:b/>
          <w:sz w:val="18"/>
          <w:szCs w:val="18"/>
        </w:rPr>
        <w:t>其他：</w:t>
      </w:r>
    </w:p>
    <w:p w14:paraId="7761140D">
      <w:pPr>
        <w:pStyle w:val="51"/>
        <w:ind w:left="1140" w:firstLine="0" w:firstLineChars="0"/>
        <w:rPr>
          <w:rFonts w:ascii="黑体" w:hAnsi="黑体" w:eastAsia="黑体"/>
          <w:sz w:val="18"/>
          <w:szCs w:val="18"/>
        </w:rPr>
      </w:pPr>
      <w:r>
        <w:rPr>
          <w:rFonts w:hint="eastAsia" w:ascii="黑体" w:hAnsi="黑体" w:eastAsia="黑体"/>
          <w:sz w:val="18"/>
          <w:szCs w:val="18"/>
        </w:rPr>
        <w:t>疏水板、水沟盖板、角钢等满足图纸和招标要求，统一各类盖板的材质设置标准（含对应角钢）：</w:t>
      </w:r>
    </w:p>
    <w:p w14:paraId="562647F3">
      <w:pPr>
        <w:widowControl/>
        <w:numPr>
          <w:ilvl w:val="1"/>
          <w:numId w:val="82"/>
        </w:numPr>
        <w:spacing w:line="360" w:lineRule="auto"/>
        <w:ind w:left="2462" w:hanging="1328"/>
        <w:jc w:val="left"/>
        <w:rPr>
          <w:rFonts w:ascii="黑体" w:hAnsi="黑体" w:eastAsia="黑体"/>
          <w:sz w:val="18"/>
          <w:szCs w:val="18"/>
        </w:rPr>
      </w:pPr>
      <w:r>
        <w:rPr>
          <w:rFonts w:hint="eastAsia" w:ascii="黑体" w:hAnsi="黑体" w:eastAsia="黑体"/>
          <w:sz w:val="18"/>
          <w:szCs w:val="18"/>
        </w:rPr>
        <w:t>车库出入口排水沟：不锈钢格栅盖板</w:t>
      </w:r>
    </w:p>
    <w:p w14:paraId="0BCAE03B">
      <w:pPr>
        <w:widowControl/>
        <w:numPr>
          <w:ilvl w:val="1"/>
          <w:numId w:val="82"/>
        </w:numPr>
        <w:spacing w:line="360" w:lineRule="auto"/>
        <w:ind w:left="2462" w:hanging="1328"/>
        <w:jc w:val="left"/>
        <w:rPr>
          <w:rFonts w:ascii="黑体" w:hAnsi="黑体" w:eastAsia="黑体"/>
          <w:sz w:val="18"/>
          <w:szCs w:val="18"/>
        </w:rPr>
      </w:pPr>
      <w:r>
        <w:rPr>
          <w:rFonts w:hint="eastAsia" w:ascii="黑体" w:hAnsi="黑体" w:eastAsia="黑体"/>
          <w:sz w:val="18"/>
          <w:szCs w:val="18"/>
        </w:rPr>
        <w:t>车库内普通排水沟：铸铁盖板；</w:t>
      </w:r>
    </w:p>
    <w:p w14:paraId="591C7696">
      <w:pPr>
        <w:widowControl/>
        <w:numPr>
          <w:ilvl w:val="1"/>
          <w:numId w:val="82"/>
        </w:numPr>
        <w:spacing w:line="360" w:lineRule="auto"/>
        <w:ind w:left="1140" w:firstLine="0"/>
        <w:jc w:val="left"/>
        <w:rPr>
          <w:rFonts w:ascii="黑体" w:hAnsi="黑体" w:eastAsia="黑体"/>
          <w:sz w:val="18"/>
          <w:szCs w:val="18"/>
        </w:rPr>
      </w:pPr>
      <w:r>
        <w:rPr>
          <w:rFonts w:hint="eastAsia" w:ascii="黑体" w:hAnsi="黑体" w:eastAsia="黑体"/>
          <w:sz w:val="18"/>
          <w:szCs w:val="18"/>
        </w:rPr>
        <w:t>集水井：镀锌钢盖板（原则上每块盖板面积不大于</w:t>
      </w:r>
      <w:r>
        <w:rPr>
          <w:rFonts w:ascii="黑体" w:hAnsi="黑体" w:eastAsia="黑体"/>
          <w:sz w:val="18"/>
          <w:szCs w:val="18"/>
        </w:rPr>
        <w:t>1</w:t>
      </w:r>
      <w:r>
        <w:rPr>
          <w:rFonts w:hint="eastAsia" w:ascii="黑体" w:hAnsi="黑体" w:eastAsia="黑体"/>
          <w:sz w:val="18"/>
          <w:szCs w:val="18"/>
        </w:rPr>
        <w:t>平米）</w:t>
      </w:r>
    </w:p>
    <w:p w14:paraId="06EB2A62">
      <w:pPr>
        <w:pStyle w:val="119"/>
        <w:rPr>
          <w:b w:val="0"/>
        </w:rPr>
      </w:pPr>
      <w:r>
        <w:t xml:space="preserve"> </w:t>
      </w:r>
      <w:bookmarkStart w:id="108" w:name="_Toc136956874"/>
      <w:r>
        <w:rPr>
          <w:rFonts w:hint="eastAsia"/>
        </w:rPr>
        <w:t>工程交付标准</w:t>
      </w:r>
      <w:bookmarkEnd w:id="108"/>
    </w:p>
    <w:p w14:paraId="2F98A63B">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观感要求：</w:t>
      </w:r>
    </w:p>
    <w:p w14:paraId="7B99891B">
      <w:pPr>
        <w:ind w:firstLine="900" w:firstLineChars="500"/>
        <w:rPr>
          <w:rFonts w:ascii="黑体" w:hAnsi="黑体" w:eastAsia="黑体"/>
          <w:sz w:val="18"/>
          <w:szCs w:val="18"/>
        </w:rPr>
      </w:pPr>
      <w:r>
        <w:rPr>
          <w:rFonts w:hint="eastAsia" w:ascii="黑体" w:hAnsi="黑体" w:eastAsia="黑体"/>
          <w:sz w:val="18"/>
          <w:szCs w:val="18"/>
        </w:rPr>
        <w:t>混凝土表面应密实光洁，无脱皮、麻面、起砂、翘边等情况，</w:t>
      </w:r>
    </w:p>
    <w:p w14:paraId="40264C7F">
      <w:pPr>
        <w:ind w:firstLine="900" w:firstLineChars="500"/>
        <w:rPr>
          <w:rFonts w:ascii="黑体" w:hAnsi="黑体" w:eastAsia="黑体"/>
          <w:sz w:val="18"/>
          <w:szCs w:val="18"/>
        </w:rPr>
      </w:pPr>
      <w:r>
        <w:rPr>
          <w:rFonts w:hint="eastAsia" w:ascii="黑体" w:hAnsi="黑体" w:eastAsia="黑体"/>
          <w:sz w:val="18"/>
          <w:szCs w:val="18"/>
        </w:rPr>
        <w:t>无有害裂缝。</w:t>
      </w:r>
    </w:p>
    <w:p w14:paraId="53B3F613">
      <w:pPr>
        <w:pStyle w:val="51"/>
        <w:numPr>
          <w:ilvl w:val="0"/>
          <w:numId w:val="80"/>
        </w:numPr>
        <w:autoSpaceDE w:val="0"/>
        <w:autoSpaceDN w:val="0"/>
        <w:adjustRightInd w:val="0"/>
        <w:spacing w:line="360" w:lineRule="auto"/>
        <w:ind w:firstLineChars="0"/>
        <w:jc w:val="left"/>
        <w:rPr>
          <w:rFonts w:ascii="黑体" w:hAnsi="黑体" w:eastAsia="黑体"/>
          <w:b/>
          <w:sz w:val="18"/>
          <w:szCs w:val="18"/>
        </w:rPr>
      </w:pPr>
      <w:r>
        <w:rPr>
          <w:rFonts w:hint="eastAsia" w:ascii="黑体" w:hAnsi="黑体" w:eastAsia="黑体"/>
          <w:b/>
          <w:sz w:val="18"/>
          <w:szCs w:val="18"/>
        </w:rPr>
        <w:t>构造做法及平整度要求（具体视设计情况调整）：</w:t>
      </w:r>
    </w:p>
    <w:p w14:paraId="75DE64A1">
      <w:pPr>
        <w:rPr>
          <w:rFonts w:ascii="黑体" w:hAnsi="黑体" w:eastAsia="黑体"/>
          <w:sz w:val="18"/>
          <w:szCs w:val="18"/>
        </w:rPr>
      </w:pPr>
      <w:r>
        <w:rPr>
          <w:rFonts w:ascii="黑体" w:hAnsi="黑体" w:eastAsia="黑体"/>
          <w:sz w:val="18"/>
          <w:szCs w:val="18"/>
        </w:rPr>
        <w:drawing>
          <wp:inline distT="0" distB="0" distL="0" distR="0">
            <wp:extent cx="5274310" cy="31305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74310" cy="3130550"/>
                    </a:xfrm>
                    <a:prstGeom prst="rect">
                      <a:avLst/>
                    </a:prstGeom>
                  </pic:spPr>
                </pic:pic>
              </a:graphicData>
            </a:graphic>
          </wp:inline>
        </w:drawing>
      </w:r>
    </w:p>
    <w:p w14:paraId="18628904">
      <w:pPr>
        <w:pStyle w:val="51"/>
        <w:widowControl/>
        <w:numPr>
          <w:ilvl w:val="0"/>
          <w:numId w:val="80"/>
        </w:numPr>
        <w:spacing w:line="360" w:lineRule="auto"/>
        <w:ind w:firstLineChars="0"/>
        <w:jc w:val="left"/>
        <w:rPr>
          <w:rFonts w:ascii="黑体" w:hAnsi="黑体" w:eastAsia="黑体"/>
          <w:b/>
          <w:sz w:val="18"/>
          <w:szCs w:val="18"/>
        </w:rPr>
      </w:pPr>
      <w:r>
        <w:rPr>
          <w:rFonts w:hint="eastAsia" w:ascii="黑体" w:hAnsi="黑体" w:eastAsia="黑体"/>
          <w:b/>
          <w:sz w:val="18"/>
          <w:szCs w:val="18"/>
        </w:rPr>
        <w:t>地坪硬度要求：</w:t>
      </w:r>
    </w:p>
    <w:p w14:paraId="4380E4B1">
      <w:pPr>
        <w:pStyle w:val="51"/>
        <w:widowControl/>
        <w:ind w:left="1140" w:firstLine="0" w:firstLineChars="0"/>
        <w:rPr>
          <w:rFonts w:ascii="黑体" w:hAnsi="黑体" w:eastAsia="黑体"/>
          <w:sz w:val="18"/>
          <w:szCs w:val="18"/>
        </w:rPr>
      </w:pPr>
      <w:r>
        <w:rPr>
          <w:rFonts w:hint="eastAsia" w:ascii="黑体" w:hAnsi="黑体" w:eastAsia="黑体"/>
          <w:sz w:val="18"/>
          <w:szCs w:val="18"/>
        </w:rPr>
        <w:t>仓库区、物流区地坪硬度应满足莫式硬度≥</w:t>
      </w:r>
      <w:r>
        <w:rPr>
          <w:rFonts w:ascii="黑体" w:hAnsi="黑体" w:eastAsia="黑体"/>
          <w:sz w:val="18"/>
          <w:szCs w:val="18"/>
        </w:rPr>
        <w:t>7</w:t>
      </w:r>
    </w:p>
    <w:p w14:paraId="394979C7">
      <w:pPr>
        <w:pStyle w:val="51"/>
        <w:widowControl/>
        <w:numPr>
          <w:ilvl w:val="0"/>
          <w:numId w:val="80"/>
        </w:numPr>
        <w:spacing w:line="360" w:lineRule="auto"/>
        <w:ind w:left="426" w:firstLine="294" w:firstLineChars="0"/>
        <w:jc w:val="left"/>
        <w:rPr>
          <w:rFonts w:ascii="黑体" w:hAnsi="黑体" w:eastAsia="黑体"/>
          <w:sz w:val="18"/>
          <w:szCs w:val="18"/>
        </w:rPr>
      </w:pPr>
      <w:r>
        <w:rPr>
          <w:rFonts w:hint="eastAsia" w:ascii="黑体" w:hAnsi="黑体" w:eastAsia="黑体"/>
          <w:b/>
          <w:sz w:val="18"/>
          <w:szCs w:val="18"/>
        </w:rPr>
        <w:t>生产区环氧地坪管控要求：</w:t>
      </w:r>
      <w:r>
        <w:rPr>
          <w:rFonts w:ascii="黑体" w:hAnsi="黑体" w:eastAsia="黑体"/>
          <w:sz w:val="18"/>
          <w:szCs w:val="18"/>
        </w:rPr>
        <w:drawing>
          <wp:inline distT="0" distB="0" distL="0" distR="0">
            <wp:extent cx="5170805" cy="4126865"/>
            <wp:effectExtent l="0" t="0" r="0"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a:stretch>
                      <a:fillRect/>
                    </a:stretch>
                  </pic:blipFill>
                  <pic:spPr>
                    <a:xfrm>
                      <a:off x="0" y="0"/>
                      <a:ext cx="5170922" cy="4126912"/>
                    </a:xfrm>
                    <a:prstGeom prst="rect">
                      <a:avLst/>
                    </a:prstGeom>
                  </pic:spPr>
                </pic:pic>
              </a:graphicData>
            </a:graphic>
          </wp:inline>
        </w:drawing>
      </w:r>
    </w:p>
    <w:p w14:paraId="711B35F4">
      <w:pPr>
        <w:widowControl/>
        <w:rPr>
          <w:rFonts w:ascii="黑体" w:hAnsi="黑体" w:eastAsia="黑体"/>
          <w:sz w:val="18"/>
          <w:szCs w:val="18"/>
        </w:rPr>
      </w:pPr>
    </w:p>
    <w:p w14:paraId="1B49F459">
      <w:pPr>
        <w:pStyle w:val="51"/>
        <w:widowControl/>
        <w:numPr>
          <w:ilvl w:val="0"/>
          <w:numId w:val="80"/>
        </w:numPr>
        <w:spacing w:line="360" w:lineRule="auto"/>
        <w:ind w:firstLineChars="0"/>
        <w:jc w:val="left"/>
        <w:rPr>
          <w:rFonts w:ascii="黑体" w:hAnsi="黑体" w:eastAsia="黑体"/>
          <w:b/>
          <w:sz w:val="18"/>
          <w:szCs w:val="18"/>
        </w:rPr>
      </w:pPr>
      <w:r>
        <w:rPr>
          <w:rFonts w:hint="eastAsia" w:ascii="黑体" w:hAnsi="黑体" w:eastAsia="黑体"/>
          <w:b/>
          <w:sz w:val="18"/>
          <w:szCs w:val="18"/>
        </w:rPr>
        <w:t>物流区</w:t>
      </w:r>
      <w:r>
        <w:rPr>
          <w:rFonts w:ascii="黑体" w:hAnsi="黑体" w:eastAsia="黑体"/>
          <w:b/>
          <w:sz w:val="18"/>
          <w:szCs w:val="18"/>
        </w:rPr>
        <w:t>AGV</w:t>
      </w:r>
      <w:r>
        <w:rPr>
          <w:rFonts w:hint="eastAsia" w:ascii="黑体" w:hAnsi="黑体" w:eastAsia="黑体"/>
          <w:b/>
          <w:sz w:val="18"/>
          <w:szCs w:val="18"/>
        </w:rPr>
        <w:t>设备地面要求：</w:t>
      </w:r>
    </w:p>
    <w:p w14:paraId="1C6BD8D9">
      <w:pPr>
        <w:widowControl/>
        <w:ind w:leftChars="-2" w:hanging="3" w:hangingChars="2"/>
        <w:rPr>
          <w:rFonts w:ascii="黑体" w:hAnsi="黑体" w:eastAsia="黑体"/>
          <w:sz w:val="18"/>
          <w:szCs w:val="18"/>
        </w:rPr>
      </w:pPr>
      <w:r>
        <w:rPr>
          <w:rFonts w:ascii="黑体" w:hAnsi="黑体" w:eastAsia="黑体"/>
          <w:sz w:val="18"/>
          <w:szCs w:val="18"/>
        </w:rPr>
        <w:drawing>
          <wp:inline distT="0" distB="0" distL="0" distR="0">
            <wp:extent cx="5274310" cy="2879090"/>
            <wp:effectExtent l="0" t="0" r="254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6"/>
                    <a:stretch>
                      <a:fillRect/>
                    </a:stretch>
                  </pic:blipFill>
                  <pic:spPr>
                    <a:xfrm>
                      <a:off x="0" y="0"/>
                      <a:ext cx="5274310" cy="2879090"/>
                    </a:xfrm>
                    <a:prstGeom prst="rect">
                      <a:avLst/>
                    </a:prstGeom>
                  </pic:spPr>
                </pic:pic>
              </a:graphicData>
            </a:graphic>
          </wp:inline>
        </w:drawing>
      </w:r>
    </w:p>
    <w:p w14:paraId="5A85A4E6">
      <w:pPr>
        <w:pStyle w:val="51"/>
        <w:widowControl/>
        <w:numPr>
          <w:ilvl w:val="0"/>
          <w:numId w:val="80"/>
        </w:numPr>
        <w:spacing w:before="312" w:line="360" w:lineRule="auto"/>
        <w:ind w:firstLineChars="0"/>
        <w:jc w:val="left"/>
        <w:rPr>
          <w:rFonts w:ascii="黑体" w:hAnsi="黑体" w:eastAsia="黑体"/>
          <w:b/>
          <w:color w:val="000000" w:themeColor="text1"/>
          <w:sz w:val="18"/>
          <w:szCs w:val="18"/>
          <w14:textFill>
            <w14:solidFill>
              <w14:schemeClr w14:val="tx1"/>
            </w14:solidFill>
          </w14:textFill>
        </w:rPr>
      </w:pPr>
      <w:r>
        <w:rPr>
          <w:rFonts w:hint="eastAsia" w:ascii="黑体" w:hAnsi="黑体" w:eastAsia="黑体"/>
          <w:b/>
          <w:color w:val="000000" w:themeColor="text1"/>
          <w:sz w:val="18"/>
          <w:szCs w:val="18"/>
          <w14:textFill>
            <w14:solidFill>
              <w14:schemeClr w14:val="tx1"/>
            </w14:solidFill>
          </w14:textFill>
        </w:rPr>
        <w:t>裂缝控制要求：</w:t>
      </w:r>
    </w:p>
    <w:p w14:paraId="7FC2CEF4">
      <w:pPr>
        <w:pStyle w:val="51"/>
        <w:widowControl/>
        <w:numPr>
          <w:ilvl w:val="1"/>
          <w:numId w:val="83"/>
        </w:numPr>
        <w:spacing w:line="360" w:lineRule="auto"/>
        <w:ind w:firstLineChars="0"/>
        <w:jc w:val="left"/>
        <w:rPr>
          <w:rFonts w:ascii="黑体" w:hAnsi="黑体" w:eastAsia="黑体"/>
          <w:sz w:val="18"/>
          <w:szCs w:val="18"/>
        </w:rPr>
      </w:pPr>
      <w:r>
        <w:rPr>
          <w:rFonts w:hint="eastAsia" w:ascii="黑体" w:hAnsi="黑体" w:eastAsia="黑体"/>
          <w:sz w:val="18"/>
          <w:szCs w:val="18"/>
        </w:rPr>
        <w:t>裂缝控制标准：地坪施工完成后，每</w:t>
      </w:r>
      <w:r>
        <w:rPr>
          <w:rFonts w:ascii="黑体" w:hAnsi="黑体" w:eastAsia="黑体"/>
          <w:sz w:val="18"/>
          <w:szCs w:val="18"/>
        </w:rPr>
        <w:t>1000</w:t>
      </w:r>
      <w:r>
        <w:rPr>
          <w:rFonts w:hint="eastAsia" w:ascii="黑体" w:hAnsi="黑体" w:eastAsia="黑体"/>
          <w:sz w:val="18"/>
          <w:szCs w:val="18"/>
        </w:rPr>
        <w:t>平米长度超过</w:t>
      </w:r>
      <w:r>
        <w:rPr>
          <w:rFonts w:ascii="黑体" w:hAnsi="黑体" w:eastAsia="黑体"/>
          <w:sz w:val="18"/>
          <w:szCs w:val="18"/>
        </w:rPr>
        <w:t>1</w:t>
      </w:r>
      <w:r>
        <w:rPr>
          <w:rFonts w:hint="eastAsia" w:ascii="黑体" w:hAnsi="黑体" w:eastAsia="黑体"/>
          <w:sz w:val="18"/>
          <w:szCs w:val="18"/>
        </w:rPr>
        <w:t>米的裂缝不超过</w:t>
      </w:r>
      <w:r>
        <w:rPr>
          <w:rFonts w:ascii="黑体" w:hAnsi="黑体" w:eastAsia="黑体"/>
          <w:sz w:val="18"/>
          <w:szCs w:val="18"/>
        </w:rPr>
        <w:t>10</w:t>
      </w:r>
      <w:r>
        <w:rPr>
          <w:rFonts w:hint="eastAsia" w:ascii="黑体" w:hAnsi="黑体" w:eastAsia="黑体"/>
          <w:sz w:val="18"/>
          <w:szCs w:val="18"/>
        </w:rPr>
        <w:t>条，且不允许有超过</w:t>
      </w:r>
      <w:r>
        <w:rPr>
          <w:rFonts w:ascii="黑体" w:hAnsi="黑体" w:eastAsia="黑体"/>
          <w:sz w:val="18"/>
          <w:szCs w:val="18"/>
        </w:rPr>
        <w:t>0.3mm</w:t>
      </w:r>
      <w:r>
        <w:rPr>
          <w:rFonts w:hint="eastAsia" w:ascii="黑体" w:hAnsi="黑体" w:eastAsia="黑体"/>
          <w:sz w:val="18"/>
          <w:szCs w:val="18"/>
        </w:rPr>
        <w:t>的有害裂缝（含柱脚裂缝）；耐磨固化不允许有面积超过</w:t>
      </w:r>
      <w:r>
        <w:rPr>
          <w:rFonts w:ascii="黑体" w:hAnsi="黑体" w:eastAsia="黑体"/>
          <w:sz w:val="18"/>
          <w:szCs w:val="18"/>
        </w:rPr>
        <w:t>10%</w:t>
      </w:r>
      <w:r>
        <w:rPr>
          <w:rFonts w:hint="eastAsia" w:ascii="黑体" w:hAnsi="黑体" w:eastAsia="黑体"/>
          <w:sz w:val="18"/>
          <w:szCs w:val="18"/>
        </w:rPr>
        <w:t>的龟裂纹或色差；</w:t>
      </w:r>
    </w:p>
    <w:p w14:paraId="12D38943">
      <w:pPr>
        <w:widowControl/>
        <w:ind w:left="630" w:leftChars="300"/>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、处罚措施：如出现上述缺陷，影响观感，包商需无条件处理该部分缺陷，包括但不限于凿除混凝土及处理裂缝缺陷，费用由承包商承担。</w:t>
      </w:r>
    </w:p>
    <w:p w14:paraId="6A990E05">
      <w:pPr>
        <w:autoSpaceDE w:val="0"/>
        <w:autoSpaceDN w:val="0"/>
        <w:adjustRightInd w:val="0"/>
        <w:spacing w:line="360" w:lineRule="auto"/>
        <w:jc w:val="left"/>
        <w:rPr>
          <w:rFonts w:ascii="黑体" w:hAnsi="黑体" w:eastAsia="黑体"/>
          <w:b/>
          <w:sz w:val="18"/>
          <w:szCs w:val="18"/>
        </w:rPr>
      </w:pPr>
      <w:r>
        <w:rPr>
          <w:rFonts w:hint="eastAsia" w:ascii="黑体" w:hAnsi="黑体" w:eastAsia="黑体"/>
          <w:b/>
          <w:sz w:val="18"/>
          <w:szCs w:val="18"/>
        </w:rPr>
        <w:t>1</w:t>
      </w:r>
      <w:r>
        <w:rPr>
          <w:rFonts w:ascii="黑体" w:hAnsi="黑体" w:eastAsia="黑体"/>
          <w:b/>
          <w:sz w:val="18"/>
          <w:szCs w:val="18"/>
        </w:rPr>
        <w:t xml:space="preserve">0.4    </w:t>
      </w:r>
      <w:r>
        <w:rPr>
          <w:rFonts w:hint="eastAsia" w:ascii="黑体" w:hAnsi="黑体" w:eastAsia="黑体"/>
          <w:b/>
          <w:sz w:val="18"/>
          <w:szCs w:val="18"/>
        </w:rPr>
        <w:t>施工工艺要求</w:t>
      </w:r>
    </w:p>
    <w:p w14:paraId="4A03DD61">
      <w:pPr>
        <w:pStyle w:val="51"/>
        <w:ind w:left="142" w:firstLine="612" w:firstLineChars="340"/>
        <w:rPr>
          <w:rFonts w:ascii="黑体" w:hAnsi="黑体" w:eastAsia="黑体"/>
          <w:sz w:val="18"/>
          <w:szCs w:val="18"/>
        </w:rPr>
      </w:pPr>
      <w:r>
        <w:rPr>
          <w:rFonts w:hint="eastAsia" w:ascii="黑体" w:hAnsi="黑体" w:eastAsia="黑体"/>
          <w:sz w:val="18"/>
          <w:szCs w:val="18"/>
        </w:rPr>
        <w:t>承包商进场大面施工前应完成样板施工和评审确认工作，并正式上报专项施工方案和工作计划，现场工序要求如下：</w:t>
      </w:r>
    </w:p>
    <w:p w14:paraId="38F91F70">
      <w:pPr>
        <w:pStyle w:val="51"/>
        <w:ind w:left="-2" w:leftChars="-1" w:firstLine="120" w:firstLineChars="67"/>
        <w:jc w:val="center"/>
        <w:rPr>
          <w:rFonts w:ascii="黑体" w:hAnsi="黑体" w:eastAsia="黑体"/>
          <w:sz w:val="18"/>
          <w:szCs w:val="18"/>
        </w:rPr>
      </w:pPr>
      <w:r>
        <w:rPr>
          <w:rFonts w:ascii="黑体" w:hAnsi="黑体" w:eastAsia="黑体"/>
          <w:sz w:val="18"/>
          <w:szCs w:val="18"/>
        </w:rPr>
        <w:drawing>
          <wp:inline distT="0" distB="0" distL="0" distR="0">
            <wp:extent cx="5274310" cy="24123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2412365"/>
                    </a:xfrm>
                    <a:prstGeom prst="rect">
                      <a:avLst/>
                    </a:prstGeom>
                  </pic:spPr>
                </pic:pic>
              </a:graphicData>
            </a:graphic>
          </wp:inline>
        </w:drawing>
      </w:r>
    </w:p>
    <w:p w14:paraId="4F769472">
      <w:pPr>
        <w:ind w:firstLine="360" w:firstLineChars="200"/>
        <w:rPr>
          <w:rFonts w:ascii="黑体" w:hAnsi="黑体" w:eastAsia="黑体"/>
          <w:sz w:val="18"/>
          <w:szCs w:val="18"/>
        </w:rPr>
      </w:pPr>
      <w:r>
        <w:rPr>
          <w:rFonts w:hint="eastAsia" w:ascii="黑体" w:hAnsi="黑体" w:eastAsia="黑体"/>
          <w:sz w:val="18"/>
          <w:szCs w:val="18"/>
        </w:rPr>
        <w:t>其他管控事项：</w:t>
      </w:r>
      <w:r>
        <w:rPr>
          <w:rFonts w:ascii="黑体" w:hAnsi="黑体" w:eastAsia="黑体"/>
          <w:sz w:val="18"/>
          <w:szCs w:val="18"/>
        </w:rPr>
        <w:t xml:space="preserve"> </w:t>
      </w:r>
    </w:p>
    <w:p w14:paraId="5430363F">
      <w:pPr>
        <w:pStyle w:val="51"/>
        <w:numPr>
          <w:ilvl w:val="0"/>
          <w:numId w:val="84"/>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浇筑振捣地坪过程中要严控钢筋网片下沉现象，保证钢筋网片保护层厚度≥</w:t>
      </w:r>
      <w:r>
        <w:rPr>
          <w:rFonts w:ascii="黑体" w:hAnsi="黑体" w:eastAsia="黑体"/>
          <w:sz w:val="18"/>
          <w:szCs w:val="18"/>
        </w:rPr>
        <w:t>15mm</w:t>
      </w:r>
      <w:r>
        <w:rPr>
          <w:rFonts w:hint="eastAsia" w:ascii="黑体" w:hAnsi="黑体" w:eastAsia="黑体"/>
          <w:sz w:val="18"/>
          <w:szCs w:val="18"/>
        </w:rPr>
        <w:t>。</w:t>
      </w:r>
    </w:p>
    <w:p w14:paraId="14D5B2F5">
      <w:pPr>
        <w:pStyle w:val="51"/>
        <w:numPr>
          <w:ilvl w:val="0"/>
          <w:numId w:val="84"/>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关注交叉施工阶段的穿插工序，地坪施工跟机电、粗装穿插进行时，要预留足够的地坪养护时间。</w:t>
      </w:r>
    </w:p>
    <w:p w14:paraId="46F8A082">
      <w:pPr>
        <w:pStyle w:val="51"/>
        <w:numPr>
          <w:ilvl w:val="0"/>
          <w:numId w:val="84"/>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为减少混凝土收缩，应对地坪进行及时切缝，切缝要求：间距≤</w:t>
      </w:r>
      <w:r>
        <w:rPr>
          <w:rFonts w:ascii="黑体" w:hAnsi="黑体" w:eastAsia="黑体"/>
          <w:sz w:val="18"/>
          <w:szCs w:val="18"/>
        </w:rPr>
        <w:t>6m</w:t>
      </w:r>
      <w:r>
        <w:rPr>
          <w:rFonts w:hint="eastAsia" w:ascii="黑体" w:hAnsi="黑体" w:eastAsia="黑体"/>
          <w:sz w:val="18"/>
          <w:szCs w:val="18"/>
        </w:rPr>
        <w:t>设</w:t>
      </w:r>
    </w:p>
    <w:p w14:paraId="55B44750">
      <w:pPr>
        <w:pStyle w:val="51"/>
        <w:ind w:left="716" w:firstLine="0" w:firstLineChars="0"/>
        <w:rPr>
          <w:rFonts w:ascii="黑体" w:hAnsi="黑体" w:eastAsia="黑体"/>
          <w:sz w:val="18"/>
          <w:szCs w:val="18"/>
        </w:rPr>
      </w:pPr>
      <w:r>
        <w:rPr>
          <w:rFonts w:hint="eastAsia" w:ascii="黑体" w:hAnsi="黑体" w:eastAsia="黑体"/>
          <w:sz w:val="18"/>
          <w:szCs w:val="18"/>
        </w:rPr>
        <w:t>置纵横向分割缝（宜为</w:t>
      </w:r>
      <w:r>
        <w:rPr>
          <w:rFonts w:ascii="黑体" w:hAnsi="黑体" w:eastAsia="黑体"/>
          <w:sz w:val="18"/>
          <w:szCs w:val="18"/>
        </w:rPr>
        <w:t>4</w:t>
      </w:r>
      <w:r>
        <w:rPr>
          <w:rFonts w:hint="eastAsia" w:ascii="黑体" w:hAnsi="黑体" w:eastAsia="黑体"/>
          <w:sz w:val="18"/>
          <w:szCs w:val="18"/>
        </w:rPr>
        <w:t>米），缝深为板厚的三分之一到四分之一。</w:t>
      </w:r>
    </w:p>
    <w:p w14:paraId="223D4F60">
      <w:pPr>
        <w:pStyle w:val="51"/>
        <w:numPr>
          <w:ilvl w:val="0"/>
          <w:numId w:val="84"/>
        </w:numPr>
        <w:autoSpaceDE w:val="0"/>
        <w:autoSpaceDN w:val="0"/>
        <w:adjustRightInd w:val="0"/>
        <w:spacing w:line="360" w:lineRule="auto"/>
        <w:ind w:firstLineChars="0"/>
        <w:jc w:val="left"/>
        <w:rPr>
          <w:rFonts w:ascii="黑体" w:hAnsi="黑体" w:eastAsia="黑体"/>
          <w:sz w:val="18"/>
          <w:szCs w:val="18"/>
        </w:rPr>
      </w:pPr>
      <w:r>
        <w:rPr>
          <w:rFonts w:hint="eastAsia" w:ascii="黑体" w:hAnsi="黑体" w:eastAsia="黑体"/>
          <w:sz w:val="18"/>
          <w:szCs w:val="18"/>
        </w:rPr>
        <w:t>对于厂房</w:t>
      </w:r>
      <w:r>
        <w:rPr>
          <w:rFonts w:ascii="黑体" w:hAnsi="黑体" w:eastAsia="黑体"/>
          <w:sz w:val="18"/>
          <w:szCs w:val="18"/>
        </w:rPr>
        <w:t>2</w:t>
      </w:r>
      <w:r>
        <w:rPr>
          <w:rFonts w:hint="eastAsia" w:ascii="黑体" w:hAnsi="黑体" w:eastAsia="黑体"/>
          <w:sz w:val="18"/>
          <w:szCs w:val="18"/>
        </w:rPr>
        <w:t>层及以上生产区不得使用大型地坪摊铺机进行施工，施工方</w:t>
      </w:r>
    </w:p>
    <w:p w14:paraId="37ECCB48">
      <w:pPr>
        <w:pStyle w:val="51"/>
        <w:ind w:left="716" w:firstLine="0" w:firstLineChars="0"/>
        <w:rPr>
          <w:rFonts w:ascii="黑体" w:hAnsi="黑体" w:eastAsia="黑体"/>
          <w:sz w:val="18"/>
          <w:szCs w:val="18"/>
        </w:rPr>
        <w:sectPr>
          <w:footerReference r:id="rId14" w:type="default"/>
          <w:type w:val="continuous"/>
          <w:pgSz w:w="11907" w:h="16840"/>
          <w:pgMar w:top="1440" w:right="1797" w:bottom="1440" w:left="1797" w:header="720" w:footer="720" w:gutter="0"/>
          <w:pgNumType w:fmt="decimal"/>
          <w:cols w:space="720" w:num="1"/>
        </w:sectPr>
      </w:pPr>
      <w:r>
        <w:rPr>
          <w:rFonts w:hint="eastAsia" w:ascii="黑体" w:hAnsi="黑体" w:eastAsia="黑体"/>
          <w:sz w:val="18"/>
          <w:szCs w:val="18"/>
        </w:rPr>
        <w:t>案要重点考虑地坪施工期间的机械设备荷载对结构安全的影响。</w:t>
      </w:r>
    </w:p>
    <w:p w14:paraId="5719D727">
      <w:pPr>
        <w:pStyle w:val="120"/>
        <w:rPr>
          <w:rFonts w:ascii="Times New Roman" w:hAnsi="Times New Roman" w:eastAsia="宋体"/>
        </w:rPr>
      </w:pPr>
      <w:r>
        <w:t xml:space="preserve"> </w:t>
      </w:r>
      <w:bookmarkStart w:id="109" w:name="_Toc136956875"/>
      <w:r>
        <w:rPr>
          <w:rFonts w:hint="eastAsia"/>
        </w:rPr>
        <w:t>泡沫混凝土技术要求</w:t>
      </w:r>
      <w:bookmarkEnd w:id="109"/>
    </w:p>
    <w:p w14:paraId="540703B2">
      <w:pPr>
        <w:pStyle w:val="119"/>
      </w:pPr>
      <w:bookmarkStart w:id="110" w:name="_Toc136956876"/>
      <w:r>
        <w:rPr>
          <w:rFonts w:hint="eastAsia"/>
        </w:rPr>
        <w:t>总则</w:t>
      </w:r>
      <w:bookmarkEnd w:id="110"/>
    </w:p>
    <w:p w14:paraId="34E92830">
      <w:pPr>
        <w:pStyle w:val="51"/>
        <w:numPr>
          <w:ilvl w:val="0"/>
          <w:numId w:val="85"/>
        </w:numPr>
        <w:spacing w:line="360" w:lineRule="auto"/>
        <w:ind w:left="993" w:hanging="567" w:firstLineChars="0"/>
        <w:rPr>
          <w:rFonts w:ascii="黑体" w:hAnsi="黑体" w:eastAsia="黑体"/>
          <w:sz w:val="18"/>
          <w:szCs w:val="18"/>
        </w:rPr>
      </w:pPr>
      <w:r>
        <w:rPr>
          <w:rFonts w:ascii="黑体" w:hAnsi="黑体" w:eastAsia="黑体"/>
          <w:sz w:val="18"/>
          <w:szCs w:val="18"/>
        </w:rPr>
        <w:t>为规范现浇轻质泡沫混凝土在</w:t>
      </w:r>
      <w:r>
        <w:rPr>
          <w:rFonts w:hint="eastAsia" w:ascii="黑体" w:hAnsi="黑体" w:eastAsia="黑体"/>
          <w:sz w:val="18"/>
          <w:szCs w:val="18"/>
        </w:rPr>
        <w:t>填充及回填</w:t>
      </w:r>
      <w:r>
        <w:rPr>
          <w:rFonts w:ascii="黑体" w:hAnsi="黑体" w:eastAsia="黑体"/>
          <w:sz w:val="18"/>
          <w:szCs w:val="18"/>
        </w:rPr>
        <w:t>方面的应用，正确、合理地选择相应的配合比与施工工艺，保证施工质量，特编制本技术</w:t>
      </w:r>
      <w:r>
        <w:rPr>
          <w:rFonts w:hint="eastAsia" w:ascii="黑体" w:hAnsi="黑体" w:eastAsia="黑体"/>
          <w:sz w:val="18"/>
          <w:szCs w:val="18"/>
        </w:rPr>
        <w:t>要求。</w:t>
      </w:r>
    </w:p>
    <w:p w14:paraId="2C1804DB">
      <w:pPr>
        <w:pStyle w:val="112"/>
        <w:numPr>
          <w:ilvl w:val="0"/>
          <w:numId w:val="85"/>
        </w:numPr>
        <w:ind w:left="993" w:hanging="567"/>
      </w:pPr>
      <w:r>
        <w:rPr>
          <w:rFonts w:hint="eastAsia"/>
        </w:rPr>
        <w:t>现浇轻质泡沫混凝土的设计、施工及质量验收，尚应符合现行有关标准、规范的规定。</w:t>
      </w:r>
    </w:p>
    <w:p w14:paraId="65A4F2A4">
      <w:pPr>
        <w:pStyle w:val="119"/>
      </w:pPr>
      <w:bookmarkStart w:id="111" w:name="_Toc136956877"/>
      <w:r>
        <w:rPr>
          <w:rFonts w:hint="eastAsia"/>
        </w:rPr>
        <w:t>材料</w:t>
      </w:r>
      <w:bookmarkEnd w:id="111"/>
    </w:p>
    <w:p w14:paraId="7C9576ED">
      <w:pPr>
        <w:pStyle w:val="51"/>
        <w:numPr>
          <w:ilvl w:val="0"/>
          <w:numId w:val="86"/>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现浇轻质泡沫混凝土水泥应采用32.5级及以上强度等级的水泥，其性能应符合《通用硅酸盐水泥》GB 175标准的要求.</w:t>
      </w:r>
      <w:r>
        <w:rPr>
          <w:rFonts w:hint="eastAsia" w:ascii="黑体" w:hAnsi="黑体" w:eastAsia="黑体"/>
          <w:kern w:val="0"/>
          <w:sz w:val="18"/>
          <w:szCs w:val="18"/>
        </w:rPr>
        <w:t>不同等级、厂家、品种、出厂日期的水泥不得混存、混用。</w:t>
      </w:r>
    </w:p>
    <w:p w14:paraId="0B202717">
      <w:pPr>
        <w:pStyle w:val="51"/>
        <w:numPr>
          <w:ilvl w:val="0"/>
          <w:numId w:val="86"/>
        </w:numPr>
        <w:spacing w:line="360" w:lineRule="auto"/>
        <w:ind w:left="993" w:hanging="567" w:firstLineChars="0"/>
        <w:rPr>
          <w:rFonts w:ascii="黑体" w:hAnsi="黑体" w:eastAsia="黑体"/>
          <w:kern w:val="0"/>
          <w:sz w:val="18"/>
          <w:szCs w:val="18"/>
        </w:rPr>
      </w:pPr>
      <w:r>
        <w:rPr>
          <w:rFonts w:hint="eastAsia" w:ascii="黑体" w:hAnsi="黑体" w:eastAsia="黑体"/>
          <w:kern w:val="0"/>
          <w:sz w:val="18"/>
          <w:szCs w:val="18"/>
        </w:rPr>
        <w:t>现浇轻质泡沫混凝土采用的发泡剂应质量可靠、性能良好，发泡剂的性能指标应符合表1</w:t>
      </w:r>
      <w:r>
        <w:rPr>
          <w:rFonts w:ascii="黑体" w:hAnsi="黑体" w:eastAsia="黑体"/>
          <w:kern w:val="0"/>
          <w:sz w:val="18"/>
          <w:szCs w:val="18"/>
        </w:rPr>
        <w:t>1.2的规定。严禁使用过期、变质的发泡剂，液体发泡剂目测应</w:t>
      </w:r>
      <w:r>
        <w:rPr>
          <w:rFonts w:hint="eastAsia" w:ascii="黑体" w:hAnsi="黑体" w:eastAsia="黑体"/>
          <w:kern w:val="0"/>
          <w:sz w:val="18"/>
          <w:szCs w:val="18"/>
        </w:rPr>
        <w:t>均匀无明显沉淀物。</w:t>
      </w:r>
    </w:p>
    <w:p w14:paraId="6C1331F5">
      <w:pPr>
        <w:spacing w:line="360" w:lineRule="auto"/>
        <w:jc w:val="center"/>
        <w:rPr>
          <w:rFonts w:ascii="黑体" w:hAnsi="黑体" w:eastAsia="黑体"/>
          <w:kern w:val="0"/>
          <w:sz w:val="18"/>
          <w:szCs w:val="18"/>
        </w:rPr>
      </w:pPr>
      <w:r>
        <w:rPr>
          <w:rFonts w:hint="eastAsia" w:ascii="黑体" w:hAnsi="黑体" w:eastAsia="黑体"/>
          <w:kern w:val="0"/>
          <w:sz w:val="18"/>
          <w:szCs w:val="18"/>
        </w:rPr>
        <w:t>表1</w:t>
      </w:r>
      <w:r>
        <w:rPr>
          <w:rFonts w:ascii="黑体" w:hAnsi="黑体" w:eastAsia="黑体"/>
          <w:kern w:val="0"/>
          <w:sz w:val="18"/>
          <w:szCs w:val="18"/>
        </w:rPr>
        <w:t>1.2 现浇轻质泡沫混凝土发泡剂的性能指标</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07"/>
        <w:gridCol w:w="2247"/>
        <w:gridCol w:w="2247"/>
      </w:tblGrid>
      <w:tr w14:paraId="1A69A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807" w:type="dxa"/>
            <w:vAlign w:val="center"/>
          </w:tcPr>
          <w:p w14:paraId="284A01B7">
            <w:pPr>
              <w:jc w:val="center"/>
              <w:rPr>
                <w:rFonts w:ascii="黑体" w:hAnsi="黑体" w:eastAsia="黑体"/>
                <w:kern w:val="0"/>
                <w:sz w:val="18"/>
                <w:szCs w:val="18"/>
              </w:rPr>
            </w:pPr>
            <w:r>
              <w:rPr>
                <w:rFonts w:hint="eastAsia" w:ascii="黑体" w:hAnsi="黑体" w:eastAsia="黑体"/>
                <w:kern w:val="0"/>
                <w:sz w:val="18"/>
                <w:szCs w:val="18"/>
              </w:rPr>
              <w:t>项目</w:t>
            </w:r>
          </w:p>
        </w:tc>
        <w:tc>
          <w:tcPr>
            <w:tcW w:w="2247" w:type="dxa"/>
            <w:vAlign w:val="center"/>
          </w:tcPr>
          <w:p w14:paraId="03034389">
            <w:pPr>
              <w:jc w:val="center"/>
              <w:rPr>
                <w:rFonts w:ascii="黑体" w:hAnsi="黑体" w:eastAsia="黑体"/>
                <w:kern w:val="0"/>
                <w:sz w:val="18"/>
                <w:szCs w:val="18"/>
              </w:rPr>
            </w:pPr>
            <w:r>
              <w:rPr>
                <w:rFonts w:hint="eastAsia" w:ascii="黑体" w:hAnsi="黑体" w:eastAsia="黑体"/>
                <w:kern w:val="0"/>
                <w:sz w:val="18"/>
                <w:szCs w:val="18"/>
              </w:rPr>
              <w:t>性能指标</w:t>
            </w:r>
          </w:p>
        </w:tc>
        <w:tc>
          <w:tcPr>
            <w:tcW w:w="2247" w:type="dxa"/>
            <w:vAlign w:val="center"/>
          </w:tcPr>
          <w:p w14:paraId="3EF6D891">
            <w:pPr>
              <w:jc w:val="center"/>
              <w:rPr>
                <w:rFonts w:ascii="黑体" w:hAnsi="黑体" w:eastAsia="黑体"/>
                <w:kern w:val="0"/>
                <w:sz w:val="18"/>
                <w:szCs w:val="18"/>
              </w:rPr>
            </w:pPr>
            <w:r>
              <w:rPr>
                <w:rFonts w:hint="eastAsia" w:ascii="黑体" w:hAnsi="黑体" w:eastAsia="黑体"/>
                <w:kern w:val="0"/>
                <w:sz w:val="18"/>
                <w:szCs w:val="18"/>
              </w:rPr>
              <w:t>检验方法</w:t>
            </w:r>
          </w:p>
        </w:tc>
      </w:tr>
      <w:tr w14:paraId="3EB1C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07" w:type="dxa"/>
            <w:vAlign w:val="center"/>
          </w:tcPr>
          <w:p w14:paraId="44F56574">
            <w:pPr>
              <w:jc w:val="center"/>
              <w:rPr>
                <w:rFonts w:ascii="黑体" w:hAnsi="黑体" w:eastAsia="黑体"/>
                <w:kern w:val="0"/>
                <w:sz w:val="18"/>
                <w:szCs w:val="18"/>
              </w:rPr>
            </w:pPr>
            <w:r>
              <w:rPr>
                <w:rFonts w:hint="eastAsia" w:ascii="黑体" w:hAnsi="黑体" w:eastAsia="黑体"/>
                <w:kern w:val="0"/>
                <w:sz w:val="18"/>
                <w:szCs w:val="18"/>
              </w:rPr>
              <w:t>发泡倍数</w:t>
            </w:r>
          </w:p>
        </w:tc>
        <w:tc>
          <w:tcPr>
            <w:tcW w:w="2247" w:type="dxa"/>
            <w:vAlign w:val="center"/>
          </w:tcPr>
          <w:p w14:paraId="7B307412">
            <w:pPr>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20</w:t>
            </w:r>
          </w:p>
        </w:tc>
        <w:tc>
          <w:tcPr>
            <w:tcW w:w="2247" w:type="dxa"/>
          </w:tcPr>
          <w:p w14:paraId="2454661C">
            <w:pPr>
              <w:jc w:val="center"/>
              <w:rPr>
                <w:rFonts w:ascii="黑体" w:hAnsi="黑体" w:eastAsia="黑体"/>
                <w:kern w:val="0"/>
                <w:sz w:val="18"/>
                <w:szCs w:val="18"/>
              </w:rPr>
            </w:pPr>
            <w:r>
              <w:rPr>
                <w:rFonts w:hint="eastAsia" w:ascii="黑体" w:hAnsi="黑体" w:eastAsia="黑体"/>
                <w:kern w:val="0"/>
                <w:sz w:val="18"/>
                <w:szCs w:val="18"/>
              </w:rPr>
              <w:t>详1</w:t>
            </w:r>
            <w:r>
              <w:rPr>
                <w:rFonts w:ascii="黑体" w:hAnsi="黑体" w:eastAsia="黑体"/>
                <w:kern w:val="0"/>
                <w:sz w:val="18"/>
                <w:szCs w:val="18"/>
              </w:rPr>
              <w:t>1.8</w:t>
            </w:r>
          </w:p>
        </w:tc>
      </w:tr>
      <w:tr w14:paraId="392B6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07" w:type="dxa"/>
            <w:vAlign w:val="center"/>
          </w:tcPr>
          <w:p w14:paraId="5679BA2B">
            <w:pPr>
              <w:jc w:val="center"/>
              <w:rPr>
                <w:rFonts w:ascii="黑体" w:hAnsi="黑体" w:eastAsia="黑体"/>
                <w:kern w:val="0"/>
                <w:sz w:val="18"/>
                <w:szCs w:val="18"/>
              </w:rPr>
            </w:pPr>
            <w:r>
              <w:rPr>
                <w:rFonts w:hint="eastAsia" w:ascii="黑体" w:hAnsi="黑体" w:eastAsia="黑体"/>
                <w:kern w:val="0"/>
                <w:sz w:val="18"/>
                <w:szCs w:val="18"/>
              </w:rPr>
              <w:t>泡沫的沉降距（</w:t>
            </w:r>
            <w:r>
              <w:rPr>
                <w:rFonts w:ascii="黑体" w:hAnsi="黑体" w:eastAsia="黑体"/>
                <w:kern w:val="0"/>
                <w:sz w:val="18"/>
                <w:szCs w:val="18"/>
              </w:rPr>
              <w:t>1h</w:t>
            </w:r>
            <w:r>
              <w:rPr>
                <w:rFonts w:hint="eastAsia" w:ascii="黑体" w:hAnsi="黑体" w:eastAsia="黑体"/>
                <w:kern w:val="0"/>
                <w:sz w:val="18"/>
                <w:szCs w:val="18"/>
              </w:rPr>
              <w:t>）</w:t>
            </w:r>
          </w:p>
        </w:tc>
        <w:tc>
          <w:tcPr>
            <w:tcW w:w="2247" w:type="dxa"/>
            <w:vAlign w:val="center"/>
          </w:tcPr>
          <w:p w14:paraId="60471111">
            <w:pPr>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10 mm</w:t>
            </w:r>
          </w:p>
        </w:tc>
        <w:tc>
          <w:tcPr>
            <w:tcW w:w="2247" w:type="dxa"/>
          </w:tcPr>
          <w:p w14:paraId="52214DA1">
            <w:pPr>
              <w:jc w:val="center"/>
              <w:rPr>
                <w:rFonts w:ascii="黑体" w:hAnsi="黑体" w:eastAsia="黑体"/>
                <w:kern w:val="0"/>
                <w:sz w:val="18"/>
                <w:szCs w:val="18"/>
              </w:rPr>
            </w:pPr>
            <w:r>
              <w:rPr>
                <w:rFonts w:hint="eastAsia" w:ascii="黑体" w:hAnsi="黑体" w:eastAsia="黑体"/>
                <w:kern w:val="0"/>
                <w:sz w:val="18"/>
                <w:szCs w:val="18"/>
              </w:rPr>
              <w:t>详1</w:t>
            </w:r>
            <w:r>
              <w:rPr>
                <w:rFonts w:ascii="黑体" w:hAnsi="黑体" w:eastAsia="黑体"/>
                <w:kern w:val="0"/>
                <w:sz w:val="18"/>
                <w:szCs w:val="18"/>
              </w:rPr>
              <w:t>1.8</w:t>
            </w:r>
          </w:p>
        </w:tc>
      </w:tr>
      <w:tr w14:paraId="579C6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807" w:type="dxa"/>
            <w:vAlign w:val="center"/>
          </w:tcPr>
          <w:p w14:paraId="73BCA84F">
            <w:pPr>
              <w:jc w:val="center"/>
              <w:rPr>
                <w:rFonts w:ascii="黑体" w:hAnsi="黑体" w:eastAsia="黑体"/>
                <w:kern w:val="0"/>
                <w:sz w:val="18"/>
                <w:szCs w:val="18"/>
              </w:rPr>
            </w:pPr>
            <w:r>
              <w:rPr>
                <w:rFonts w:hint="eastAsia" w:ascii="黑体" w:hAnsi="黑体" w:eastAsia="黑体"/>
                <w:kern w:val="0"/>
                <w:sz w:val="18"/>
                <w:szCs w:val="18"/>
              </w:rPr>
              <w:t>泡沫的泌水量（</w:t>
            </w:r>
            <w:r>
              <w:rPr>
                <w:rFonts w:ascii="黑体" w:hAnsi="黑体" w:eastAsia="黑体"/>
                <w:kern w:val="0"/>
                <w:sz w:val="18"/>
                <w:szCs w:val="18"/>
              </w:rPr>
              <w:t>lh</w:t>
            </w:r>
            <w:r>
              <w:rPr>
                <w:rFonts w:hint="eastAsia" w:ascii="黑体" w:hAnsi="黑体" w:eastAsia="黑体"/>
                <w:kern w:val="0"/>
                <w:sz w:val="18"/>
                <w:szCs w:val="18"/>
              </w:rPr>
              <w:t>）</w:t>
            </w:r>
          </w:p>
        </w:tc>
        <w:tc>
          <w:tcPr>
            <w:tcW w:w="2247" w:type="dxa"/>
            <w:vAlign w:val="center"/>
          </w:tcPr>
          <w:p w14:paraId="19FF620B">
            <w:pPr>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20 mL</w:t>
            </w:r>
          </w:p>
        </w:tc>
        <w:tc>
          <w:tcPr>
            <w:tcW w:w="2247" w:type="dxa"/>
          </w:tcPr>
          <w:p w14:paraId="7F755B6D">
            <w:pPr>
              <w:jc w:val="center"/>
              <w:rPr>
                <w:rFonts w:ascii="黑体" w:hAnsi="黑体" w:eastAsia="黑体"/>
                <w:kern w:val="0"/>
                <w:sz w:val="18"/>
                <w:szCs w:val="18"/>
              </w:rPr>
            </w:pPr>
            <w:r>
              <w:rPr>
                <w:rFonts w:hint="eastAsia" w:ascii="黑体" w:hAnsi="黑体" w:eastAsia="黑体"/>
                <w:kern w:val="0"/>
                <w:sz w:val="18"/>
                <w:szCs w:val="18"/>
              </w:rPr>
              <w:t>详1</w:t>
            </w:r>
            <w:r>
              <w:rPr>
                <w:rFonts w:ascii="黑体" w:hAnsi="黑体" w:eastAsia="黑体"/>
                <w:kern w:val="0"/>
                <w:sz w:val="18"/>
                <w:szCs w:val="18"/>
              </w:rPr>
              <w:t>1.8</w:t>
            </w:r>
          </w:p>
        </w:tc>
      </w:tr>
      <w:tr w14:paraId="23F80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807" w:type="dxa"/>
            <w:vAlign w:val="center"/>
          </w:tcPr>
          <w:p w14:paraId="52B9FFD6">
            <w:pPr>
              <w:jc w:val="center"/>
              <w:rPr>
                <w:rFonts w:ascii="黑体" w:hAnsi="黑体" w:eastAsia="黑体"/>
                <w:kern w:val="0"/>
                <w:sz w:val="18"/>
                <w:szCs w:val="18"/>
              </w:rPr>
            </w:pPr>
            <w:r>
              <w:rPr>
                <w:rFonts w:ascii="黑体" w:hAnsi="黑体" w:eastAsia="黑体"/>
                <w:kern w:val="0"/>
                <w:sz w:val="18"/>
                <w:szCs w:val="18"/>
              </w:rPr>
              <w:t>pH值</w:t>
            </w:r>
          </w:p>
        </w:tc>
        <w:tc>
          <w:tcPr>
            <w:tcW w:w="2247" w:type="dxa"/>
            <w:vAlign w:val="center"/>
          </w:tcPr>
          <w:p w14:paraId="48117F9A">
            <w:pPr>
              <w:jc w:val="center"/>
              <w:rPr>
                <w:rFonts w:ascii="黑体" w:hAnsi="黑体" w:eastAsia="黑体"/>
                <w:kern w:val="0"/>
                <w:sz w:val="18"/>
                <w:szCs w:val="18"/>
              </w:rPr>
            </w:pPr>
            <w:r>
              <w:rPr>
                <w:rFonts w:ascii="黑体" w:hAnsi="黑体" w:eastAsia="黑体"/>
                <w:kern w:val="0"/>
                <w:sz w:val="18"/>
                <w:szCs w:val="18"/>
              </w:rPr>
              <w:t>6-8</w:t>
            </w:r>
          </w:p>
        </w:tc>
        <w:tc>
          <w:tcPr>
            <w:tcW w:w="2247" w:type="dxa"/>
          </w:tcPr>
          <w:p w14:paraId="088D98B9">
            <w:pPr>
              <w:pStyle w:val="70"/>
              <w:jc w:val="center"/>
              <w:rPr>
                <w:rFonts w:ascii="黑体" w:hAnsi="黑体" w:eastAsia="黑体" w:cs="Times New Roman"/>
                <w:color w:val="auto"/>
                <w:sz w:val="18"/>
                <w:szCs w:val="18"/>
              </w:rPr>
            </w:pPr>
            <w:r>
              <w:rPr>
                <w:rFonts w:ascii="黑体" w:hAnsi="黑体" w:eastAsia="黑体" w:cs="Times New Roman"/>
                <w:color w:val="auto"/>
                <w:sz w:val="18"/>
                <w:szCs w:val="18"/>
              </w:rPr>
              <w:t>GB/T 14518</w:t>
            </w:r>
          </w:p>
        </w:tc>
      </w:tr>
      <w:tr w14:paraId="30466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807" w:type="dxa"/>
            <w:vAlign w:val="center"/>
          </w:tcPr>
          <w:p w14:paraId="2140825A">
            <w:pPr>
              <w:jc w:val="center"/>
              <w:rPr>
                <w:rFonts w:ascii="黑体" w:hAnsi="黑体" w:eastAsia="黑体"/>
                <w:kern w:val="0"/>
                <w:sz w:val="18"/>
                <w:szCs w:val="18"/>
              </w:rPr>
            </w:pPr>
            <w:r>
              <w:rPr>
                <w:rFonts w:hint="eastAsia" w:ascii="黑体" w:hAnsi="黑体" w:eastAsia="黑体"/>
                <w:kern w:val="0"/>
                <w:sz w:val="18"/>
                <w:szCs w:val="18"/>
              </w:rPr>
              <w:t>游离甲醛</w:t>
            </w:r>
            <w:r>
              <w:rPr>
                <w:rFonts w:ascii="黑体" w:hAnsi="黑体" w:eastAsia="黑体"/>
                <w:kern w:val="0"/>
                <w:sz w:val="18"/>
                <w:szCs w:val="18"/>
              </w:rPr>
              <w:t xml:space="preserve"> </w:t>
            </w:r>
          </w:p>
        </w:tc>
        <w:tc>
          <w:tcPr>
            <w:tcW w:w="2247" w:type="dxa"/>
            <w:vAlign w:val="center"/>
          </w:tcPr>
          <w:p w14:paraId="7397A4B0">
            <w:pPr>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 xml:space="preserve">1.0 g/kg </w:t>
            </w:r>
          </w:p>
        </w:tc>
        <w:tc>
          <w:tcPr>
            <w:tcW w:w="2247" w:type="dxa"/>
          </w:tcPr>
          <w:p w14:paraId="1229DF53">
            <w:pPr>
              <w:jc w:val="center"/>
              <w:rPr>
                <w:rFonts w:ascii="黑体" w:hAnsi="黑体" w:eastAsia="黑体"/>
                <w:kern w:val="0"/>
                <w:sz w:val="18"/>
                <w:szCs w:val="18"/>
              </w:rPr>
            </w:pPr>
            <w:r>
              <w:rPr>
                <w:rFonts w:ascii="黑体" w:hAnsi="黑体" w:eastAsia="黑体"/>
                <w:kern w:val="0"/>
                <w:sz w:val="18"/>
                <w:szCs w:val="18"/>
              </w:rPr>
              <w:t>GB/T 18583</w:t>
            </w:r>
          </w:p>
        </w:tc>
      </w:tr>
    </w:tbl>
    <w:p w14:paraId="3BF4B86A">
      <w:pPr>
        <w:rPr>
          <w:rFonts w:ascii="黑体" w:hAnsi="黑体" w:eastAsia="黑体"/>
          <w:kern w:val="0"/>
          <w:sz w:val="18"/>
          <w:szCs w:val="18"/>
        </w:rPr>
      </w:pPr>
    </w:p>
    <w:p w14:paraId="396C5BDC">
      <w:pPr>
        <w:pStyle w:val="51"/>
        <w:spacing w:line="360" w:lineRule="auto"/>
        <w:ind w:left="991" w:leftChars="202" w:hanging="567" w:hangingChars="315"/>
        <w:rPr>
          <w:rFonts w:ascii="黑体" w:hAnsi="黑体" w:eastAsia="黑体"/>
          <w:kern w:val="0"/>
          <w:sz w:val="18"/>
          <w:szCs w:val="18"/>
        </w:rPr>
      </w:pPr>
      <w:r>
        <w:rPr>
          <w:rFonts w:ascii="黑体" w:hAnsi="黑体" w:eastAsia="黑体"/>
          <w:kern w:val="0"/>
          <w:sz w:val="18"/>
          <w:szCs w:val="18"/>
        </w:rPr>
        <w:t xml:space="preserve">3.    </w:t>
      </w:r>
      <w:r>
        <w:rPr>
          <w:rFonts w:hint="eastAsia" w:ascii="黑体" w:hAnsi="黑体" w:eastAsia="黑体"/>
          <w:kern w:val="0"/>
          <w:sz w:val="18"/>
          <w:szCs w:val="18"/>
        </w:rPr>
        <w:t>发泡剂使用前应检查其出厂合格证，检验报告</w:t>
      </w:r>
      <w:r>
        <w:rPr>
          <w:rFonts w:ascii="黑体" w:hAnsi="黑体" w:eastAsia="黑体"/>
          <w:kern w:val="0"/>
          <w:sz w:val="18"/>
          <w:szCs w:val="18"/>
        </w:rPr>
        <w:t>.</w:t>
      </w:r>
    </w:p>
    <w:p w14:paraId="1F60E5EC">
      <w:pPr>
        <w:spacing w:line="360" w:lineRule="auto"/>
        <w:ind w:left="991" w:leftChars="202" w:hanging="567" w:hangingChars="315"/>
        <w:rPr>
          <w:rFonts w:ascii="黑体" w:hAnsi="黑体" w:eastAsia="黑体"/>
          <w:kern w:val="0"/>
          <w:sz w:val="18"/>
          <w:szCs w:val="18"/>
        </w:rPr>
      </w:pPr>
      <w:r>
        <w:rPr>
          <w:rFonts w:hint="eastAsia" w:ascii="黑体" w:hAnsi="黑体" w:eastAsia="黑体"/>
          <w:kern w:val="0"/>
          <w:sz w:val="18"/>
          <w:szCs w:val="18"/>
        </w:rPr>
        <w:t>4</w:t>
      </w:r>
      <w:r>
        <w:rPr>
          <w:rFonts w:ascii="黑体" w:hAnsi="黑体" w:eastAsia="黑体"/>
          <w:kern w:val="0"/>
          <w:sz w:val="18"/>
          <w:szCs w:val="18"/>
        </w:rPr>
        <w:t>.    发泡剂稀释倍数应按产品说明书执行，发泡均匀,泡沫直径宜小于1。2mm</w:t>
      </w:r>
      <w:r>
        <w:rPr>
          <w:rFonts w:hint="eastAsia" w:ascii="黑体" w:hAnsi="黑体" w:eastAsia="黑体"/>
          <w:kern w:val="0"/>
          <w:sz w:val="18"/>
          <w:szCs w:val="18"/>
        </w:rPr>
        <w:t>，稳泡时间应大于</w:t>
      </w:r>
      <w:r>
        <w:rPr>
          <w:rFonts w:ascii="黑体" w:hAnsi="黑体" w:eastAsia="黑体"/>
          <w:kern w:val="0"/>
          <w:sz w:val="18"/>
          <w:szCs w:val="18"/>
        </w:rPr>
        <w:t>30min。采用过氧化氢作发泡剂的，其性能应符合《工业过氧化氢》GB 1616的规定。</w:t>
      </w:r>
    </w:p>
    <w:p w14:paraId="10FEBF44">
      <w:pPr>
        <w:spacing w:line="360" w:lineRule="auto"/>
        <w:ind w:left="991" w:leftChars="202" w:hanging="567" w:hangingChars="315"/>
        <w:rPr>
          <w:rFonts w:ascii="黑体" w:hAnsi="黑体" w:eastAsia="黑体"/>
          <w:kern w:val="0"/>
          <w:sz w:val="18"/>
          <w:szCs w:val="18"/>
        </w:rPr>
      </w:pPr>
      <w:r>
        <w:rPr>
          <w:rFonts w:hint="eastAsia" w:ascii="黑体" w:hAnsi="黑体" w:eastAsia="黑体"/>
          <w:kern w:val="0"/>
          <w:sz w:val="18"/>
          <w:szCs w:val="18"/>
        </w:rPr>
        <w:t>5</w:t>
      </w:r>
      <w:r>
        <w:rPr>
          <w:rFonts w:ascii="黑体" w:hAnsi="黑体" w:eastAsia="黑体"/>
          <w:kern w:val="0"/>
          <w:sz w:val="18"/>
          <w:szCs w:val="18"/>
        </w:rPr>
        <w:t xml:space="preserve">.    </w:t>
      </w:r>
      <w:r>
        <w:rPr>
          <w:rFonts w:hint="eastAsia" w:ascii="黑体" w:hAnsi="黑体" w:eastAsia="黑体"/>
          <w:kern w:val="0"/>
          <w:sz w:val="18"/>
          <w:szCs w:val="18"/>
        </w:rPr>
        <w:t>用水应符合《</w:t>
      </w:r>
      <w:r>
        <w:fldChar w:fldCharType="begin"/>
      </w:r>
      <w:r>
        <w:instrText xml:space="preserve"> HYPERLINK "http://www。baidu。com/link？url=0dSGeztoMTWFkt4nZyygWO—B6n7oeK3pmeUoYN4bvWXYLspRPoVkR98zw—Sx3kfA" \t "_blank" </w:instrText>
      </w:r>
      <w:r>
        <w:fldChar w:fldCharType="separate"/>
      </w:r>
      <w:r>
        <w:rPr>
          <w:rFonts w:ascii="黑体" w:hAnsi="黑体" w:eastAsia="黑体"/>
          <w:kern w:val="0"/>
          <w:sz w:val="18"/>
          <w:szCs w:val="18"/>
        </w:rPr>
        <w:t>混凝土用水标准</w:t>
      </w:r>
      <w:r>
        <w:rPr>
          <w:rFonts w:ascii="黑体" w:hAnsi="黑体" w:eastAsia="黑体"/>
          <w:kern w:val="0"/>
          <w:sz w:val="18"/>
          <w:szCs w:val="18"/>
        </w:rPr>
        <w:fldChar w:fldCharType="end"/>
      </w:r>
      <w:r>
        <w:rPr>
          <w:rFonts w:hint="eastAsia" w:ascii="黑体" w:hAnsi="黑体" w:eastAsia="黑体"/>
          <w:kern w:val="0"/>
          <w:sz w:val="18"/>
          <w:szCs w:val="18"/>
        </w:rPr>
        <w:t>》</w:t>
      </w:r>
      <w:r>
        <w:rPr>
          <w:rFonts w:ascii="黑体" w:hAnsi="黑体" w:eastAsia="黑体"/>
          <w:kern w:val="0"/>
          <w:sz w:val="18"/>
          <w:szCs w:val="18"/>
        </w:rPr>
        <w:t>JGJ 63</w:t>
      </w:r>
      <w:r>
        <w:rPr>
          <w:rFonts w:hint="eastAsia" w:ascii="黑体" w:hAnsi="黑体" w:eastAsia="黑体"/>
          <w:kern w:val="0"/>
          <w:sz w:val="18"/>
          <w:szCs w:val="18"/>
        </w:rPr>
        <w:t>的规定。</w:t>
      </w:r>
    </w:p>
    <w:p w14:paraId="617D4AAE">
      <w:pPr>
        <w:spacing w:line="360" w:lineRule="auto"/>
        <w:ind w:left="991" w:leftChars="202" w:hanging="567" w:hangingChars="315"/>
        <w:rPr>
          <w:rFonts w:ascii="黑体" w:hAnsi="黑体" w:eastAsia="黑体"/>
          <w:kern w:val="0"/>
          <w:sz w:val="18"/>
          <w:szCs w:val="18"/>
        </w:rPr>
      </w:pPr>
      <w:r>
        <w:rPr>
          <w:rFonts w:hint="eastAsia" w:ascii="黑体" w:hAnsi="黑体" w:eastAsia="黑体"/>
          <w:kern w:val="0"/>
          <w:sz w:val="18"/>
          <w:szCs w:val="18"/>
        </w:rPr>
        <w:t>6</w:t>
      </w:r>
      <w:r>
        <w:rPr>
          <w:rFonts w:ascii="黑体" w:hAnsi="黑体" w:eastAsia="黑体"/>
          <w:kern w:val="0"/>
          <w:sz w:val="18"/>
          <w:szCs w:val="18"/>
        </w:rPr>
        <w:t>.    现浇轻质泡沫混凝土中掺入早强剂、防冻剂、憎水剂等外加剂时,外加剂的使用应符合《混凝土外加剂应用技术规范》GB 50119和《混凝土外加剂</w:t>
      </w:r>
      <w:r>
        <w:rPr>
          <w:rFonts w:hint="eastAsia" w:ascii="黑体" w:hAnsi="黑体" w:eastAsia="黑体"/>
          <w:kern w:val="0"/>
          <w:sz w:val="18"/>
          <w:szCs w:val="18"/>
        </w:rPr>
        <w:t>》</w:t>
      </w:r>
      <w:r>
        <w:rPr>
          <w:rFonts w:ascii="黑体" w:hAnsi="黑体" w:eastAsia="黑体"/>
          <w:kern w:val="0"/>
          <w:sz w:val="18"/>
          <w:szCs w:val="18"/>
        </w:rPr>
        <w:t>GB 8076</w:t>
      </w:r>
      <w:r>
        <w:rPr>
          <w:rFonts w:hint="eastAsia" w:ascii="黑体" w:hAnsi="黑体" w:eastAsia="黑体"/>
          <w:kern w:val="0"/>
          <w:sz w:val="18"/>
          <w:szCs w:val="18"/>
        </w:rPr>
        <w:t>的要求</w:t>
      </w:r>
      <w:r>
        <w:rPr>
          <w:rFonts w:ascii="黑体" w:hAnsi="黑体" w:eastAsia="黑体"/>
          <w:kern w:val="0"/>
          <w:sz w:val="18"/>
          <w:szCs w:val="18"/>
        </w:rPr>
        <w:t>.</w:t>
      </w:r>
    </w:p>
    <w:p w14:paraId="03ABC2E9">
      <w:pPr>
        <w:spacing w:line="360" w:lineRule="auto"/>
        <w:ind w:left="991" w:leftChars="202" w:hanging="567" w:hangingChars="315"/>
        <w:jc w:val="left"/>
        <w:rPr>
          <w:rFonts w:ascii="黑体" w:hAnsi="黑体" w:eastAsia="黑体"/>
          <w:kern w:val="0"/>
          <w:sz w:val="18"/>
          <w:szCs w:val="18"/>
        </w:rPr>
      </w:pPr>
      <w:r>
        <w:rPr>
          <w:rFonts w:hint="eastAsia" w:ascii="黑体" w:hAnsi="黑体" w:eastAsia="黑体"/>
          <w:kern w:val="0"/>
          <w:sz w:val="18"/>
          <w:szCs w:val="18"/>
        </w:rPr>
        <w:t>7</w:t>
      </w:r>
      <w:r>
        <w:rPr>
          <w:rFonts w:ascii="黑体" w:hAnsi="黑体" w:eastAsia="黑体"/>
          <w:kern w:val="0"/>
          <w:sz w:val="18"/>
          <w:szCs w:val="18"/>
        </w:rPr>
        <w:t xml:space="preserve">.    </w:t>
      </w:r>
      <w:r>
        <w:rPr>
          <w:rFonts w:hint="eastAsia" w:ascii="黑体" w:hAnsi="黑体" w:eastAsia="黑体"/>
          <w:kern w:val="0"/>
          <w:sz w:val="18"/>
          <w:szCs w:val="18"/>
        </w:rPr>
        <w:t>现浇轻质泡沫混凝土中掺入的粉煤灰应为Ⅰ级粉煤灰或Ⅱ级粉煤灰</w:t>
      </w:r>
      <w:r>
        <w:rPr>
          <w:rFonts w:ascii="黑体" w:hAnsi="黑体" w:eastAsia="黑体"/>
          <w:kern w:val="0"/>
          <w:sz w:val="18"/>
          <w:szCs w:val="18"/>
        </w:rPr>
        <w:t>,其性能指标应符合《用于水泥和混凝土中的粉煤灰》GB/T 1596的要求.</w:t>
      </w:r>
    </w:p>
    <w:p w14:paraId="27C7E502">
      <w:pPr>
        <w:spacing w:line="360" w:lineRule="auto"/>
        <w:ind w:left="991" w:leftChars="202" w:hanging="567" w:hangingChars="315"/>
        <w:rPr>
          <w:rFonts w:ascii="黑体" w:hAnsi="黑体" w:eastAsia="黑体"/>
          <w:kern w:val="0"/>
          <w:sz w:val="18"/>
          <w:szCs w:val="18"/>
        </w:rPr>
      </w:pPr>
      <w:r>
        <w:rPr>
          <w:rFonts w:hint="eastAsia" w:ascii="黑体" w:hAnsi="黑体" w:eastAsia="黑体"/>
          <w:kern w:val="0"/>
          <w:sz w:val="18"/>
          <w:szCs w:val="18"/>
        </w:rPr>
        <w:t>8</w:t>
      </w:r>
      <w:r>
        <w:rPr>
          <w:rFonts w:ascii="黑体" w:hAnsi="黑体" w:eastAsia="黑体"/>
          <w:kern w:val="0"/>
          <w:sz w:val="18"/>
          <w:szCs w:val="18"/>
        </w:rPr>
        <w:t>.    现浇轻质泡沫混凝土浆料各组分用量应根据配合比设计确定，并确保料浆和泡沫充分混合均匀，保证其流动性和浇筑高度。</w:t>
      </w:r>
    </w:p>
    <w:p w14:paraId="52F5D3DD">
      <w:pPr>
        <w:pStyle w:val="119"/>
      </w:pPr>
      <w:bookmarkStart w:id="112" w:name="_Toc136956878"/>
      <w:bookmarkStart w:id="113" w:name="_Toc252374314"/>
      <w:bookmarkStart w:id="114" w:name="_Toc260929517"/>
      <w:bookmarkStart w:id="115" w:name="_Toc469987319"/>
      <w:bookmarkStart w:id="116" w:name="_Toc469931463"/>
      <w:r>
        <w:rPr>
          <w:rFonts w:hint="eastAsia"/>
        </w:rPr>
        <w:t>配合比</w:t>
      </w:r>
      <w:bookmarkEnd w:id="112"/>
      <w:bookmarkEnd w:id="113"/>
      <w:bookmarkEnd w:id="114"/>
      <w:bookmarkEnd w:id="115"/>
      <w:bookmarkEnd w:id="116"/>
    </w:p>
    <w:p w14:paraId="32AEB50A">
      <w:pPr>
        <w:pStyle w:val="51"/>
        <w:numPr>
          <w:ilvl w:val="0"/>
          <w:numId w:val="87"/>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生产现浇轻质泡沫混凝土时,应先配制水泥浆液，后计算所需泡沫体积，最后将水泥浆和泡沫混合均匀。</w:t>
      </w:r>
    </w:p>
    <w:p w14:paraId="6AF41807">
      <w:pPr>
        <w:pStyle w:val="51"/>
        <w:numPr>
          <w:ilvl w:val="0"/>
          <w:numId w:val="87"/>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现浇轻质泡沫混凝土的配合比应按设计体积密度来配制.</w:t>
      </w:r>
    </w:p>
    <w:p w14:paraId="2EAC10EF">
      <w:pPr>
        <w:pStyle w:val="51"/>
        <w:numPr>
          <w:ilvl w:val="0"/>
          <w:numId w:val="87"/>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现浇轻质泡沫混凝土的配合比设计步骤宜符合下列规定：</w:t>
      </w:r>
    </w:p>
    <w:p w14:paraId="730C7B46">
      <w:pPr>
        <w:spacing w:line="360" w:lineRule="auto"/>
        <w:ind w:left="989" w:leftChars="203" w:hanging="563" w:hangingChars="313"/>
        <w:rPr>
          <w:rFonts w:ascii="黑体" w:hAnsi="黑体" w:eastAsia="黑体"/>
          <w:kern w:val="0"/>
          <w:sz w:val="18"/>
          <w:szCs w:val="18"/>
        </w:rPr>
      </w:pPr>
      <w:r>
        <w:rPr>
          <w:rFonts w:ascii="黑体" w:hAnsi="黑体" w:eastAsia="黑体"/>
          <w:kern w:val="0"/>
          <w:sz w:val="18"/>
          <w:szCs w:val="18"/>
        </w:rPr>
        <w:t>1</w:t>
      </w:r>
      <w:r>
        <w:rPr>
          <w:rFonts w:hint="eastAsia" w:ascii="黑体" w:hAnsi="黑体" w:eastAsia="黑体"/>
          <w:kern w:val="0"/>
          <w:sz w:val="18"/>
          <w:szCs w:val="18"/>
        </w:rPr>
        <w:t xml:space="preserve">） </w:t>
      </w:r>
      <w:r>
        <w:rPr>
          <w:rFonts w:ascii="黑体" w:hAnsi="黑体" w:eastAsia="黑体"/>
          <w:kern w:val="0"/>
          <w:sz w:val="18"/>
          <w:szCs w:val="18"/>
        </w:rPr>
        <w:t xml:space="preserve">  每立方米现浇轻质泡沫混凝土水泥用量应按式(11</w:t>
      </w:r>
      <w:r>
        <w:rPr>
          <w:rFonts w:hint="eastAsia" w:ascii="黑体" w:hAnsi="黑体" w:eastAsia="黑体"/>
          <w:kern w:val="0"/>
          <w:sz w:val="18"/>
          <w:szCs w:val="18"/>
        </w:rPr>
        <w:t>.</w:t>
      </w:r>
      <w:r>
        <w:rPr>
          <w:rFonts w:ascii="黑体" w:hAnsi="黑体" w:eastAsia="黑体"/>
          <w:kern w:val="0"/>
          <w:sz w:val="18"/>
          <w:szCs w:val="18"/>
        </w:rPr>
        <w:t>3-1）计算确定：</w:t>
      </w:r>
    </w:p>
    <w:p w14:paraId="04DF168F">
      <w:pPr>
        <w:spacing w:line="360" w:lineRule="auto"/>
        <w:jc w:val="right"/>
        <w:rPr>
          <w:rFonts w:ascii="黑体" w:hAnsi="黑体" w:eastAsia="黑体"/>
          <w:kern w:val="0"/>
          <w:sz w:val="18"/>
          <w:szCs w:val="18"/>
        </w:rPr>
      </w:pPr>
      <w:r>
        <w:rPr>
          <w:rFonts w:ascii="黑体" w:hAnsi="黑体" w:eastAsia="黑体"/>
          <w:kern w:val="0"/>
          <w:sz w:val="18"/>
          <w:szCs w:val="18"/>
        </w:rPr>
        <w:object>
          <v:shape id="_x0000_i1030" o:spt="75" type="#_x0000_t75" style="height:23.4pt;width:84.1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25" r:id="rId28">
            <o:LockedField>false</o:LockedField>
          </o:OLEObject>
        </w:object>
      </w:r>
      <w:r>
        <w:rPr>
          <w:rFonts w:ascii="黑体" w:hAnsi="黑体" w:eastAsia="黑体"/>
          <w:kern w:val="0"/>
          <w:sz w:val="18"/>
          <w:szCs w:val="18"/>
        </w:rPr>
        <w:t xml:space="preserve">             </w:t>
      </w:r>
      <w:r>
        <w:rPr>
          <w:rFonts w:hint="eastAsia" w:ascii="黑体" w:hAnsi="黑体" w:eastAsia="黑体"/>
          <w:kern w:val="0"/>
          <w:sz w:val="18"/>
          <w:szCs w:val="18"/>
        </w:rPr>
        <w:t>（</w:t>
      </w:r>
      <w:r>
        <w:rPr>
          <w:rFonts w:ascii="黑体" w:hAnsi="黑体" w:eastAsia="黑体"/>
          <w:kern w:val="0"/>
          <w:sz w:val="18"/>
          <w:szCs w:val="18"/>
        </w:rPr>
        <w:t>11.3-1)</w:t>
      </w:r>
    </w:p>
    <w:p w14:paraId="5F9AEBF3">
      <w:pPr>
        <w:spacing w:line="360" w:lineRule="auto"/>
        <w:jc w:val="left"/>
        <w:rPr>
          <w:rFonts w:ascii="黑体" w:hAnsi="黑体" w:eastAsia="黑体"/>
          <w:kern w:val="0"/>
          <w:sz w:val="18"/>
          <w:szCs w:val="18"/>
        </w:rPr>
      </w:pPr>
      <w:r>
        <w:rPr>
          <w:rFonts w:hint="eastAsia" w:ascii="黑体" w:hAnsi="黑体" w:eastAsia="黑体"/>
          <w:kern w:val="0"/>
          <w:sz w:val="18"/>
          <w:szCs w:val="18"/>
        </w:rPr>
        <w:t>式中</w:t>
      </w:r>
      <w:r>
        <w:rPr>
          <w:rFonts w:ascii="黑体" w:hAnsi="黑体" w:eastAsia="黑体"/>
          <w:kern w:val="0"/>
          <w:sz w:val="18"/>
          <w:szCs w:val="18"/>
        </w:rPr>
        <w:t xml:space="preserve">  </w:t>
      </w:r>
      <w:r>
        <w:rPr>
          <w:rFonts w:ascii="黑体" w:hAnsi="黑体" w:eastAsia="黑体"/>
          <w:kern w:val="0"/>
          <w:sz w:val="18"/>
          <w:szCs w:val="18"/>
        </w:rPr>
        <w:object>
          <v:shape id="_x0000_i1031" o:spt="75" type="#_x0000_t75" style="height:23.4pt;width:19.6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26" r:id="rId30">
            <o:LockedField>false</o:LockedField>
          </o:OLEObject>
        </w:object>
      </w:r>
      <w:r>
        <w:rPr>
          <w:rFonts w:hint="eastAsia" w:ascii="黑体" w:hAnsi="黑体" w:eastAsia="黑体"/>
          <w:kern w:val="0"/>
          <w:sz w:val="18"/>
          <w:szCs w:val="18"/>
        </w:rPr>
        <w:t>——拟配制泡沫混凝土每立方米的质量（㎏</w:t>
      </w:r>
      <w:r>
        <w:rPr>
          <w:rFonts w:ascii="黑体" w:hAnsi="黑体" w:eastAsia="黑体"/>
          <w:kern w:val="0"/>
          <w:sz w:val="18"/>
          <w:szCs w:val="18"/>
        </w:rPr>
        <w:t>/m3)；</w:t>
      </w:r>
    </w:p>
    <w:p w14:paraId="1586923A">
      <w:pPr>
        <w:spacing w:line="360" w:lineRule="auto"/>
        <w:ind w:firstLine="540" w:firstLineChars="300"/>
        <w:rPr>
          <w:rFonts w:ascii="黑体" w:hAnsi="黑体" w:eastAsia="黑体"/>
          <w:kern w:val="0"/>
          <w:sz w:val="18"/>
          <w:szCs w:val="18"/>
        </w:rPr>
      </w:pPr>
      <w:r>
        <w:rPr>
          <w:rFonts w:ascii="黑体" w:hAnsi="黑体" w:eastAsia="黑体"/>
          <w:kern w:val="0"/>
          <w:sz w:val="18"/>
          <w:szCs w:val="18"/>
        </w:rPr>
        <w:object>
          <v:shape id="_x0000_i1032" o:spt="75" type="#_x0000_t75" style="height:21.5pt;width:19.6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27" r:id="rId32">
            <o:LockedField>false</o:LockedField>
          </o:OLEObject>
        </w:object>
      </w:r>
      <w:r>
        <w:rPr>
          <w:rFonts w:hint="eastAsia" w:ascii="黑体" w:hAnsi="黑体" w:eastAsia="黑体"/>
          <w:kern w:val="0"/>
          <w:sz w:val="18"/>
          <w:szCs w:val="18"/>
        </w:rPr>
        <w:t>——拟配制泡沫混凝土每立方米的水泥用量（㎏</w:t>
      </w:r>
      <w:r>
        <w:rPr>
          <w:rFonts w:ascii="黑体" w:hAnsi="黑体" w:eastAsia="黑体"/>
          <w:kern w:val="0"/>
          <w:sz w:val="18"/>
          <w:szCs w:val="18"/>
        </w:rPr>
        <w:t>/m3</w:t>
      </w:r>
      <w:r>
        <w:rPr>
          <w:rFonts w:hint="eastAsia" w:ascii="黑体" w:hAnsi="黑体" w:eastAsia="黑体"/>
          <w:kern w:val="0"/>
          <w:sz w:val="18"/>
          <w:szCs w:val="18"/>
        </w:rPr>
        <w:t>）；</w:t>
      </w:r>
    </w:p>
    <w:p w14:paraId="6A0A7714">
      <w:pPr>
        <w:spacing w:line="360" w:lineRule="auto"/>
        <w:ind w:firstLine="424" w:firstLineChars="236"/>
        <w:rPr>
          <w:rFonts w:ascii="黑体" w:hAnsi="黑体" w:eastAsia="黑体"/>
          <w:kern w:val="0"/>
          <w:sz w:val="18"/>
          <w:szCs w:val="18"/>
        </w:rPr>
      </w:pPr>
      <w:r>
        <w:rPr>
          <w:rFonts w:ascii="黑体" w:hAnsi="黑体" w:eastAsia="黑体"/>
          <w:kern w:val="0"/>
          <w:sz w:val="18"/>
          <w:szCs w:val="18"/>
        </w:rPr>
        <w:t>2</w:t>
      </w:r>
      <w:r>
        <w:rPr>
          <w:rFonts w:hint="eastAsia" w:ascii="黑体" w:hAnsi="黑体" w:eastAsia="黑体"/>
          <w:kern w:val="0"/>
          <w:sz w:val="18"/>
          <w:szCs w:val="18"/>
        </w:rPr>
        <w:t xml:space="preserve">） </w:t>
      </w:r>
      <w:r>
        <w:rPr>
          <w:rFonts w:ascii="黑体" w:hAnsi="黑体" w:eastAsia="黑体"/>
          <w:kern w:val="0"/>
          <w:sz w:val="18"/>
          <w:szCs w:val="18"/>
        </w:rPr>
        <w:t xml:space="preserve">    每立方米现浇轻质泡沫混凝土用水量按式（11.3—2)计算确定:</w:t>
      </w:r>
    </w:p>
    <w:p w14:paraId="67D7E3CF">
      <w:pPr>
        <w:wordWrap w:val="0"/>
        <w:spacing w:line="360" w:lineRule="auto"/>
        <w:jc w:val="right"/>
        <w:rPr>
          <w:rFonts w:ascii="黑体" w:hAnsi="黑体" w:eastAsia="黑体"/>
          <w:kern w:val="0"/>
          <w:sz w:val="18"/>
          <w:szCs w:val="18"/>
        </w:rPr>
      </w:pPr>
      <w:r>
        <w:rPr>
          <w:rFonts w:ascii="黑体" w:hAnsi="黑体" w:eastAsia="黑体"/>
          <w:kern w:val="0"/>
          <w:sz w:val="18"/>
          <w:szCs w:val="18"/>
        </w:rPr>
        <w:object>
          <v:shape id="_x0000_i1033" o:spt="75" type="#_x0000_t75" style="height:19.65pt;width:80.4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28" r:id="rId34">
            <o:LockedField>false</o:LockedField>
          </o:OLEObject>
        </w:object>
      </w:r>
      <w:r>
        <w:rPr>
          <w:rFonts w:ascii="黑体" w:hAnsi="黑体" w:eastAsia="黑体"/>
          <w:kern w:val="0"/>
          <w:sz w:val="18"/>
          <w:szCs w:val="18"/>
        </w:rPr>
        <w:t xml:space="preserve">             （11.3—2）</w:t>
      </w:r>
    </w:p>
    <w:p w14:paraId="3AF343BF">
      <w:pPr>
        <w:spacing w:line="360" w:lineRule="auto"/>
        <w:rPr>
          <w:rFonts w:ascii="黑体" w:hAnsi="黑体" w:eastAsia="黑体"/>
          <w:kern w:val="0"/>
          <w:sz w:val="18"/>
          <w:szCs w:val="18"/>
        </w:rPr>
      </w:pPr>
      <w:r>
        <w:rPr>
          <w:rFonts w:hint="eastAsia" w:ascii="黑体" w:hAnsi="黑体" w:eastAsia="黑体"/>
          <w:kern w:val="0"/>
          <w:sz w:val="18"/>
          <w:szCs w:val="18"/>
        </w:rPr>
        <w:t>式中</w:t>
      </w:r>
      <w:r>
        <w:rPr>
          <w:rFonts w:ascii="黑体" w:hAnsi="黑体" w:eastAsia="黑体"/>
          <w:kern w:val="0"/>
          <w:sz w:val="18"/>
          <w:szCs w:val="18"/>
        </w:rPr>
        <w:t xml:space="preserve">  </w:t>
      </w:r>
      <w:r>
        <w:rPr>
          <w:rFonts w:ascii="黑体" w:hAnsi="黑体" w:eastAsia="黑体"/>
          <w:kern w:val="0"/>
          <w:sz w:val="18"/>
          <w:szCs w:val="18"/>
        </w:rPr>
        <w:object>
          <v:shape id="_x0000_i1034" o:spt="75" type="#_x0000_t75" style="height:19.65pt;width:19.65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29" r:id="rId36">
            <o:LockedField>false</o:LockedField>
          </o:OLEObject>
        </w:object>
      </w:r>
      <w:r>
        <w:rPr>
          <w:rFonts w:hint="eastAsia" w:ascii="黑体" w:hAnsi="黑体" w:eastAsia="黑体"/>
          <w:kern w:val="0"/>
          <w:sz w:val="18"/>
          <w:szCs w:val="18"/>
        </w:rPr>
        <w:t>——拟配制泡沫混凝土每立方米的用水量（㎏</w:t>
      </w:r>
      <w:r>
        <w:rPr>
          <w:rFonts w:ascii="黑体" w:hAnsi="黑体" w:eastAsia="黑体"/>
          <w:kern w:val="0"/>
          <w:sz w:val="18"/>
          <w:szCs w:val="18"/>
        </w:rPr>
        <w:t>/m3</w:t>
      </w:r>
      <w:r>
        <w:rPr>
          <w:rFonts w:hint="eastAsia" w:ascii="黑体" w:hAnsi="黑体" w:eastAsia="黑体"/>
          <w:kern w:val="0"/>
          <w:sz w:val="18"/>
          <w:szCs w:val="18"/>
        </w:rPr>
        <w:t>）；</w:t>
      </w:r>
    </w:p>
    <w:p w14:paraId="3A5B1095">
      <w:pPr>
        <w:spacing w:line="360" w:lineRule="auto"/>
        <w:ind w:firstLine="540" w:firstLineChars="300"/>
        <w:rPr>
          <w:rFonts w:ascii="黑体" w:hAnsi="黑体" w:eastAsia="黑体"/>
          <w:kern w:val="0"/>
          <w:sz w:val="18"/>
          <w:szCs w:val="18"/>
        </w:rPr>
      </w:pPr>
      <w:r>
        <w:rPr>
          <w:rFonts w:ascii="黑体" w:hAnsi="黑体" w:eastAsia="黑体"/>
          <w:kern w:val="0"/>
          <w:sz w:val="18"/>
          <w:szCs w:val="18"/>
        </w:rPr>
        <w:object>
          <v:shape id="_x0000_i1035" o:spt="75" type="#_x0000_t75" style="height:21.5pt;width:19.65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0" r:id="rId38">
            <o:LockedField>false</o:LockedField>
          </o:OLEObject>
        </w:object>
      </w:r>
      <w:r>
        <w:rPr>
          <w:rFonts w:ascii="黑体" w:hAnsi="黑体" w:eastAsia="黑体"/>
          <w:kern w:val="0"/>
          <w:sz w:val="18"/>
          <w:szCs w:val="18"/>
        </w:rPr>
        <w:t>-—拟配制泡沫混凝土每立方米的水泥用量（㎏/m3)；</w:t>
      </w:r>
    </w:p>
    <w:p w14:paraId="1A900A71">
      <w:pPr>
        <w:spacing w:line="360" w:lineRule="auto"/>
        <w:ind w:left="1" w:firstLine="424" w:firstLineChars="236"/>
        <w:rPr>
          <w:rFonts w:ascii="黑体" w:hAnsi="黑体" w:eastAsia="黑体"/>
          <w:kern w:val="0"/>
          <w:sz w:val="18"/>
          <w:szCs w:val="18"/>
        </w:rPr>
      </w:pPr>
      <w:r>
        <w:rPr>
          <w:rFonts w:ascii="黑体" w:hAnsi="黑体" w:eastAsia="黑体"/>
          <w:kern w:val="0"/>
          <w:sz w:val="18"/>
          <w:szCs w:val="18"/>
        </w:rPr>
        <w:t>3</w:t>
      </w:r>
      <w:r>
        <w:rPr>
          <w:rFonts w:hint="eastAsia" w:ascii="黑体" w:hAnsi="黑体" w:eastAsia="黑体"/>
          <w:kern w:val="0"/>
          <w:sz w:val="18"/>
          <w:szCs w:val="18"/>
        </w:rPr>
        <w:t xml:space="preserve">） </w:t>
      </w:r>
      <w:r>
        <w:rPr>
          <w:rFonts w:ascii="黑体" w:hAnsi="黑体" w:eastAsia="黑体"/>
          <w:kern w:val="0"/>
          <w:sz w:val="18"/>
          <w:szCs w:val="18"/>
        </w:rPr>
        <w:t xml:space="preserve">      每立方米现浇轻质泡沫混凝土泡沫体积按式</w:t>
      </w:r>
      <w:r>
        <w:rPr>
          <w:rFonts w:hint="eastAsia" w:ascii="黑体" w:hAnsi="黑体" w:eastAsia="黑体"/>
          <w:kern w:val="0"/>
          <w:sz w:val="18"/>
          <w:szCs w:val="18"/>
        </w:rPr>
        <w:t>（1</w:t>
      </w:r>
      <w:r>
        <w:rPr>
          <w:rFonts w:ascii="黑体" w:hAnsi="黑体" w:eastAsia="黑体"/>
          <w:kern w:val="0"/>
          <w:sz w:val="18"/>
          <w:szCs w:val="18"/>
        </w:rPr>
        <w:t>1.3—3）计算确定：</w:t>
      </w:r>
    </w:p>
    <w:p w14:paraId="173688BB">
      <w:pPr>
        <w:wordWrap w:val="0"/>
        <w:spacing w:line="360" w:lineRule="auto"/>
        <w:ind w:left="562"/>
        <w:jc w:val="right"/>
        <w:rPr>
          <w:rFonts w:ascii="黑体" w:hAnsi="黑体" w:eastAsia="黑体"/>
          <w:kern w:val="0"/>
          <w:sz w:val="18"/>
          <w:szCs w:val="18"/>
        </w:rPr>
      </w:pPr>
      <w:r>
        <w:rPr>
          <w:rFonts w:ascii="黑体" w:hAnsi="黑体" w:eastAsia="黑体"/>
          <w:kern w:val="0"/>
          <w:sz w:val="18"/>
          <w:szCs w:val="18"/>
        </w:rPr>
        <w:object>
          <v:shape id="_x0000_i1036" o:spt="75" type="#_x0000_t75" style="height:35.55pt;width:90.7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1" r:id="rId40">
            <o:LockedField>false</o:LockedField>
          </o:OLEObject>
        </w:object>
      </w:r>
      <w:r>
        <w:rPr>
          <w:rFonts w:ascii="黑体" w:hAnsi="黑体" w:eastAsia="黑体"/>
          <w:kern w:val="0"/>
          <w:sz w:val="18"/>
          <w:szCs w:val="18"/>
        </w:rPr>
        <w:t xml:space="preserve">          </w:t>
      </w:r>
      <w:r>
        <w:rPr>
          <w:rFonts w:hint="eastAsia" w:ascii="黑体" w:hAnsi="黑体" w:eastAsia="黑体"/>
          <w:kern w:val="0"/>
          <w:sz w:val="18"/>
          <w:szCs w:val="18"/>
        </w:rPr>
        <w:t>（</w:t>
      </w:r>
      <w:r>
        <w:rPr>
          <w:rFonts w:ascii="黑体" w:hAnsi="黑体" w:eastAsia="黑体"/>
          <w:kern w:val="0"/>
          <w:sz w:val="18"/>
          <w:szCs w:val="18"/>
        </w:rPr>
        <w:t>11.3—3）</w:t>
      </w:r>
    </w:p>
    <w:p w14:paraId="56D60B02">
      <w:pPr>
        <w:spacing w:line="360" w:lineRule="auto"/>
        <w:rPr>
          <w:rFonts w:ascii="黑体" w:hAnsi="黑体" w:eastAsia="黑体"/>
          <w:kern w:val="0"/>
          <w:sz w:val="18"/>
          <w:szCs w:val="18"/>
        </w:rPr>
      </w:pPr>
      <w:r>
        <w:rPr>
          <w:rFonts w:hint="eastAsia" w:ascii="黑体" w:hAnsi="黑体" w:eastAsia="黑体"/>
          <w:kern w:val="0"/>
          <w:sz w:val="18"/>
          <w:szCs w:val="18"/>
        </w:rPr>
        <w:t>式中</w:t>
      </w:r>
      <w:r>
        <w:rPr>
          <w:rFonts w:ascii="黑体" w:hAnsi="黑体" w:eastAsia="黑体"/>
          <w:kern w:val="0"/>
          <w:sz w:val="18"/>
          <w:szCs w:val="18"/>
        </w:rPr>
        <w:t xml:space="preserve">  </w:t>
      </w:r>
      <w:r>
        <w:rPr>
          <w:rFonts w:ascii="黑体" w:hAnsi="黑体" w:eastAsia="黑体"/>
          <w:kern w:val="0"/>
          <w:sz w:val="18"/>
          <w:szCs w:val="18"/>
        </w:rPr>
        <w:object>
          <v:shape id="_x0000_i1037" o:spt="75" type="#_x0000_t75" style="height:17.75pt;width:14.05pt;" o:ole="t" filled="f" o:preferrelative="t" stroked="f" coordsize="21600,21600">
            <v:path/>
            <v:fill on="f" focussize="0,0"/>
            <v:stroke on="f" joinstyle="miter"/>
            <v:imagedata r:id="rId43" o:title=""/>
            <o:lock v:ext="edit" aspectratio="t"/>
            <w10:wrap type="none"/>
            <w10:anchorlock/>
          </v:shape>
          <o:OLEObject Type="Embed" ProgID="Equation.3" ShapeID="_x0000_i1037" DrawAspect="Content" ObjectID="_1468075732" r:id="rId42">
            <o:LockedField>false</o:LockedField>
          </o:OLEObject>
        </w:object>
      </w:r>
      <w:r>
        <w:rPr>
          <w:rFonts w:ascii="黑体" w:hAnsi="黑体" w:eastAsia="黑体"/>
          <w:kern w:val="0"/>
          <w:sz w:val="18"/>
          <w:szCs w:val="18"/>
        </w:rPr>
        <w:t xml:space="preserve"> </w:t>
      </w:r>
      <w:r>
        <w:rPr>
          <w:rFonts w:hint="eastAsia" w:ascii="黑体" w:hAnsi="黑体" w:eastAsia="黑体"/>
          <w:kern w:val="0"/>
          <w:sz w:val="18"/>
          <w:szCs w:val="18"/>
        </w:rPr>
        <w:t>—</w:t>
      </w:r>
      <w:r>
        <w:rPr>
          <w:rFonts w:ascii="黑体" w:hAnsi="黑体" w:eastAsia="黑体"/>
          <w:kern w:val="0"/>
          <w:sz w:val="18"/>
          <w:szCs w:val="18"/>
        </w:rPr>
        <w:t>-拟配制泡沫混凝土泡沫体积(m3</w:t>
      </w:r>
      <w:r>
        <w:rPr>
          <w:rFonts w:hint="eastAsia" w:ascii="黑体" w:hAnsi="黑体" w:eastAsia="黑体"/>
          <w:kern w:val="0"/>
          <w:sz w:val="18"/>
          <w:szCs w:val="18"/>
        </w:rPr>
        <w:t>）；</w:t>
      </w:r>
    </w:p>
    <w:p w14:paraId="5964C771">
      <w:pPr>
        <w:spacing w:line="360" w:lineRule="auto"/>
        <w:ind w:firstLine="540" w:firstLineChars="300"/>
        <w:rPr>
          <w:rFonts w:ascii="黑体" w:hAnsi="黑体" w:eastAsia="黑体"/>
          <w:kern w:val="0"/>
          <w:sz w:val="18"/>
          <w:szCs w:val="18"/>
        </w:rPr>
      </w:pPr>
      <w:r>
        <w:rPr>
          <w:rFonts w:ascii="黑体" w:hAnsi="黑体" w:eastAsia="黑体"/>
          <w:kern w:val="0"/>
          <w:sz w:val="18"/>
          <w:szCs w:val="18"/>
        </w:rPr>
        <w:object>
          <v:shape id="_x0000_i1038" o:spt="75" type="#_x0000_t75" style="height:21.5pt;width:19.65pt;" o:ole="t" filled="f" o:preferrelative="t" stroked="f" coordsize="21600,21600">
            <v:path/>
            <v:fill on="f" focussize="0,0"/>
            <v:stroke on="f" joinstyle="miter"/>
            <v:imagedata r:id="rId45" o:title=""/>
            <o:lock v:ext="edit" aspectratio="t"/>
            <w10:wrap type="none"/>
            <w10:anchorlock/>
          </v:shape>
          <o:OLEObject Type="Embed" ProgID="Equation.3" ShapeID="_x0000_i1038" DrawAspect="Content" ObjectID="_1468075733" r:id="rId44">
            <o:LockedField>false</o:LockedField>
          </o:OLEObject>
        </w:object>
      </w:r>
      <w:r>
        <w:rPr>
          <w:rFonts w:hint="eastAsia" w:ascii="黑体" w:hAnsi="黑体" w:eastAsia="黑体"/>
          <w:kern w:val="0"/>
          <w:sz w:val="18"/>
          <w:szCs w:val="18"/>
        </w:rPr>
        <w:t>——拟配制泡沫混凝土每立方米的水泥用量（㎏</w:t>
      </w:r>
      <w:r>
        <w:rPr>
          <w:rFonts w:ascii="黑体" w:hAnsi="黑体" w:eastAsia="黑体"/>
          <w:kern w:val="0"/>
          <w:sz w:val="18"/>
          <w:szCs w:val="18"/>
        </w:rPr>
        <w:t>/m3</w:t>
      </w:r>
      <w:r>
        <w:rPr>
          <w:rFonts w:hint="eastAsia" w:ascii="黑体" w:hAnsi="黑体" w:eastAsia="黑体"/>
          <w:kern w:val="0"/>
          <w:sz w:val="18"/>
          <w:szCs w:val="18"/>
        </w:rPr>
        <w:t>）；</w:t>
      </w:r>
    </w:p>
    <w:p w14:paraId="20144E2A">
      <w:pPr>
        <w:spacing w:line="360" w:lineRule="auto"/>
        <w:ind w:firstLine="540" w:firstLineChars="300"/>
        <w:rPr>
          <w:rFonts w:ascii="黑体" w:hAnsi="黑体" w:eastAsia="黑体"/>
          <w:kern w:val="0"/>
          <w:sz w:val="18"/>
          <w:szCs w:val="18"/>
        </w:rPr>
      </w:pPr>
      <w:r>
        <w:rPr>
          <w:rFonts w:ascii="黑体" w:hAnsi="黑体" w:eastAsia="黑体"/>
          <w:kern w:val="0"/>
          <w:sz w:val="18"/>
          <w:szCs w:val="18"/>
        </w:rPr>
        <w:object>
          <v:shape id="_x0000_i1039" o:spt="75" type="#_x0000_t75" style="height:19.65pt;width:19.65pt;" o:ole="t" filled="f" o:preferrelative="t" stroked="f" coordsize="21600,21600">
            <v:path/>
            <v:fill on="f" focussize="0,0"/>
            <v:stroke on="f" joinstyle="miter"/>
            <v:imagedata r:id="rId47" o:title=""/>
            <o:lock v:ext="edit" aspectratio="t"/>
            <w10:wrap type="none"/>
            <w10:anchorlock/>
          </v:shape>
          <o:OLEObject Type="Embed" ProgID="Equation.3" ShapeID="_x0000_i1039" DrawAspect="Content" ObjectID="_1468075734" r:id="rId46">
            <o:LockedField>false</o:LockedField>
          </o:OLEObject>
        </w:object>
      </w:r>
      <w:r>
        <w:rPr>
          <w:rFonts w:hint="eastAsia" w:ascii="黑体" w:hAnsi="黑体" w:eastAsia="黑体"/>
          <w:kern w:val="0"/>
          <w:sz w:val="18"/>
          <w:szCs w:val="18"/>
        </w:rPr>
        <w:t>——拟配制泡沫混凝土每立方米的用水量</w:t>
      </w:r>
      <w:r>
        <w:rPr>
          <w:rFonts w:ascii="黑体" w:hAnsi="黑体" w:eastAsia="黑体"/>
          <w:kern w:val="0"/>
          <w:sz w:val="18"/>
          <w:szCs w:val="18"/>
        </w:rPr>
        <w:t>(</w:t>
      </w:r>
      <w:r>
        <w:rPr>
          <w:rFonts w:hint="eastAsia" w:ascii="黑体" w:hAnsi="黑体" w:eastAsia="黑体"/>
          <w:kern w:val="0"/>
          <w:sz w:val="18"/>
          <w:szCs w:val="18"/>
        </w:rPr>
        <w:t>㎏</w:t>
      </w:r>
      <w:r>
        <w:rPr>
          <w:rFonts w:ascii="黑体" w:hAnsi="黑体" w:eastAsia="黑体"/>
          <w:kern w:val="0"/>
          <w:sz w:val="18"/>
          <w:szCs w:val="18"/>
        </w:rPr>
        <w:t>/m3</w:t>
      </w:r>
      <w:r>
        <w:rPr>
          <w:rFonts w:hint="eastAsia" w:ascii="黑体" w:hAnsi="黑体" w:eastAsia="黑体"/>
          <w:kern w:val="0"/>
          <w:sz w:val="18"/>
          <w:szCs w:val="18"/>
        </w:rPr>
        <w:t>）；</w:t>
      </w:r>
    </w:p>
    <w:p w14:paraId="46A51D9B">
      <w:pPr>
        <w:spacing w:line="360" w:lineRule="auto"/>
        <w:ind w:firstLine="540" w:firstLineChars="300"/>
        <w:rPr>
          <w:rFonts w:ascii="黑体" w:hAnsi="黑体" w:eastAsia="黑体"/>
          <w:kern w:val="0"/>
          <w:sz w:val="18"/>
          <w:szCs w:val="18"/>
        </w:rPr>
      </w:pPr>
      <w:r>
        <w:rPr>
          <w:rFonts w:ascii="黑体" w:hAnsi="黑体" w:eastAsia="黑体"/>
          <w:kern w:val="0"/>
          <w:sz w:val="18"/>
          <w:szCs w:val="18"/>
        </w:rPr>
        <w:object>
          <v:shape id="_x0000_i1040" o:spt="75" type="#_x0000_t75" style="height:18.7pt;width:15.9pt;" o:ole="t" filled="f" o:preferrelative="t" stroked="f" coordsize="21600,21600">
            <v:path/>
            <v:fill on="f" focussize="0,0"/>
            <v:stroke on="f" joinstyle="miter"/>
            <v:imagedata r:id="rId49" o:title=""/>
            <o:lock v:ext="edit" aspectratio="t"/>
            <w10:wrap type="none"/>
            <w10:anchorlock/>
          </v:shape>
          <o:OLEObject Type="Embed" ProgID="Equation.3" ShapeID="_x0000_i1040" DrawAspect="Content" ObjectID="_1468075735" r:id="rId48">
            <o:LockedField>false</o:LockedField>
          </o:OLEObject>
        </w:object>
      </w:r>
      <w:r>
        <w:rPr>
          <w:rFonts w:ascii="黑体" w:hAnsi="黑体" w:eastAsia="黑体"/>
          <w:kern w:val="0"/>
          <w:sz w:val="18"/>
          <w:szCs w:val="18"/>
        </w:rPr>
        <w:t>-</w:t>
      </w:r>
      <w:r>
        <w:rPr>
          <w:rFonts w:hint="eastAsia" w:ascii="黑体" w:hAnsi="黑体" w:eastAsia="黑体"/>
          <w:kern w:val="0"/>
          <w:sz w:val="18"/>
          <w:szCs w:val="18"/>
        </w:rPr>
        <w:t>—水泥的表观密度（㎏</w:t>
      </w:r>
      <w:r>
        <w:rPr>
          <w:rFonts w:ascii="黑体" w:hAnsi="黑体" w:eastAsia="黑体"/>
          <w:kern w:val="0"/>
          <w:sz w:val="18"/>
          <w:szCs w:val="18"/>
        </w:rPr>
        <w:t>/m3</w:t>
      </w:r>
      <w:r>
        <w:rPr>
          <w:rFonts w:hint="eastAsia" w:ascii="黑体" w:hAnsi="黑体" w:eastAsia="黑体"/>
          <w:kern w:val="0"/>
          <w:sz w:val="18"/>
          <w:szCs w:val="18"/>
        </w:rPr>
        <w:t>）；</w:t>
      </w:r>
    </w:p>
    <w:p w14:paraId="7DF04A49">
      <w:pPr>
        <w:spacing w:line="360" w:lineRule="auto"/>
        <w:ind w:firstLine="540" w:firstLineChars="300"/>
        <w:rPr>
          <w:rFonts w:ascii="黑体" w:hAnsi="黑体" w:eastAsia="黑体"/>
          <w:kern w:val="0"/>
          <w:sz w:val="18"/>
          <w:szCs w:val="18"/>
        </w:rPr>
      </w:pPr>
      <w:r>
        <w:rPr>
          <w:rFonts w:ascii="黑体" w:hAnsi="黑体" w:eastAsia="黑体"/>
          <w:kern w:val="0"/>
          <w:sz w:val="18"/>
          <w:szCs w:val="18"/>
        </w:rPr>
        <w:object>
          <v:shape id="_x0000_i1041" o:spt="75" type="#_x0000_t75" style="height:18.7pt;width:17.75pt;" o:ole="t" filled="f" o:preferrelative="t" stroked="f" coordsize="21600,21600">
            <v:path/>
            <v:fill on="f" focussize="0,0"/>
            <v:stroke on="f" joinstyle="miter"/>
            <v:imagedata r:id="rId51" o:title=""/>
            <o:lock v:ext="edit" aspectratio="t"/>
            <w10:wrap type="none"/>
            <w10:anchorlock/>
          </v:shape>
          <o:OLEObject Type="Embed" ProgID="Equation.3" ShapeID="_x0000_i1041" DrawAspect="Content" ObjectID="_1468075736" r:id="rId50">
            <o:LockedField>false</o:LockedField>
          </o:OLEObject>
        </w:object>
      </w:r>
      <w:r>
        <w:rPr>
          <w:rFonts w:hint="eastAsia" w:ascii="黑体" w:hAnsi="黑体" w:eastAsia="黑体"/>
          <w:kern w:val="0"/>
          <w:sz w:val="18"/>
          <w:szCs w:val="18"/>
        </w:rPr>
        <w:t>——水的密度（㎏</w:t>
      </w:r>
      <w:r>
        <w:rPr>
          <w:rFonts w:ascii="黑体" w:hAnsi="黑体" w:eastAsia="黑体"/>
          <w:kern w:val="0"/>
          <w:sz w:val="18"/>
          <w:szCs w:val="18"/>
        </w:rPr>
        <w:t>/m3</w:t>
      </w:r>
      <w:r>
        <w:rPr>
          <w:rFonts w:hint="eastAsia" w:ascii="黑体" w:hAnsi="黑体" w:eastAsia="黑体"/>
          <w:kern w:val="0"/>
          <w:sz w:val="18"/>
          <w:szCs w:val="18"/>
        </w:rPr>
        <w:t>）。</w:t>
      </w:r>
    </w:p>
    <w:p w14:paraId="18EDB513">
      <w:pPr>
        <w:spacing w:line="360" w:lineRule="auto"/>
        <w:ind w:left="991" w:leftChars="202" w:hanging="567" w:hangingChars="315"/>
        <w:rPr>
          <w:rFonts w:ascii="黑体" w:hAnsi="黑体" w:eastAsia="黑体"/>
          <w:kern w:val="0"/>
          <w:sz w:val="18"/>
          <w:szCs w:val="18"/>
        </w:rPr>
      </w:pPr>
      <w:r>
        <w:rPr>
          <w:rFonts w:ascii="黑体" w:hAnsi="黑体" w:eastAsia="黑体"/>
          <w:kern w:val="0"/>
          <w:sz w:val="18"/>
          <w:szCs w:val="18"/>
        </w:rPr>
        <w:t>4</w:t>
      </w:r>
      <w:r>
        <w:rPr>
          <w:rFonts w:hint="eastAsia" w:ascii="黑体" w:hAnsi="黑体" w:eastAsia="黑体"/>
          <w:kern w:val="0"/>
          <w:sz w:val="18"/>
          <w:szCs w:val="18"/>
        </w:rPr>
        <w:t xml:space="preserve">． </w:t>
      </w:r>
      <w:r>
        <w:rPr>
          <w:rFonts w:ascii="黑体" w:hAnsi="黑体" w:eastAsia="黑体"/>
          <w:kern w:val="0"/>
          <w:sz w:val="18"/>
          <w:szCs w:val="18"/>
        </w:rPr>
        <w:t xml:space="preserve">    现场浇筑</w:t>
      </w:r>
      <w:r>
        <w:rPr>
          <w:rFonts w:hint="eastAsia" w:ascii="黑体" w:hAnsi="黑体" w:eastAsia="黑体"/>
          <w:kern w:val="0"/>
          <w:sz w:val="18"/>
          <w:szCs w:val="18"/>
        </w:rPr>
        <w:t>的轻质</w:t>
      </w:r>
      <w:r>
        <w:rPr>
          <w:rFonts w:ascii="黑体" w:hAnsi="黑体" w:eastAsia="黑体"/>
          <w:kern w:val="0"/>
          <w:sz w:val="18"/>
          <w:szCs w:val="18"/>
        </w:rPr>
        <w:t>泡沫混凝土</w:t>
      </w:r>
      <w:r>
        <w:rPr>
          <w:rFonts w:hint="eastAsia" w:ascii="黑体" w:hAnsi="黑体" w:eastAsia="黑体"/>
          <w:kern w:val="0"/>
          <w:sz w:val="18"/>
          <w:szCs w:val="18"/>
        </w:rPr>
        <w:t>宜采用纯水泥浆制得</w:t>
      </w:r>
      <w:r>
        <w:rPr>
          <w:rFonts w:ascii="黑体" w:hAnsi="黑体" w:eastAsia="黑体"/>
          <w:kern w:val="0"/>
          <w:sz w:val="18"/>
          <w:szCs w:val="18"/>
        </w:rPr>
        <w:t>.当掺入粉煤灰时，其最大掺量</w:t>
      </w:r>
      <w:r>
        <w:rPr>
          <w:rFonts w:hint="eastAsia" w:ascii="黑体" w:hAnsi="黑体" w:eastAsia="黑体"/>
          <w:kern w:val="0"/>
          <w:sz w:val="18"/>
          <w:szCs w:val="18"/>
        </w:rPr>
        <w:t>宜为</w:t>
      </w:r>
      <w:r>
        <w:rPr>
          <w:rFonts w:ascii="黑体" w:hAnsi="黑体" w:eastAsia="黑体"/>
          <w:kern w:val="0"/>
          <w:sz w:val="18"/>
          <w:szCs w:val="18"/>
        </w:rPr>
        <w:t>水泥量的20%以下。</w:t>
      </w:r>
    </w:p>
    <w:p w14:paraId="3A0FCB7D">
      <w:pPr>
        <w:spacing w:line="360" w:lineRule="auto"/>
        <w:ind w:left="991" w:leftChars="202" w:hanging="567" w:hangingChars="315"/>
        <w:rPr>
          <w:rFonts w:ascii="黑体" w:hAnsi="黑体" w:eastAsia="黑体"/>
          <w:kern w:val="0"/>
          <w:sz w:val="18"/>
          <w:szCs w:val="18"/>
        </w:rPr>
      </w:pPr>
      <w:r>
        <w:rPr>
          <w:rFonts w:ascii="黑体" w:hAnsi="黑体" w:eastAsia="黑体"/>
          <w:kern w:val="0"/>
          <w:sz w:val="18"/>
          <w:szCs w:val="18"/>
        </w:rPr>
        <w:t xml:space="preserve">5.      配制现浇轻质泡沫混凝土应选择三个不同的配合比,其中一个为基准配合比，另外两个配合比的发泡剂用量分别增减1%,每个配合比各取3组试件检测，经试验检测其性能后确定最终施工配合比。 </w:t>
      </w:r>
    </w:p>
    <w:p w14:paraId="4B40919D">
      <w:pPr>
        <w:pStyle w:val="119"/>
        <w:spacing w:before="0" w:after="0" w:line="415" w:lineRule="auto"/>
      </w:pPr>
      <w:bookmarkStart w:id="117" w:name="_Toc136956879"/>
      <w:bookmarkStart w:id="118" w:name="_Toc469931464"/>
      <w:bookmarkStart w:id="119" w:name="_Toc469987320"/>
      <w:r>
        <w:rPr>
          <w:rFonts w:hint="eastAsia"/>
        </w:rPr>
        <w:t>性能要求</w:t>
      </w:r>
      <w:bookmarkEnd w:id="117"/>
      <w:bookmarkEnd w:id="118"/>
      <w:bookmarkEnd w:id="119"/>
    </w:p>
    <w:p w14:paraId="54421FA7">
      <w:pPr>
        <w:pStyle w:val="51"/>
        <w:numPr>
          <w:ilvl w:val="0"/>
          <w:numId w:val="88"/>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水泥的取样频率和试验方法应按照《通用硅酸盐水泥》GB175执行。</w:t>
      </w:r>
    </w:p>
    <w:p w14:paraId="5FD4CF80">
      <w:pPr>
        <w:pStyle w:val="51"/>
        <w:numPr>
          <w:ilvl w:val="0"/>
          <w:numId w:val="88"/>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发泡剂的取样频率宜按500㎏为一批次，不足500㎏按一批次计,不同</w:t>
      </w:r>
      <w:r>
        <w:rPr>
          <w:rFonts w:hint="eastAsia" w:ascii="黑体" w:hAnsi="黑体" w:eastAsia="黑体"/>
          <w:kern w:val="0"/>
          <w:sz w:val="18"/>
          <w:szCs w:val="18"/>
        </w:rPr>
        <w:t>生产厂家、品种、批号的发泡剂不得混合取样。</w:t>
      </w:r>
    </w:p>
    <w:p w14:paraId="6A925DEF">
      <w:pPr>
        <w:pStyle w:val="51"/>
        <w:numPr>
          <w:ilvl w:val="0"/>
          <w:numId w:val="88"/>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发泡剂的性能指标检测每批不少于1组。</w:t>
      </w:r>
    </w:p>
    <w:p w14:paraId="74227BBE">
      <w:pPr>
        <w:pStyle w:val="51"/>
        <w:numPr>
          <w:ilvl w:val="0"/>
          <w:numId w:val="88"/>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用于检测发泡剂性能指标的泡沫应根据发泡剂的使用说明书进行配制。</w:t>
      </w:r>
    </w:p>
    <w:p w14:paraId="334F18D6">
      <w:pPr>
        <w:pStyle w:val="51"/>
        <w:numPr>
          <w:ilvl w:val="0"/>
          <w:numId w:val="88"/>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发泡剂的发泡倍数，1h的沉降距、泌水量，试验方法见</w:t>
      </w:r>
      <w:r>
        <w:rPr>
          <w:rFonts w:hint="eastAsia" w:ascii="黑体" w:hAnsi="黑体" w:eastAsia="黑体"/>
          <w:kern w:val="0"/>
          <w:sz w:val="18"/>
          <w:szCs w:val="18"/>
        </w:rPr>
        <w:t>1</w:t>
      </w:r>
      <w:r>
        <w:rPr>
          <w:rFonts w:ascii="黑体" w:hAnsi="黑体" w:eastAsia="黑体"/>
          <w:kern w:val="0"/>
          <w:sz w:val="18"/>
          <w:szCs w:val="18"/>
        </w:rPr>
        <w:t>1</w:t>
      </w:r>
      <w:r>
        <w:rPr>
          <w:rFonts w:hint="eastAsia" w:ascii="黑体" w:hAnsi="黑体" w:eastAsia="黑体"/>
          <w:kern w:val="0"/>
          <w:sz w:val="18"/>
          <w:szCs w:val="18"/>
        </w:rPr>
        <w:t>-</w:t>
      </w:r>
      <w:r>
        <w:rPr>
          <w:rFonts w:ascii="黑体" w:hAnsi="黑体" w:eastAsia="黑体"/>
          <w:kern w:val="0"/>
          <w:sz w:val="18"/>
          <w:szCs w:val="18"/>
        </w:rPr>
        <w:t>8。</w:t>
      </w:r>
    </w:p>
    <w:p w14:paraId="2CB7E9AF">
      <w:pPr>
        <w:pStyle w:val="51"/>
        <w:numPr>
          <w:ilvl w:val="0"/>
          <w:numId w:val="88"/>
        </w:numPr>
        <w:spacing w:line="360" w:lineRule="auto"/>
        <w:ind w:left="993" w:hanging="567" w:firstLineChars="0"/>
        <w:rPr>
          <w:rFonts w:ascii="黑体" w:hAnsi="黑体" w:eastAsia="黑体"/>
          <w:kern w:val="0"/>
          <w:sz w:val="18"/>
          <w:szCs w:val="18"/>
        </w:rPr>
      </w:pPr>
      <w:r>
        <w:rPr>
          <w:rFonts w:ascii="黑体" w:hAnsi="黑体" w:eastAsia="黑体"/>
          <w:kern w:val="0"/>
          <w:sz w:val="18"/>
          <w:szCs w:val="18"/>
        </w:rPr>
        <w:t>现浇轻质泡沫混凝土可现场拌制或进行预拌,其物理性能应符合表</w:t>
      </w:r>
      <w:r>
        <w:rPr>
          <w:rFonts w:hint="eastAsia" w:ascii="黑体" w:hAnsi="黑体" w:eastAsia="黑体"/>
          <w:kern w:val="0"/>
          <w:sz w:val="18"/>
          <w:szCs w:val="18"/>
        </w:rPr>
        <w:t>1</w:t>
      </w:r>
      <w:r>
        <w:rPr>
          <w:rFonts w:ascii="黑体" w:hAnsi="黑体" w:eastAsia="黑体"/>
          <w:kern w:val="0"/>
          <w:sz w:val="18"/>
          <w:szCs w:val="18"/>
        </w:rPr>
        <w:t>1.4要求。</w:t>
      </w:r>
    </w:p>
    <w:p w14:paraId="11729F5C">
      <w:pPr>
        <w:spacing w:line="360" w:lineRule="auto"/>
        <w:jc w:val="center"/>
        <w:rPr>
          <w:rFonts w:ascii="黑体" w:hAnsi="黑体" w:eastAsia="黑体"/>
          <w:kern w:val="0"/>
          <w:sz w:val="18"/>
          <w:szCs w:val="18"/>
        </w:rPr>
      </w:pPr>
      <w:r>
        <w:rPr>
          <w:rFonts w:hint="eastAsia" w:ascii="黑体" w:hAnsi="黑体" w:eastAsia="黑体"/>
          <w:kern w:val="0"/>
          <w:sz w:val="18"/>
          <w:szCs w:val="18"/>
        </w:rPr>
        <w:t>表1</w:t>
      </w:r>
      <w:r>
        <w:rPr>
          <w:rFonts w:ascii="黑体" w:hAnsi="黑体" w:eastAsia="黑体"/>
          <w:kern w:val="0"/>
          <w:sz w:val="18"/>
          <w:szCs w:val="18"/>
        </w:rPr>
        <w:t>1.4 现浇轻质泡沫混凝土性能指标</w:t>
      </w:r>
    </w:p>
    <w:tbl>
      <w:tblPr>
        <w:tblStyle w:val="37"/>
        <w:tblW w:w="864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67"/>
        <w:gridCol w:w="1023"/>
        <w:gridCol w:w="1025"/>
        <w:gridCol w:w="1026"/>
        <w:gridCol w:w="1025"/>
        <w:gridCol w:w="1024"/>
        <w:gridCol w:w="1025"/>
        <w:gridCol w:w="1025"/>
      </w:tblGrid>
      <w:tr w14:paraId="1DBFF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4" w:hRule="atLeast"/>
        </w:trPr>
        <w:tc>
          <w:tcPr>
            <w:tcW w:w="1467" w:type="dxa"/>
            <w:tcBorders>
              <w:top w:val="single" w:color="auto" w:sz="12" w:space="0"/>
              <w:left w:val="single" w:color="auto" w:sz="12" w:space="0"/>
              <w:bottom w:val="single" w:color="auto" w:sz="8" w:space="0"/>
              <w:right w:val="single" w:color="auto" w:sz="4" w:space="0"/>
            </w:tcBorders>
            <w:vAlign w:val="center"/>
          </w:tcPr>
          <w:p w14:paraId="22A36B5D">
            <w:pPr>
              <w:jc w:val="center"/>
              <w:rPr>
                <w:rFonts w:ascii="黑体" w:hAnsi="黑体" w:eastAsia="黑体"/>
                <w:kern w:val="0"/>
                <w:sz w:val="18"/>
                <w:szCs w:val="18"/>
              </w:rPr>
            </w:pPr>
            <w:r>
              <w:rPr>
                <w:rFonts w:hint="eastAsia" w:ascii="黑体" w:hAnsi="黑体" w:eastAsia="黑体"/>
                <w:kern w:val="0"/>
                <w:sz w:val="18"/>
                <w:szCs w:val="18"/>
              </w:rPr>
              <w:t>项</w:t>
            </w:r>
            <w:r>
              <w:rPr>
                <w:rFonts w:ascii="黑体" w:hAnsi="黑体" w:eastAsia="黑体"/>
                <w:kern w:val="0"/>
                <w:sz w:val="18"/>
                <w:szCs w:val="18"/>
              </w:rPr>
              <w:t xml:space="preserve">  </w:t>
            </w:r>
            <w:r>
              <w:rPr>
                <w:rFonts w:hint="eastAsia" w:ascii="黑体" w:hAnsi="黑体" w:eastAsia="黑体"/>
                <w:kern w:val="0"/>
                <w:sz w:val="18"/>
                <w:szCs w:val="18"/>
              </w:rPr>
              <w:t>目</w:t>
            </w:r>
          </w:p>
        </w:tc>
        <w:tc>
          <w:tcPr>
            <w:tcW w:w="7173" w:type="dxa"/>
            <w:gridSpan w:val="7"/>
            <w:tcBorders>
              <w:top w:val="single" w:color="auto" w:sz="12" w:space="0"/>
              <w:left w:val="single" w:color="auto" w:sz="4" w:space="0"/>
              <w:bottom w:val="single" w:color="auto" w:sz="8" w:space="0"/>
              <w:right w:val="single" w:color="auto" w:sz="12" w:space="0"/>
            </w:tcBorders>
            <w:vAlign w:val="center"/>
          </w:tcPr>
          <w:p w14:paraId="49CDD200">
            <w:pPr>
              <w:jc w:val="center"/>
              <w:rPr>
                <w:rFonts w:ascii="黑体" w:hAnsi="黑体" w:eastAsia="黑体"/>
                <w:kern w:val="0"/>
                <w:sz w:val="18"/>
                <w:szCs w:val="18"/>
              </w:rPr>
            </w:pPr>
            <w:r>
              <w:rPr>
                <w:rFonts w:hint="eastAsia" w:ascii="黑体" w:hAnsi="黑体" w:eastAsia="黑体"/>
                <w:kern w:val="0"/>
                <w:sz w:val="18"/>
                <w:szCs w:val="18"/>
              </w:rPr>
              <w:t>指</w:t>
            </w:r>
            <w:r>
              <w:rPr>
                <w:rFonts w:ascii="黑体" w:hAnsi="黑体" w:eastAsia="黑体"/>
                <w:kern w:val="0"/>
                <w:sz w:val="18"/>
                <w:szCs w:val="18"/>
              </w:rPr>
              <w:t xml:space="preserve">  </w:t>
            </w:r>
            <w:r>
              <w:rPr>
                <w:rFonts w:hint="eastAsia" w:ascii="黑体" w:hAnsi="黑体" w:eastAsia="黑体"/>
                <w:kern w:val="0"/>
                <w:sz w:val="18"/>
                <w:szCs w:val="18"/>
              </w:rPr>
              <w:t>标</w:t>
            </w:r>
          </w:p>
        </w:tc>
      </w:tr>
      <w:tr w14:paraId="1C61C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15" w:hRule="atLeast"/>
        </w:trPr>
        <w:tc>
          <w:tcPr>
            <w:tcW w:w="1467" w:type="dxa"/>
            <w:tcBorders>
              <w:top w:val="single" w:color="auto" w:sz="8" w:space="0"/>
              <w:left w:val="single" w:color="auto" w:sz="12" w:space="0"/>
              <w:bottom w:val="single" w:color="auto" w:sz="4" w:space="0"/>
            </w:tcBorders>
            <w:vAlign w:val="center"/>
          </w:tcPr>
          <w:p w14:paraId="6B093E1B">
            <w:pPr>
              <w:spacing w:line="360" w:lineRule="auto"/>
              <w:jc w:val="center"/>
              <w:rPr>
                <w:rFonts w:ascii="黑体" w:hAnsi="黑体" w:eastAsia="黑体"/>
                <w:kern w:val="0"/>
                <w:sz w:val="18"/>
                <w:szCs w:val="18"/>
              </w:rPr>
            </w:pPr>
            <w:r>
              <w:rPr>
                <w:rFonts w:hint="eastAsia" w:ascii="黑体" w:hAnsi="黑体" w:eastAsia="黑体"/>
                <w:kern w:val="0"/>
                <w:sz w:val="18"/>
                <w:szCs w:val="18"/>
              </w:rPr>
              <w:t>级别</w:t>
            </w:r>
          </w:p>
        </w:tc>
        <w:tc>
          <w:tcPr>
            <w:tcW w:w="1023" w:type="dxa"/>
            <w:tcBorders>
              <w:top w:val="single" w:color="auto" w:sz="8" w:space="0"/>
              <w:bottom w:val="single" w:color="auto" w:sz="4" w:space="0"/>
            </w:tcBorders>
            <w:vAlign w:val="center"/>
          </w:tcPr>
          <w:p w14:paraId="4AE3E19F">
            <w:pPr>
              <w:spacing w:line="360" w:lineRule="auto"/>
              <w:jc w:val="center"/>
              <w:rPr>
                <w:rFonts w:ascii="黑体" w:hAnsi="黑体" w:eastAsia="黑体"/>
                <w:kern w:val="0"/>
                <w:sz w:val="18"/>
                <w:szCs w:val="18"/>
              </w:rPr>
            </w:pPr>
            <w:r>
              <w:rPr>
                <w:rFonts w:ascii="黑体" w:hAnsi="黑体" w:eastAsia="黑体"/>
                <w:kern w:val="0"/>
                <w:sz w:val="18"/>
                <w:szCs w:val="18"/>
              </w:rPr>
              <w:t>A03</w:t>
            </w:r>
          </w:p>
        </w:tc>
        <w:tc>
          <w:tcPr>
            <w:tcW w:w="1025" w:type="dxa"/>
            <w:tcBorders>
              <w:top w:val="single" w:color="auto" w:sz="8" w:space="0"/>
              <w:bottom w:val="single" w:color="auto" w:sz="4" w:space="0"/>
            </w:tcBorders>
            <w:vAlign w:val="center"/>
          </w:tcPr>
          <w:p w14:paraId="777225E6">
            <w:pPr>
              <w:spacing w:line="360" w:lineRule="auto"/>
              <w:jc w:val="center"/>
              <w:rPr>
                <w:rFonts w:ascii="黑体" w:hAnsi="黑体" w:eastAsia="黑体"/>
                <w:kern w:val="0"/>
                <w:sz w:val="18"/>
                <w:szCs w:val="18"/>
              </w:rPr>
            </w:pPr>
            <w:r>
              <w:rPr>
                <w:rFonts w:ascii="黑体" w:hAnsi="黑体" w:eastAsia="黑体"/>
                <w:kern w:val="0"/>
                <w:sz w:val="18"/>
                <w:szCs w:val="18"/>
              </w:rPr>
              <w:t>A04</w:t>
            </w:r>
          </w:p>
        </w:tc>
        <w:tc>
          <w:tcPr>
            <w:tcW w:w="1026" w:type="dxa"/>
            <w:tcBorders>
              <w:top w:val="single" w:color="auto" w:sz="8" w:space="0"/>
              <w:bottom w:val="single" w:color="auto" w:sz="4" w:space="0"/>
            </w:tcBorders>
            <w:vAlign w:val="center"/>
          </w:tcPr>
          <w:p w14:paraId="262D8FB6">
            <w:pPr>
              <w:spacing w:line="360" w:lineRule="auto"/>
              <w:jc w:val="center"/>
              <w:rPr>
                <w:rFonts w:ascii="黑体" w:hAnsi="黑体" w:eastAsia="黑体"/>
                <w:kern w:val="0"/>
                <w:sz w:val="18"/>
                <w:szCs w:val="18"/>
              </w:rPr>
            </w:pPr>
            <w:r>
              <w:rPr>
                <w:rFonts w:ascii="黑体" w:hAnsi="黑体" w:eastAsia="黑体"/>
                <w:kern w:val="0"/>
                <w:sz w:val="18"/>
                <w:szCs w:val="18"/>
              </w:rPr>
              <w:t>A05</w:t>
            </w:r>
          </w:p>
        </w:tc>
        <w:tc>
          <w:tcPr>
            <w:tcW w:w="1025" w:type="dxa"/>
            <w:tcBorders>
              <w:top w:val="single" w:color="auto" w:sz="8" w:space="0"/>
              <w:bottom w:val="single" w:color="auto" w:sz="4" w:space="0"/>
            </w:tcBorders>
            <w:vAlign w:val="center"/>
          </w:tcPr>
          <w:p w14:paraId="52EF201D">
            <w:pPr>
              <w:spacing w:line="360" w:lineRule="auto"/>
              <w:jc w:val="center"/>
              <w:rPr>
                <w:rFonts w:ascii="黑体" w:hAnsi="黑体" w:eastAsia="黑体"/>
                <w:kern w:val="0"/>
                <w:sz w:val="18"/>
                <w:szCs w:val="18"/>
              </w:rPr>
            </w:pPr>
            <w:r>
              <w:rPr>
                <w:rFonts w:ascii="黑体" w:hAnsi="黑体" w:eastAsia="黑体"/>
                <w:kern w:val="0"/>
                <w:sz w:val="18"/>
                <w:szCs w:val="18"/>
              </w:rPr>
              <w:t>A06</w:t>
            </w:r>
          </w:p>
        </w:tc>
        <w:tc>
          <w:tcPr>
            <w:tcW w:w="1024" w:type="dxa"/>
            <w:tcBorders>
              <w:top w:val="single" w:color="auto" w:sz="8" w:space="0"/>
              <w:bottom w:val="single" w:color="auto" w:sz="4" w:space="0"/>
            </w:tcBorders>
            <w:vAlign w:val="center"/>
          </w:tcPr>
          <w:p w14:paraId="3A55A7E0">
            <w:pPr>
              <w:spacing w:line="360" w:lineRule="auto"/>
              <w:jc w:val="center"/>
              <w:rPr>
                <w:rFonts w:ascii="黑体" w:hAnsi="黑体" w:eastAsia="黑体"/>
                <w:kern w:val="0"/>
                <w:sz w:val="18"/>
                <w:szCs w:val="18"/>
              </w:rPr>
            </w:pPr>
            <w:r>
              <w:rPr>
                <w:rFonts w:ascii="黑体" w:hAnsi="黑体" w:eastAsia="黑体"/>
                <w:kern w:val="0"/>
                <w:sz w:val="18"/>
                <w:szCs w:val="18"/>
              </w:rPr>
              <w:t>A07</w:t>
            </w:r>
          </w:p>
        </w:tc>
        <w:tc>
          <w:tcPr>
            <w:tcW w:w="1025" w:type="dxa"/>
            <w:tcBorders>
              <w:top w:val="single" w:color="auto" w:sz="8" w:space="0"/>
              <w:bottom w:val="single" w:color="auto" w:sz="4" w:space="0"/>
            </w:tcBorders>
            <w:vAlign w:val="center"/>
          </w:tcPr>
          <w:p w14:paraId="277696A2">
            <w:pPr>
              <w:spacing w:line="360" w:lineRule="auto"/>
              <w:jc w:val="center"/>
              <w:rPr>
                <w:rFonts w:ascii="黑体" w:hAnsi="黑体" w:eastAsia="黑体"/>
                <w:kern w:val="0"/>
                <w:sz w:val="18"/>
                <w:szCs w:val="18"/>
              </w:rPr>
            </w:pPr>
            <w:r>
              <w:rPr>
                <w:rFonts w:ascii="黑体" w:hAnsi="黑体" w:eastAsia="黑体"/>
                <w:kern w:val="0"/>
                <w:sz w:val="18"/>
                <w:szCs w:val="18"/>
              </w:rPr>
              <w:t>A08</w:t>
            </w:r>
          </w:p>
        </w:tc>
        <w:tc>
          <w:tcPr>
            <w:tcW w:w="1025" w:type="dxa"/>
            <w:tcBorders>
              <w:top w:val="single" w:color="auto" w:sz="8" w:space="0"/>
              <w:bottom w:val="single" w:color="auto" w:sz="4" w:space="0"/>
              <w:right w:val="single" w:color="auto" w:sz="12" w:space="0"/>
            </w:tcBorders>
            <w:vAlign w:val="center"/>
          </w:tcPr>
          <w:p w14:paraId="76C134D6">
            <w:pPr>
              <w:spacing w:line="360" w:lineRule="auto"/>
              <w:jc w:val="center"/>
              <w:rPr>
                <w:rFonts w:ascii="黑体" w:hAnsi="黑体" w:eastAsia="黑体"/>
                <w:kern w:val="0"/>
                <w:sz w:val="18"/>
                <w:szCs w:val="18"/>
              </w:rPr>
            </w:pPr>
            <w:r>
              <w:rPr>
                <w:rFonts w:ascii="黑体" w:hAnsi="黑体" w:eastAsia="黑体"/>
                <w:kern w:val="0"/>
                <w:sz w:val="18"/>
                <w:szCs w:val="18"/>
              </w:rPr>
              <w:t>A09</w:t>
            </w:r>
          </w:p>
        </w:tc>
      </w:tr>
      <w:tr w14:paraId="51205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00" w:hRule="atLeast"/>
        </w:trPr>
        <w:tc>
          <w:tcPr>
            <w:tcW w:w="1467" w:type="dxa"/>
            <w:tcBorders>
              <w:top w:val="single" w:color="auto" w:sz="4" w:space="0"/>
              <w:left w:val="single" w:color="auto" w:sz="12" w:space="0"/>
              <w:bottom w:val="single" w:color="auto" w:sz="4" w:space="0"/>
            </w:tcBorders>
            <w:vAlign w:val="center"/>
          </w:tcPr>
          <w:p w14:paraId="53B8E5FF">
            <w:pPr>
              <w:jc w:val="center"/>
              <w:rPr>
                <w:rFonts w:ascii="黑体" w:hAnsi="黑体" w:eastAsia="黑体"/>
                <w:kern w:val="0"/>
                <w:sz w:val="18"/>
                <w:szCs w:val="18"/>
              </w:rPr>
            </w:pPr>
            <w:r>
              <w:rPr>
                <w:rFonts w:hint="eastAsia" w:ascii="黑体" w:hAnsi="黑体" w:eastAsia="黑体"/>
                <w:kern w:val="0"/>
                <w:sz w:val="18"/>
                <w:szCs w:val="18"/>
              </w:rPr>
              <w:t>干密度</w:t>
            </w:r>
          </w:p>
          <w:p w14:paraId="34DBA92C">
            <w:pPr>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/m3</w:t>
            </w:r>
            <w:r>
              <w:rPr>
                <w:rFonts w:hint="eastAsia" w:ascii="黑体" w:hAnsi="黑体" w:eastAsia="黑体"/>
                <w:kern w:val="0"/>
                <w:sz w:val="18"/>
                <w:szCs w:val="18"/>
              </w:rPr>
              <w:t>）</w:t>
            </w:r>
          </w:p>
        </w:tc>
        <w:tc>
          <w:tcPr>
            <w:tcW w:w="1023" w:type="dxa"/>
            <w:tcBorders>
              <w:top w:val="single" w:color="auto" w:sz="4" w:space="0"/>
              <w:bottom w:val="single" w:color="auto" w:sz="4" w:space="0"/>
            </w:tcBorders>
            <w:vAlign w:val="center"/>
          </w:tcPr>
          <w:p w14:paraId="738AAFA9">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350</w:t>
            </w:r>
          </w:p>
        </w:tc>
        <w:tc>
          <w:tcPr>
            <w:tcW w:w="1025" w:type="dxa"/>
            <w:tcBorders>
              <w:top w:val="single" w:color="auto" w:sz="4" w:space="0"/>
              <w:bottom w:val="single" w:color="auto" w:sz="4" w:space="0"/>
            </w:tcBorders>
            <w:vAlign w:val="center"/>
          </w:tcPr>
          <w:p w14:paraId="719029EC">
            <w:pPr>
              <w:spacing w:line="360" w:lineRule="auto"/>
              <w:jc w:val="center"/>
              <w:rPr>
                <w:rFonts w:ascii="黑体" w:hAnsi="黑体" w:eastAsia="黑体"/>
                <w:kern w:val="0"/>
                <w:sz w:val="18"/>
                <w:szCs w:val="18"/>
              </w:rPr>
            </w:pPr>
            <w:r>
              <w:rPr>
                <w:rFonts w:ascii="黑体" w:hAnsi="黑体" w:eastAsia="黑体"/>
                <w:kern w:val="0"/>
                <w:sz w:val="18"/>
                <w:szCs w:val="18"/>
              </w:rPr>
              <w:t>350～450</w:t>
            </w:r>
          </w:p>
        </w:tc>
        <w:tc>
          <w:tcPr>
            <w:tcW w:w="1026" w:type="dxa"/>
            <w:tcBorders>
              <w:top w:val="single" w:color="auto" w:sz="4" w:space="0"/>
              <w:bottom w:val="single" w:color="auto" w:sz="4" w:space="0"/>
            </w:tcBorders>
            <w:vAlign w:val="center"/>
          </w:tcPr>
          <w:p w14:paraId="4B5E52DC">
            <w:pPr>
              <w:spacing w:line="360" w:lineRule="auto"/>
              <w:jc w:val="center"/>
              <w:rPr>
                <w:rFonts w:ascii="黑体" w:hAnsi="黑体" w:eastAsia="黑体"/>
                <w:kern w:val="0"/>
                <w:sz w:val="18"/>
                <w:szCs w:val="18"/>
              </w:rPr>
            </w:pPr>
            <w:r>
              <w:rPr>
                <w:rFonts w:ascii="黑体" w:hAnsi="黑体" w:eastAsia="黑体"/>
                <w:kern w:val="0"/>
                <w:sz w:val="18"/>
                <w:szCs w:val="18"/>
              </w:rPr>
              <w:t>450~550</w:t>
            </w:r>
          </w:p>
        </w:tc>
        <w:tc>
          <w:tcPr>
            <w:tcW w:w="1025" w:type="dxa"/>
            <w:tcBorders>
              <w:top w:val="single" w:color="auto" w:sz="4" w:space="0"/>
              <w:bottom w:val="single" w:color="auto" w:sz="4" w:space="0"/>
            </w:tcBorders>
            <w:vAlign w:val="center"/>
          </w:tcPr>
          <w:p w14:paraId="533E1D02">
            <w:pPr>
              <w:spacing w:line="360" w:lineRule="auto"/>
              <w:jc w:val="center"/>
              <w:rPr>
                <w:rFonts w:ascii="黑体" w:hAnsi="黑体" w:eastAsia="黑体"/>
                <w:kern w:val="0"/>
                <w:sz w:val="18"/>
                <w:szCs w:val="18"/>
              </w:rPr>
            </w:pPr>
            <w:r>
              <w:rPr>
                <w:rFonts w:ascii="黑体" w:hAnsi="黑体" w:eastAsia="黑体"/>
                <w:kern w:val="0"/>
                <w:sz w:val="18"/>
                <w:szCs w:val="18"/>
              </w:rPr>
              <w:t>550～650</w:t>
            </w:r>
          </w:p>
        </w:tc>
        <w:tc>
          <w:tcPr>
            <w:tcW w:w="1024" w:type="dxa"/>
            <w:tcBorders>
              <w:top w:val="single" w:color="auto" w:sz="4" w:space="0"/>
              <w:bottom w:val="single" w:color="auto" w:sz="4" w:space="0"/>
            </w:tcBorders>
            <w:vAlign w:val="center"/>
          </w:tcPr>
          <w:p w14:paraId="458CBB9C">
            <w:pPr>
              <w:spacing w:line="360" w:lineRule="auto"/>
              <w:jc w:val="center"/>
              <w:rPr>
                <w:rFonts w:ascii="黑体" w:hAnsi="黑体" w:eastAsia="黑体"/>
                <w:kern w:val="0"/>
                <w:sz w:val="18"/>
                <w:szCs w:val="18"/>
              </w:rPr>
            </w:pPr>
            <w:r>
              <w:rPr>
                <w:rFonts w:ascii="黑体" w:hAnsi="黑体" w:eastAsia="黑体"/>
                <w:kern w:val="0"/>
                <w:sz w:val="18"/>
                <w:szCs w:val="18"/>
              </w:rPr>
              <w:t>650～750</w:t>
            </w:r>
          </w:p>
        </w:tc>
        <w:tc>
          <w:tcPr>
            <w:tcW w:w="1025" w:type="dxa"/>
            <w:tcBorders>
              <w:top w:val="single" w:color="auto" w:sz="4" w:space="0"/>
              <w:bottom w:val="single" w:color="auto" w:sz="4" w:space="0"/>
            </w:tcBorders>
            <w:vAlign w:val="center"/>
          </w:tcPr>
          <w:p w14:paraId="399C7E66">
            <w:pPr>
              <w:spacing w:line="360" w:lineRule="auto"/>
              <w:jc w:val="center"/>
              <w:rPr>
                <w:rFonts w:ascii="黑体" w:hAnsi="黑体" w:eastAsia="黑体"/>
                <w:kern w:val="0"/>
                <w:sz w:val="18"/>
                <w:szCs w:val="18"/>
              </w:rPr>
            </w:pPr>
            <w:r>
              <w:rPr>
                <w:rFonts w:ascii="黑体" w:hAnsi="黑体" w:eastAsia="黑体"/>
                <w:kern w:val="0"/>
                <w:sz w:val="18"/>
                <w:szCs w:val="18"/>
              </w:rPr>
              <w:t>750～850</w:t>
            </w:r>
          </w:p>
        </w:tc>
        <w:tc>
          <w:tcPr>
            <w:tcW w:w="1025" w:type="dxa"/>
            <w:tcBorders>
              <w:top w:val="single" w:color="auto" w:sz="4" w:space="0"/>
              <w:bottom w:val="single" w:color="auto" w:sz="4" w:space="0"/>
              <w:right w:val="single" w:color="auto" w:sz="12" w:space="0"/>
            </w:tcBorders>
            <w:vAlign w:val="center"/>
          </w:tcPr>
          <w:p w14:paraId="65E1B891">
            <w:pPr>
              <w:spacing w:line="360" w:lineRule="auto"/>
              <w:jc w:val="center"/>
              <w:rPr>
                <w:rFonts w:ascii="黑体" w:hAnsi="黑体" w:eastAsia="黑体"/>
                <w:kern w:val="0"/>
                <w:sz w:val="18"/>
                <w:szCs w:val="18"/>
              </w:rPr>
            </w:pPr>
            <w:r>
              <w:rPr>
                <w:rFonts w:ascii="黑体" w:hAnsi="黑体" w:eastAsia="黑体"/>
                <w:kern w:val="0"/>
                <w:sz w:val="18"/>
                <w:szCs w:val="18"/>
              </w:rPr>
              <w:t>850～950</w:t>
            </w:r>
          </w:p>
        </w:tc>
      </w:tr>
      <w:tr w14:paraId="6F001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213" w:hRule="atLeast"/>
        </w:trPr>
        <w:tc>
          <w:tcPr>
            <w:tcW w:w="1467" w:type="dxa"/>
            <w:tcBorders>
              <w:top w:val="single" w:color="auto" w:sz="4" w:space="0"/>
              <w:left w:val="single" w:color="auto" w:sz="12" w:space="0"/>
            </w:tcBorders>
            <w:vAlign w:val="center"/>
          </w:tcPr>
          <w:p w14:paraId="038A5BBF">
            <w:pPr>
              <w:jc w:val="center"/>
              <w:rPr>
                <w:rFonts w:ascii="黑体" w:hAnsi="黑体" w:eastAsia="黑体"/>
                <w:kern w:val="0"/>
                <w:sz w:val="18"/>
                <w:szCs w:val="18"/>
              </w:rPr>
            </w:pPr>
            <w:r>
              <w:rPr>
                <w:rFonts w:hint="eastAsia" w:ascii="黑体" w:hAnsi="黑体" w:eastAsia="黑体"/>
                <w:kern w:val="0"/>
                <w:sz w:val="18"/>
                <w:szCs w:val="18"/>
              </w:rPr>
              <w:t>抗压强度</w:t>
            </w:r>
          </w:p>
          <w:p w14:paraId="0A9E59D2">
            <w:pPr>
              <w:jc w:val="center"/>
              <w:rPr>
                <w:rFonts w:ascii="黑体" w:hAnsi="黑体" w:eastAsia="黑体"/>
                <w:kern w:val="0"/>
                <w:sz w:val="18"/>
                <w:szCs w:val="18"/>
              </w:rPr>
            </w:pPr>
            <w:r>
              <w:rPr>
                <w:rFonts w:ascii="黑体" w:hAnsi="黑体" w:eastAsia="黑体"/>
                <w:kern w:val="0"/>
                <w:sz w:val="18"/>
                <w:szCs w:val="18"/>
              </w:rPr>
              <w:t>(MPa)</w:t>
            </w:r>
          </w:p>
        </w:tc>
        <w:tc>
          <w:tcPr>
            <w:tcW w:w="1023" w:type="dxa"/>
            <w:tcBorders>
              <w:top w:val="single" w:color="auto" w:sz="4" w:space="0"/>
            </w:tcBorders>
            <w:vAlign w:val="center"/>
          </w:tcPr>
          <w:p w14:paraId="1F54B264">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0.5</w:t>
            </w:r>
          </w:p>
        </w:tc>
        <w:tc>
          <w:tcPr>
            <w:tcW w:w="1025" w:type="dxa"/>
            <w:tcBorders>
              <w:top w:val="single" w:color="auto" w:sz="4" w:space="0"/>
            </w:tcBorders>
            <w:vAlign w:val="center"/>
          </w:tcPr>
          <w:p w14:paraId="42BF3961">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0.7</w:t>
            </w:r>
          </w:p>
        </w:tc>
        <w:tc>
          <w:tcPr>
            <w:tcW w:w="1026" w:type="dxa"/>
            <w:tcBorders>
              <w:top w:val="single" w:color="auto" w:sz="4" w:space="0"/>
            </w:tcBorders>
            <w:vAlign w:val="center"/>
          </w:tcPr>
          <w:p w14:paraId="7C44C33F">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1.0</w:t>
            </w:r>
          </w:p>
        </w:tc>
        <w:tc>
          <w:tcPr>
            <w:tcW w:w="1025" w:type="dxa"/>
            <w:tcBorders>
              <w:top w:val="single" w:color="auto" w:sz="4" w:space="0"/>
            </w:tcBorders>
            <w:vAlign w:val="center"/>
          </w:tcPr>
          <w:p w14:paraId="5A19F3F7">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1</w:t>
            </w:r>
            <w:r>
              <w:rPr>
                <w:rFonts w:hint="eastAsia" w:ascii="黑体" w:hAnsi="黑体" w:eastAsia="黑体"/>
                <w:kern w:val="0"/>
                <w:sz w:val="18"/>
                <w:szCs w:val="18"/>
              </w:rPr>
              <w:t>.</w:t>
            </w:r>
            <w:r>
              <w:rPr>
                <w:rFonts w:ascii="黑体" w:hAnsi="黑体" w:eastAsia="黑体"/>
                <w:kern w:val="0"/>
                <w:sz w:val="18"/>
                <w:szCs w:val="18"/>
              </w:rPr>
              <w:t>5</w:t>
            </w:r>
          </w:p>
        </w:tc>
        <w:tc>
          <w:tcPr>
            <w:tcW w:w="1024" w:type="dxa"/>
            <w:tcBorders>
              <w:top w:val="single" w:color="auto" w:sz="4" w:space="0"/>
            </w:tcBorders>
            <w:vAlign w:val="center"/>
          </w:tcPr>
          <w:p w14:paraId="51CDE471">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2</w:t>
            </w:r>
            <w:r>
              <w:rPr>
                <w:rFonts w:hint="eastAsia" w:ascii="黑体" w:hAnsi="黑体" w:eastAsia="黑体"/>
                <w:kern w:val="0"/>
                <w:sz w:val="18"/>
                <w:szCs w:val="18"/>
              </w:rPr>
              <w:t>.</w:t>
            </w:r>
            <w:r>
              <w:rPr>
                <w:rFonts w:ascii="黑体" w:hAnsi="黑体" w:eastAsia="黑体"/>
                <w:kern w:val="0"/>
                <w:sz w:val="18"/>
                <w:szCs w:val="18"/>
              </w:rPr>
              <w:t>5</w:t>
            </w:r>
          </w:p>
        </w:tc>
        <w:tc>
          <w:tcPr>
            <w:tcW w:w="1025" w:type="dxa"/>
            <w:tcBorders>
              <w:top w:val="single" w:color="auto" w:sz="4" w:space="0"/>
            </w:tcBorders>
            <w:vAlign w:val="center"/>
          </w:tcPr>
          <w:p w14:paraId="01A9DBC2">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3.5</w:t>
            </w:r>
          </w:p>
        </w:tc>
        <w:tc>
          <w:tcPr>
            <w:tcW w:w="1025" w:type="dxa"/>
            <w:tcBorders>
              <w:top w:val="single" w:color="auto" w:sz="4" w:space="0"/>
              <w:right w:val="single" w:color="auto" w:sz="12" w:space="0"/>
            </w:tcBorders>
            <w:vAlign w:val="center"/>
          </w:tcPr>
          <w:p w14:paraId="541F41FA">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4.5</w:t>
            </w:r>
          </w:p>
        </w:tc>
      </w:tr>
      <w:tr w14:paraId="1AC8C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4" w:hRule="atLeast"/>
        </w:trPr>
        <w:tc>
          <w:tcPr>
            <w:tcW w:w="1467" w:type="dxa"/>
            <w:tcBorders>
              <w:left w:val="single" w:color="auto" w:sz="12" w:space="0"/>
            </w:tcBorders>
            <w:vAlign w:val="center"/>
          </w:tcPr>
          <w:p w14:paraId="388BE0BE">
            <w:pPr>
              <w:jc w:val="center"/>
              <w:rPr>
                <w:rFonts w:ascii="黑体" w:hAnsi="黑体" w:eastAsia="黑体"/>
                <w:kern w:val="0"/>
                <w:sz w:val="18"/>
                <w:szCs w:val="18"/>
              </w:rPr>
            </w:pPr>
            <w:r>
              <w:rPr>
                <w:rFonts w:hint="eastAsia" w:ascii="黑体" w:hAnsi="黑体" w:eastAsia="黑体"/>
                <w:kern w:val="0"/>
                <w:sz w:val="18"/>
                <w:szCs w:val="18"/>
              </w:rPr>
              <w:t>导热系数</w:t>
            </w:r>
          </w:p>
          <w:p w14:paraId="08E6DB2E">
            <w:pPr>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W/(m</w:t>
            </w:r>
            <w:r>
              <w:rPr>
                <w:rFonts w:hint="eastAsia" w:ascii="微软雅黑" w:hAnsi="微软雅黑" w:eastAsia="微软雅黑" w:cs="微软雅黑"/>
                <w:kern w:val="0"/>
                <w:sz w:val="18"/>
                <w:szCs w:val="18"/>
              </w:rPr>
              <w:t>•</w:t>
            </w:r>
            <w:r>
              <w:rPr>
                <w:rFonts w:ascii="黑体" w:hAnsi="黑体" w:eastAsia="黑体"/>
                <w:kern w:val="0"/>
                <w:sz w:val="18"/>
                <w:szCs w:val="18"/>
              </w:rPr>
              <w:t>K)]</w:t>
            </w:r>
          </w:p>
        </w:tc>
        <w:tc>
          <w:tcPr>
            <w:tcW w:w="1023" w:type="dxa"/>
            <w:vAlign w:val="center"/>
          </w:tcPr>
          <w:p w14:paraId="56EC53DA">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w:t>
            </w:r>
            <w:r>
              <w:rPr>
                <w:rFonts w:hint="eastAsia" w:ascii="黑体" w:hAnsi="黑体" w:eastAsia="黑体"/>
                <w:kern w:val="0"/>
                <w:sz w:val="18"/>
                <w:szCs w:val="18"/>
              </w:rPr>
              <w:t>.</w:t>
            </w:r>
            <w:r>
              <w:rPr>
                <w:rFonts w:ascii="黑体" w:hAnsi="黑体" w:eastAsia="黑体"/>
                <w:kern w:val="0"/>
                <w:sz w:val="18"/>
                <w:szCs w:val="18"/>
              </w:rPr>
              <w:t>070</w:t>
            </w:r>
          </w:p>
        </w:tc>
        <w:tc>
          <w:tcPr>
            <w:tcW w:w="1025" w:type="dxa"/>
            <w:vAlign w:val="center"/>
          </w:tcPr>
          <w:p w14:paraId="729B3A8E">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0.085</w:t>
            </w:r>
          </w:p>
        </w:tc>
        <w:tc>
          <w:tcPr>
            <w:tcW w:w="1026" w:type="dxa"/>
            <w:tcBorders>
              <w:right w:val="single" w:color="auto" w:sz="2" w:space="0"/>
            </w:tcBorders>
            <w:vAlign w:val="center"/>
          </w:tcPr>
          <w:p w14:paraId="379999C9">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w:t>
            </w:r>
            <w:r>
              <w:rPr>
                <w:rFonts w:hint="eastAsia" w:ascii="黑体" w:hAnsi="黑体" w:eastAsia="黑体"/>
                <w:kern w:val="0"/>
                <w:sz w:val="18"/>
                <w:szCs w:val="18"/>
              </w:rPr>
              <w:t>.</w:t>
            </w:r>
            <w:r>
              <w:rPr>
                <w:rFonts w:ascii="黑体" w:hAnsi="黑体" w:eastAsia="黑体"/>
                <w:kern w:val="0"/>
                <w:sz w:val="18"/>
                <w:szCs w:val="18"/>
              </w:rPr>
              <w:t>100</w:t>
            </w:r>
          </w:p>
        </w:tc>
        <w:tc>
          <w:tcPr>
            <w:tcW w:w="1025" w:type="dxa"/>
            <w:tcBorders>
              <w:left w:val="single" w:color="auto" w:sz="2" w:space="0"/>
            </w:tcBorders>
            <w:vAlign w:val="center"/>
          </w:tcPr>
          <w:p w14:paraId="1C5AFEFA">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0。120</w:t>
            </w:r>
          </w:p>
        </w:tc>
        <w:tc>
          <w:tcPr>
            <w:tcW w:w="1024" w:type="dxa"/>
            <w:vAlign w:val="center"/>
          </w:tcPr>
          <w:p w14:paraId="464C4EFB">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w:t>
            </w:r>
            <w:r>
              <w:rPr>
                <w:rFonts w:hint="eastAsia" w:ascii="黑体" w:hAnsi="黑体" w:eastAsia="黑体"/>
                <w:kern w:val="0"/>
                <w:sz w:val="18"/>
                <w:szCs w:val="18"/>
              </w:rPr>
              <w:t>.</w:t>
            </w:r>
            <w:r>
              <w:rPr>
                <w:rFonts w:ascii="黑体" w:hAnsi="黑体" w:eastAsia="黑体"/>
                <w:kern w:val="0"/>
                <w:sz w:val="18"/>
                <w:szCs w:val="18"/>
              </w:rPr>
              <w:t>140</w:t>
            </w:r>
          </w:p>
        </w:tc>
        <w:tc>
          <w:tcPr>
            <w:tcW w:w="1025" w:type="dxa"/>
            <w:vAlign w:val="center"/>
          </w:tcPr>
          <w:p w14:paraId="3C811CD2">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w:t>
            </w:r>
            <w:r>
              <w:rPr>
                <w:rFonts w:hint="eastAsia" w:ascii="黑体" w:hAnsi="黑体" w:eastAsia="黑体"/>
                <w:kern w:val="0"/>
                <w:sz w:val="18"/>
                <w:szCs w:val="18"/>
              </w:rPr>
              <w:t>.</w:t>
            </w:r>
            <w:r>
              <w:rPr>
                <w:rFonts w:ascii="黑体" w:hAnsi="黑体" w:eastAsia="黑体"/>
                <w:kern w:val="0"/>
                <w:sz w:val="18"/>
                <w:szCs w:val="18"/>
              </w:rPr>
              <w:t>180</w:t>
            </w:r>
          </w:p>
        </w:tc>
        <w:tc>
          <w:tcPr>
            <w:tcW w:w="1025" w:type="dxa"/>
            <w:tcBorders>
              <w:right w:val="single" w:color="auto" w:sz="12" w:space="0"/>
            </w:tcBorders>
            <w:vAlign w:val="center"/>
          </w:tcPr>
          <w:p w14:paraId="0D132ECA">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0.220</w:t>
            </w:r>
          </w:p>
        </w:tc>
      </w:tr>
      <w:tr w14:paraId="4EBFD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5" w:hRule="atLeast"/>
        </w:trPr>
        <w:tc>
          <w:tcPr>
            <w:tcW w:w="1467" w:type="dxa"/>
            <w:tcBorders>
              <w:left w:val="single" w:color="auto" w:sz="12" w:space="0"/>
            </w:tcBorders>
            <w:vAlign w:val="center"/>
          </w:tcPr>
          <w:p w14:paraId="1D59C44D">
            <w:pPr>
              <w:spacing w:line="360" w:lineRule="auto"/>
              <w:jc w:val="center"/>
              <w:rPr>
                <w:rFonts w:ascii="黑体" w:hAnsi="黑体" w:eastAsia="黑体"/>
                <w:kern w:val="0"/>
                <w:sz w:val="18"/>
                <w:szCs w:val="18"/>
              </w:rPr>
            </w:pPr>
            <w:r>
              <w:rPr>
                <w:rFonts w:hint="eastAsia" w:ascii="黑体" w:hAnsi="黑体" w:eastAsia="黑体"/>
                <w:kern w:val="0"/>
                <w:sz w:val="18"/>
                <w:szCs w:val="18"/>
              </w:rPr>
              <w:t>吸水率（</w:t>
            </w:r>
            <w:r>
              <w:rPr>
                <w:rFonts w:ascii="黑体" w:hAnsi="黑体" w:eastAsia="黑体"/>
                <w:kern w:val="0"/>
                <w:sz w:val="18"/>
                <w:szCs w:val="18"/>
              </w:rPr>
              <w:t>%）</w:t>
            </w:r>
          </w:p>
        </w:tc>
        <w:tc>
          <w:tcPr>
            <w:tcW w:w="3074" w:type="dxa"/>
            <w:gridSpan w:val="3"/>
            <w:tcBorders>
              <w:right w:val="single" w:color="auto" w:sz="2" w:space="0"/>
            </w:tcBorders>
            <w:vAlign w:val="center"/>
          </w:tcPr>
          <w:p w14:paraId="5D32C06B">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23</w:t>
            </w:r>
          </w:p>
        </w:tc>
        <w:tc>
          <w:tcPr>
            <w:tcW w:w="4099" w:type="dxa"/>
            <w:gridSpan w:val="4"/>
            <w:tcBorders>
              <w:left w:val="single" w:color="auto" w:sz="2" w:space="0"/>
              <w:right w:val="single" w:color="auto" w:sz="12" w:space="0"/>
            </w:tcBorders>
            <w:vAlign w:val="center"/>
          </w:tcPr>
          <w:p w14:paraId="5E1261E5">
            <w:pPr>
              <w:spacing w:line="360" w:lineRule="auto"/>
              <w:jc w:val="center"/>
              <w:rPr>
                <w:rFonts w:ascii="黑体" w:hAnsi="黑体" w:eastAsia="黑体"/>
                <w:kern w:val="0"/>
                <w:sz w:val="18"/>
                <w:szCs w:val="18"/>
              </w:rPr>
            </w:pPr>
            <w:r>
              <w:rPr>
                <w:rFonts w:hint="eastAsia" w:ascii="黑体" w:hAnsi="黑体" w:eastAsia="黑体"/>
                <w:kern w:val="0"/>
                <w:sz w:val="18"/>
                <w:szCs w:val="18"/>
              </w:rPr>
              <w:t>≤</w:t>
            </w:r>
            <w:r>
              <w:rPr>
                <w:rFonts w:ascii="黑体" w:hAnsi="黑体" w:eastAsia="黑体"/>
                <w:kern w:val="0"/>
                <w:sz w:val="18"/>
                <w:szCs w:val="18"/>
              </w:rPr>
              <w:t>20</w:t>
            </w:r>
          </w:p>
        </w:tc>
      </w:tr>
      <w:tr w14:paraId="45035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4" w:hRule="atLeast"/>
        </w:trPr>
        <w:tc>
          <w:tcPr>
            <w:tcW w:w="1467" w:type="dxa"/>
            <w:tcBorders>
              <w:left w:val="single" w:color="auto" w:sz="12" w:space="0"/>
              <w:bottom w:val="single" w:color="auto" w:sz="12" w:space="0"/>
              <w:right w:val="single" w:color="auto" w:sz="4" w:space="0"/>
            </w:tcBorders>
            <w:vAlign w:val="center"/>
          </w:tcPr>
          <w:p w14:paraId="1D34A2CA">
            <w:pPr>
              <w:spacing w:line="360" w:lineRule="auto"/>
              <w:jc w:val="center"/>
              <w:rPr>
                <w:rFonts w:ascii="黑体" w:hAnsi="黑体" w:eastAsia="黑体"/>
                <w:kern w:val="0"/>
                <w:sz w:val="18"/>
                <w:szCs w:val="18"/>
              </w:rPr>
            </w:pPr>
            <w:r>
              <w:rPr>
                <w:rFonts w:hint="eastAsia" w:ascii="黑体" w:hAnsi="黑体" w:eastAsia="黑体"/>
                <w:kern w:val="0"/>
                <w:sz w:val="18"/>
                <w:szCs w:val="18"/>
              </w:rPr>
              <w:t>燃烧性能</w:t>
            </w:r>
          </w:p>
        </w:tc>
        <w:tc>
          <w:tcPr>
            <w:tcW w:w="7173" w:type="dxa"/>
            <w:gridSpan w:val="7"/>
            <w:tcBorders>
              <w:left w:val="single" w:color="auto" w:sz="4" w:space="0"/>
              <w:bottom w:val="single" w:color="auto" w:sz="12" w:space="0"/>
              <w:right w:val="single" w:color="auto" w:sz="12" w:space="0"/>
            </w:tcBorders>
            <w:vAlign w:val="center"/>
          </w:tcPr>
          <w:p w14:paraId="5348B735">
            <w:pPr>
              <w:spacing w:line="360" w:lineRule="auto"/>
              <w:jc w:val="center"/>
              <w:rPr>
                <w:rFonts w:ascii="黑体" w:hAnsi="黑体" w:eastAsia="黑体"/>
                <w:kern w:val="0"/>
                <w:sz w:val="18"/>
                <w:szCs w:val="18"/>
              </w:rPr>
            </w:pPr>
            <w:r>
              <w:rPr>
                <w:rFonts w:hint="eastAsia" w:ascii="黑体" w:hAnsi="黑体" w:eastAsia="黑体"/>
                <w:kern w:val="0"/>
                <w:sz w:val="18"/>
                <w:szCs w:val="18"/>
              </w:rPr>
              <w:t>不燃烧体</w:t>
            </w:r>
          </w:p>
        </w:tc>
      </w:tr>
    </w:tbl>
    <w:p w14:paraId="3D340FA5">
      <w:pPr>
        <w:jc w:val="center"/>
        <w:rPr>
          <w:rFonts w:ascii="黑体" w:hAnsi="黑体" w:eastAsia="黑体"/>
          <w:kern w:val="0"/>
          <w:sz w:val="18"/>
          <w:szCs w:val="18"/>
        </w:rPr>
      </w:pPr>
    </w:p>
    <w:p w14:paraId="422D816A">
      <w:pPr>
        <w:pStyle w:val="119"/>
        <w:spacing w:before="0" w:after="0" w:line="360" w:lineRule="auto"/>
      </w:pPr>
      <w:bookmarkStart w:id="120" w:name="_Toc136956880"/>
      <w:r>
        <w:rPr>
          <w:rFonts w:hint="eastAsia"/>
        </w:rPr>
        <w:t>应用场景</w:t>
      </w:r>
      <w:bookmarkEnd w:id="120"/>
    </w:p>
    <w:p w14:paraId="57DB0A74">
      <w:pPr>
        <w:pStyle w:val="112"/>
        <w:rPr>
          <w:rFonts w:ascii="Times New Roman" w:hAnsi="Times New Roman"/>
          <w:bCs/>
          <w:sz w:val="21"/>
          <w:szCs w:val="24"/>
        </w:rPr>
      </w:pPr>
      <w:r>
        <w:rPr>
          <w:rFonts w:hint="eastAsia"/>
        </w:rPr>
        <w:t>室内厨房、设备用房等降板区域的填充：一般填充厚度大于2</w:t>
      </w:r>
      <w:r>
        <w:t>00mm</w:t>
      </w:r>
      <w:r>
        <w:rPr>
          <w:rFonts w:hint="eastAsia"/>
        </w:rPr>
        <w:t>采用泡</w:t>
      </w:r>
      <w:r>
        <w:rPr>
          <w:bCs/>
        </w:rPr>
        <w:t>沫混凝土</w:t>
      </w:r>
      <w:r>
        <w:rPr>
          <w:rFonts w:hint="eastAsia"/>
        </w:rPr>
        <w:t>填充</w:t>
      </w:r>
      <w:r>
        <w:rPr>
          <w:bCs/>
        </w:rPr>
        <w:t>层</w:t>
      </w:r>
      <w:r>
        <w:rPr>
          <w:rFonts w:hint="eastAsia"/>
        </w:rPr>
        <w:t>，填充层</w:t>
      </w:r>
      <w:r>
        <w:rPr>
          <w:bCs/>
        </w:rPr>
        <w:t>上应设置厚度不小于40mm的C</w:t>
      </w:r>
      <w:r>
        <w:t>30</w:t>
      </w:r>
      <w:r>
        <w:rPr>
          <w:bCs/>
        </w:rPr>
        <w:t>细石混凝土找平</w:t>
      </w:r>
      <w:r>
        <w:rPr>
          <w:rFonts w:hint="eastAsia"/>
        </w:rPr>
        <w:t>层，</w:t>
      </w:r>
      <w:r>
        <w:rPr>
          <w:bCs/>
        </w:rPr>
        <w:t>构造如图</w:t>
      </w:r>
      <w:r>
        <w:rPr>
          <w:rFonts w:hint="eastAsia"/>
        </w:rPr>
        <w:t>1</w:t>
      </w:r>
      <w:r>
        <w:t>1.5</w:t>
      </w:r>
      <w:r>
        <w:rPr>
          <w:bCs/>
        </w:rPr>
        <w:t>所示</w:t>
      </w:r>
      <w:r>
        <w:rPr>
          <w:rFonts w:ascii="Times New Roman" w:hAnsi="Times New Roman"/>
          <w:b/>
          <w:bCs/>
          <w:sz w:val="21"/>
          <w:szCs w:val="24"/>
        </w:rPr>
        <w:t>。</w:t>
      </w:r>
    </w:p>
    <w:p w14:paraId="382100E7">
      <w:pPr>
        <w:spacing w:line="360" w:lineRule="auto"/>
        <w:jc w:val="center"/>
        <w:rPr>
          <w:rFonts w:ascii="黑体" w:hAnsi="黑体" w:eastAsia="黑体"/>
          <w:kern w:val="0"/>
          <w:sz w:val="18"/>
          <w:szCs w:val="18"/>
        </w:rPr>
      </w:pPr>
    </w:p>
    <w:p w14:paraId="1431C718">
      <w:pPr>
        <w:spacing w:line="360" w:lineRule="auto"/>
        <w:jc w:val="center"/>
        <w:rPr>
          <w:rFonts w:ascii="黑体" w:hAnsi="黑体" w:eastAsia="黑体"/>
          <w:kern w:val="0"/>
          <w:sz w:val="18"/>
          <w:szCs w:val="18"/>
        </w:rPr>
      </w:pPr>
      <w:r>
        <w:rPr>
          <w:rFonts w:ascii="黑体" w:hAnsi="黑体" w:eastAsia="黑体"/>
          <w:kern w:val="0"/>
          <w:sz w:val="18"/>
          <w:szCs w:val="18"/>
        </w:rPr>
        <w:pict>
          <v:shape id="_x0000_s1033" o:spid="_x0000_s1033" o:spt="75" type="#_x0000_t75" style="position:absolute;left:0pt;margin-left:47.15pt;margin-top:22.65pt;height:140.85pt;width:405.2pt;mso-wrap-distance-bottom:0pt;mso-wrap-distance-left:9pt;mso-wrap-distance-right:9pt;mso-wrap-distance-top:0pt;z-index:251663360;mso-width-relative:page;mso-height-relative:page;" o:ole="t" filled="f" o:preferrelative="t" stroked="f" coordsize="21600,21600">
            <v:path/>
            <v:fill on="f" focussize="0,0"/>
            <v:stroke on="f" joinstyle="miter"/>
            <v:imagedata r:id="rId53" cropleft="11581f" croptop="12294f" cropright="7238f" cropbottom="15556f" o:title=""/>
            <o:lock v:ext="edit" aspectratio="t"/>
            <w10:wrap type="square"/>
          </v:shape>
          <o:OLEObject Type="Embed" ProgID="AutoCAD.Drawing.20" ShapeID="_x0000_s1033" DrawAspect="Content" ObjectID="_1468075737" r:id="rId52">
            <o:LockedField>false</o:LockedField>
          </o:OLEObject>
        </w:pict>
      </w:r>
      <w:r>
        <w:rPr>
          <w:rFonts w:hint="eastAsia" w:ascii="黑体" w:hAnsi="黑体" w:eastAsia="黑体"/>
          <w:kern w:val="0"/>
          <w:sz w:val="18"/>
          <w:szCs w:val="18"/>
        </w:rPr>
        <w:t>图</w:t>
      </w:r>
      <w:r>
        <w:rPr>
          <w:rFonts w:ascii="黑体" w:hAnsi="黑体" w:eastAsia="黑体"/>
          <w:kern w:val="0"/>
          <w:sz w:val="18"/>
          <w:szCs w:val="18"/>
        </w:rPr>
        <w:t>11.5现浇轻质泡沫混凝土</w:t>
      </w:r>
      <w:r>
        <w:rPr>
          <w:rFonts w:hint="eastAsia" w:ascii="黑体" w:hAnsi="黑体" w:eastAsia="黑体"/>
          <w:kern w:val="0"/>
          <w:sz w:val="18"/>
          <w:szCs w:val="18"/>
        </w:rPr>
        <w:t>填充层</w:t>
      </w:r>
      <w:r>
        <w:rPr>
          <w:rFonts w:ascii="黑体" w:hAnsi="黑体" w:eastAsia="黑体"/>
          <w:kern w:val="0"/>
          <w:sz w:val="18"/>
          <w:szCs w:val="18"/>
        </w:rPr>
        <w:t>构造示意图</w:t>
      </w:r>
    </w:p>
    <w:p w14:paraId="5390A921">
      <w:pPr>
        <w:spacing w:line="360" w:lineRule="auto"/>
        <w:jc w:val="center"/>
        <w:rPr>
          <w:rFonts w:ascii="黑体" w:hAnsi="黑体" w:eastAsia="黑体"/>
          <w:kern w:val="0"/>
          <w:sz w:val="18"/>
          <w:szCs w:val="18"/>
        </w:rPr>
      </w:pPr>
    </w:p>
    <w:p w14:paraId="4626430F">
      <w:pPr>
        <w:spacing w:line="360" w:lineRule="auto"/>
        <w:jc w:val="center"/>
        <w:rPr>
          <w:rFonts w:ascii="黑体" w:hAnsi="黑体" w:eastAsia="黑体"/>
          <w:kern w:val="0"/>
          <w:sz w:val="18"/>
          <w:szCs w:val="18"/>
        </w:rPr>
      </w:pPr>
    </w:p>
    <w:p w14:paraId="71421E87">
      <w:pPr>
        <w:spacing w:line="360" w:lineRule="auto"/>
        <w:jc w:val="center"/>
        <w:rPr>
          <w:rFonts w:ascii="黑体" w:hAnsi="黑体" w:eastAsia="黑体"/>
          <w:kern w:val="0"/>
          <w:sz w:val="18"/>
          <w:szCs w:val="18"/>
        </w:rPr>
      </w:pPr>
    </w:p>
    <w:p w14:paraId="75E15301">
      <w:pPr>
        <w:spacing w:line="360" w:lineRule="auto"/>
        <w:jc w:val="center"/>
        <w:rPr>
          <w:rFonts w:ascii="黑体" w:hAnsi="黑体" w:eastAsia="黑体"/>
          <w:kern w:val="0"/>
          <w:sz w:val="18"/>
          <w:szCs w:val="18"/>
        </w:rPr>
      </w:pPr>
      <w:r>
        <w:rPr>
          <w:rFonts w:ascii="黑体" w:hAnsi="黑体" w:eastAsia="黑体"/>
          <w:kern w:val="0"/>
          <w:sz w:val="18"/>
          <w:szCs w:val="18"/>
        </w:rPr>
        <w:t>1</w:t>
      </w:r>
      <w:r>
        <w:rPr>
          <w:rFonts w:hint="eastAsia" w:ascii="黑体" w:hAnsi="黑体" w:eastAsia="黑体"/>
          <w:kern w:val="0"/>
          <w:sz w:val="18"/>
          <w:szCs w:val="18"/>
        </w:rPr>
        <w:t>、</w:t>
      </w:r>
      <w:r>
        <w:rPr>
          <w:rFonts w:ascii="黑体" w:hAnsi="黑体" w:eastAsia="黑体"/>
          <w:kern w:val="0"/>
          <w:sz w:val="18"/>
          <w:szCs w:val="18"/>
        </w:rPr>
        <w:t>2—</w:t>
      </w:r>
      <w:r>
        <w:rPr>
          <w:rFonts w:hint="eastAsia" w:ascii="黑体" w:hAnsi="黑体" w:eastAsia="黑体"/>
          <w:kern w:val="0"/>
          <w:sz w:val="18"/>
          <w:szCs w:val="18"/>
        </w:rPr>
        <w:t>建筑面层</w:t>
      </w:r>
      <w:r>
        <w:rPr>
          <w:rFonts w:ascii="黑体" w:hAnsi="黑体" w:eastAsia="黑体"/>
          <w:kern w:val="0"/>
          <w:sz w:val="18"/>
          <w:szCs w:val="18"/>
        </w:rPr>
        <w:t>；3-细石混凝土找平层;</w:t>
      </w:r>
    </w:p>
    <w:p w14:paraId="3197B6D7">
      <w:pPr>
        <w:spacing w:line="360" w:lineRule="auto"/>
        <w:jc w:val="center"/>
        <w:rPr>
          <w:rFonts w:ascii="黑体" w:hAnsi="黑体" w:eastAsia="黑体"/>
          <w:kern w:val="0"/>
          <w:sz w:val="18"/>
          <w:szCs w:val="18"/>
        </w:rPr>
      </w:pPr>
      <w:r>
        <w:rPr>
          <w:rFonts w:ascii="黑体" w:hAnsi="黑体" w:eastAsia="黑体"/>
          <w:kern w:val="0"/>
          <w:sz w:val="18"/>
          <w:szCs w:val="18"/>
        </w:rPr>
        <w:t>4—现浇轻质泡沫混凝土</w:t>
      </w:r>
      <w:r>
        <w:rPr>
          <w:rFonts w:hint="eastAsia" w:ascii="黑体" w:hAnsi="黑体" w:eastAsia="黑体"/>
          <w:kern w:val="0"/>
          <w:sz w:val="18"/>
          <w:szCs w:val="18"/>
        </w:rPr>
        <w:t>填充</w:t>
      </w:r>
      <w:r>
        <w:rPr>
          <w:rFonts w:ascii="黑体" w:hAnsi="黑体" w:eastAsia="黑体"/>
          <w:kern w:val="0"/>
          <w:sz w:val="18"/>
          <w:szCs w:val="18"/>
        </w:rPr>
        <w:t>层；5—混凝土结构层</w:t>
      </w:r>
    </w:p>
    <w:p w14:paraId="38615308">
      <w:pPr>
        <w:pStyle w:val="112"/>
      </w:pPr>
      <w:r>
        <w:rPr>
          <w:rFonts w:hint="eastAsia"/>
        </w:rPr>
        <w:t>地下室顶板覆土区域：园林专业微地形要求覆土厚度超过标准化要求（研发办公按</w:t>
      </w:r>
      <w:r>
        <w:t>2.0m</w:t>
      </w:r>
      <w:r>
        <w:rPr>
          <w:rFonts w:hint="eastAsia"/>
        </w:rPr>
        <w:t>，住宅公寓按1</w:t>
      </w:r>
      <w:r>
        <w:t>.5m</w:t>
      </w:r>
      <w:r>
        <w:rPr>
          <w:rFonts w:hint="eastAsia"/>
        </w:rPr>
        <w:t>覆土厚度考虑荷载预留）时，为降低顶板荷载，采用泡沫混凝土回填层。</w:t>
      </w:r>
    </w:p>
    <w:p w14:paraId="13641B3F">
      <w:pPr>
        <w:pStyle w:val="119"/>
        <w:rPr>
          <w:kern w:val="44"/>
        </w:rPr>
      </w:pPr>
      <w:bookmarkStart w:id="121" w:name="_Toc136956881"/>
      <w:r>
        <w:rPr>
          <w:rFonts w:hint="eastAsia"/>
        </w:rPr>
        <w:t>施工要求</w:t>
      </w:r>
      <w:bookmarkEnd w:id="121"/>
    </w:p>
    <w:p w14:paraId="0D200FB0">
      <w:pPr>
        <w:pStyle w:val="112"/>
      </w:pPr>
      <w:r>
        <w:t>现浇轻质泡沫混凝土所使用的主要材料应保持干燥，施工时要做好避雨、防潮措施.</w:t>
      </w:r>
    </w:p>
    <w:p w14:paraId="7B3B7275">
      <w:pPr>
        <w:pStyle w:val="112"/>
      </w:pPr>
      <w:r>
        <w:t>施工前应检查基层质量。凡基层有裂缝、蜂窝的地方，应采用水泥砂浆进行封闭处理，及时清扫浮灰；天气干燥时，应先润湿基层，基层不得有明显积水。</w:t>
      </w:r>
    </w:p>
    <w:p w14:paraId="13D273AB">
      <w:pPr>
        <w:pStyle w:val="112"/>
      </w:pPr>
      <w:r>
        <w:t>原材料进场后,水泥、发泡剂应按规定抽样复检。严禁在工程中使用不合格材料。</w:t>
      </w:r>
    </w:p>
    <w:p w14:paraId="02793318">
      <w:pPr>
        <w:pStyle w:val="112"/>
      </w:pPr>
      <w:r>
        <w:t>现场浇筑轻质泡沫混凝土时,环境温度及基层表面温度不宜低于0℃</w:t>
      </w:r>
      <w:r>
        <w:rPr>
          <w:rFonts w:hint="eastAsia"/>
        </w:rPr>
        <w:t>，风力不应大于</w:t>
      </w:r>
      <w:r>
        <w:t>5级。室外施工时严禁在雨天、雪天和5级以上大风下进行。</w:t>
      </w:r>
    </w:p>
    <w:p w14:paraId="64AEAFB5">
      <w:pPr>
        <w:pStyle w:val="112"/>
      </w:pPr>
      <w:r>
        <w:t>现浇轻质泡沫混凝土施工应使用专用设备制取，主要施工机械包括搅拌机、泡沫生成器、上料机等。现浇轻质泡沫混凝土应随制随用，留置时间不宜大于30min。</w:t>
      </w:r>
    </w:p>
    <w:p w14:paraId="78A3673C">
      <w:pPr>
        <w:pStyle w:val="112"/>
      </w:pPr>
      <w:r>
        <w:t>水泥浆应按配合比配制，预搅拌均匀,不应有团块及大颗粒存在,在浆料中加入制备好的泡沫，进行搅拌混合。混合应均匀，上部没有泡沫漂浮，下部没有泥浆块.</w:t>
      </w:r>
    </w:p>
    <w:p w14:paraId="6345FB86">
      <w:pPr>
        <w:pStyle w:val="112"/>
      </w:pPr>
      <w:r>
        <w:rPr>
          <w:rFonts w:hint="eastAsia"/>
        </w:rPr>
        <w:t>浇筑施工应采用管路泵送方式。泵送前，应检查管接头是否紧固</w:t>
      </w:r>
      <w:r>
        <w:t xml:space="preserve">,确保接头密封牢固不泄露.泵送过程中，浇筑管的压力应满足扬程及输送距离要求;浇筑过程若停滞时间超过30 </w:t>
      </w:r>
      <w:r>
        <w:rPr>
          <w:rFonts w:hint="eastAsia"/>
        </w:rPr>
        <w:t>分钟</w:t>
      </w:r>
      <w:r>
        <w:t>,应及时清洗管道。</w:t>
      </w:r>
    </w:p>
    <w:p w14:paraId="07A83FB6">
      <w:pPr>
        <w:pStyle w:val="112"/>
      </w:pPr>
      <w:r>
        <w:rPr>
          <w:rFonts w:hint="eastAsia"/>
        </w:rPr>
        <w:t>泡沫混凝土浇筑时，浇筑管宜与浇筑面保持缓倾角度，管口应埋入泡沫混凝土内不小于</w:t>
      </w:r>
      <w:r>
        <w:t>10cm。浇筑过程中应减少对泡沫混凝土的扰动，不应在泡沫混凝土里面随意走动或移动浇筑管。</w:t>
      </w:r>
    </w:p>
    <w:p w14:paraId="08AF0193">
      <w:pPr>
        <w:pStyle w:val="112"/>
      </w:pPr>
      <w:r>
        <w:rPr>
          <w:rFonts w:hint="eastAsia"/>
        </w:rPr>
        <w:t>单个浇注区施工时间宜控制在水泥浆初凝时间内，现浇轻质泡沫混凝土初凝前应采用刮板刮平。</w:t>
      </w:r>
      <w:bookmarkStart w:id="122" w:name="_Toc252374322"/>
      <w:bookmarkStart w:id="123" w:name="_Toc260929525"/>
    </w:p>
    <w:bookmarkEnd w:id="122"/>
    <w:bookmarkEnd w:id="123"/>
    <w:p w14:paraId="7D73109C">
      <w:pPr>
        <w:pStyle w:val="112"/>
        <w:rPr>
          <w:lang w:val="zh-CN"/>
        </w:rPr>
      </w:pPr>
      <w:bookmarkStart w:id="124" w:name="_Toc252374324"/>
      <w:bookmarkStart w:id="125" w:name="_Toc260929527"/>
      <w:r>
        <w:rPr>
          <w:rFonts w:hint="eastAsia"/>
          <w:lang w:val="zh-CN"/>
        </w:rPr>
        <w:t>现浇轻质泡沫混凝土泵送至指定区域后，按照从远到近的顺序浇筑；大面积浇筑时，采用分区逐片施工或分层施工</w:t>
      </w:r>
      <w:r>
        <w:rPr>
          <w:lang w:val="zh-CN"/>
        </w:rPr>
        <w:t>,采用分层施工时，浇筑厚度不应大于200mm。</w:t>
      </w:r>
    </w:p>
    <w:bookmarkEnd w:id="124"/>
    <w:bookmarkEnd w:id="125"/>
    <w:p w14:paraId="4BE12F68">
      <w:pPr>
        <w:pStyle w:val="112"/>
      </w:pPr>
      <w:r>
        <w:t>现浇轻质泡沫混凝土终凝后开始保湿养护，冬季施工不宜浇水养护。</w:t>
      </w:r>
    </w:p>
    <w:p w14:paraId="006B759D">
      <w:pPr>
        <w:pStyle w:val="112"/>
      </w:pPr>
      <w:r>
        <w:t>对采用硅酸盐水泥、普通硅酸盐水泥或矿渣水泥拌制的混凝土，养护时间不得少于7d，对掺有外加剂或矿物掺合料的泡沫混凝土，其养护期限不得少于14d.</w:t>
      </w:r>
    </w:p>
    <w:p w14:paraId="142D9F77">
      <w:pPr>
        <w:pStyle w:val="112"/>
      </w:pPr>
      <w:r>
        <w:t>现浇轻质泡沫混凝土养护期间，严禁在其上面行走或堆积物料。</w:t>
      </w:r>
    </w:p>
    <w:p w14:paraId="087BAC02">
      <w:pPr>
        <w:pStyle w:val="119"/>
        <w:rPr>
          <w:bCs w:val="0"/>
        </w:rPr>
      </w:pPr>
      <w:bookmarkStart w:id="126" w:name="_Toc136956882"/>
      <w:r>
        <w:rPr>
          <w:rFonts w:hint="eastAsia"/>
        </w:rPr>
        <w:t>验</w:t>
      </w:r>
      <w:r>
        <w:t xml:space="preserve">  </w:t>
      </w:r>
      <w:r>
        <w:rPr>
          <w:rFonts w:hint="eastAsia"/>
        </w:rPr>
        <w:t>收</w:t>
      </w:r>
      <w:bookmarkEnd w:id="126"/>
    </w:p>
    <w:p w14:paraId="337836CA">
      <w:pPr>
        <w:pStyle w:val="112"/>
        <w:rPr>
          <w:b/>
        </w:rPr>
      </w:pPr>
      <w:r>
        <w:rPr>
          <w:rFonts w:hint="eastAsia"/>
        </w:rPr>
        <w:t>现浇轻质泡沫混凝土保温工程的验收应按《建筑工程施工质量验收统一标准》</w:t>
      </w:r>
      <w:r>
        <w:t>GB 50300的相关要求执行。</w:t>
      </w:r>
    </w:p>
    <w:p w14:paraId="340C68C3">
      <w:pPr>
        <w:pStyle w:val="112"/>
      </w:pPr>
      <w:r>
        <w:t>浇轻质泡沫混凝土保温工程验收时，应提交下列技术资料：</w:t>
      </w:r>
    </w:p>
    <w:p w14:paraId="6315FEBB">
      <w:pPr>
        <w:pStyle w:val="114"/>
      </w:pPr>
      <w:r>
        <w:rPr>
          <w:rFonts w:hint="eastAsia"/>
        </w:rPr>
        <w:t>工程设计文件及图纸、设计变更通知单、施工合同或工程洽商书等；</w:t>
      </w:r>
    </w:p>
    <w:p w14:paraId="4084D777">
      <w:pPr>
        <w:pStyle w:val="114"/>
      </w:pPr>
      <w:r>
        <w:rPr>
          <w:rFonts w:hint="eastAsia"/>
        </w:rPr>
        <w:t>施工组织设计文件、施工方案、隐蔽工程检查记录等；</w:t>
      </w:r>
    </w:p>
    <w:p w14:paraId="1A786748">
      <w:pPr>
        <w:pStyle w:val="114"/>
      </w:pPr>
      <w:r>
        <w:rPr>
          <w:rFonts w:hint="eastAsia"/>
        </w:rPr>
        <w:t>主要原材料的质量证明文件、复验报告、现浇轻质泡沫混凝土样品材料性能的检测报告；</w:t>
      </w:r>
    </w:p>
    <w:p w14:paraId="688843F9">
      <w:pPr>
        <w:pStyle w:val="114"/>
      </w:pPr>
      <w:r>
        <w:rPr>
          <w:rFonts w:hint="eastAsia"/>
        </w:rPr>
        <w:t>工程质量检测记录和检测报告</w:t>
      </w:r>
      <w:r>
        <w:t>.</w:t>
      </w:r>
    </w:p>
    <w:p w14:paraId="54836A9E">
      <w:pPr>
        <w:pStyle w:val="112"/>
      </w:pPr>
      <w:r>
        <w:rPr>
          <w:rFonts w:hint="eastAsia"/>
        </w:rPr>
        <w:t>现浇轻质泡沫混凝土的强度、干密度必须符合设计要求或本规程表1</w:t>
      </w:r>
      <w:r>
        <w:t>1.4。</w:t>
      </w:r>
    </w:p>
    <w:p w14:paraId="188C4C87">
      <w:pPr>
        <w:spacing w:line="360" w:lineRule="auto"/>
        <w:ind w:firstLine="1080" w:firstLineChars="600"/>
        <w:rPr>
          <w:rFonts w:ascii="黑体" w:hAnsi="黑体" w:eastAsia="黑体"/>
          <w:sz w:val="18"/>
          <w:szCs w:val="18"/>
        </w:rPr>
      </w:pPr>
      <w:r>
        <w:rPr>
          <w:rFonts w:hint="eastAsia" w:ascii="黑体" w:hAnsi="黑体" w:eastAsia="黑体"/>
          <w:sz w:val="18"/>
          <w:szCs w:val="18"/>
        </w:rPr>
        <w:t>检验方法：检查质量检验报告和现场抽样复验</w:t>
      </w:r>
      <w:r>
        <w:rPr>
          <w:rFonts w:ascii="黑体" w:hAnsi="黑体" w:eastAsia="黑体"/>
          <w:sz w:val="18"/>
          <w:szCs w:val="18"/>
        </w:rPr>
        <w:t>.</w:t>
      </w:r>
    </w:p>
    <w:p w14:paraId="06F94EAC">
      <w:pPr>
        <w:spacing w:line="360" w:lineRule="auto"/>
        <w:ind w:firstLine="1080" w:firstLineChars="600"/>
        <w:rPr>
          <w:rFonts w:ascii="黑体" w:hAnsi="黑体" w:eastAsia="黑体"/>
          <w:sz w:val="18"/>
          <w:szCs w:val="18"/>
        </w:rPr>
      </w:pPr>
      <w:r>
        <w:rPr>
          <w:rFonts w:hint="eastAsia" w:ascii="黑体" w:hAnsi="黑体" w:eastAsia="黑体"/>
          <w:sz w:val="18"/>
          <w:szCs w:val="18"/>
        </w:rPr>
        <w:t>检查数量：</w:t>
      </w:r>
      <w:r>
        <w:rPr>
          <w:rFonts w:ascii="黑体" w:hAnsi="黑体" w:eastAsia="黑体"/>
          <w:sz w:val="18"/>
          <w:szCs w:val="18"/>
        </w:rPr>
        <w:t xml:space="preserve"> </w:t>
      </w:r>
      <w:r>
        <w:rPr>
          <w:rFonts w:hint="eastAsia" w:ascii="黑体" w:hAnsi="黑体" w:eastAsia="黑体"/>
          <w:sz w:val="18"/>
          <w:szCs w:val="18"/>
        </w:rPr>
        <w:t>同一厂家、同一品种的产品</w:t>
      </w:r>
      <w:r>
        <w:rPr>
          <w:rFonts w:ascii="黑体" w:hAnsi="黑体" w:eastAsia="黑体"/>
          <w:sz w:val="18"/>
          <w:szCs w:val="18"/>
        </w:rPr>
        <w:t>,每单位工程1组.</w:t>
      </w:r>
    </w:p>
    <w:p w14:paraId="5E2E3AAD">
      <w:pPr>
        <w:pStyle w:val="112"/>
      </w:pPr>
      <w:r>
        <w:rPr>
          <w:rFonts w:hint="eastAsia"/>
        </w:rPr>
        <w:t>现浇轻质泡沫混凝土厚度允许偏差为</w:t>
      </w:r>
      <w:r>
        <w:t>0㎜～10㎜</w:t>
      </w:r>
      <w:r>
        <w:rPr>
          <w:rFonts w:hint="eastAsia"/>
        </w:rPr>
        <w:t>，平整度要求</w:t>
      </w:r>
      <w:r>
        <w:t>2m</w:t>
      </w:r>
      <w:r>
        <w:rPr>
          <w:rFonts w:hint="eastAsia"/>
        </w:rPr>
        <w:t>靠尺</w:t>
      </w:r>
      <w:r>
        <w:t>8mm</w:t>
      </w:r>
      <w:r>
        <w:rPr>
          <w:rFonts w:hint="eastAsia"/>
        </w:rPr>
        <w:t>，不允许有明显的凹坑和凸起。</w:t>
      </w:r>
    </w:p>
    <w:p w14:paraId="21D9D6FA">
      <w:pPr>
        <w:pStyle w:val="119"/>
        <w:rPr>
          <w:bCs w:val="0"/>
        </w:rPr>
      </w:pPr>
      <w:bookmarkStart w:id="127" w:name="_Toc252374330"/>
      <w:bookmarkStart w:id="128" w:name="_Toc136956883"/>
      <w:bookmarkStart w:id="129" w:name="_Toc260929533"/>
      <w:bookmarkStart w:id="130" w:name="_Toc469987336"/>
      <w:bookmarkStart w:id="131" w:name="_Toc469931480"/>
      <w:r>
        <w:rPr>
          <w:rFonts w:hint="eastAsia"/>
        </w:rPr>
        <w:t>发泡剂性能检验方法</w:t>
      </w:r>
      <w:bookmarkEnd w:id="127"/>
      <w:bookmarkEnd w:id="128"/>
      <w:bookmarkEnd w:id="129"/>
      <w:bookmarkEnd w:id="130"/>
      <w:bookmarkEnd w:id="131"/>
    </w:p>
    <w:p w14:paraId="0E927037">
      <w:pPr>
        <w:pStyle w:val="112"/>
        <w:rPr>
          <w:b/>
        </w:rPr>
      </w:pPr>
      <w:r>
        <w:rPr>
          <w:rFonts w:hint="eastAsia"/>
        </w:rPr>
        <w:t>发泡剂性能检测每组做</w:t>
      </w:r>
      <w:r>
        <w:t>3次试验，取其平均数为其检测值。</w:t>
      </w:r>
    </w:p>
    <w:p w14:paraId="2EA36EC7">
      <w:pPr>
        <w:pStyle w:val="112"/>
      </w:pPr>
      <w:r>
        <w:t>发泡倍数的测定方法是将已制成泡沫注满容积为250mL，直径为60㎜的无底</w:t>
      </w:r>
      <w:r>
        <w:rPr>
          <w:rFonts w:hint="eastAsia"/>
          <w:color w:val="333333"/>
        </w:rPr>
        <w:t>玻璃桶内</w:t>
      </w:r>
      <w:r>
        <w:rPr>
          <w:color w:val="333333"/>
        </w:rPr>
        <w:t>,两端刮平，称其重量。发泡倍数M可按式</w:t>
      </w:r>
      <w:r>
        <w:t>11.8-1</w:t>
      </w:r>
      <w:r>
        <w:rPr>
          <w:rFonts w:hint="eastAsia"/>
          <w:color w:val="333333"/>
        </w:rPr>
        <w:t>计算</w:t>
      </w:r>
      <w:r>
        <w:rPr>
          <w:color w:val="333333"/>
        </w:rPr>
        <w:t>:</w:t>
      </w:r>
      <w:r>
        <w:t xml:space="preserve">  </w:t>
      </w:r>
    </w:p>
    <w:p w14:paraId="216DEFF2">
      <w:pPr>
        <w:spacing w:line="360" w:lineRule="auto"/>
        <w:jc w:val="right"/>
        <w:rPr>
          <w:rFonts w:ascii="黑体" w:hAnsi="黑体" w:eastAsia="黑体"/>
          <w:color w:val="333333"/>
          <w:sz w:val="18"/>
          <w:szCs w:val="18"/>
        </w:rPr>
      </w:pPr>
      <w:r>
        <w:rPr>
          <w:rFonts w:ascii="黑体" w:hAnsi="黑体" w:eastAsia="黑体"/>
          <w:color w:val="333333"/>
          <w:sz w:val="18"/>
          <w:szCs w:val="18"/>
        </w:rPr>
        <w:t>M=</w:t>
      </w:r>
      <w:r>
        <w:rPr>
          <w:rFonts w:ascii="黑体" w:hAnsi="黑体" w:eastAsia="黑体"/>
          <w:color w:val="333333"/>
          <w:position w:val="-30"/>
          <w:sz w:val="18"/>
          <w:szCs w:val="18"/>
        </w:rPr>
        <w:object>
          <v:shape id="_x0000_i1042" o:spt="75" type="#_x0000_t75" style="height:35.55pt;width:44.9pt;" o:ole="t" filled="f" o:preferrelative="t" stroked="f" coordsize="21600,21600">
            <v:path/>
            <v:fill on="f" focussize="0,0"/>
            <v:stroke on="f" joinstyle="miter"/>
            <v:imagedata r:id="rId55" o:title=""/>
            <o:lock v:ext="edit" aspectratio="t"/>
            <w10:wrap type="none"/>
            <w10:anchorlock/>
          </v:shape>
          <o:OLEObject Type="Embed" ProgID="Equation.3" ShapeID="_x0000_i1042" DrawAspect="Content" ObjectID="_1468075738" r:id="rId54">
            <o:LockedField>false</o:LockedField>
          </o:OLEObject>
        </w:object>
      </w:r>
      <w:r>
        <w:rPr>
          <w:rFonts w:ascii="黑体" w:hAnsi="黑体" w:eastAsia="黑体"/>
          <w:color w:val="333333"/>
          <w:sz w:val="18"/>
          <w:szCs w:val="18"/>
        </w:rPr>
        <w:t xml:space="preserve">               （</w:t>
      </w:r>
      <w:r>
        <w:rPr>
          <w:rFonts w:ascii="黑体" w:hAnsi="黑体" w:eastAsia="黑体"/>
          <w:sz w:val="18"/>
          <w:szCs w:val="18"/>
        </w:rPr>
        <w:t>11.8-1</w:t>
      </w:r>
      <w:r>
        <w:rPr>
          <w:rFonts w:hint="eastAsia" w:ascii="黑体" w:hAnsi="黑体" w:eastAsia="黑体"/>
          <w:color w:val="333333"/>
          <w:sz w:val="18"/>
          <w:szCs w:val="18"/>
        </w:rPr>
        <w:t>）</w:t>
      </w:r>
    </w:p>
    <w:p w14:paraId="5E1AD95C">
      <w:pPr>
        <w:spacing w:line="360" w:lineRule="auto"/>
        <w:ind w:firstLine="991" w:firstLineChars="551"/>
        <w:rPr>
          <w:rFonts w:ascii="黑体" w:hAnsi="黑体" w:eastAsia="黑体"/>
          <w:color w:val="333333"/>
          <w:sz w:val="18"/>
          <w:szCs w:val="18"/>
        </w:rPr>
      </w:pPr>
      <w:r>
        <w:rPr>
          <w:rFonts w:ascii="黑体" w:hAnsi="黑体" w:eastAsia="黑体"/>
          <w:color w:val="333333"/>
          <w:sz w:val="18"/>
          <w:szCs w:val="18"/>
        </w:rPr>
        <w:t xml:space="preserve">M ——发泡倍数； </w:t>
      </w:r>
    </w:p>
    <w:p w14:paraId="62047565">
      <w:pPr>
        <w:spacing w:line="360" w:lineRule="auto"/>
        <w:ind w:firstLine="991" w:firstLineChars="551"/>
        <w:rPr>
          <w:rFonts w:ascii="黑体" w:hAnsi="黑体" w:eastAsia="黑体"/>
          <w:color w:val="333333"/>
          <w:sz w:val="18"/>
          <w:szCs w:val="18"/>
        </w:rPr>
      </w:pPr>
      <w:r>
        <w:rPr>
          <w:rFonts w:ascii="黑体" w:hAnsi="黑体" w:eastAsia="黑体"/>
          <w:color w:val="333333"/>
          <w:sz w:val="18"/>
          <w:szCs w:val="18"/>
        </w:rPr>
        <w:t xml:space="preserve">V </w:t>
      </w:r>
      <w:r>
        <w:rPr>
          <w:rFonts w:hint="eastAsia" w:ascii="黑体" w:hAnsi="黑体" w:eastAsia="黑体"/>
          <w:color w:val="333333"/>
          <w:sz w:val="18"/>
          <w:szCs w:val="18"/>
        </w:rPr>
        <w:t>——指玻璃桶容积（</w:t>
      </w:r>
      <w:r>
        <w:rPr>
          <w:rFonts w:ascii="黑体" w:hAnsi="黑体" w:eastAsia="黑体"/>
          <w:color w:val="333333"/>
          <w:sz w:val="18"/>
          <w:szCs w:val="18"/>
        </w:rPr>
        <w:t>cm);</w:t>
      </w:r>
    </w:p>
    <w:p w14:paraId="65E87D8A">
      <w:pPr>
        <w:spacing w:line="360" w:lineRule="auto"/>
        <w:ind w:firstLine="991" w:firstLineChars="551"/>
        <w:rPr>
          <w:rFonts w:ascii="黑体" w:hAnsi="黑体" w:eastAsia="黑体"/>
          <w:color w:val="333333"/>
          <w:sz w:val="18"/>
          <w:szCs w:val="18"/>
        </w:rPr>
      </w:pPr>
      <w:r>
        <w:rPr>
          <w:rFonts w:ascii="黑体" w:hAnsi="黑体" w:eastAsia="黑体"/>
          <w:position w:val="-10"/>
          <w:sz w:val="18"/>
          <w:szCs w:val="18"/>
        </w:rPr>
        <w:object>
          <v:shape id="_x0000_i1043" o:spt="75" type="#_x0000_t75" style="height:18.7pt;width:18.7pt;" o:ole="t" filled="f" o:preferrelative="t" stroked="f" coordsize="21600,21600">
            <v:path/>
            <v:fill on="f" focussize="0,0"/>
            <v:stroke on="f" joinstyle="miter"/>
            <v:imagedata r:id="rId57" o:title=""/>
            <o:lock v:ext="edit" aspectratio="t"/>
            <w10:wrap type="none"/>
            <w10:anchorlock/>
          </v:shape>
          <o:OLEObject Type="Embed" ProgID="Equation.3" ShapeID="_x0000_i1043" DrawAspect="Content" ObjectID="_1468075739" r:id="rId56">
            <o:LockedField>false</o:LockedField>
          </o:OLEObject>
        </w:object>
      </w:r>
      <w:r>
        <w:rPr>
          <w:rFonts w:ascii="黑体" w:hAnsi="黑体" w:eastAsia="黑体"/>
          <w:color w:val="333333"/>
          <w:sz w:val="18"/>
          <w:szCs w:val="18"/>
        </w:rPr>
        <w:t>-—指泡沫剂水溶液密度（g/㎝</w:t>
      </w:r>
      <w:r>
        <w:rPr>
          <w:rFonts w:ascii="黑体" w:hAnsi="黑体" w:eastAsia="黑体"/>
          <w:color w:val="333333"/>
          <w:sz w:val="18"/>
          <w:szCs w:val="18"/>
          <w:vertAlign w:val="superscript"/>
        </w:rPr>
        <w:t>3</w:t>
      </w:r>
      <w:r>
        <w:rPr>
          <w:rFonts w:ascii="黑体" w:hAnsi="黑体" w:eastAsia="黑体"/>
          <w:color w:val="333333"/>
          <w:sz w:val="18"/>
          <w:szCs w:val="18"/>
        </w:rPr>
        <w:t xml:space="preserve">)； </w:t>
      </w:r>
    </w:p>
    <w:p w14:paraId="0584D64C">
      <w:pPr>
        <w:spacing w:line="360" w:lineRule="auto"/>
        <w:ind w:firstLine="991" w:firstLineChars="551"/>
        <w:rPr>
          <w:rFonts w:ascii="黑体" w:hAnsi="黑体" w:eastAsia="黑体"/>
          <w:color w:val="333333"/>
          <w:sz w:val="18"/>
          <w:szCs w:val="18"/>
        </w:rPr>
      </w:pPr>
      <w:r>
        <w:rPr>
          <w:rFonts w:ascii="黑体" w:hAnsi="黑体" w:eastAsia="黑体"/>
          <w:color w:val="333333"/>
          <w:sz w:val="18"/>
          <w:szCs w:val="18"/>
        </w:rPr>
        <w:t>G</w:t>
      </w:r>
      <w:r>
        <w:rPr>
          <w:rFonts w:ascii="黑体" w:hAnsi="黑体" w:eastAsia="黑体"/>
          <w:color w:val="333333"/>
          <w:sz w:val="18"/>
          <w:szCs w:val="18"/>
          <w:vertAlign w:val="subscript"/>
        </w:rPr>
        <w:t>1</w:t>
      </w:r>
      <w:r>
        <w:rPr>
          <w:rFonts w:hint="eastAsia" w:ascii="黑体" w:hAnsi="黑体" w:eastAsia="黑体"/>
          <w:color w:val="333333"/>
          <w:sz w:val="18"/>
          <w:szCs w:val="18"/>
        </w:rPr>
        <w:t>——指玻璃桶质量（</w:t>
      </w:r>
      <w:r>
        <w:rPr>
          <w:rFonts w:ascii="黑体" w:hAnsi="黑体" w:eastAsia="黑体"/>
          <w:color w:val="333333"/>
          <w:sz w:val="18"/>
          <w:szCs w:val="18"/>
        </w:rPr>
        <w:t xml:space="preserve">g）; </w:t>
      </w:r>
    </w:p>
    <w:p w14:paraId="1CFAEDDD">
      <w:pPr>
        <w:spacing w:line="360" w:lineRule="auto"/>
        <w:ind w:firstLine="991" w:firstLineChars="551"/>
        <w:rPr>
          <w:rFonts w:ascii="黑体" w:hAnsi="黑体" w:eastAsia="黑体"/>
          <w:color w:val="333333"/>
          <w:sz w:val="18"/>
          <w:szCs w:val="18"/>
        </w:rPr>
      </w:pPr>
      <w:r>
        <w:rPr>
          <w:rFonts w:ascii="黑体" w:hAnsi="黑体" w:eastAsia="黑体"/>
          <w:color w:val="333333"/>
          <w:sz w:val="18"/>
          <w:szCs w:val="18"/>
        </w:rPr>
        <w:t>G</w:t>
      </w:r>
      <w:r>
        <w:rPr>
          <w:rFonts w:ascii="黑体" w:hAnsi="黑体" w:eastAsia="黑体"/>
          <w:color w:val="333333"/>
          <w:sz w:val="18"/>
          <w:szCs w:val="18"/>
          <w:vertAlign w:val="subscript"/>
        </w:rPr>
        <w:t>2</w:t>
      </w:r>
      <w:r>
        <w:rPr>
          <w:rFonts w:hint="eastAsia" w:ascii="黑体" w:hAnsi="黑体" w:eastAsia="黑体"/>
          <w:color w:val="333333"/>
          <w:sz w:val="18"/>
          <w:szCs w:val="18"/>
        </w:rPr>
        <w:t>——玻璃桶和泡沫质量</w:t>
      </w:r>
      <w:r>
        <w:rPr>
          <w:rFonts w:ascii="黑体" w:hAnsi="黑体" w:eastAsia="黑体"/>
          <w:color w:val="333333"/>
          <w:sz w:val="18"/>
          <w:szCs w:val="18"/>
        </w:rPr>
        <w:t>(g）。</w:t>
      </w:r>
    </w:p>
    <w:p w14:paraId="205DD4A5">
      <w:pPr>
        <w:pStyle w:val="112"/>
        <w:rPr>
          <w:color w:val="333333"/>
        </w:rPr>
      </w:pPr>
      <w:r>
        <w:rPr>
          <w:rStyle w:val="115"/>
          <w:b w:val="0"/>
        </w:rPr>
        <w:t>泡沫的沉降距和泌水量可用图11.8-1仪器测定，该仪器由容器、玻璃管和浮标组成.容器底部有孔,玻璃管与容器的孔相连接,玻璃管的直径为14㎜，长度为700㎜，底部有小龙头;浮标是一块直径为190㎜、重25g</w:t>
      </w:r>
      <w:r>
        <w:rPr>
          <w:rStyle w:val="115"/>
          <w:rFonts w:hint="eastAsia"/>
          <w:b w:val="0"/>
        </w:rPr>
        <w:t>的圆形铝板，根据上端容器上的刻度测定泡沫的沉降距</w:t>
      </w:r>
      <w:r>
        <w:rPr>
          <w:rStyle w:val="115"/>
          <w:b w:val="0"/>
        </w:rPr>
        <w:t>;根据量管上的刻度测定破裂泡沫所分泌出的容量，即为泌水量</w:t>
      </w:r>
      <w:r>
        <w:rPr>
          <w:color w:val="333333"/>
        </w:rPr>
        <w:t>.</w:t>
      </w:r>
    </w:p>
    <w:p w14:paraId="09C3732E">
      <w:pPr>
        <w:spacing w:line="360" w:lineRule="auto"/>
        <w:jc w:val="center"/>
        <w:rPr>
          <w:rFonts w:ascii="黑体" w:hAnsi="黑体" w:eastAsia="黑体"/>
          <w:color w:val="333333"/>
          <w:sz w:val="18"/>
          <w:szCs w:val="18"/>
        </w:rPr>
      </w:pPr>
      <w:r>
        <w:rPr>
          <w:rFonts w:hint="eastAsia" w:ascii="黑体" w:hAnsi="黑体" w:eastAsia="黑体"/>
          <w:color w:val="333333"/>
          <w:sz w:val="18"/>
          <w:szCs w:val="18"/>
        </w:rPr>
        <w:t>图</w:t>
      </w:r>
      <w:r>
        <w:rPr>
          <w:rFonts w:ascii="黑体" w:hAnsi="黑体" w:eastAsia="黑体"/>
          <w:sz w:val="18"/>
          <w:szCs w:val="18"/>
        </w:rPr>
        <w:pict>
          <v:shape id="_x0000_s1034" o:spid="_x0000_s1034" o:spt="75" type="#_x0000_t75" style="position:absolute;left:0pt;margin-left:144pt;margin-top:15.6pt;height:288.6pt;width:138.05pt;mso-wrap-distance-bottom:0pt;mso-wrap-distance-top:0pt;z-index:251664384;mso-width-relative:page;mso-height-relative:page;" o:ole="t" filled="f" o:preferrelative="t" stroked="f" coordsize="21600,21600">
            <v:path/>
            <v:fill on="f" focussize="0,0"/>
            <v:stroke on="f" joinstyle="miter"/>
            <v:imagedata r:id="rId59" cropleft="31667f" croptop="31603f" cropright="31268f" cropbottom="26060f" o:title=""/>
            <o:lock v:ext="edit" aspectratio="t"/>
            <w10:wrap type="topAndBottom"/>
          </v:shape>
          <o:OLEObject Type="Embed" ProgID="AutoCAD.Drawing.17" ShapeID="_x0000_s1034" DrawAspect="Content" ObjectID="_1468075740" r:id="rId58">
            <o:LockedField>false</o:LockedField>
          </o:OLEObject>
        </w:pict>
      </w:r>
      <w:r>
        <w:rPr>
          <w:rFonts w:ascii="黑体" w:hAnsi="黑体" w:eastAsia="黑体"/>
          <w:color w:val="333333"/>
          <w:sz w:val="18"/>
          <w:szCs w:val="18"/>
        </w:rPr>
        <w:t>11.8-1泡沫质量测定仪</w:t>
      </w:r>
    </w:p>
    <w:p w14:paraId="0F00A234">
      <w:pPr>
        <w:spacing w:line="360" w:lineRule="auto"/>
        <w:jc w:val="center"/>
        <w:rPr>
          <w:rFonts w:ascii="黑体" w:hAnsi="黑体" w:eastAsia="黑体"/>
          <w:color w:val="333333"/>
          <w:sz w:val="18"/>
          <w:szCs w:val="18"/>
        </w:rPr>
      </w:pPr>
      <w:r>
        <w:rPr>
          <w:rFonts w:ascii="黑体" w:hAnsi="黑体" w:eastAsia="黑体"/>
          <w:color w:val="333333"/>
          <w:sz w:val="18"/>
          <w:szCs w:val="18"/>
        </w:rPr>
        <w:t>1—容器；2—玻璃管；3—铝板浮标;4—测泡沫沉陷距用刻度;5-测泌水量用刻度</w:t>
      </w:r>
    </w:p>
    <w:p w14:paraId="73B96F89">
      <w:pPr>
        <w:pStyle w:val="112"/>
        <w:numPr>
          <w:ilvl w:val="0"/>
          <w:numId w:val="0"/>
        </w:numPr>
      </w:pPr>
    </w:p>
    <w:sectPr>
      <w:footerReference r:id="rId15" w:type="default"/>
      <w:type w:val="continuous"/>
      <w:pgSz w:w="11906" w:h="16838"/>
      <w:pgMar w:top="709" w:right="1133" w:bottom="720" w:left="1134" w:header="794" w:footer="49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TT1925A0o00">
    <w:altName w:val="宋体"/>
    <w:panose1 w:val="00000000000000000000"/>
    <w:charset w:val="86"/>
    <w:family w:val="auto"/>
    <w:pitch w:val="default"/>
    <w:sig w:usb0="00000000" w:usb1="00000000" w:usb2="00000010" w:usb3="00000000" w:csb0="00040000" w:csb1="00000000"/>
  </w:font>
  <w:font w:name="TT1925A0o01">
    <w:altName w:val="宋体"/>
    <w:panose1 w:val="00000000000000000000"/>
    <w:charset w:val="86"/>
    <w:family w:val="auto"/>
    <w:pitch w:val="default"/>
    <w:sig w:usb0="00000000" w:usb1="00000000" w:usb2="00000010" w:usb3="00000000" w:csb0="00040000" w:csb1="00000000"/>
  </w:font>
  <w:font w:name="TT1925A0o03">
    <w:altName w:val="宋体"/>
    <w:panose1 w:val="00000000000000000000"/>
    <w:charset w:val="86"/>
    <w:family w:val="auto"/>
    <w:pitch w:val="default"/>
    <w:sig w:usb0="00000000" w:usb1="00000000" w:usb2="00000010" w:usb3="00000000" w:csb0="00040000" w:csb1="00000000"/>
  </w:font>
  <w:font w:name="TT1925A0o02">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w:panose1 w:val="02010601000101010101"/>
    <w:charset w:val="88"/>
    <w:family w:val="auto"/>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仿宋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F7BF5">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975199">
                          <w:pPr>
                            <w:pStyle w:val="2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50975199">
                    <w:pPr>
                      <w:pStyle w:val="2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27A25">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42B89F">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14:paraId="4D42B89F">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D84DD">
    <w:pPr>
      <w:pStyle w:val="2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D4CD4E">
                          <w:pPr>
                            <w:pStyle w:val="2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7AD4CD4E">
                    <w:pPr>
                      <w:pStyle w:val="2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2FE6">
    <w:pPr>
      <w:pStyle w:val="2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B8599A">
                          <w:pPr>
                            <w:pStyle w:val="2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4BB8599A">
                    <w:pPr>
                      <w:pStyle w:val="2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A5EA">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56490D">
                          <w:pPr>
                            <w:pStyle w:val="2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3356490D">
                    <w:pPr>
                      <w:pStyle w:val="2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9CF5A">
    <w:pPr>
      <w:pStyle w:val="2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84462D">
                          <w:pPr>
                            <w:pStyle w:val="2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4584462D">
                    <w:pPr>
                      <w:pStyle w:val="2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9DCA">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63BE1D">
                          <w:pPr>
                            <w:pStyle w:val="2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5663BE1D">
                    <w:pPr>
                      <w:pStyle w:val="2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A8EFB">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B9EEA7">
                          <w:pPr>
                            <w:pStyle w:val="2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7CB9EEA7">
                    <w:pPr>
                      <w:pStyle w:val="2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AC4C2">
    <w:pPr>
      <w:pStyle w:val="2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C4B68B">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11C4B68B">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9ED2">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133A29">
                          <w:pPr>
                            <w:pStyle w:val="2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7B133A29">
                    <w:pPr>
                      <w:pStyle w:val="2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4078A">
    <w:pPr>
      <w:pStyle w:val="2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7617BE">
                          <w:pPr>
                            <w:pStyle w:val="2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14:paraId="777617BE">
                    <w:pPr>
                      <w:pStyle w:val="2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1974B">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3EA25">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C"/>
    <w:multiLevelType w:val="multilevel"/>
    <w:tmpl w:val="0000000C"/>
    <w:lvl w:ilvl="0" w:tentative="0">
      <w:start w:val="1"/>
      <w:numFmt w:val="decimal"/>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19E2DD2"/>
    <w:multiLevelType w:val="multilevel"/>
    <w:tmpl w:val="019E2DD2"/>
    <w:lvl w:ilvl="0" w:tentative="0">
      <w:start w:val="1"/>
      <w:numFmt w:val="decimal"/>
      <w:lvlText w:val="%1）"/>
      <w:lvlJc w:val="left"/>
      <w:pPr>
        <w:ind w:left="780" w:hanging="4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02274C72"/>
    <w:multiLevelType w:val="multilevel"/>
    <w:tmpl w:val="02274C72"/>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22D1910"/>
    <w:multiLevelType w:val="multilevel"/>
    <w:tmpl w:val="022D1910"/>
    <w:lvl w:ilvl="0" w:tentative="0">
      <w:start w:val="7"/>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4E43DB7"/>
    <w:multiLevelType w:val="multilevel"/>
    <w:tmpl w:val="04E43DB7"/>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B7527B7"/>
    <w:multiLevelType w:val="multilevel"/>
    <w:tmpl w:val="0B7527B7"/>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
    <w:nsid w:val="0C2A480E"/>
    <w:multiLevelType w:val="multilevel"/>
    <w:tmpl w:val="0C2A480E"/>
    <w:lvl w:ilvl="0" w:tentative="0">
      <w:start w:val="1"/>
      <w:numFmt w:val="decimal"/>
      <w:pStyle w:val="106"/>
      <w:lvlText w:val="第%1篇"/>
      <w:lvlJc w:val="left"/>
      <w:pPr>
        <w:ind w:left="4111" w:hanging="425"/>
      </w:pPr>
      <w:rPr>
        <w:rFonts w:hint="eastAsia"/>
      </w:rPr>
    </w:lvl>
    <w:lvl w:ilvl="1" w:tentative="0">
      <w:start w:val="1"/>
      <w:numFmt w:val="decimal"/>
      <w:pStyle w:val="107"/>
      <w:lvlText w:val="%1.%2"/>
      <w:lvlJc w:val="left"/>
      <w:pPr>
        <w:ind w:left="992" w:hanging="992"/>
      </w:pPr>
      <w:rPr>
        <w:rFonts w:hint="eastAsia"/>
      </w:rPr>
    </w:lvl>
    <w:lvl w:ilvl="2" w:tentative="0">
      <w:start w:val="1"/>
      <w:numFmt w:val="decimal"/>
      <w:pStyle w:val="110"/>
      <w:lvlText w:val="%1.%2.%3"/>
      <w:lvlJc w:val="left"/>
      <w:pPr>
        <w:ind w:left="992" w:hanging="992"/>
      </w:pPr>
      <w:rPr>
        <w:rFonts w:hint="eastAsia"/>
        <w:b w:val="0"/>
      </w:rPr>
    </w:lvl>
    <w:lvl w:ilvl="3" w:tentative="0">
      <w:start w:val="1"/>
      <w:numFmt w:val="decimal"/>
      <w:pStyle w:val="112"/>
      <w:lvlText w:val="%4."/>
      <w:lvlJc w:val="left"/>
      <w:pPr>
        <w:ind w:left="964" w:hanging="510"/>
      </w:pPr>
      <w:rPr>
        <w:rFonts w:hint="eastAsia"/>
      </w:rPr>
    </w:lvl>
    <w:lvl w:ilvl="4" w:tentative="0">
      <w:start w:val="1"/>
      <w:numFmt w:val="decimal"/>
      <w:pStyle w:val="114"/>
      <w:lvlText w:val="%5)"/>
      <w:lvlJc w:val="left"/>
      <w:pPr>
        <w:ind w:left="992" w:hanging="538"/>
      </w:pPr>
      <w:rPr>
        <w:rFonts w:hint="eastAsia"/>
      </w:rPr>
    </w:lvl>
    <w:lvl w:ilvl="5" w:tentative="0">
      <w:start w:val="1"/>
      <w:numFmt w:val="lowerLetter"/>
      <w:pStyle w:val="116"/>
      <w:lvlText w:val="%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0DDF65E2"/>
    <w:multiLevelType w:val="multilevel"/>
    <w:tmpl w:val="0DDF65E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
    <w:nsid w:val="0E0F0230"/>
    <w:multiLevelType w:val="multilevel"/>
    <w:tmpl w:val="0E0F02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2F91651"/>
    <w:multiLevelType w:val="multilevel"/>
    <w:tmpl w:val="12F9165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3137B87"/>
    <w:multiLevelType w:val="multilevel"/>
    <w:tmpl w:val="13137B87"/>
    <w:lvl w:ilvl="0" w:tentative="0">
      <w:start w:val="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33339D5"/>
    <w:multiLevelType w:val="multilevel"/>
    <w:tmpl w:val="133339D5"/>
    <w:lvl w:ilvl="0" w:tentative="0">
      <w:start w:val="1"/>
      <w:numFmt w:val="decimal"/>
      <w:lvlText w:val="%1、"/>
      <w:lvlJc w:val="left"/>
      <w:pPr>
        <w:ind w:left="716" w:hanging="360"/>
      </w:pPr>
      <w:rPr>
        <w:rFonts w:hint="default"/>
      </w:rPr>
    </w:lvl>
    <w:lvl w:ilvl="1" w:tentative="0">
      <w:start w:val="1"/>
      <w:numFmt w:val="lowerLetter"/>
      <w:lvlText w:val="%2)"/>
      <w:lvlJc w:val="left"/>
      <w:pPr>
        <w:ind w:left="1196" w:hanging="420"/>
      </w:pPr>
    </w:lvl>
    <w:lvl w:ilvl="2" w:tentative="0">
      <w:start w:val="1"/>
      <w:numFmt w:val="lowerRoman"/>
      <w:lvlText w:val="%3."/>
      <w:lvlJc w:val="right"/>
      <w:pPr>
        <w:ind w:left="1616" w:hanging="420"/>
      </w:pPr>
    </w:lvl>
    <w:lvl w:ilvl="3" w:tentative="0">
      <w:start w:val="1"/>
      <w:numFmt w:val="decimal"/>
      <w:lvlText w:val="%4."/>
      <w:lvlJc w:val="left"/>
      <w:pPr>
        <w:ind w:left="2036" w:hanging="420"/>
      </w:pPr>
    </w:lvl>
    <w:lvl w:ilvl="4" w:tentative="0">
      <w:start w:val="1"/>
      <w:numFmt w:val="lowerLetter"/>
      <w:lvlText w:val="%5)"/>
      <w:lvlJc w:val="left"/>
      <w:pPr>
        <w:ind w:left="2456" w:hanging="420"/>
      </w:pPr>
    </w:lvl>
    <w:lvl w:ilvl="5" w:tentative="0">
      <w:start w:val="1"/>
      <w:numFmt w:val="lowerRoman"/>
      <w:lvlText w:val="%6."/>
      <w:lvlJc w:val="right"/>
      <w:pPr>
        <w:ind w:left="2876" w:hanging="420"/>
      </w:pPr>
    </w:lvl>
    <w:lvl w:ilvl="6" w:tentative="0">
      <w:start w:val="1"/>
      <w:numFmt w:val="decimal"/>
      <w:lvlText w:val="%7."/>
      <w:lvlJc w:val="left"/>
      <w:pPr>
        <w:ind w:left="3296" w:hanging="420"/>
      </w:pPr>
    </w:lvl>
    <w:lvl w:ilvl="7" w:tentative="0">
      <w:start w:val="1"/>
      <w:numFmt w:val="lowerLetter"/>
      <w:lvlText w:val="%8)"/>
      <w:lvlJc w:val="left"/>
      <w:pPr>
        <w:ind w:left="3716" w:hanging="420"/>
      </w:pPr>
    </w:lvl>
    <w:lvl w:ilvl="8" w:tentative="0">
      <w:start w:val="1"/>
      <w:numFmt w:val="lowerRoman"/>
      <w:lvlText w:val="%9."/>
      <w:lvlJc w:val="right"/>
      <w:pPr>
        <w:ind w:left="4136" w:hanging="420"/>
      </w:pPr>
    </w:lvl>
  </w:abstractNum>
  <w:abstractNum w:abstractNumId="13">
    <w:nsid w:val="155646BA"/>
    <w:multiLevelType w:val="multilevel"/>
    <w:tmpl w:val="155646BA"/>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7D20B6D"/>
    <w:multiLevelType w:val="multilevel"/>
    <w:tmpl w:val="17D20B6D"/>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843677F"/>
    <w:multiLevelType w:val="multilevel"/>
    <w:tmpl w:val="1843677F"/>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
    <w:nsid w:val="1BD04372"/>
    <w:multiLevelType w:val="multilevel"/>
    <w:tmpl w:val="1BD0437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ECB0A91"/>
    <w:multiLevelType w:val="multilevel"/>
    <w:tmpl w:val="1ECB0A9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EE609EC"/>
    <w:multiLevelType w:val="multilevel"/>
    <w:tmpl w:val="1EE609EC"/>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F5654B9"/>
    <w:multiLevelType w:val="multilevel"/>
    <w:tmpl w:val="1F5654B9"/>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0">
    <w:nsid w:val="2342531A"/>
    <w:multiLevelType w:val="multilevel"/>
    <w:tmpl w:val="2342531A"/>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1">
    <w:nsid w:val="234B339D"/>
    <w:multiLevelType w:val="multilevel"/>
    <w:tmpl w:val="234B339D"/>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5060539"/>
    <w:multiLevelType w:val="multilevel"/>
    <w:tmpl w:val="25060539"/>
    <w:lvl w:ilvl="0" w:tentative="0">
      <w:start w:val="1"/>
      <w:numFmt w:val="decimal"/>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3">
    <w:nsid w:val="27411A2C"/>
    <w:multiLevelType w:val="multilevel"/>
    <w:tmpl w:val="27411A2C"/>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4">
    <w:nsid w:val="27745231"/>
    <w:multiLevelType w:val="multilevel"/>
    <w:tmpl w:val="2774523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286C72D3"/>
    <w:multiLevelType w:val="multilevel"/>
    <w:tmpl w:val="286C72D3"/>
    <w:lvl w:ilvl="0" w:tentative="0">
      <w:start w:val="1"/>
      <w:numFmt w:val="decimal"/>
      <w:lvlText w:val="%1、"/>
      <w:lvlJc w:val="left"/>
      <w:pPr>
        <w:ind w:left="1500" w:hanging="360"/>
      </w:pPr>
      <w:rPr>
        <w:rFonts w:hint="default"/>
      </w:rPr>
    </w:lvl>
    <w:lvl w:ilvl="1" w:tentative="0">
      <w:start w:val="1"/>
      <w:numFmt w:val="lowerLetter"/>
      <w:lvlText w:val="%2)"/>
      <w:lvlJc w:val="left"/>
      <w:pPr>
        <w:ind w:left="1980" w:hanging="420"/>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26">
    <w:nsid w:val="28D05E91"/>
    <w:multiLevelType w:val="multilevel"/>
    <w:tmpl w:val="28D05E91"/>
    <w:lvl w:ilvl="0" w:tentative="0">
      <w:start w:val="1"/>
      <w:numFmt w:val="lowerRoman"/>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90B589E"/>
    <w:multiLevelType w:val="multilevel"/>
    <w:tmpl w:val="290B589E"/>
    <w:lvl w:ilvl="0" w:tentative="0">
      <w:start w:val="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90C7A75"/>
    <w:multiLevelType w:val="multilevel"/>
    <w:tmpl w:val="290C7A75"/>
    <w:lvl w:ilvl="0" w:tentative="0">
      <w:start w:val="1"/>
      <w:numFmt w:val="bullet"/>
      <w:pStyle w:val="159"/>
      <w:lvlText w:val=""/>
      <w:lvlJc w:val="left"/>
      <w:pPr>
        <w:tabs>
          <w:tab w:val="left" w:pos="644"/>
        </w:tabs>
        <w:ind w:left="644" w:hanging="360"/>
      </w:pPr>
      <w:rPr>
        <w:rFonts w:hint="default" w:ascii="Wingdings" w:hAnsi="Wingdings"/>
        <w:color w:val="auto"/>
        <w:sz w:val="22"/>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29AC5B79"/>
    <w:multiLevelType w:val="multilevel"/>
    <w:tmpl w:val="29AC5B7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2A6D4F76"/>
    <w:multiLevelType w:val="multilevel"/>
    <w:tmpl w:val="2A6D4F76"/>
    <w:lvl w:ilvl="0" w:tentative="0">
      <w:start w:val="1"/>
      <w:numFmt w:val="decimal"/>
      <w:lvlText w:val="%1."/>
      <w:lvlJc w:val="left"/>
      <w:pPr>
        <w:ind w:left="1384" w:hanging="420"/>
      </w:p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1">
    <w:nsid w:val="2B2273ED"/>
    <w:multiLevelType w:val="multilevel"/>
    <w:tmpl w:val="2B2273ED"/>
    <w:lvl w:ilvl="0" w:tentative="0">
      <w:start w:val="1"/>
      <w:numFmt w:val="decimal"/>
      <w:lvlText w:val="%1."/>
      <w:lvlJc w:val="left"/>
      <w:pPr>
        <w:tabs>
          <w:tab w:val="left" w:pos="360"/>
        </w:tabs>
        <w:ind w:left="360" w:hanging="360"/>
      </w:pPr>
      <w:rPr>
        <w:rFonts w:hint="default"/>
      </w:rPr>
    </w:lvl>
    <w:lvl w:ilvl="1" w:tentative="0">
      <w:start w:val="1"/>
      <w:numFmt w:val="decimal"/>
      <w:lvlText w:val="%1.%2."/>
      <w:lvlJc w:val="left"/>
      <w:pPr>
        <w:tabs>
          <w:tab w:val="left" w:pos="792"/>
        </w:tabs>
        <w:ind w:left="792" w:hanging="432"/>
      </w:pPr>
      <w:rPr>
        <w:rFonts w:hint="default"/>
      </w:rPr>
    </w:lvl>
    <w:lvl w:ilvl="2" w:tentative="0">
      <w:start w:val="1"/>
      <w:numFmt w:val="decimal"/>
      <w:lvlText w:val="%1.%2.%3."/>
      <w:lvlJc w:val="left"/>
      <w:pPr>
        <w:tabs>
          <w:tab w:val="left" w:pos="1224"/>
        </w:tabs>
        <w:ind w:left="1224" w:hanging="504"/>
      </w:pPr>
      <w:rPr>
        <w:rFonts w:hint="default"/>
      </w:rPr>
    </w:lvl>
    <w:lvl w:ilvl="3" w:tentative="0">
      <w:start w:val="1"/>
      <w:numFmt w:val="decimal"/>
      <w:lvlText w:val="%1.%2.%3.%4."/>
      <w:lvlJc w:val="left"/>
      <w:pPr>
        <w:tabs>
          <w:tab w:val="left" w:pos="1728"/>
        </w:tabs>
        <w:ind w:left="1728" w:hanging="648"/>
      </w:pPr>
      <w:rPr>
        <w:rFonts w:hint="default"/>
      </w:rPr>
    </w:lvl>
    <w:lvl w:ilvl="4" w:tentative="0">
      <w:start w:val="1"/>
      <w:numFmt w:val="decimal"/>
      <w:lvlText w:val="%1.%2.%3.%4.%5."/>
      <w:lvlJc w:val="left"/>
      <w:pPr>
        <w:tabs>
          <w:tab w:val="left" w:pos="2232"/>
        </w:tabs>
        <w:ind w:left="2232" w:hanging="792"/>
      </w:pPr>
      <w:rPr>
        <w:rFonts w:hint="default"/>
      </w:rPr>
    </w:lvl>
    <w:lvl w:ilvl="5" w:tentative="0">
      <w:start w:val="1"/>
      <w:numFmt w:val="decimal"/>
      <w:lvlText w:val="%1.%2.%3.%4.%5.%6."/>
      <w:lvlJc w:val="left"/>
      <w:pPr>
        <w:tabs>
          <w:tab w:val="left" w:pos="2736"/>
        </w:tabs>
        <w:ind w:left="2736" w:hanging="936"/>
      </w:pPr>
      <w:rPr>
        <w:rFonts w:hint="default"/>
      </w:rPr>
    </w:lvl>
    <w:lvl w:ilvl="6" w:tentative="0">
      <w:start w:val="1"/>
      <w:numFmt w:val="decimal"/>
      <w:lvlText w:val="%1.%2.%3.%4.%5.%6.%7."/>
      <w:lvlJc w:val="left"/>
      <w:pPr>
        <w:tabs>
          <w:tab w:val="left" w:pos="3240"/>
        </w:tabs>
        <w:ind w:left="3240" w:hanging="1080"/>
      </w:pPr>
      <w:rPr>
        <w:rFonts w:hint="default"/>
      </w:rPr>
    </w:lvl>
    <w:lvl w:ilvl="7" w:tentative="0">
      <w:start w:val="1"/>
      <w:numFmt w:val="decimal"/>
      <w:lvlText w:val="%1.%2.%3.%4.%5.%6.%7.%8."/>
      <w:lvlJc w:val="left"/>
      <w:pPr>
        <w:tabs>
          <w:tab w:val="left" w:pos="3744"/>
        </w:tabs>
        <w:ind w:left="3744" w:hanging="1224"/>
      </w:pPr>
      <w:rPr>
        <w:rFonts w:hint="default"/>
      </w:rPr>
    </w:lvl>
    <w:lvl w:ilvl="8" w:tentative="0">
      <w:start w:val="1"/>
      <w:numFmt w:val="decimal"/>
      <w:lvlText w:val="%1.%2.%3.%4.%5.%6.%7.%8.%9."/>
      <w:lvlJc w:val="left"/>
      <w:pPr>
        <w:tabs>
          <w:tab w:val="left" w:pos="4320"/>
        </w:tabs>
        <w:ind w:left="4320" w:hanging="1440"/>
      </w:pPr>
      <w:rPr>
        <w:rFonts w:hint="default"/>
      </w:rPr>
    </w:lvl>
  </w:abstractNum>
  <w:abstractNum w:abstractNumId="32">
    <w:nsid w:val="2C0E42E8"/>
    <w:multiLevelType w:val="multilevel"/>
    <w:tmpl w:val="2C0E42E8"/>
    <w:lvl w:ilvl="0" w:tentative="0">
      <w:start w:val="1"/>
      <w:numFmt w:val="bullet"/>
      <w:lvlText w:val="•"/>
      <w:lvlJc w:val="left"/>
      <w:pPr>
        <w:ind w:left="1413" w:hanging="420"/>
      </w:pPr>
      <w:rPr>
        <w:rFonts w:hint="default" w:ascii="Arial" w:hAnsi="Arial"/>
      </w:rPr>
    </w:lvl>
    <w:lvl w:ilvl="1" w:tentative="0">
      <w:start w:val="1"/>
      <w:numFmt w:val="bullet"/>
      <w:lvlText w:val=""/>
      <w:lvlJc w:val="left"/>
      <w:pPr>
        <w:ind w:left="1833" w:hanging="420"/>
      </w:pPr>
      <w:rPr>
        <w:rFonts w:hint="default" w:ascii="Wingdings" w:hAnsi="Wingdings"/>
      </w:rPr>
    </w:lvl>
    <w:lvl w:ilvl="2" w:tentative="0">
      <w:start w:val="1"/>
      <w:numFmt w:val="bullet"/>
      <w:lvlText w:val=""/>
      <w:lvlJc w:val="left"/>
      <w:pPr>
        <w:ind w:left="2253" w:hanging="420"/>
      </w:pPr>
      <w:rPr>
        <w:rFonts w:hint="default" w:ascii="Wingdings" w:hAnsi="Wingdings"/>
      </w:rPr>
    </w:lvl>
    <w:lvl w:ilvl="3" w:tentative="0">
      <w:start w:val="1"/>
      <w:numFmt w:val="bullet"/>
      <w:lvlText w:val=""/>
      <w:lvlJc w:val="left"/>
      <w:pPr>
        <w:ind w:left="2673" w:hanging="420"/>
      </w:pPr>
      <w:rPr>
        <w:rFonts w:hint="default" w:ascii="Wingdings" w:hAnsi="Wingdings"/>
      </w:rPr>
    </w:lvl>
    <w:lvl w:ilvl="4" w:tentative="0">
      <w:start w:val="1"/>
      <w:numFmt w:val="bullet"/>
      <w:lvlText w:val=""/>
      <w:lvlJc w:val="left"/>
      <w:pPr>
        <w:ind w:left="3093" w:hanging="420"/>
      </w:pPr>
      <w:rPr>
        <w:rFonts w:hint="default" w:ascii="Wingdings" w:hAnsi="Wingdings"/>
      </w:rPr>
    </w:lvl>
    <w:lvl w:ilvl="5" w:tentative="0">
      <w:start w:val="1"/>
      <w:numFmt w:val="bullet"/>
      <w:lvlText w:val=""/>
      <w:lvlJc w:val="left"/>
      <w:pPr>
        <w:ind w:left="3513" w:hanging="420"/>
      </w:pPr>
      <w:rPr>
        <w:rFonts w:hint="default" w:ascii="Wingdings" w:hAnsi="Wingdings"/>
      </w:rPr>
    </w:lvl>
    <w:lvl w:ilvl="6" w:tentative="0">
      <w:start w:val="1"/>
      <w:numFmt w:val="bullet"/>
      <w:lvlText w:val=""/>
      <w:lvlJc w:val="left"/>
      <w:pPr>
        <w:ind w:left="3933" w:hanging="420"/>
      </w:pPr>
      <w:rPr>
        <w:rFonts w:hint="default" w:ascii="Wingdings" w:hAnsi="Wingdings"/>
      </w:rPr>
    </w:lvl>
    <w:lvl w:ilvl="7" w:tentative="0">
      <w:start w:val="1"/>
      <w:numFmt w:val="bullet"/>
      <w:lvlText w:val=""/>
      <w:lvlJc w:val="left"/>
      <w:pPr>
        <w:ind w:left="4353" w:hanging="420"/>
      </w:pPr>
      <w:rPr>
        <w:rFonts w:hint="default" w:ascii="Wingdings" w:hAnsi="Wingdings"/>
      </w:rPr>
    </w:lvl>
    <w:lvl w:ilvl="8" w:tentative="0">
      <w:start w:val="1"/>
      <w:numFmt w:val="bullet"/>
      <w:lvlText w:val=""/>
      <w:lvlJc w:val="left"/>
      <w:pPr>
        <w:ind w:left="4773" w:hanging="420"/>
      </w:pPr>
      <w:rPr>
        <w:rFonts w:hint="default" w:ascii="Wingdings" w:hAnsi="Wingdings"/>
      </w:rPr>
    </w:lvl>
  </w:abstractNum>
  <w:abstractNum w:abstractNumId="33">
    <w:nsid w:val="2C1C63DF"/>
    <w:multiLevelType w:val="multilevel"/>
    <w:tmpl w:val="2C1C63DF"/>
    <w:lvl w:ilvl="0" w:tentative="0">
      <w:start w:val="1"/>
      <w:numFmt w:val="decimal"/>
      <w:lvlText w:val="%1."/>
      <w:lvlJc w:val="left"/>
      <w:pPr>
        <w:ind w:left="420" w:hanging="420"/>
      </w:pPr>
      <w:rPr>
        <w:rFonts w:hint="default"/>
      </w:rPr>
    </w:lvl>
    <w:lvl w:ilvl="1" w:tentative="0">
      <w:start w:val="2"/>
      <w:numFmt w:val="decimal"/>
      <w:isLgl/>
      <w:lvlText w:val="%1.%2"/>
      <w:lvlJc w:val="left"/>
      <w:pPr>
        <w:ind w:left="720" w:hanging="720"/>
      </w:pPr>
      <w:rPr>
        <w:rFonts w:hint="default"/>
      </w:rPr>
    </w:lvl>
    <w:lvl w:ilvl="2" w:tentative="0">
      <w:start w:val="2"/>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34">
    <w:nsid w:val="2C462953"/>
    <w:multiLevelType w:val="multilevel"/>
    <w:tmpl w:val="2C46295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CE74FAA"/>
    <w:multiLevelType w:val="multilevel"/>
    <w:tmpl w:val="2CE74FA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05A2CBD"/>
    <w:multiLevelType w:val="multilevel"/>
    <w:tmpl w:val="305A2CBD"/>
    <w:lvl w:ilvl="0" w:tentative="0">
      <w:start w:val="1"/>
      <w:numFmt w:val="lowerRoman"/>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0D77372"/>
    <w:multiLevelType w:val="multilevel"/>
    <w:tmpl w:val="30D7737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8">
    <w:nsid w:val="313B59A6"/>
    <w:multiLevelType w:val="multilevel"/>
    <w:tmpl w:val="313B59A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1A40EC0"/>
    <w:multiLevelType w:val="multilevel"/>
    <w:tmpl w:val="31A40E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1C33C76"/>
    <w:multiLevelType w:val="multilevel"/>
    <w:tmpl w:val="31C33C7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2151F55"/>
    <w:multiLevelType w:val="multilevel"/>
    <w:tmpl w:val="32151F55"/>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42">
    <w:nsid w:val="37335276"/>
    <w:multiLevelType w:val="multilevel"/>
    <w:tmpl w:val="3733527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743522D"/>
    <w:multiLevelType w:val="multilevel"/>
    <w:tmpl w:val="3743522D"/>
    <w:lvl w:ilvl="0" w:tentative="0">
      <w:start w:val="1"/>
      <w:numFmt w:val="lowerRoman"/>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38931270"/>
    <w:multiLevelType w:val="multilevel"/>
    <w:tmpl w:val="38931270"/>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3BF724B5"/>
    <w:multiLevelType w:val="multilevel"/>
    <w:tmpl w:val="3BF724B5"/>
    <w:lvl w:ilvl="0" w:tentative="0">
      <w:start w:val="1"/>
      <w:numFmt w:val="bullet"/>
      <w:lvlText w:val="•"/>
      <w:lvlJc w:val="left"/>
      <w:pPr>
        <w:ind w:left="1413" w:hanging="420"/>
      </w:pPr>
      <w:rPr>
        <w:rFonts w:hint="default" w:ascii="Arial" w:hAnsi="Arial"/>
      </w:rPr>
    </w:lvl>
    <w:lvl w:ilvl="1" w:tentative="0">
      <w:start w:val="1"/>
      <w:numFmt w:val="bullet"/>
      <w:lvlText w:val=""/>
      <w:lvlJc w:val="left"/>
      <w:pPr>
        <w:ind w:left="1833" w:hanging="420"/>
      </w:pPr>
      <w:rPr>
        <w:rFonts w:hint="default" w:ascii="Wingdings" w:hAnsi="Wingdings"/>
      </w:rPr>
    </w:lvl>
    <w:lvl w:ilvl="2" w:tentative="0">
      <w:start w:val="1"/>
      <w:numFmt w:val="bullet"/>
      <w:lvlText w:val=""/>
      <w:lvlJc w:val="left"/>
      <w:pPr>
        <w:ind w:left="2253" w:hanging="420"/>
      </w:pPr>
      <w:rPr>
        <w:rFonts w:hint="default" w:ascii="Wingdings" w:hAnsi="Wingdings"/>
      </w:rPr>
    </w:lvl>
    <w:lvl w:ilvl="3" w:tentative="0">
      <w:start w:val="1"/>
      <w:numFmt w:val="bullet"/>
      <w:lvlText w:val=""/>
      <w:lvlJc w:val="left"/>
      <w:pPr>
        <w:ind w:left="2673" w:hanging="420"/>
      </w:pPr>
      <w:rPr>
        <w:rFonts w:hint="default" w:ascii="Wingdings" w:hAnsi="Wingdings"/>
      </w:rPr>
    </w:lvl>
    <w:lvl w:ilvl="4" w:tentative="0">
      <w:start w:val="1"/>
      <w:numFmt w:val="bullet"/>
      <w:lvlText w:val=""/>
      <w:lvlJc w:val="left"/>
      <w:pPr>
        <w:ind w:left="3093" w:hanging="420"/>
      </w:pPr>
      <w:rPr>
        <w:rFonts w:hint="default" w:ascii="Wingdings" w:hAnsi="Wingdings"/>
      </w:rPr>
    </w:lvl>
    <w:lvl w:ilvl="5" w:tentative="0">
      <w:start w:val="1"/>
      <w:numFmt w:val="bullet"/>
      <w:lvlText w:val=""/>
      <w:lvlJc w:val="left"/>
      <w:pPr>
        <w:ind w:left="3513" w:hanging="420"/>
      </w:pPr>
      <w:rPr>
        <w:rFonts w:hint="default" w:ascii="Wingdings" w:hAnsi="Wingdings"/>
      </w:rPr>
    </w:lvl>
    <w:lvl w:ilvl="6" w:tentative="0">
      <w:start w:val="1"/>
      <w:numFmt w:val="bullet"/>
      <w:lvlText w:val=""/>
      <w:lvlJc w:val="left"/>
      <w:pPr>
        <w:ind w:left="3933" w:hanging="420"/>
      </w:pPr>
      <w:rPr>
        <w:rFonts w:hint="default" w:ascii="Wingdings" w:hAnsi="Wingdings"/>
      </w:rPr>
    </w:lvl>
    <w:lvl w:ilvl="7" w:tentative="0">
      <w:start w:val="1"/>
      <w:numFmt w:val="bullet"/>
      <w:lvlText w:val=""/>
      <w:lvlJc w:val="left"/>
      <w:pPr>
        <w:ind w:left="4353" w:hanging="420"/>
      </w:pPr>
      <w:rPr>
        <w:rFonts w:hint="default" w:ascii="Wingdings" w:hAnsi="Wingdings"/>
      </w:rPr>
    </w:lvl>
    <w:lvl w:ilvl="8" w:tentative="0">
      <w:start w:val="1"/>
      <w:numFmt w:val="bullet"/>
      <w:lvlText w:val=""/>
      <w:lvlJc w:val="left"/>
      <w:pPr>
        <w:ind w:left="4773" w:hanging="420"/>
      </w:pPr>
      <w:rPr>
        <w:rFonts w:hint="default" w:ascii="Wingdings" w:hAnsi="Wingdings"/>
      </w:rPr>
    </w:lvl>
  </w:abstractNum>
  <w:abstractNum w:abstractNumId="46">
    <w:nsid w:val="3D273FD8"/>
    <w:multiLevelType w:val="multilevel"/>
    <w:tmpl w:val="3D273FD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3D5F1CED"/>
    <w:multiLevelType w:val="multilevel"/>
    <w:tmpl w:val="3D5F1CE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3F0148F7"/>
    <w:multiLevelType w:val="multilevel"/>
    <w:tmpl w:val="3F0148F7"/>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4012285B"/>
    <w:multiLevelType w:val="multilevel"/>
    <w:tmpl w:val="4012285B"/>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0F54240"/>
    <w:multiLevelType w:val="multilevel"/>
    <w:tmpl w:val="40F54240"/>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1">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75"/>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74"/>
      <w:suff w:val="space"/>
      <w:lvlText w:val="表%9"/>
      <w:lvlJc w:val="center"/>
      <w:pPr>
        <w:ind w:left="0" w:firstLine="0"/>
      </w:pPr>
      <w:rPr>
        <w:rFonts w:hint="default" w:ascii="Arial" w:hAnsi="Arial" w:eastAsia="黑体"/>
        <w:b w:val="0"/>
        <w:i w:val="0"/>
        <w:sz w:val="18"/>
        <w:szCs w:val="18"/>
      </w:rPr>
    </w:lvl>
  </w:abstractNum>
  <w:abstractNum w:abstractNumId="52">
    <w:nsid w:val="44331FC7"/>
    <w:multiLevelType w:val="multilevel"/>
    <w:tmpl w:val="44331FC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453702D7"/>
    <w:multiLevelType w:val="multilevel"/>
    <w:tmpl w:val="453702D7"/>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470B2500"/>
    <w:multiLevelType w:val="multilevel"/>
    <w:tmpl w:val="470B2500"/>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4D6B3ED7"/>
    <w:multiLevelType w:val="multilevel"/>
    <w:tmpl w:val="4D6B3ED7"/>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6">
    <w:nsid w:val="4DA61B4D"/>
    <w:multiLevelType w:val="multilevel"/>
    <w:tmpl w:val="4DA61B4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4DD109B5"/>
    <w:multiLevelType w:val="multilevel"/>
    <w:tmpl w:val="4DD109B5"/>
    <w:lvl w:ilvl="0" w:tentative="0">
      <w:start w:val="1"/>
      <w:numFmt w:val="decimal"/>
      <w:lvlText w:val="%1、"/>
      <w:lvlJc w:val="left"/>
      <w:pPr>
        <w:ind w:left="1324" w:hanging="360"/>
      </w:pPr>
      <w:rPr>
        <w:rFonts w:hint="default"/>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8">
    <w:nsid w:val="50FF7E8A"/>
    <w:multiLevelType w:val="multilevel"/>
    <w:tmpl w:val="50FF7E8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527D54F1"/>
    <w:multiLevelType w:val="multilevel"/>
    <w:tmpl w:val="527D54F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55030A9A"/>
    <w:multiLevelType w:val="multilevel"/>
    <w:tmpl w:val="55030A9A"/>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55223B27"/>
    <w:multiLevelType w:val="multilevel"/>
    <w:tmpl w:val="55223B2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55957566"/>
    <w:multiLevelType w:val="multilevel"/>
    <w:tmpl w:val="5595756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57687D09"/>
    <w:multiLevelType w:val="multilevel"/>
    <w:tmpl w:val="57687D09"/>
    <w:lvl w:ilvl="0" w:tentative="0">
      <w:start w:val="1"/>
      <w:numFmt w:val="decimal"/>
      <w:lvlText w:val="%1、"/>
      <w:lvlJc w:val="left"/>
      <w:pPr>
        <w:ind w:left="556" w:hanging="420"/>
      </w:pPr>
      <w:rPr>
        <w:rFonts w:hint="default"/>
      </w:rPr>
    </w:lvl>
    <w:lvl w:ilvl="1" w:tentative="0">
      <w:start w:val="1"/>
      <w:numFmt w:val="decimal"/>
      <w:lvlText w:val="%2、"/>
      <w:lvlJc w:val="left"/>
      <w:pPr>
        <w:ind w:left="916" w:hanging="360"/>
      </w:pPr>
      <w:rPr>
        <w:rFonts w:hint="default"/>
      </w:rPr>
    </w:lvl>
    <w:lvl w:ilvl="2" w:tentative="0">
      <w:start w:val="1"/>
      <w:numFmt w:val="bullet"/>
      <w:lvlText w:val=""/>
      <w:lvlJc w:val="left"/>
      <w:pPr>
        <w:ind w:left="1396" w:hanging="420"/>
      </w:pPr>
      <w:rPr>
        <w:rFonts w:hint="default" w:ascii="Wingdings" w:hAnsi="Wingdings"/>
      </w:rPr>
    </w:lvl>
    <w:lvl w:ilvl="3" w:tentative="0">
      <w:start w:val="1"/>
      <w:numFmt w:val="bullet"/>
      <w:lvlText w:val=""/>
      <w:lvlJc w:val="left"/>
      <w:pPr>
        <w:ind w:left="1816" w:hanging="420"/>
      </w:pPr>
      <w:rPr>
        <w:rFonts w:hint="default" w:ascii="Wingdings" w:hAnsi="Wingdings"/>
      </w:rPr>
    </w:lvl>
    <w:lvl w:ilvl="4" w:tentative="0">
      <w:start w:val="1"/>
      <w:numFmt w:val="bullet"/>
      <w:lvlText w:val=""/>
      <w:lvlJc w:val="left"/>
      <w:pPr>
        <w:ind w:left="2236" w:hanging="420"/>
      </w:pPr>
      <w:rPr>
        <w:rFonts w:hint="default" w:ascii="Wingdings" w:hAnsi="Wingdings"/>
      </w:rPr>
    </w:lvl>
    <w:lvl w:ilvl="5" w:tentative="0">
      <w:start w:val="1"/>
      <w:numFmt w:val="bullet"/>
      <w:lvlText w:val=""/>
      <w:lvlJc w:val="left"/>
      <w:pPr>
        <w:ind w:left="2656" w:hanging="420"/>
      </w:pPr>
      <w:rPr>
        <w:rFonts w:hint="default" w:ascii="Wingdings" w:hAnsi="Wingdings"/>
      </w:rPr>
    </w:lvl>
    <w:lvl w:ilvl="6" w:tentative="0">
      <w:start w:val="1"/>
      <w:numFmt w:val="bullet"/>
      <w:lvlText w:val=""/>
      <w:lvlJc w:val="left"/>
      <w:pPr>
        <w:ind w:left="3076" w:hanging="420"/>
      </w:pPr>
      <w:rPr>
        <w:rFonts w:hint="default" w:ascii="Wingdings" w:hAnsi="Wingdings"/>
      </w:rPr>
    </w:lvl>
    <w:lvl w:ilvl="7" w:tentative="0">
      <w:start w:val="1"/>
      <w:numFmt w:val="bullet"/>
      <w:lvlText w:val=""/>
      <w:lvlJc w:val="left"/>
      <w:pPr>
        <w:ind w:left="3496" w:hanging="420"/>
      </w:pPr>
      <w:rPr>
        <w:rFonts w:hint="default" w:ascii="Wingdings" w:hAnsi="Wingdings"/>
      </w:rPr>
    </w:lvl>
    <w:lvl w:ilvl="8" w:tentative="0">
      <w:start w:val="1"/>
      <w:numFmt w:val="bullet"/>
      <w:lvlText w:val=""/>
      <w:lvlJc w:val="left"/>
      <w:pPr>
        <w:ind w:left="3916" w:hanging="420"/>
      </w:pPr>
      <w:rPr>
        <w:rFonts w:hint="default" w:ascii="Wingdings" w:hAnsi="Wingdings"/>
      </w:rPr>
    </w:lvl>
  </w:abstractNum>
  <w:abstractNum w:abstractNumId="64">
    <w:nsid w:val="57D71336"/>
    <w:multiLevelType w:val="multilevel"/>
    <w:tmpl w:val="57D7133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5C8B01C3"/>
    <w:multiLevelType w:val="multilevel"/>
    <w:tmpl w:val="5C8B01C3"/>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601129E7"/>
    <w:multiLevelType w:val="multilevel"/>
    <w:tmpl w:val="601129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60B42E3F"/>
    <w:multiLevelType w:val="multilevel"/>
    <w:tmpl w:val="60B42E3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2977969"/>
    <w:multiLevelType w:val="multilevel"/>
    <w:tmpl w:val="62977969"/>
    <w:lvl w:ilvl="0" w:tentative="0">
      <w:start w:val="1"/>
      <w:numFmt w:val="decimal"/>
      <w:lvlText w:val="%1）"/>
      <w:lvlJc w:val="left"/>
      <w:pPr>
        <w:ind w:left="420" w:hanging="420"/>
      </w:pPr>
      <w:rPr>
        <w:rFonts w:hint="default"/>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A422A34"/>
    <w:multiLevelType w:val="multilevel"/>
    <w:tmpl w:val="6A422A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6B6547A9"/>
    <w:multiLevelType w:val="multilevel"/>
    <w:tmpl w:val="6B6547A9"/>
    <w:lvl w:ilvl="0" w:tentative="0">
      <w:start w:val="1"/>
      <w:numFmt w:val="japaneseCounting"/>
      <w:pStyle w:val="55"/>
      <w:lvlText w:val="%1、"/>
      <w:lvlJc w:val="left"/>
      <w:pPr>
        <w:tabs>
          <w:tab w:val="left" w:pos="480"/>
        </w:tabs>
        <w:ind w:left="480" w:hanging="480"/>
      </w:pPr>
      <w:rPr>
        <w:rFonts w:hint="default"/>
      </w:rPr>
    </w:lvl>
    <w:lvl w:ilvl="1" w:tentative="0">
      <w:start w:val="1"/>
      <w:numFmt w:val="decimal"/>
      <w:lvlText w:val="%2．"/>
      <w:lvlJc w:val="left"/>
      <w:pPr>
        <w:tabs>
          <w:tab w:val="left" w:pos="1089"/>
        </w:tabs>
        <w:ind w:left="591" w:hanging="171"/>
      </w:pPr>
      <w:rPr>
        <w:rFonts w:hint="default" w:ascii="Arial" w:hAnsi="Arial" w:eastAsia="宋体" w:cs="Arial"/>
        <w:sz w:val="24"/>
        <w:szCs w:val="24"/>
      </w:rPr>
    </w:lvl>
    <w:lvl w:ilvl="2" w:tentative="0">
      <w:start w:val="2"/>
      <w:numFmt w:val="decimal"/>
      <w:lvlText w:val="%3、"/>
      <w:lvlJc w:val="left"/>
      <w:pPr>
        <w:tabs>
          <w:tab w:val="left" w:pos="1200"/>
        </w:tabs>
        <w:ind w:left="1200" w:hanging="360"/>
      </w:pPr>
      <w:rPr>
        <w:rFonts w:hint="default"/>
        <w:b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6C746251"/>
    <w:multiLevelType w:val="multilevel"/>
    <w:tmpl w:val="6C746251"/>
    <w:lvl w:ilvl="0" w:tentative="0">
      <w:start w:val="9"/>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6CF54FB8"/>
    <w:multiLevelType w:val="multilevel"/>
    <w:tmpl w:val="6CF54FB8"/>
    <w:lvl w:ilvl="0" w:tentative="0">
      <w:start w:val="1"/>
      <w:numFmt w:val="lowerRoman"/>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D4A7037"/>
    <w:multiLevelType w:val="multilevel"/>
    <w:tmpl w:val="6D4A7037"/>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4">
    <w:nsid w:val="6DC61DC4"/>
    <w:multiLevelType w:val="multilevel"/>
    <w:tmpl w:val="6DC61DC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5">
    <w:nsid w:val="6E1A276C"/>
    <w:multiLevelType w:val="multilevel"/>
    <w:tmpl w:val="6E1A276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7015307A"/>
    <w:multiLevelType w:val="multilevel"/>
    <w:tmpl w:val="7015307A"/>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7">
    <w:nsid w:val="71AB0176"/>
    <w:multiLevelType w:val="multilevel"/>
    <w:tmpl w:val="71AB0176"/>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8">
    <w:nsid w:val="73BB1ABF"/>
    <w:multiLevelType w:val="multilevel"/>
    <w:tmpl w:val="73BB1ABF"/>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9">
    <w:nsid w:val="74DB3ACB"/>
    <w:multiLevelType w:val="multilevel"/>
    <w:tmpl w:val="74DB3ACB"/>
    <w:lvl w:ilvl="0" w:tentative="0">
      <w:start w:val="1"/>
      <w:numFmt w:val="lowerRoman"/>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lowerRoman"/>
      <w:lvlText w:val="%4."/>
      <w:lvlJc w:val="right"/>
      <w:pPr>
        <w:ind w:left="1680" w:hanging="42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77B95371"/>
    <w:multiLevelType w:val="multilevel"/>
    <w:tmpl w:val="77B9537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782D202D"/>
    <w:multiLevelType w:val="multilevel"/>
    <w:tmpl w:val="782D202D"/>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2">
    <w:nsid w:val="7D3F298C"/>
    <w:multiLevelType w:val="multilevel"/>
    <w:tmpl w:val="7D3F298C"/>
    <w:lvl w:ilvl="0" w:tentative="0">
      <w:start w:val="2"/>
      <w:numFmt w:val="lowerRoman"/>
      <w:lvlText w:val="%1."/>
      <w:lvlJc w:val="righ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7D88174B"/>
    <w:multiLevelType w:val="multilevel"/>
    <w:tmpl w:val="7D88174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7DC116C3"/>
    <w:multiLevelType w:val="multilevel"/>
    <w:tmpl w:val="7DC116C3"/>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7DC122CA"/>
    <w:multiLevelType w:val="multilevel"/>
    <w:tmpl w:val="7DC122CA"/>
    <w:lvl w:ilvl="0" w:tentative="0">
      <w:start w:val="1"/>
      <w:numFmt w:val="bullet"/>
      <w:lvlText w:val="•"/>
      <w:lvlJc w:val="left"/>
      <w:pPr>
        <w:ind w:left="846" w:hanging="420"/>
      </w:pPr>
      <w:rPr>
        <w:rFonts w:hint="default" w:ascii="Arial" w:hAnsi="Arial"/>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Arial" w:hAnsi="Arial"/>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86">
    <w:nsid w:val="7EBB266F"/>
    <w:multiLevelType w:val="multilevel"/>
    <w:tmpl w:val="7EBB266F"/>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7F426636"/>
    <w:multiLevelType w:val="multilevel"/>
    <w:tmpl w:val="7F42663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0"/>
  </w:num>
  <w:num w:numId="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8"/>
  </w:num>
  <w:num w:numId="5">
    <w:abstractNumId w:val="61"/>
  </w:num>
  <w:num w:numId="6">
    <w:abstractNumId w:val="19"/>
  </w:num>
  <w:num w:numId="7">
    <w:abstractNumId w:val="50"/>
  </w:num>
  <w:num w:numId="8">
    <w:abstractNumId w:val="76"/>
  </w:num>
  <w:num w:numId="9">
    <w:abstractNumId w:val="37"/>
  </w:num>
  <w:num w:numId="10">
    <w:abstractNumId w:val="81"/>
  </w:num>
  <w:num w:numId="11">
    <w:abstractNumId w:val="55"/>
  </w:num>
  <w:num w:numId="12">
    <w:abstractNumId w:val="40"/>
  </w:num>
  <w:num w:numId="13">
    <w:abstractNumId w:val="31"/>
  </w:num>
  <w:num w:numId="14">
    <w:abstractNumId w:val="68"/>
  </w:num>
  <w:num w:numId="15">
    <w:abstractNumId w:val="53"/>
  </w:num>
  <w:num w:numId="16">
    <w:abstractNumId w:val="65"/>
  </w:num>
  <w:num w:numId="17">
    <w:abstractNumId w:val="3"/>
  </w:num>
  <w:num w:numId="18">
    <w:abstractNumId w:val="5"/>
  </w:num>
  <w:num w:numId="19">
    <w:abstractNumId w:val="4"/>
  </w:num>
  <w:num w:numId="20">
    <w:abstractNumId w:val="2"/>
  </w:num>
  <w:num w:numId="21">
    <w:abstractNumId w:val="0"/>
  </w:num>
  <w:num w:numId="22">
    <w:abstractNumId w:val="1"/>
  </w:num>
  <w:num w:numId="23">
    <w:abstractNumId w:val="23"/>
  </w:num>
  <w:num w:numId="24">
    <w:abstractNumId w:val="8"/>
  </w:num>
  <w:num w:numId="25">
    <w:abstractNumId w:val="24"/>
  </w:num>
  <w:num w:numId="26">
    <w:abstractNumId w:val="15"/>
  </w:num>
  <w:num w:numId="27">
    <w:abstractNumId w:val="57"/>
  </w:num>
  <w:num w:numId="28">
    <w:abstractNumId w:val="33"/>
  </w:num>
  <w:num w:numId="29">
    <w:abstractNumId w:val="80"/>
  </w:num>
  <w:num w:numId="30">
    <w:abstractNumId w:val="41"/>
  </w:num>
  <w:num w:numId="31">
    <w:abstractNumId w:val="52"/>
  </w:num>
  <w:num w:numId="32">
    <w:abstractNumId w:val="22"/>
  </w:num>
  <w:num w:numId="33">
    <w:abstractNumId w:val="64"/>
  </w:num>
  <w:num w:numId="34">
    <w:abstractNumId w:val="21"/>
  </w:num>
  <w:num w:numId="35">
    <w:abstractNumId w:val="6"/>
  </w:num>
  <w:num w:numId="36">
    <w:abstractNumId w:val="69"/>
  </w:num>
  <w:num w:numId="37">
    <w:abstractNumId w:val="10"/>
  </w:num>
  <w:num w:numId="38">
    <w:abstractNumId w:val="67"/>
  </w:num>
  <w:num w:numId="39">
    <w:abstractNumId w:val="29"/>
  </w:num>
  <w:num w:numId="40">
    <w:abstractNumId w:val="14"/>
  </w:num>
  <w:num w:numId="41">
    <w:abstractNumId w:val="54"/>
  </w:num>
  <w:num w:numId="42">
    <w:abstractNumId w:val="74"/>
  </w:num>
  <w:num w:numId="43">
    <w:abstractNumId w:val="66"/>
  </w:num>
  <w:num w:numId="44">
    <w:abstractNumId w:val="43"/>
  </w:num>
  <w:num w:numId="45">
    <w:abstractNumId w:val="26"/>
  </w:num>
  <w:num w:numId="46">
    <w:abstractNumId w:val="72"/>
  </w:num>
  <w:num w:numId="47">
    <w:abstractNumId w:val="78"/>
  </w:num>
  <w:num w:numId="48">
    <w:abstractNumId w:val="79"/>
  </w:num>
  <w:num w:numId="49">
    <w:abstractNumId w:val="48"/>
  </w:num>
  <w:num w:numId="50">
    <w:abstractNumId w:val="82"/>
  </w:num>
  <w:num w:numId="51">
    <w:abstractNumId w:val="44"/>
  </w:num>
  <w:num w:numId="52">
    <w:abstractNumId w:val="27"/>
  </w:num>
  <w:num w:numId="53">
    <w:abstractNumId w:val="38"/>
  </w:num>
  <w:num w:numId="54">
    <w:abstractNumId w:val="18"/>
  </w:num>
  <w:num w:numId="55">
    <w:abstractNumId w:val="46"/>
  </w:num>
  <w:num w:numId="56">
    <w:abstractNumId w:val="47"/>
  </w:num>
  <w:num w:numId="57">
    <w:abstractNumId w:val="9"/>
  </w:num>
  <w:num w:numId="58">
    <w:abstractNumId w:val="13"/>
  </w:num>
  <w:num w:numId="59">
    <w:abstractNumId w:val="60"/>
  </w:num>
  <w:num w:numId="60">
    <w:abstractNumId w:val="49"/>
  </w:num>
  <w:num w:numId="61">
    <w:abstractNumId w:val="71"/>
  </w:num>
  <w:num w:numId="62">
    <w:abstractNumId w:val="84"/>
  </w:num>
  <w:num w:numId="63">
    <w:abstractNumId w:val="86"/>
  </w:num>
  <w:num w:numId="64">
    <w:abstractNumId w:val="56"/>
  </w:num>
  <w:num w:numId="65">
    <w:abstractNumId w:val="36"/>
  </w:num>
  <w:num w:numId="66">
    <w:abstractNumId w:val="45"/>
  </w:num>
  <w:num w:numId="67">
    <w:abstractNumId w:val="85"/>
  </w:num>
  <w:num w:numId="68">
    <w:abstractNumId w:val="32"/>
  </w:num>
  <w:num w:numId="69">
    <w:abstractNumId w:val="75"/>
  </w:num>
  <w:num w:numId="70">
    <w:abstractNumId w:val="35"/>
  </w:num>
  <w:num w:numId="71">
    <w:abstractNumId w:val="87"/>
  </w:num>
  <w:num w:numId="72">
    <w:abstractNumId w:val="42"/>
  </w:num>
  <w:num w:numId="73">
    <w:abstractNumId w:val="62"/>
  </w:num>
  <w:num w:numId="74">
    <w:abstractNumId w:val="16"/>
  </w:num>
  <w:num w:numId="75">
    <w:abstractNumId w:val="39"/>
  </w:num>
  <w:num w:numId="76">
    <w:abstractNumId w:val="11"/>
  </w:num>
  <w:num w:numId="77">
    <w:abstractNumId w:val="59"/>
  </w:num>
  <w:num w:numId="78">
    <w:abstractNumId w:val="30"/>
  </w:num>
  <w:num w:numId="79">
    <w:abstractNumId w:val="73"/>
  </w:num>
  <w:num w:numId="80">
    <w:abstractNumId w:val="77"/>
  </w:num>
  <w:num w:numId="81">
    <w:abstractNumId w:val="25"/>
  </w:num>
  <w:num w:numId="82">
    <w:abstractNumId w:val="20"/>
  </w:num>
  <w:num w:numId="83">
    <w:abstractNumId w:val="63"/>
  </w:num>
  <w:num w:numId="84">
    <w:abstractNumId w:val="12"/>
  </w:num>
  <w:num w:numId="85">
    <w:abstractNumId w:val="17"/>
  </w:num>
  <w:num w:numId="86">
    <w:abstractNumId w:val="34"/>
  </w:num>
  <w:num w:numId="87">
    <w:abstractNumId w:val="83"/>
  </w:num>
  <w:num w:numId="8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342"/>
    <w:rsid w:val="000029CD"/>
    <w:rsid w:val="000051CD"/>
    <w:rsid w:val="00012902"/>
    <w:rsid w:val="00013437"/>
    <w:rsid w:val="000147A0"/>
    <w:rsid w:val="00015E1A"/>
    <w:rsid w:val="00017088"/>
    <w:rsid w:val="00025C31"/>
    <w:rsid w:val="000309A8"/>
    <w:rsid w:val="0003442D"/>
    <w:rsid w:val="00035B81"/>
    <w:rsid w:val="0003662A"/>
    <w:rsid w:val="000373C8"/>
    <w:rsid w:val="00040923"/>
    <w:rsid w:val="00041ABB"/>
    <w:rsid w:val="00041D91"/>
    <w:rsid w:val="00042F2A"/>
    <w:rsid w:val="00043650"/>
    <w:rsid w:val="0005292D"/>
    <w:rsid w:val="00053830"/>
    <w:rsid w:val="00053EE2"/>
    <w:rsid w:val="0005487B"/>
    <w:rsid w:val="00055C3F"/>
    <w:rsid w:val="00062900"/>
    <w:rsid w:val="000630AC"/>
    <w:rsid w:val="000654BC"/>
    <w:rsid w:val="00075C60"/>
    <w:rsid w:val="00076437"/>
    <w:rsid w:val="000766F0"/>
    <w:rsid w:val="000819F3"/>
    <w:rsid w:val="00081CE3"/>
    <w:rsid w:val="00082400"/>
    <w:rsid w:val="0008267D"/>
    <w:rsid w:val="000827B3"/>
    <w:rsid w:val="00084FB1"/>
    <w:rsid w:val="0008509D"/>
    <w:rsid w:val="00085680"/>
    <w:rsid w:val="00087955"/>
    <w:rsid w:val="0009025C"/>
    <w:rsid w:val="0009048F"/>
    <w:rsid w:val="00091740"/>
    <w:rsid w:val="00091F4E"/>
    <w:rsid w:val="00094D86"/>
    <w:rsid w:val="00094D93"/>
    <w:rsid w:val="00097218"/>
    <w:rsid w:val="000A1BDA"/>
    <w:rsid w:val="000A2E9B"/>
    <w:rsid w:val="000A4046"/>
    <w:rsid w:val="000A677D"/>
    <w:rsid w:val="000B0C6E"/>
    <w:rsid w:val="000B25CA"/>
    <w:rsid w:val="000B4692"/>
    <w:rsid w:val="000C0FCE"/>
    <w:rsid w:val="000C1E60"/>
    <w:rsid w:val="000C2E5B"/>
    <w:rsid w:val="000C7E58"/>
    <w:rsid w:val="000D098A"/>
    <w:rsid w:val="000D20B8"/>
    <w:rsid w:val="000D2C5C"/>
    <w:rsid w:val="000D39BB"/>
    <w:rsid w:val="000D6AFA"/>
    <w:rsid w:val="000E01A7"/>
    <w:rsid w:val="000E36EF"/>
    <w:rsid w:val="000E5B6F"/>
    <w:rsid w:val="000E7E02"/>
    <w:rsid w:val="000F24F9"/>
    <w:rsid w:val="000F4FF8"/>
    <w:rsid w:val="000F6BE8"/>
    <w:rsid w:val="000F72FF"/>
    <w:rsid w:val="00101B50"/>
    <w:rsid w:val="0011038C"/>
    <w:rsid w:val="00112AB4"/>
    <w:rsid w:val="00112FBD"/>
    <w:rsid w:val="001135BC"/>
    <w:rsid w:val="001138F9"/>
    <w:rsid w:val="00113928"/>
    <w:rsid w:val="00114CF8"/>
    <w:rsid w:val="00117463"/>
    <w:rsid w:val="00120E7B"/>
    <w:rsid w:val="0012146E"/>
    <w:rsid w:val="00121BF0"/>
    <w:rsid w:val="001247C9"/>
    <w:rsid w:val="00125D44"/>
    <w:rsid w:val="00126980"/>
    <w:rsid w:val="00126A9D"/>
    <w:rsid w:val="00135356"/>
    <w:rsid w:val="00143C3E"/>
    <w:rsid w:val="001457A9"/>
    <w:rsid w:val="0014629C"/>
    <w:rsid w:val="00147A5A"/>
    <w:rsid w:val="00150965"/>
    <w:rsid w:val="00154AB3"/>
    <w:rsid w:val="0015522A"/>
    <w:rsid w:val="00156370"/>
    <w:rsid w:val="00156BB6"/>
    <w:rsid w:val="00156DB5"/>
    <w:rsid w:val="0015721A"/>
    <w:rsid w:val="00160E56"/>
    <w:rsid w:val="00161D76"/>
    <w:rsid w:val="00167608"/>
    <w:rsid w:val="001678E1"/>
    <w:rsid w:val="0017030E"/>
    <w:rsid w:val="00172A37"/>
    <w:rsid w:val="00175382"/>
    <w:rsid w:val="001759AC"/>
    <w:rsid w:val="001759C0"/>
    <w:rsid w:val="00175DBA"/>
    <w:rsid w:val="00181A05"/>
    <w:rsid w:val="00181C2C"/>
    <w:rsid w:val="00182A5D"/>
    <w:rsid w:val="00186D1A"/>
    <w:rsid w:val="001871FD"/>
    <w:rsid w:val="001905C9"/>
    <w:rsid w:val="00191AE0"/>
    <w:rsid w:val="00193859"/>
    <w:rsid w:val="001A2502"/>
    <w:rsid w:val="001A4C59"/>
    <w:rsid w:val="001A57E2"/>
    <w:rsid w:val="001A5DCA"/>
    <w:rsid w:val="001A7CB4"/>
    <w:rsid w:val="001B200C"/>
    <w:rsid w:val="001B2C52"/>
    <w:rsid w:val="001B3EAB"/>
    <w:rsid w:val="001B5F1B"/>
    <w:rsid w:val="001B6CF1"/>
    <w:rsid w:val="001C1759"/>
    <w:rsid w:val="001C27C8"/>
    <w:rsid w:val="001C6799"/>
    <w:rsid w:val="001C7727"/>
    <w:rsid w:val="001D05C0"/>
    <w:rsid w:val="001D172F"/>
    <w:rsid w:val="001D3526"/>
    <w:rsid w:val="001D50F7"/>
    <w:rsid w:val="001D51F2"/>
    <w:rsid w:val="001D61DD"/>
    <w:rsid w:val="001D704F"/>
    <w:rsid w:val="001D720C"/>
    <w:rsid w:val="001E02AD"/>
    <w:rsid w:val="001E1F5E"/>
    <w:rsid w:val="001E452A"/>
    <w:rsid w:val="001F0811"/>
    <w:rsid w:val="001F0E28"/>
    <w:rsid w:val="001F609C"/>
    <w:rsid w:val="001F74AB"/>
    <w:rsid w:val="00201B6A"/>
    <w:rsid w:val="00211907"/>
    <w:rsid w:val="00211F19"/>
    <w:rsid w:val="00212695"/>
    <w:rsid w:val="00213107"/>
    <w:rsid w:val="00214E0F"/>
    <w:rsid w:val="00217876"/>
    <w:rsid w:val="00220640"/>
    <w:rsid w:val="00224A64"/>
    <w:rsid w:val="00230534"/>
    <w:rsid w:val="002322AE"/>
    <w:rsid w:val="00232533"/>
    <w:rsid w:val="00232A38"/>
    <w:rsid w:val="00234F59"/>
    <w:rsid w:val="00235063"/>
    <w:rsid w:val="00240B5D"/>
    <w:rsid w:val="00240ED2"/>
    <w:rsid w:val="00241559"/>
    <w:rsid w:val="00242E4F"/>
    <w:rsid w:val="0024468B"/>
    <w:rsid w:val="0024520C"/>
    <w:rsid w:val="002456FA"/>
    <w:rsid w:val="0024619C"/>
    <w:rsid w:val="0025074B"/>
    <w:rsid w:val="0025335D"/>
    <w:rsid w:val="00256099"/>
    <w:rsid w:val="00257ABA"/>
    <w:rsid w:val="00261FDC"/>
    <w:rsid w:val="00264060"/>
    <w:rsid w:val="002675CA"/>
    <w:rsid w:val="00267A9C"/>
    <w:rsid w:val="00270DD7"/>
    <w:rsid w:val="00274D03"/>
    <w:rsid w:val="0027620F"/>
    <w:rsid w:val="00277959"/>
    <w:rsid w:val="00280338"/>
    <w:rsid w:val="002848F0"/>
    <w:rsid w:val="00285891"/>
    <w:rsid w:val="00294E09"/>
    <w:rsid w:val="0029754D"/>
    <w:rsid w:val="00297AD6"/>
    <w:rsid w:val="002A0DE5"/>
    <w:rsid w:val="002A116E"/>
    <w:rsid w:val="002A4887"/>
    <w:rsid w:val="002B13AF"/>
    <w:rsid w:val="002B30E9"/>
    <w:rsid w:val="002B31CC"/>
    <w:rsid w:val="002B39F7"/>
    <w:rsid w:val="002B4A85"/>
    <w:rsid w:val="002B5AF2"/>
    <w:rsid w:val="002C0102"/>
    <w:rsid w:val="002C0CCC"/>
    <w:rsid w:val="002C31C4"/>
    <w:rsid w:val="002C50AF"/>
    <w:rsid w:val="002D0709"/>
    <w:rsid w:val="002D295F"/>
    <w:rsid w:val="002D45CF"/>
    <w:rsid w:val="002D5182"/>
    <w:rsid w:val="002D6C98"/>
    <w:rsid w:val="002F20C2"/>
    <w:rsid w:val="002F30EF"/>
    <w:rsid w:val="002F4802"/>
    <w:rsid w:val="003009B4"/>
    <w:rsid w:val="003026C1"/>
    <w:rsid w:val="00304078"/>
    <w:rsid w:val="00305F85"/>
    <w:rsid w:val="003062FB"/>
    <w:rsid w:val="0031129E"/>
    <w:rsid w:val="00311B70"/>
    <w:rsid w:val="00317023"/>
    <w:rsid w:val="003175F4"/>
    <w:rsid w:val="00326071"/>
    <w:rsid w:val="00327242"/>
    <w:rsid w:val="00332CE3"/>
    <w:rsid w:val="00332E3E"/>
    <w:rsid w:val="003338F1"/>
    <w:rsid w:val="00340AB2"/>
    <w:rsid w:val="00341035"/>
    <w:rsid w:val="00342DD4"/>
    <w:rsid w:val="0034356E"/>
    <w:rsid w:val="00344028"/>
    <w:rsid w:val="0034550A"/>
    <w:rsid w:val="0034568F"/>
    <w:rsid w:val="00346B33"/>
    <w:rsid w:val="00346BA3"/>
    <w:rsid w:val="00352596"/>
    <w:rsid w:val="00353296"/>
    <w:rsid w:val="00355DF6"/>
    <w:rsid w:val="0036179F"/>
    <w:rsid w:val="00362603"/>
    <w:rsid w:val="0037329D"/>
    <w:rsid w:val="003774C2"/>
    <w:rsid w:val="00381B2D"/>
    <w:rsid w:val="00383247"/>
    <w:rsid w:val="00384DA6"/>
    <w:rsid w:val="003851B4"/>
    <w:rsid w:val="00385EF0"/>
    <w:rsid w:val="00387772"/>
    <w:rsid w:val="003877A7"/>
    <w:rsid w:val="00392B69"/>
    <w:rsid w:val="00395430"/>
    <w:rsid w:val="0039672E"/>
    <w:rsid w:val="003A2188"/>
    <w:rsid w:val="003A34CA"/>
    <w:rsid w:val="003A41C3"/>
    <w:rsid w:val="003A4DBC"/>
    <w:rsid w:val="003A6651"/>
    <w:rsid w:val="003A704B"/>
    <w:rsid w:val="003B1EF8"/>
    <w:rsid w:val="003B37F1"/>
    <w:rsid w:val="003B3948"/>
    <w:rsid w:val="003B64BD"/>
    <w:rsid w:val="003B6B4C"/>
    <w:rsid w:val="003C2959"/>
    <w:rsid w:val="003C715A"/>
    <w:rsid w:val="003D4DD7"/>
    <w:rsid w:val="003D5E22"/>
    <w:rsid w:val="003E3889"/>
    <w:rsid w:val="003E4278"/>
    <w:rsid w:val="003E578E"/>
    <w:rsid w:val="003E6185"/>
    <w:rsid w:val="003E7972"/>
    <w:rsid w:val="003F300D"/>
    <w:rsid w:val="003F7F1F"/>
    <w:rsid w:val="00401B99"/>
    <w:rsid w:val="00412CC1"/>
    <w:rsid w:val="004168E6"/>
    <w:rsid w:val="00416BD4"/>
    <w:rsid w:val="0042131B"/>
    <w:rsid w:val="004233B2"/>
    <w:rsid w:val="0043066E"/>
    <w:rsid w:val="00430FA3"/>
    <w:rsid w:val="004315CF"/>
    <w:rsid w:val="00432E5E"/>
    <w:rsid w:val="00433534"/>
    <w:rsid w:val="00434B62"/>
    <w:rsid w:val="00444ABA"/>
    <w:rsid w:val="00447CC8"/>
    <w:rsid w:val="004506F3"/>
    <w:rsid w:val="00450716"/>
    <w:rsid w:val="00453A9E"/>
    <w:rsid w:val="00454D74"/>
    <w:rsid w:val="00455EF9"/>
    <w:rsid w:val="00460888"/>
    <w:rsid w:val="00461D63"/>
    <w:rsid w:val="00462ED9"/>
    <w:rsid w:val="00463A92"/>
    <w:rsid w:val="004645B0"/>
    <w:rsid w:val="0046536A"/>
    <w:rsid w:val="004701C4"/>
    <w:rsid w:val="0047163A"/>
    <w:rsid w:val="00471F92"/>
    <w:rsid w:val="0047219D"/>
    <w:rsid w:val="00473D1C"/>
    <w:rsid w:val="0047669E"/>
    <w:rsid w:val="00476CC4"/>
    <w:rsid w:val="00476CDA"/>
    <w:rsid w:val="00484C91"/>
    <w:rsid w:val="004861C3"/>
    <w:rsid w:val="004863C9"/>
    <w:rsid w:val="0049004D"/>
    <w:rsid w:val="00490158"/>
    <w:rsid w:val="00491324"/>
    <w:rsid w:val="004930E8"/>
    <w:rsid w:val="00493F47"/>
    <w:rsid w:val="004A0BE3"/>
    <w:rsid w:val="004A28AC"/>
    <w:rsid w:val="004A2C2D"/>
    <w:rsid w:val="004A2F7F"/>
    <w:rsid w:val="004B02F3"/>
    <w:rsid w:val="004B1D5E"/>
    <w:rsid w:val="004B2BC6"/>
    <w:rsid w:val="004B2EA1"/>
    <w:rsid w:val="004B4E12"/>
    <w:rsid w:val="004B5E49"/>
    <w:rsid w:val="004B6CBB"/>
    <w:rsid w:val="004B719A"/>
    <w:rsid w:val="004B74FF"/>
    <w:rsid w:val="004B7B34"/>
    <w:rsid w:val="004C2625"/>
    <w:rsid w:val="004C2967"/>
    <w:rsid w:val="004C3FE7"/>
    <w:rsid w:val="004C59A9"/>
    <w:rsid w:val="004C6A00"/>
    <w:rsid w:val="004D1154"/>
    <w:rsid w:val="004D1FDA"/>
    <w:rsid w:val="004D34A9"/>
    <w:rsid w:val="004D42C0"/>
    <w:rsid w:val="004D43CB"/>
    <w:rsid w:val="004D7D2C"/>
    <w:rsid w:val="004E0FF2"/>
    <w:rsid w:val="004E27B1"/>
    <w:rsid w:val="004E3944"/>
    <w:rsid w:val="004E4B47"/>
    <w:rsid w:val="004E6023"/>
    <w:rsid w:val="004F31EA"/>
    <w:rsid w:val="004F3BB8"/>
    <w:rsid w:val="004F5162"/>
    <w:rsid w:val="004F55CE"/>
    <w:rsid w:val="004F61E3"/>
    <w:rsid w:val="005006B4"/>
    <w:rsid w:val="005020AB"/>
    <w:rsid w:val="00502457"/>
    <w:rsid w:val="00503632"/>
    <w:rsid w:val="00504C68"/>
    <w:rsid w:val="005102F6"/>
    <w:rsid w:val="00512C25"/>
    <w:rsid w:val="00512D6B"/>
    <w:rsid w:val="0051429E"/>
    <w:rsid w:val="0052025C"/>
    <w:rsid w:val="00524A83"/>
    <w:rsid w:val="00525CD1"/>
    <w:rsid w:val="0052799B"/>
    <w:rsid w:val="00531881"/>
    <w:rsid w:val="005319B3"/>
    <w:rsid w:val="00533A3C"/>
    <w:rsid w:val="00537735"/>
    <w:rsid w:val="00543EF5"/>
    <w:rsid w:val="00550CD7"/>
    <w:rsid w:val="00551FFF"/>
    <w:rsid w:val="0055655E"/>
    <w:rsid w:val="005605C3"/>
    <w:rsid w:val="005616BF"/>
    <w:rsid w:val="00562884"/>
    <w:rsid w:val="00564F7E"/>
    <w:rsid w:val="005656E3"/>
    <w:rsid w:val="00566EB4"/>
    <w:rsid w:val="0057260B"/>
    <w:rsid w:val="00577746"/>
    <w:rsid w:val="00577E02"/>
    <w:rsid w:val="00581FB8"/>
    <w:rsid w:val="00582168"/>
    <w:rsid w:val="00583FC8"/>
    <w:rsid w:val="00586659"/>
    <w:rsid w:val="00590032"/>
    <w:rsid w:val="0059120A"/>
    <w:rsid w:val="00596E46"/>
    <w:rsid w:val="005A15A0"/>
    <w:rsid w:val="005A15FB"/>
    <w:rsid w:val="005A2325"/>
    <w:rsid w:val="005A25E6"/>
    <w:rsid w:val="005A2606"/>
    <w:rsid w:val="005A340E"/>
    <w:rsid w:val="005A50E5"/>
    <w:rsid w:val="005A5FF4"/>
    <w:rsid w:val="005A7323"/>
    <w:rsid w:val="005B7525"/>
    <w:rsid w:val="005B7960"/>
    <w:rsid w:val="005C0154"/>
    <w:rsid w:val="005C17AC"/>
    <w:rsid w:val="005C1FF8"/>
    <w:rsid w:val="005C2B11"/>
    <w:rsid w:val="005C55AF"/>
    <w:rsid w:val="005D0F32"/>
    <w:rsid w:val="005D133B"/>
    <w:rsid w:val="005D2794"/>
    <w:rsid w:val="005D3E30"/>
    <w:rsid w:val="005D67BC"/>
    <w:rsid w:val="005D6C38"/>
    <w:rsid w:val="005E38BE"/>
    <w:rsid w:val="005E3AF1"/>
    <w:rsid w:val="005E5E03"/>
    <w:rsid w:val="005E6508"/>
    <w:rsid w:val="005E6658"/>
    <w:rsid w:val="005F6870"/>
    <w:rsid w:val="005F6BEA"/>
    <w:rsid w:val="00602E48"/>
    <w:rsid w:val="00603CDD"/>
    <w:rsid w:val="00604C29"/>
    <w:rsid w:val="0061175D"/>
    <w:rsid w:val="00613F1E"/>
    <w:rsid w:val="00615505"/>
    <w:rsid w:val="00620202"/>
    <w:rsid w:val="0062129F"/>
    <w:rsid w:val="00624825"/>
    <w:rsid w:val="00634667"/>
    <w:rsid w:val="00635770"/>
    <w:rsid w:val="006360A0"/>
    <w:rsid w:val="0063730E"/>
    <w:rsid w:val="006458FB"/>
    <w:rsid w:val="00646E29"/>
    <w:rsid w:val="006473B0"/>
    <w:rsid w:val="006474D6"/>
    <w:rsid w:val="006506AB"/>
    <w:rsid w:val="006507FC"/>
    <w:rsid w:val="006508E6"/>
    <w:rsid w:val="0065266D"/>
    <w:rsid w:val="006574F6"/>
    <w:rsid w:val="00657912"/>
    <w:rsid w:val="006672B2"/>
    <w:rsid w:val="00677175"/>
    <w:rsid w:val="006826DD"/>
    <w:rsid w:val="00682922"/>
    <w:rsid w:val="00683D19"/>
    <w:rsid w:val="006845DB"/>
    <w:rsid w:val="0068578B"/>
    <w:rsid w:val="00685A19"/>
    <w:rsid w:val="00691819"/>
    <w:rsid w:val="00697A34"/>
    <w:rsid w:val="006A793A"/>
    <w:rsid w:val="006B28E1"/>
    <w:rsid w:val="006B3132"/>
    <w:rsid w:val="006B6111"/>
    <w:rsid w:val="006B6E5C"/>
    <w:rsid w:val="006C06C0"/>
    <w:rsid w:val="006C306D"/>
    <w:rsid w:val="006C32DF"/>
    <w:rsid w:val="006D04A6"/>
    <w:rsid w:val="006D1B42"/>
    <w:rsid w:val="006D3637"/>
    <w:rsid w:val="006D3CE8"/>
    <w:rsid w:val="006E2704"/>
    <w:rsid w:val="006E2E3F"/>
    <w:rsid w:val="006E6253"/>
    <w:rsid w:val="006E6E0F"/>
    <w:rsid w:val="006E6F4B"/>
    <w:rsid w:val="007008F0"/>
    <w:rsid w:val="007009F9"/>
    <w:rsid w:val="0070324B"/>
    <w:rsid w:val="007101D0"/>
    <w:rsid w:val="00710226"/>
    <w:rsid w:val="00713971"/>
    <w:rsid w:val="007175E1"/>
    <w:rsid w:val="00722E06"/>
    <w:rsid w:val="00723102"/>
    <w:rsid w:val="0073067D"/>
    <w:rsid w:val="00732376"/>
    <w:rsid w:val="0073752B"/>
    <w:rsid w:val="007412CD"/>
    <w:rsid w:val="00744DDC"/>
    <w:rsid w:val="007459A1"/>
    <w:rsid w:val="0075206E"/>
    <w:rsid w:val="00754BDE"/>
    <w:rsid w:val="00755ACC"/>
    <w:rsid w:val="007744F8"/>
    <w:rsid w:val="00774824"/>
    <w:rsid w:val="00775DD7"/>
    <w:rsid w:val="0077635B"/>
    <w:rsid w:val="00777504"/>
    <w:rsid w:val="00785BAC"/>
    <w:rsid w:val="00786727"/>
    <w:rsid w:val="007907B6"/>
    <w:rsid w:val="00792933"/>
    <w:rsid w:val="007938BE"/>
    <w:rsid w:val="007A73BE"/>
    <w:rsid w:val="007B1B94"/>
    <w:rsid w:val="007B393A"/>
    <w:rsid w:val="007B3E17"/>
    <w:rsid w:val="007B56ED"/>
    <w:rsid w:val="007B5F2A"/>
    <w:rsid w:val="007B7DCB"/>
    <w:rsid w:val="007C0518"/>
    <w:rsid w:val="007C0726"/>
    <w:rsid w:val="007D2CBB"/>
    <w:rsid w:val="007D61A9"/>
    <w:rsid w:val="007D7479"/>
    <w:rsid w:val="007E0B6F"/>
    <w:rsid w:val="007E2AAB"/>
    <w:rsid w:val="007E3034"/>
    <w:rsid w:val="007E3402"/>
    <w:rsid w:val="007E691B"/>
    <w:rsid w:val="007E7455"/>
    <w:rsid w:val="007F0304"/>
    <w:rsid w:val="007F39DE"/>
    <w:rsid w:val="007F4034"/>
    <w:rsid w:val="007F445F"/>
    <w:rsid w:val="00800FE2"/>
    <w:rsid w:val="00801E02"/>
    <w:rsid w:val="00802493"/>
    <w:rsid w:val="008051E0"/>
    <w:rsid w:val="008153F8"/>
    <w:rsid w:val="00817128"/>
    <w:rsid w:val="00817684"/>
    <w:rsid w:val="008207A4"/>
    <w:rsid w:val="00820B29"/>
    <w:rsid w:val="008239AA"/>
    <w:rsid w:val="00823FCA"/>
    <w:rsid w:val="00824F3B"/>
    <w:rsid w:val="008263F4"/>
    <w:rsid w:val="00827C4B"/>
    <w:rsid w:val="008305B4"/>
    <w:rsid w:val="00831020"/>
    <w:rsid w:val="00833BA2"/>
    <w:rsid w:val="00833EEB"/>
    <w:rsid w:val="00834BFA"/>
    <w:rsid w:val="00835B0E"/>
    <w:rsid w:val="00843609"/>
    <w:rsid w:val="00843EE5"/>
    <w:rsid w:val="00850CD3"/>
    <w:rsid w:val="00851363"/>
    <w:rsid w:val="00851B60"/>
    <w:rsid w:val="00851E1B"/>
    <w:rsid w:val="0085597E"/>
    <w:rsid w:val="00857E55"/>
    <w:rsid w:val="00860B94"/>
    <w:rsid w:val="008615C4"/>
    <w:rsid w:val="00862948"/>
    <w:rsid w:val="00864DA1"/>
    <w:rsid w:val="00865369"/>
    <w:rsid w:val="00867740"/>
    <w:rsid w:val="00871723"/>
    <w:rsid w:val="00873111"/>
    <w:rsid w:val="0088039B"/>
    <w:rsid w:val="00880BAE"/>
    <w:rsid w:val="00881780"/>
    <w:rsid w:val="00882D80"/>
    <w:rsid w:val="008852AF"/>
    <w:rsid w:val="00887039"/>
    <w:rsid w:val="00887EB3"/>
    <w:rsid w:val="00890E9E"/>
    <w:rsid w:val="00891E27"/>
    <w:rsid w:val="008938F6"/>
    <w:rsid w:val="00895504"/>
    <w:rsid w:val="008974F5"/>
    <w:rsid w:val="008A164C"/>
    <w:rsid w:val="008A2397"/>
    <w:rsid w:val="008A41DA"/>
    <w:rsid w:val="008A7002"/>
    <w:rsid w:val="008B0A94"/>
    <w:rsid w:val="008B0AFD"/>
    <w:rsid w:val="008B4DBF"/>
    <w:rsid w:val="008B741A"/>
    <w:rsid w:val="008B79BB"/>
    <w:rsid w:val="008C1CD6"/>
    <w:rsid w:val="008C49B8"/>
    <w:rsid w:val="008C773E"/>
    <w:rsid w:val="008D0C51"/>
    <w:rsid w:val="008D1547"/>
    <w:rsid w:val="008D2EC8"/>
    <w:rsid w:val="008D4B5E"/>
    <w:rsid w:val="008D71F6"/>
    <w:rsid w:val="008E2CBC"/>
    <w:rsid w:val="008E33A3"/>
    <w:rsid w:val="008E33D1"/>
    <w:rsid w:val="008E60DA"/>
    <w:rsid w:val="008F1828"/>
    <w:rsid w:val="008F1E62"/>
    <w:rsid w:val="008F283E"/>
    <w:rsid w:val="008F498C"/>
    <w:rsid w:val="008F7A28"/>
    <w:rsid w:val="00902ED0"/>
    <w:rsid w:val="00905874"/>
    <w:rsid w:val="00907546"/>
    <w:rsid w:val="00910210"/>
    <w:rsid w:val="00913C5F"/>
    <w:rsid w:val="00916F2F"/>
    <w:rsid w:val="00925252"/>
    <w:rsid w:val="00927144"/>
    <w:rsid w:val="009303F4"/>
    <w:rsid w:val="00934571"/>
    <w:rsid w:val="00935B8E"/>
    <w:rsid w:val="009370D3"/>
    <w:rsid w:val="00940B73"/>
    <w:rsid w:val="00941684"/>
    <w:rsid w:val="00942D29"/>
    <w:rsid w:val="0094566D"/>
    <w:rsid w:val="009537BB"/>
    <w:rsid w:val="009611FB"/>
    <w:rsid w:val="00966611"/>
    <w:rsid w:val="009675A5"/>
    <w:rsid w:val="00972BA0"/>
    <w:rsid w:val="00973C65"/>
    <w:rsid w:val="00976C5D"/>
    <w:rsid w:val="00976E4C"/>
    <w:rsid w:val="00980592"/>
    <w:rsid w:val="00985262"/>
    <w:rsid w:val="009857DC"/>
    <w:rsid w:val="00990291"/>
    <w:rsid w:val="009946EE"/>
    <w:rsid w:val="00995CB6"/>
    <w:rsid w:val="00996B28"/>
    <w:rsid w:val="009A0D23"/>
    <w:rsid w:val="009A1594"/>
    <w:rsid w:val="009A2935"/>
    <w:rsid w:val="009A37F2"/>
    <w:rsid w:val="009A467D"/>
    <w:rsid w:val="009A54BE"/>
    <w:rsid w:val="009B11D8"/>
    <w:rsid w:val="009B56BB"/>
    <w:rsid w:val="009C059A"/>
    <w:rsid w:val="009C43DE"/>
    <w:rsid w:val="009C4CB0"/>
    <w:rsid w:val="009D1E68"/>
    <w:rsid w:val="009D5A32"/>
    <w:rsid w:val="009D752F"/>
    <w:rsid w:val="009E2A59"/>
    <w:rsid w:val="009E56CB"/>
    <w:rsid w:val="009E6E1B"/>
    <w:rsid w:val="009E7B33"/>
    <w:rsid w:val="009F16E0"/>
    <w:rsid w:val="009F293A"/>
    <w:rsid w:val="009F48B3"/>
    <w:rsid w:val="009F6119"/>
    <w:rsid w:val="009F736F"/>
    <w:rsid w:val="00A01DAB"/>
    <w:rsid w:val="00A06E61"/>
    <w:rsid w:val="00A07811"/>
    <w:rsid w:val="00A117D7"/>
    <w:rsid w:val="00A14C7F"/>
    <w:rsid w:val="00A2425B"/>
    <w:rsid w:val="00A26CCE"/>
    <w:rsid w:val="00A277FE"/>
    <w:rsid w:val="00A304FB"/>
    <w:rsid w:val="00A30911"/>
    <w:rsid w:val="00A30FCA"/>
    <w:rsid w:val="00A31EEB"/>
    <w:rsid w:val="00A34864"/>
    <w:rsid w:val="00A34E25"/>
    <w:rsid w:val="00A35D36"/>
    <w:rsid w:val="00A36451"/>
    <w:rsid w:val="00A37342"/>
    <w:rsid w:val="00A42824"/>
    <w:rsid w:val="00A432E1"/>
    <w:rsid w:val="00A44192"/>
    <w:rsid w:val="00A45252"/>
    <w:rsid w:val="00A452BB"/>
    <w:rsid w:val="00A457F7"/>
    <w:rsid w:val="00A4632D"/>
    <w:rsid w:val="00A50483"/>
    <w:rsid w:val="00A533A8"/>
    <w:rsid w:val="00A61538"/>
    <w:rsid w:val="00A64886"/>
    <w:rsid w:val="00A650C8"/>
    <w:rsid w:val="00A65715"/>
    <w:rsid w:val="00A7019E"/>
    <w:rsid w:val="00A75272"/>
    <w:rsid w:val="00A77356"/>
    <w:rsid w:val="00A8127D"/>
    <w:rsid w:val="00A825B3"/>
    <w:rsid w:val="00A8553A"/>
    <w:rsid w:val="00A858CB"/>
    <w:rsid w:val="00A86434"/>
    <w:rsid w:val="00A90228"/>
    <w:rsid w:val="00A960A2"/>
    <w:rsid w:val="00A96515"/>
    <w:rsid w:val="00A96848"/>
    <w:rsid w:val="00A97062"/>
    <w:rsid w:val="00AA2B1F"/>
    <w:rsid w:val="00AA5469"/>
    <w:rsid w:val="00AA720F"/>
    <w:rsid w:val="00AA7B9F"/>
    <w:rsid w:val="00AB2647"/>
    <w:rsid w:val="00AC01C5"/>
    <w:rsid w:val="00AC0861"/>
    <w:rsid w:val="00AC39BB"/>
    <w:rsid w:val="00AD3575"/>
    <w:rsid w:val="00AD5775"/>
    <w:rsid w:val="00AD5E1F"/>
    <w:rsid w:val="00AE13CE"/>
    <w:rsid w:val="00AE2152"/>
    <w:rsid w:val="00AE2280"/>
    <w:rsid w:val="00AE35A6"/>
    <w:rsid w:val="00AE45CC"/>
    <w:rsid w:val="00AE4C0B"/>
    <w:rsid w:val="00AF5025"/>
    <w:rsid w:val="00AF646D"/>
    <w:rsid w:val="00B01DCA"/>
    <w:rsid w:val="00B04E76"/>
    <w:rsid w:val="00B1082A"/>
    <w:rsid w:val="00B10D81"/>
    <w:rsid w:val="00B14C49"/>
    <w:rsid w:val="00B15B7B"/>
    <w:rsid w:val="00B207FB"/>
    <w:rsid w:val="00B21B1A"/>
    <w:rsid w:val="00B25EC9"/>
    <w:rsid w:val="00B32FEF"/>
    <w:rsid w:val="00B35435"/>
    <w:rsid w:val="00B364F0"/>
    <w:rsid w:val="00B379D8"/>
    <w:rsid w:val="00B42AAB"/>
    <w:rsid w:val="00B44AE0"/>
    <w:rsid w:val="00B4712C"/>
    <w:rsid w:val="00B5176F"/>
    <w:rsid w:val="00B560A2"/>
    <w:rsid w:val="00B6180E"/>
    <w:rsid w:val="00B61905"/>
    <w:rsid w:val="00B643E4"/>
    <w:rsid w:val="00B76D4E"/>
    <w:rsid w:val="00B84AB5"/>
    <w:rsid w:val="00B85D8D"/>
    <w:rsid w:val="00B86E28"/>
    <w:rsid w:val="00B90F3E"/>
    <w:rsid w:val="00B918ED"/>
    <w:rsid w:val="00B91EB0"/>
    <w:rsid w:val="00B920AA"/>
    <w:rsid w:val="00B926AA"/>
    <w:rsid w:val="00BA0B3C"/>
    <w:rsid w:val="00BA2553"/>
    <w:rsid w:val="00BA375F"/>
    <w:rsid w:val="00BA53AD"/>
    <w:rsid w:val="00BA77B6"/>
    <w:rsid w:val="00BB272B"/>
    <w:rsid w:val="00BB3791"/>
    <w:rsid w:val="00BB3D55"/>
    <w:rsid w:val="00BB50C7"/>
    <w:rsid w:val="00BB61A9"/>
    <w:rsid w:val="00BB74D5"/>
    <w:rsid w:val="00BB773A"/>
    <w:rsid w:val="00BC0A47"/>
    <w:rsid w:val="00BC2660"/>
    <w:rsid w:val="00BC3313"/>
    <w:rsid w:val="00BC54DB"/>
    <w:rsid w:val="00BC5CA8"/>
    <w:rsid w:val="00BC692D"/>
    <w:rsid w:val="00BD0016"/>
    <w:rsid w:val="00BD2029"/>
    <w:rsid w:val="00BD2EE8"/>
    <w:rsid w:val="00BD3E91"/>
    <w:rsid w:val="00BD4D95"/>
    <w:rsid w:val="00BD5039"/>
    <w:rsid w:val="00BD54B1"/>
    <w:rsid w:val="00BE0D4F"/>
    <w:rsid w:val="00BE3AB5"/>
    <w:rsid w:val="00BE6FF4"/>
    <w:rsid w:val="00BF0B27"/>
    <w:rsid w:val="00BF0F88"/>
    <w:rsid w:val="00BF5942"/>
    <w:rsid w:val="00BF673F"/>
    <w:rsid w:val="00BF6A9F"/>
    <w:rsid w:val="00C00C94"/>
    <w:rsid w:val="00C02621"/>
    <w:rsid w:val="00C05C53"/>
    <w:rsid w:val="00C07051"/>
    <w:rsid w:val="00C11304"/>
    <w:rsid w:val="00C1252E"/>
    <w:rsid w:val="00C1325F"/>
    <w:rsid w:val="00C17BEB"/>
    <w:rsid w:val="00C2003B"/>
    <w:rsid w:val="00C2049B"/>
    <w:rsid w:val="00C21CBC"/>
    <w:rsid w:val="00C22AB7"/>
    <w:rsid w:val="00C26B3A"/>
    <w:rsid w:val="00C26C60"/>
    <w:rsid w:val="00C30391"/>
    <w:rsid w:val="00C31734"/>
    <w:rsid w:val="00C32303"/>
    <w:rsid w:val="00C34A0A"/>
    <w:rsid w:val="00C353F5"/>
    <w:rsid w:val="00C35866"/>
    <w:rsid w:val="00C3614B"/>
    <w:rsid w:val="00C37C34"/>
    <w:rsid w:val="00C41995"/>
    <w:rsid w:val="00C46FDE"/>
    <w:rsid w:val="00C5162E"/>
    <w:rsid w:val="00C55727"/>
    <w:rsid w:val="00C6055E"/>
    <w:rsid w:val="00C62F33"/>
    <w:rsid w:val="00C64F74"/>
    <w:rsid w:val="00C713D8"/>
    <w:rsid w:val="00C72136"/>
    <w:rsid w:val="00C72A2A"/>
    <w:rsid w:val="00C7586C"/>
    <w:rsid w:val="00C76181"/>
    <w:rsid w:val="00C76293"/>
    <w:rsid w:val="00C76AB6"/>
    <w:rsid w:val="00C81445"/>
    <w:rsid w:val="00C81652"/>
    <w:rsid w:val="00C824A7"/>
    <w:rsid w:val="00C846CD"/>
    <w:rsid w:val="00C85073"/>
    <w:rsid w:val="00C858EA"/>
    <w:rsid w:val="00C863D9"/>
    <w:rsid w:val="00C92FD2"/>
    <w:rsid w:val="00C96258"/>
    <w:rsid w:val="00CA02D0"/>
    <w:rsid w:val="00CA1629"/>
    <w:rsid w:val="00CA4217"/>
    <w:rsid w:val="00CB1717"/>
    <w:rsid w:val="00CB4DBC"/>
    <w:rsid w:val="00CB5103"/>
    <w:rsid w:val="00CB739B"/>
    <w:rsid w:val="00CB76D4"/>
    <w:rsid w:val="00CC1E47"/>
    <w:rsid w:val="00CC3809"/>
    <w:rsid w:val="00CC59DA"/>
    <w:rsid w:val="00CC7F47"/>
    <w:rsid w:val="00CD1FDB"/>
    <w:rsid w:val="00CD2B74"/>
    <w:rsid w:val="00CD32BD"/>
    <w:rsid w:val="00CD58AB"/>
    <w:rsid w:val="00CD65DC"/>
    <w:rsid w:val="00CD7764"/>
    <w:rsid w:val="00CD7A13"/>
    <w:rsid w:val="00CD7D55"/>
    <w:rsid w:val="00CE0E49"/>
    <w:rsid w:val="00CE24A8"/>
    <w:rsid w:val="00CE3613"/>
    <w:rsid w:val="00CE48B4"/>
    <w:rsid w:val="00CE5711"/>
    <w:rsid w:val="00CE5892"/>
    <w:rsid w:val="00CE7C79"/>
    <w:rsid w:val="00CF28FB"/>
    <w:rsid w:val="00CF300D"/>
    <w:rsid w:val="00CF353E"/>
    <w:rsid w:val="00CF3EBE"/>
    <w:rsid w:val="00CF5909"/>
    <w:rsid w:val="00CF6DAD"/>
    <w:rsid w:val="00CF7320"/>
    <w:rsid w:val="00CF77B2"/>
    <w:rsid w:val="00CF7E1F"/>
    <w:rsid w:val="00D01643"/>
    <w:rsid w:val="00D056A6"/>
    <w:rsid w:val="00D1057E"/>
    <w:rsid w:val="00D13E50"/>
    <w:rsid w:val="00D16A89"/>
    <w:rsid w:val="00D231F9"/>
    <w:rsid w:val="00D241A2"/>
    <w:rsid w:val="00D26035"/>
    <w:rsid w:val="00D26A59"/>
    <w:rsid w:val="00D27F96"/>
    <w:rsid w:val="00D33D20"/>
    <w:rsid w:val="00D35A94"/>
    <w:rsid w:val="00D36C14"/>
    <w:rsid w:val="00D3761D"/>
    <w:rsid w:val="00D4037E"/>
    <w:rsid w:val="00D4040E"/>
    <w:rsid w:val="00D40D02"/>
    <w:rsid w:val="00D4169B"/>
    <w:rsid w:val="00D42588"/>
    <w:rsid w:val="00D42C6D"/>
    <w:rsid w:val="00D42F5C"/>
    <w:rsid w:val="00D45566"/>
    <w:rsid w:val="00D54D93"/>
    <w:rsid w:val="00D55C68"/>
    <w:rsid w:val="00D61F0D"/>
    <w:rsid w:val="00D61F8E"/>
    <w:rsid w:val="00D63B5C"/>
    <w:rsid w:val="00D65DC1"/>
    <w:rsid w:val="00D66937"/>
    <w:rsid w:val="00D70622"/>
    <w:rsid w:val="00D724DB"/>
    <w:rsid w:val="00D74B53"/>
    <w:rsid w:val="00D7737F"/>
    <w:rsid w:val="00D77C6C"/>
    <w:rsid w:val="00D806E5"/>
    <w:rsid w:val="00D80F57"/>
    <w:rsid w:val="00D81415"/>
    <w:rsid w:val="00D81F82"/>
    <w:rsid w:val="00D82F65"/>
    <w:rsid w:val="00D85962"/>
    <w:rsid w:val="00D87F8D"/>
    <w:rsid w:val="00D938FC"/>
    <w:rsid w:val="00D9460B"/>
    <w:rsid w:val="00D97FE3"/>
    <w:rsid w:val="00DA0C4D"/>
    <w:rsid w:val="00DA143D"/>
    <w:rsid w:val="00DA1F35"/>
    <w:rsid w:val="00DA5B85"/>
    <w:rsid w:val="00DA6FEE"/>
    <w:rsid w:val="00DB2824"/>
    <w:rsid w:val="00DB2D91"/>
    <w:rsid w:val="00DB35DF"/>
    <w:rsid w:val="00DB665A"/>
    <w:rsid w:val="00DC00BB"/>
    <w:rsid w:val="00DC0533"/>
    <w:rsid w:val="00DC43E9"/>
    <w:rsid w:val="00DC6A10"/>
    <w:rsid w:val="00DC7266"/>
    <w:rsid w:val="00DC7564"/>
    <w:rsid w:val="00DD0889"/>
    <w:rsid w:val="00DD12BE"/>
    <w:rsid w:val="00DD4197"/>
    <w:rsid w:val="00DD5AAA"/>
    <w:rsid w:val="00DD6287"/>
    <w:rsid w:val="00DD6EA4"/>
    <w:rsid w:val="00DF21F6"/>
    <w:rsid w:val="00DF5E25"/>
    <w:rsid w:val="00E02533"/>
    <w:rsid w:val="00E04B29"/>
    <w:rsid w:val="00E05A55"/>
    <w:rsid w:val="00E10178"/>
    <w:rsid w:val="00E10B6A"/>
    <w:rsid w:val="00E20CA1"/>
    <w:rsid w:val="00E22C54"/>
    <w:rsid w:val="00E23D7B"/>
    <w:rsid w:val="00E31613"/>
    <w:rsid w:val="00E317FF"/>
    <w:rsid w:val="00E321A4"/>
    <w:rsid w:val="00E35A7C"/>
    <w:rsid w:val="00E3718F"/>
    <w:rsid w:val="00E405E7"/>
    <w:rsid w:val="00E44026"/>
    <w:rsid w:val="00E46D77"/>
    <w:rsid w:val="00E51F9C"/>
    <w:rsid w:val="00E52AC4"/>
    <w:rsid w:val="00E53DC1"/>
    <w:rsid w:val="00E54A46"/>
    <w:rsid w:val="00E62279"/>
    <w:rsid w:val="00E62FF4"/>
    <w:rsid w:val="00E7387C"/>
    <w:rsid w:val="00E74387"/>
    <w:rsid w:val="00E77802"/>
    <w:rsid w:val="00E81B6F"/>
    <w:rsid w:val="00E82091"/>
    <w:rsid w:val="00E822DA"/>
    <w:rsid w:val="00E838B9"/>
    <w:rsid w:val="00E85196"/>
    <w:rsid w:val="00E9034C"/>
    <w:rsid w:val="00E91196"/>
    <w:rsid w:val="00E9314A"/>
    <w:rsid w:val="00E9328D"/>
    <w:rsid w:val="00E93369"/>
    <w:rsid w:val="00E9511B"/>
    <w:rsid w:val="00E969EB"/>
    <w:rsid w:val="00E97B98"/>
    <w:rsid w:val="00EA1D1C"/>
    <w:rsid w:val="00EA2E10"/>
    <w:rsid w:val="00EA71B3"/>
    <w:rsid w:val="00EB18C1"/>
    <w:rsid w:val="00EB2B50"/>
    <w:rsid w:val="00EB364A"/>
    <w:rsid w:val="00EC3412"/>
    <w:rsid w:val="00EC3B0D"/>
    <w:rsid w:val="00EC73A2"/>
    <w:rsid w:val="00ED22DC"/>
    <w:rsid w:val="00ED3AF2"/>
    <w:rsid w:val="00ED5379"/>
    <w:rsid w:val="00ED6AFD"/>
    <w:rsid w:val="00ED6F3E"/>
    <w:rsid w:val="00ED7420"/>
    <w:rsid w:val="00EE0765"/>
    <w:rsid w:val="00EE0FDD"/>
    <w:rsid w:val="00EE4FA1"/>
    <w:rsid w:val="00EE5888"/>
    <w:rsid w:val="00EF31C7"/>
    <w:rsid w:val="00EF3E7D"/>
    <w:rsid w:val="00EF6B1F"/>
    <w:rsid w:val="00F003F8"/>
    <w:rsid w:val="00F00D46"/>
    <w:rsid w:val="00F03987"/>
    <w:rsid w:val="00F05A9E"/>
    <w:rsid w:val="00F05B01"/>
    <w:rsid w:val="00F05C66"/>
    <w:rsid w:val="00F07106"/>
    <w:rsid w:val="00F11803"/>
    <w:rsid w:val="00F12B88"/>
    <w:rsid w:val="00F15423"/>
    <w:rsid w:val="00F15A21"/>
    <w:rsid w:val="00F219F4"/>
    <w:rsid w:val="00F25A19"/>
    <w:rsid w:val="00F26397"/>
    <w:rsid w:val="00F30D4F"/>
    <w:rsid w:val="00F32F34"/>
    <w:rsid w:val="00F375A9"/>
    <w:rsid w:val="00F400CD"/>
    <w:rsid w:val="00F40B97"/>
    <w:rsid w:val="00F42670"/>
    <w:rsid w:val="00F43199"/>
    <w:rsid w:val="00F43476"/>
    <w:rsid w:val="00F45A97"/>
    <w:rsid w:val="00F46048"/>
    <w:rsid w:val="00F46A65"/>
    <w:rsid w:val="00F50926"/>
    <w:rsid w:val="00F535D6"/>
    <w:rsid w:val="00F5671F"/>
    <w:rsid w:val="00F577BB"/>
    <w:rsid w:val="00F6230A"/>
    <w:rsid w:val="00F646AB"/>
    <w:rsid w:val="00F66C1E"/>
    <w:rsid w:val="00F7135E"/>
    <w:rsid w:val="00F71C80"/>
    <w:rsid w:val="00F75F55"/>
    <w:rsid w:val="00F82F88"/>
    <w:rsid w:val="00F83193"/>
    <w:rsid w:val="00F84532"/>
    <w:rsid w:val="00F84CCB"/>
    <w:rsid w:val="00F95285"/>
    <w:rsid w:val="00FA1460"/>
    <w:rsid w:val="00FA1659"/>
    <w:rsid w:val="00FA22AD"/>
    <w:rsid w:val="00FA4B1C"/>
    <w:rsid w:val="00FA6334"/>
    <w:rsid w:val="00FB2C41"/>
    <w:rsid w:val="00FC17EF"/>
    <w:rsid w:val="00FC1DDC"/>
    <w:rsid w:val="00FD0165"/>
    <w:rsid w:val="00FD59C3"/>
    <w:rsid w:val="00FE00C0"/>
    <w:rsid w:val="00FE1924"/>
    <w:rsid w:val="00FE1A65"/>
    <w:rsid w:val="00FE3875"/>
    <w:rsid w:val="00FF0B6A"/>
    <w:rsid w:val="00FF3D6F"/>
    <w:rsid w:val="00FF42AF"/>
    <w:rsid w:val="00FF781C"/>
    <w:rsid w:val="21D97E27"/>
    <w:rsid w:val="22C47CFA"/>
    <w:rsid w:val="382B071C"/>
    <w:rsid w:val="4D18093F"/>
    <w:rsid w:val="52793D86"/>
    <w:rsid w:val="58572DC3"/>
    <w:rsid w:val="629F61E1"/>
    <w:rsid w:val="63C03C9C"/>
    <w:rsid w:val="68C700A5"/>
    <w:rsid w:val="6C2F3E4A"/>
    <w:rsid w:val="75752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3"/>
    <w:link w:val="48"/>
    <w:qFormat/>
    <w:uiPriority w:val="9"/>
    <w:pPr>
      <w:keepNext/>
      <w:spacing w:before="240" w:after="240"/>
      <w:jc w:val="both"/>
      <w:outlineLvl w:val="0"/>
    </w:pPr>
    <w:rPr>
      <w:rFonts w:ascii="Arial" w:hAnsi="Arial" w:eastAsia="黑体" w:cs="Times New Roman"/>
      <w:b/>
      <w:sz w:val="21"/>
      <w:szCs w:val="32"/>
      <w:lang w:val="en-US" w:eastAsia="zh-CN" w:bidi="ar-SA"/>
    </w:rPr>
  </w:style>
  <w:style w:type="paragraph" w:styleId="3">
    <w:name w:val="heading 2"/>
    <w:basedOn w:val="1"/>
    <w:next w:val="1"/>
    <w:link w:val="50"/>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9"/>
    <w:qFormat/>
    <w:uiPriority w:val="0"/>
    <w:pPr>
      <w:keepNext/>
      <w:keepLines/>
      <w:spacing w:before="260" w:after="260" w:line="416" w:lineRule="auto"/>
      <w:outlineLvl w:val="2"/>
    </w:pPr>
    <w:rPr>
      <w:rFonts w:eastAsia="黑体"/>
      <w:b/>
      <w:bCs/>
      <w:szCs w:val="32"/>
    </w:rPr>
  </w:style>
  <w:style w:type="paragraph" w:styleId="5">
    <w:name w:val="heading 4"/>
    <w:basedOn w:val="1"/>
    <w:next w:val="1"/>
    <w:link w:val="58"/>
    <w:unhideWhenUsed/>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59"/>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60"/>
    <w:unhideWhenUsed/>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61"/>
    <w:unhideWhenUsed/>
    <w:qFormat/>
    <w:uiPriority w:val="0"/>
    <w:pPr>
      <w:keepNext/>
      <w:keepLines/>
      <w:spacing w:before="240" w:after="64" w:line="320" w:lineRule="auto"/>
      <w:outlineLvl w:val="6"/>
    </w:pPr>
    <w:rPr>
      <w:b/>
      <w:bCs/>
      <w:sz w:val="24"/>
    </w:rPr>
  </w:style>
  <w:style w:type="paragraph" w:styleId="9">
    <w:name w:val="heading 8"/>
    <w:basedOn w:val="1"/>
    <w:next w:val="1"/>
    <w:link w:val="62"/>
    <w:unhideWhenUsed/>
    <w:qFormat/>
    <w:uiPriority w:val="0"/>
    <w:pPr>
      <w:keepNext/>
      <w:keepLines/>
      <w:spacing w:before="240" w:after="64" w:line="320" w:lineRule="auto"/>
      <w:outlineLvl w:val="7"/>
    </w:pPr>
    <w:rPr>
      <w:rFonts w:ascii="Cambria" w:hAnsi="Cambria"/>
      <w:sz w:val="24"/>
    </w:rPr>
  </w:style>
  <w:style w:type="paragraph" w:styleId="10">
    <w:name w:val="heading 9"/>
    <w:basedOn w:val="1"/>
    <w:next w:val="1"/>
    <w:link w:val="63"/>
    <w:unhideWhenUsed/>
    <w:qFormat/>
    <w:uiPriority w:val="0"/>
    <w:pPr>
      <w:keepNext/>
      <w:keepLines/>
      <w:spacing w:before="240" w:after="64" w:line="320" w:lineRule="auto"/>
      <w:outlineLvl w:val="8"/>
    </w:pPr>
    <w:rPr>
      <w:rFonts w:ascii="Cambria" w:hAnsi="Cambria"/>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spacing w:line="440" w:lineRule="atLeast"/>
      <w:ind w:left="2520" w:leftChars="1200" w:firstLine="480" w:firstLineChars="200"/>
    </w:pPr>
    <w:rPr>
      <w:rFonts w:ascii="宋体" w:hAnsi="宋体" w:cs="宋体"/>
      <w:kern w:val="0"/>
      <w:sz w:val="24"/>
    </w:rPr>
  </w:style>
  <w:style w:type="paragraph" w:styleId="12">
    <w:name w:val="Normal Indent"/>
    <w:basedOn w:val="1"/>
    <w:semiHidden/>
    <w:unhideWhenUsed/>
    <w:qFormat/>
    <w:uiPriority w:val="99"/>
    <w:pPr>
      <w:widowControl/>
      <w:spacing w:line="440" w:lineRule="atLeast"/>
      <w:ind w:firstLine="420" w:firstLineChars="200"/>
    </w:pPr>
    <w:rPr>
      <w:rFonts w:ascii="宋体" w:hAnsi="宋体" w:cs="宋体"/>
      <w:kern w:val="0"/>
      <w:sz w:val="24"/>
    </w:rPr>
  </w:style>
  <w:style w:type="paragraph" w:styleId="13">
    <w:name w:val="caption"/>
    <w:basedOn w:val="1"/>
    <w:next w:val="1"/>
    <w:qFormat/>
    <w:uiPriority w:val="0"/>
    <w:rPr>
      <w:rFonts w:ascii="Arial" w:hAnsi="Arial" w:eastAsia="黑体"/>
      <w:sz w:val="20"/>
      <w:szCs w:val="20"/>
    </w:rPr>
  </w:style>
  <w:style w:type="paragraph" w:styleId="14">
    <w:name w:val="Document Map"/>
    <w:basedOn w:val="1"/>
    <w:link w:val="125"/>
    <w:semiHidden/>
    <w:unhideWhenUsed/>
    <w:qFormat/>
    <w:uiPriority w:val="0"/>
    <w:pPr>
      <w:spacing w:line="360" w:lineRule="auto"/>
      <w:ind w:firstLine="200" w:firstLineChars="200"/>
    </w:pPr>
    <w:rPr>
      <w:rFonts w:ascii="宋体" w:eastAsia="黑体"/>
      <w:sz w:val="18"/>
      <w:szCs w:val="18"/>
    </w:rPr>
  </w:style>
  <w:style w:type="paragraph" w:styleId="15">
    <w:name w:val="annotation text"/>
    <w:basedOn w:val="1"/>
    <w:link w:val="104"/>
    <w:unhideWhenUsed/>
    <w:qFormat/>
    <w:uiPriority w:val="0"/>
    <w:pPr>
      <w:jc w:val="left"/>
    </w:pPr>
  </w:style>
  <w:style w:type="paragraph" w:styleId="16">
    <w:name w:val="Body Text"/>
    <w:basedOn w:val="1"/>
    <w:link w:val="68"/>
    <w:unhideWhenUsed/>
    <w:qFormat/>
    <w:uiPriority w:val="0"/>
    <w:pPr>
      <w:spacing w:after="120"/>
    </w:pPr>
  </w:style>
  <w:style w:type="paragraph" w:styleId="17">
    <w:name w:val="Body Text Indent"/>
    <w:basedOn w:val="1"/>
    <w:link w:val="78"/>
    <w:unhideWhenUsed/>
    <w:qFormat/>
    <w:uiPriority w:val="0"/>
    <w:pPr>
      <w:spacing w:after="120"/>
      <w:ind w:left="420" w:leftChars="200"/>
    </w:pPr>
  </w:style>
  <w:style w:type="paragraph" w:styleId="18">
    <w:name w:val="toc 5"/>
    <w:basedOn w:val="1"/>
    <w:next w:val="1"/>
    <w:unhideWhenUsed/>
    <w:qFormat/>
    <w:uiPriority w:val="39"/>
    <w:pPr>
      <w:widowControl/>
      <w:spacing w:line="440" w:lineRule="atLeast"/>
      <w:ind w:left="1680" w:leftChars="800" w:firstLine="480" w:firstLineChars="200"/>
    </w:pPr>
    <w:rPr>
      <w:rFonts w:ascii="宋体" w:hAnsi="宋体" w:cs="宋体"/>
      <w:kern w:val="0"/>
      <w:sz w:val="24"/>
    </w:rPr>
  </w:style>
  <w:style w:type="paragraph" w:styleId="19">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20">
    <w:name w:val="Plain Text"/>
    <w:basedOn w:val="1"/>
    <w:link w:val="100"/>
    <w:qFormat/>
    <w:uiPriority w:val="99"/>
    <w:pPr>
      <w:autoSpaceDE w:val="0"/>
      <w:autoSpaceDN w:val="0"/>
      <w:adjustRightInd w:val="0"/>
    </w:pPr>
    <w:rPr>
      <w:rFonts w:ascii="宋体"/>
      <w:kern w:val="0"/>
      <w:szCs w:val="20"/>
    </w:rPr>
  </w:style>
  <w:style w:type="paragraph" w:styleId="21">
    <w:name w:val="toc 8"/>
    <w:basedOn w:val="1"/>
    <w:next w:val="1"/>
    <w:unhideWhenUsed/>
    <w:qFormat/>
    <w:uiPriority w:val="39"/>
    <w:pPr>
      <w:widowControl/>
      <w:spacing w:line="440" w:lineRule="atLeast"/>
      <w:ind w:left="2940" w:leftChars="1400" w:firstLine="480" w:firstLineChars="200"/>
    </w:pPr>
    <w:rPr>
      <w:rFonts w:ascii="宋体" w:hAnsi="宋体" w:cs="宋体"/>
      <w:kern w:val="0"/>
      <w:sz w:val="24"/>
    </w:rPr>
  </w:style>
  <w:style w:type="paragraph" w:styleId="22">
    <w:name w:val="Date"/>
    <w:basedOn w:val="1"/>
    <w:next w:val="1"/>
    <w:link w:val="52"/>
    <w:unhideWhenUsed/>
    <w:qFormat/>
    <w:uiPriority w:val="0"/>
    <w:pPr>
      <w:ind w:left="100" w:leftChars="2500"/>
    </w:pPr>
  </w:style>
  <w:style w:type="paragraph" w:styleId="23">
    <w:name w:val="Balloon Text"/>
    <w:basedOn w:val="1"/>
    <w:link w:val="47"/>
    <w:unhideWhenUsed/>
    <w:qFormat/>
    <w:uiPriority w:val="99"/>
    <w:rPr>
      <w:sz w:val="18"/>
      <w:szCs w:val="18"/>
    </w:rPr>
  </w:style>
  <w:style w:type="paragraph" w:styleId="24">
    <w:name w:val="footer"/>
    <w:basedOn w:val="1"/>
    <w:link w:val="46"/>
    <w:unhideWhenUsed/>
    <w:qFormat/>
    <w:uiPriority w:val="99"/>
    <w:pPr>
      <w:tabs>
        <w:tab w:val="center" w:pos="4153"/>
        <w:tab w:val="right" w:pos="8306"/>
      </w:tabs>
      <w:snapToGrid w:val="0"/>
      <w:jc w:val="left"/>
    </w:pPr>
    <w:rPr>
      <w:sz w:val="18"/>
      <w:szCs w:val="18"/>
    </w:rPr>
  </w:style>
  <w:style w:type="paragraph" w:styleId="25">
    <w:name w:val="header"/>
    <w:basedOn w:val="1"/>
    <w:link w:val="45"/>
    <w:unhideWhenUsed/>
    <w:qFormat/>
    <w:uiPriority w:val="99"/>
    <w:pPr>
      <w:tabs>
        <w:tab w:val="center" w:pos="4153"/>
        <w:tab w:val="right" w:pos="8306"/>
      </w:tabs>
      <w:snapToGrid w:val="0"/>
      <w:jc w:val="center"/>
    </w:pPr>
    <w:rPr>
      <w:sz w:val="18"/>
      <w:szCs w:val="18"/>
    </w:rPr>
  </w:style>
  <w:style w:type="paragraph" w:styleId="26">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27">
    <w:name w:val="toc 4"/>
    <w:basedOn w:val="1"/>
    <w:next w:val="1"/>
    <w:unhideWhenUsed/>
    <w:qFormat/>
    <w:uiPriority w:val="39"/>
    <w:pPr>
      <w:widowControl/>
      <w:spacing w:line="440" w:lineRule="atLeast"/>
      <w:ind w:left="1260" w:leftChars="600" w:firstLine="480" w:firstLineChars="200"/>
    </w:pPr>
    <w:rPr>
      <w:rFonts w:ascii="宋体" w:hAnsi="宋体" w:cs="宋体"/>
      <w:kern w:val="0"/>
      <w:sz w:val="24"/>
    </w:rPr>
  </w:style>
  <w:style w:type="paragraph" w:styleId="28">
    <w:name w:val="toc 6"/>
    <w:basedOn w:val="1"/>
    <w:next w:val="1"/>
    <w:unhideWhenUsed/>
    <w:qFormat/>
    <w:uiPriority w:val="39"/>
    <w:pPr>
      <w:widowControl/>
      <w:spacing w:line="440" w:lineRule="atLeast"/>
      <w:ind w:left="2100" w:leftChars="1000" w:firstLine="480" w:firstLineChars="200"/>
    </w:pPr>
    <w:rPr>
      <w:rFonts w:ascii="宋体" w:hAnsi="宋体" w:cs="宋体"/>
      <w:kern w:val="0"/>
      <w:sz w:val="24"/>
    </w:rPr>
  </w:style>
  <w:style w:type="paragraph" w:styleId="29">
    <w:name w:val="Body Text Indent 3"/>
    <w:basedOn w:val="1"/>
    <w:link w:val="103"/>
    <w:semiHidden/>
    <w:unhideWhenUsed/>
    <w:qFormat/>
    <w:uiPriority w:val="99"/>
    <w:pPr>
      <w:spacing w:after="120"/>
      <w:ind w:left="420" w:leftChars="200"/>
    </w:pPr>
    <w:rPr>
      <w:sz w:val="16"/>
      <w:szCs w:val="16"/>
    </w:rPr>
  </w:style>
  <w:style w:type="paragraph" w:styleId="30">
    <w:name w:val="toc 2"/>
    <w:basedOn w:val="1"/>
    <w:next w:val="1"/>
    <w:unhideWhenUsed/>
    <w:qFormat/>
    <w:uiPriority w:val="39"/>
    <w:pPr>
      <w:widowControl/>
      <w:tabs>
        <w:tab w:val="left" w:pos="1260"/>
        <w:tab w:val="right" w:leader="dot" w:pos="9628"/>
      </w:tabs>
      <w:spacing w:after="100" w:line="276" w:lineRule="auto"/>
      <w:ind w:left="220"/>
      <w:jc w:val="left"/>
    </w:pPr>
    <w:rPr>
      <w:rFonts w:ascii="Calibri" w:hAnsi="Calibri"/>
      <w:kern w:val="0"/>
      <w:sz w:val="22"/>
      <w:szCs w:val="22"/>
    </w:rPr>
  </w:style>
  <w:style w:type="paragraph" w:styleId="31">
    <w:name w:val="toc 9"/>
    <w:basedOn w:val="1"/>
    <w:next w:val="1"/>
    <w:unhideWhenUsed/>
    <w:qFormat/>
    <w:uiPriority w:val="39"/>
    <w:pPr>
      <w:widowControl/>
      <w:spacing w:line="440" w:lineRule="atLeast"/>
      <w:ind w:left="3360" w:leftChars="1600" w:firstLine="480" w:firstLineChars="200"/>
    </w:pPr>
    <w:rPr>
      <w:rFonts w:ascii="宋体" w:hAnsi="宋体" w:cs="宋体"/>
      <w:kern w:val="0"/>
      <w:sz w:val="24"/>
    </w:rPr>
  </w:style>
  <w:style w:type="paragraph" w:styleId="32">
    <w:name w:val="Normal (Web)"/>
    <w:basedOn w:val="1"/>
    <w:unhideWhenUsed/>
    <w:qFormat/>
    <w:uiPriority w:val="99"/>
    <w:pPr>
      <w:spacing w:before="100" w:beforeAutospacing="1" w:after="100" w:afterAutospacing="1"/>
      <w:jc w:val="left"/>
    </w:pPr>
    <w:rPr>
      <w:kern w:val="0"/>
      <w:sz w:val="24"/>
      <w:szCs w:val="20"/>
    </w:rPr>
  </w:style>
  <w:style w:type="paragraph" w:styleId="33">
    <w:name w:val="Title"/>
    <w:basedOn w:val="1"/>
    <w:next w:val="1"/>
    <w:link w:val="64"/>
    <w:qFormat/>
    <w:uiPriority w:val="0"/>
    <w:pPr>
      <w:spacing w:before="240" w:after="60"/>
      <w:jc w:val="center"/>
      <w:outlineLvl w:val="0"/>
    </w:pPr>
    <w:rPr>
      <w:rFonts w:ascii="Cambria" w:hAnsi="Cambria"/>
      <w:b/>
      <w:bCs/>
      <w:sz w:val="32"/>
      <w:szCs w:val="32"/>
    </w:rPr>
  </w:style>
  <w:style w:type="paragraph" w:styleId="34">
    <w:name w:val="annotation subject"/>
    <w:basedOn w:val="15"/>
    <w:next w:val="15"/>
    <w:link w:val="105"/>
    <w:semiHidden/>
    <w:unhideWhenUsed/>
    <w:qFormat/>
    <w:uiPriority w:val="0"/>
    <w:rPr>
      <w:b/>
      <w:bCs/>
    </w:rPr>
  </w:style>
  <w:style w:type="paragraph" w:styleId="35">
    <w:name w:val="Body Text First Indent"/>
    <w:basedOn w:val="16"/>
    <w:link w:val="73"/>
    <w:qFormat/>
    <w:uiPriority w:val="0"/>
    <w:pPr>
      <w:autoSpaceDE w:val="0"/>
      <w:autoSpaceDN w:val="0"/>
      <w:adjustRightInd w:val="0"/>
      <w:spacing w:line="360" w:lineRule="auto"/>
      <w:ind w:firstLine="420" w:firstLineChars="100"/>
      <w:jc w:val="left"/>
    </w:pPr>
    <w:rPr>
      <w:kern w:val="0"/>
      <w:sz w:val="20"/>
      <w:szCs w:val="20"/>
    </w:rPr>
  </w:style>
  <w:style w:type="paragraph" w:styleId="36">
    <w:name w:val="Body Text First Indent 2"/>
    <w:basedOn w:val="17"/>
    <w:link w:val="79"/>
    <w:unhideWhenUsed/>
    <w:qFormat/>
    <w:uiPriority w:val="0"/>
    <w:pPr>
      <w:ind w:firstLine="420" w:firstLineChars="200"/>
    </w:pPr>
  </w:style>
  <w:style w:type="table" w:styleId="38">
    <w:name w:val="Table Grid"/>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bCs/>
    </w:rPr>
  </w:style>
  <w:style w:type="character" w:styleId="41">
    <w:name w:val="page number"/>
    <w:basedOn w:val="39"/>
    <w:qFormat/>
    <w:uiPriority w:val="0"/>
    <w:rPr>
      <w:rFonts w:ascii="Arial" w:hAnsi="Arial" w:eastAsia="宋体" w:cs="Arial"/>
      <w:kern w:val="2"/>
      <w:lang w:val="en-US" w:eastAsia="zh-CN" w:bidi="ar-SA"/>
    </w:rPr>
  </w:style>
  <w:style w:type="character" w:styleId="42">
    <w:name w:val="Emphasis"/>
    <w:basedOn w:val="39"/>
    <w:qFormat/>
    <w:uiPriority w:val="20"/>
    <w:rPr>
      <w:color w:val="CC0000"/>
    </w:rPr>
  </w:style>
  <w:style w:type="character" w:styleId="43">
    <w:name w:val="Hyperlink"/>
    <w:basedOn w:val="39"/>
    <w:unhideWhenUsed/>
    <w:qFormat/>
    <w:uiPriority w:val="99"/>
    <w:rPr>
      <w:color w:val="0000FF"/>
      <w:u w:val="single"/>
    </w:rPr>
  </w:style>
  <w:style w:type="character" w:styleId="44">
    <w:name w:val="annotation reference"/>
    <w:basedOn w:val="39"/>
    <w:semiHidden/>
    <w:unhideWhenUsed/>
    <w:qFormat/>
    <w:uiPriority w:val="0"/>
    <w:rPr>
      <w:sz w:val="21"/>
      <w:szCs w:val="21"/>
    </w:rPr>
  </w:style>
  <w:style w:type="character" w:customStyle="1" w:styleId="45">
    <w:name w:val="页眉 字符"/>
    <w:basedOn w:val="39"/>
    <w:link w:val="25"/>
    <w:qFormat/>
    <w:uiPriority w:val="99"/>
    <w:rPr>
      <w:sz w:val="18"/>
      <w:szCs w:val="18"/>
    </w:rPr>
  </w:style>
  <w:style w:type="character" w:customStyle="1" w:styleId="46">
    <w:name w:val="页脚 字符"/>
    <w:basedOn w:val="39"/>
    <w:link w:val="24"/>
    <w:qFormat/>
    <w:uiPriority w:val="99"/>
    <w:rPr>
      <w:sz w:val="18"/>
      <w:szCs w:val="18"/>
    </w:rPr>
  </w:style>
  <w:style w:type="character" w:customStyle="1" w:styleId="47">
    <w:name w:val="批注框文本 字符"/>
    <w:basedOn w:val="39"/>
    <w:link w:val="23"/>
    <w:qFormat/>
    <w:uiPriority w:val="99"/>
    <w:rPr>
      <w:sz w:val="18"/>
      <w:szCs w:val="18"/>
    </w:rPr>
  </w:style>
  <w:style w:type="character" w:customStyle="1" w:styleId="48">
    <w:name w:val="标题 1 字符"/>
    <w:basedOn w:val="39"/>
    <w:link w:val="2"/>
    <w:qFormat/>
    <w:uiPriority w:val="9"/>
    <w:rPr>
      <w:rFonts w:ascii="Arial" w:hAnsi="Arial" w:eastAsia="黑体"/>
      <w:b/>
      <w:sz w:val="21"/>
      <w:szCs w:val="32"/>
    </w:rPr>
  </w:style>
  <w:style w:type="character" w:customStyle="1" w:styleId="49">
    <w:name w:val="标题 3 字符"/>
    <w:basedOn w:val="39"/>
    <w:link w:val="4"/>
    <w:qFormat/>
    <w:uiPriority w:val="0"/>
    <w:rPr>
      <w:rFonts w:ascii="Times New Roman" w:hAnsi="Times New Roman" w:eastAsia="黑体"/>
      <w:b/>
      <w:bCs/>
      <w:kern w:val="2"/>
      <w:sz w:val="21"/>
      <w:szCs w:val="32"/>
    </w:rPr>
  </w:style>
  <w:style w:type="character" w:customStyle="1" w:styleId="50">
    <w:name w:val="标题 2 字符"/>
    <w:basedOn w:val="39"/>
    <w:link w:val="3"/>
    <w:qFormat/>
    <w:uiPriority w:val="0"/>
    <w:rPr>
      <w:rFonts w:ascii="Cambria" w:hAnsi="Cambria" w:eastAsia="宋体" w:cs="Times New Roman"/>
      <w:b/>
      <w:bCs/>
      <w:sz w:val="32"/>
      <w:szCs w:val="32"/>
    </w:rPr>
  </w:style>
  <w:style w:type="paragraph" w:styleId="51">
    <w:name w:val="List Paragraph"/>
    <w:basedOn w:val="1"/>
    <w:qFormat/>
    <w:uiPriority w:val="34"/>
    <w:pPr>
      <w:ind w:firstLine="420" w:firstLineChars="200"/>
    </w:pPr>
  </w:style>
  <w:style w:type="character" w:customStyle="1" w:styleId="52">
    <w:name w:val="日期 字符"/>
    <w:basedOn w:val="39"/>
    <w:link w:val="22"/>
    <w:qFormat/>
    <w:uiPriority w:val="0"/>
    <w:rPr>
      <w:rFonts w:ascii="Times New Roman" w:hAnsi="Times New Roman" w:eastAsia="宋体" w:cs="Times New Roman"/>
      <w:szCs w:val="24"/>
    </w:rPr>
  </w:style>
  <w:style w:type="paragraph" w:customStyle="1" w:styleId="53">
    <w:name w:val="缺省文本"/>
    <w:basedOn w:val="1"/>
    <w:link w:val="80"/>
    <w:qFormat/>
    <w:uiPriority w:val="0"/>
    <w:pPr>
      <w:autoSpaceDE w:val="0"/>
      <w:autoSpaceDN w:val="0"/>
      <w:adjustRightInd w:val="0"/>
      <w:jc w:val="left"/>
    </w:pPr>
    <w:rPr>
      <w:kern w:val="0"/>
      <w:sz w:val="24"/>
    </w:rPr>
  </w:style>
  <w:style w:type="paragraph" w:customStyle="1" w:styleId="54">
    <w:name w:val="TOC Heading"/>
    <w:basedOn w:val="2"/>
    <w:next w:val="1"/>
    <w:unhideWhenUsed/>
    <w:qFormat/>
    <w:uiPriority w:val="39"/>
    <w:pPr>
      <w:keepLines/>
      <w:spacing w:before="480" w:after="0" w:line="276" w:lineRule="auto"/>
      <w:jc w:val="left"/>
      <w:outlineLvl w:val="9"/>
    </w:pPr>
    <w:rPr>
      <w:rFonts w:ascii="Cambria" w:hAnsi="Cambria" w:eastAsia="宋体"/>
      <w:bCs/>
      <w:color w:val="365F91"/>
      <w:sz w:val="28"/>
      <w:szCs w:val="28"/>
    </w:rPr>
  </w:style>
  <w:style w:type="paragraph" w:customStyle="1" w:styleId="55">
    <w:name w:val="一级标题"/>
    <w:basedOn w:val="53"/>
    <w:link w:val="108"/>
    <w:qFormat/>
    <w:uiPriority w:val="0"/>
    <w:pPr>
      <w:widowControl/>
      <w:numPr>
        <w:ilvl w:val="0"/>
        <w:numId w:val="1"/>
      </w:numPr>
      <w:spacing w:line="360" w:lineRule="auto"/>
      <w:jc w:val="both"/>
    </w:pPr>
    <w:rPr>
      <w:b/>
    </w:rPr>
  </w:style>
  <w:style w:type="paragraph" w:customStyle="1" w:styleId="56">
    <w:name w:val="文件(二级标题)"/>
    <w:basedOn w:val="2"/>
    <w:qFormat/>
    <w:uiPriority w:val="0"/>
    <w:pPr>
      <w:keepNext w:val="0"/>
      <w:widowControl w:val="0"/>
      <w:autoSpaceDE w:val="0"/>
      <w:autoSpaceDN w:val="0"/>
      <w:adjustRightInd w:val="0"/>
      <w:spacing w:before="280" w:after="0" w:line="360" w:lineRule="auto"/>
      <w:jc w:val="left"/>
    </w:pPr>
    <w:rPr>
      <w:rFonts w:eastAsia="宋体" w:cs="Arial Black"/>
      <w:b w:val="0"/>
      <w:sz w:val="24"/>
      <w:szCs w:val="24"/>
    </w:rPr>
  </w:style>
  <w:style w:type="paragraph" w:styleId="5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58">
    <w:name w:val="标题 4 字符"/>
    <w:basedOn w:val="39"/>
    <w:link w:val="5"/>
    <w:qFormat/>
    <w:uiPriority w:val="0"/>
    <w:rPr>
      <w:rFonts w:ascii="Cambria" w:hAnsi="Cambria" w:eastAsia="宋体" w:cs="Times New Roman"/>
      <w:b/>
      <w:bCs/>
      <w:sz w:val="28"/>
      <w:szCs w:val="28"/>
    </w:rPr>
  </w:style>
  <w:style w:type="character" w:customStyle="1" w:styleId="59">
    <w:name w:val="标题 5 字符"/>
    <w:basedOn w:val="39"/>
    <w:link w:val="6"/>
    <w:qFormat/>
    <w:uiPriority w:val="0"/>
    <w:rPr>
      <w:rFonts w:ascii="Times New Roman" w:hAnsi="Times New Roman" w:eastAsia="宋体" w:cs="Times New Roman"/>
      <w:b/>
      <w:bCs/>
      <w:sz w:val="28"/>
      <w:szCs w:val="28"/>
    </w:rPr>
  </w:style>
  <w:style w:type="character" w:customStyle="1" w:styleId="60">
    <w:name w:val="标题 6 字符"/>
    <w:basedOn w:val="39"/>
    <w:link w:val="7"/>
    <w:qFormat/>
    <w:uiPriority w:val="0"/>
    <w:rPr>
      <w:rFonts w:ascii="Cambria" w:hAnsi="Cambria" w:eastAsia="宋体" w:cs="Times New Roman"/>
      <w:b/>
      <w:bCs/>
      <w:sz w:val="24"/>
      <w:szCs w:val="24"/>
    </w:rPr>
  </w:style>
  <w:style w:type="character" w:customStyle="1" w:styleId="61">
    <w:name w:val="标题 7 字符"/>
    <w:basedOn w:val="39"/>
    <w:link w:val="8"/>
    <w:qFormat/>
    <w:uiPriority w:val="0"/>
    <w:rPr>
      <w:rFonts w:ascii="Times New Roman" w:hAnsi="Times New Roman" w:eastAsia="宋体" w:cs="Times New Roman"/>
      <w:b/>
      <w:bCs/>
      <w:sz w:val="24"/>
      <w:szCs w:val="24"/>
    </w:rPr>
  </w:style>
  <w:style w:type="character" w:customStyle="1" w:styleId="62">
    <w:name w:val="标题 8 字符"/>
    <w:basedOn w:val="39"/>
    <w:link w:val="9"/>
    <w:qFormat/>
    <w:uiPriority w:val="0"/>
    <w:rPr>
      <w:rFonts w:ascii="Cambria" w:hAnsi="Cambria" w:eastAsia="宋体" w:cs="Times New Roman"/>
      <w:sz w:val="24"/>
      <w:szCs w:val="24"/>
    </w:rPr>
  </w:style>
  <w:style w:type="character" w:customStyle="1" w:styleId="63">
    <w:name w:val="标题 9 字符"/>
    <w:basedOn w:val="39"/>
    <w:link w:val="10"/>
    <w:qFormat/>
    <w:uiPriority w:val="0"/>
    <w:rPr>
      <w:rFonts w:ascii="Cambria" w:hAnsi="Cambria" w:eastAsia="宋体" w:cs="Times New Roman"/>
      <w:szCs w:val="21"/>
    </w:rPr>
  </w:style>
  <w:style w:type="character" w:customStyle="1" w:styleId="64">
    <w:name w:val="标题 字符"/>
    <w:basedOn w:val="39"/>
    <w:link w:val="33"/>
    <w:qFormat/>
    <w:uiPriority w:val="0"/>
    <w:rPr>
      <w:rFonts w:ascii="Cambria" w:hAnsi="Cambria" w:eastAsia="宋体" w:cs="Times New Roman"/>
      <w:b/>
      <w:bCs/>
      <w:sz w:val="32"/>
      <w:szCs w:val="32"/>
    </w:rPr>
  </w:style>
  <w:style w:type="paragraph" w:customStyle="1" w:styleId="65">
    <w:name w:val="默认段落字体 Para Char Char Char Char"/>
    <w:basedOn w:val="1"/>
    <w:qFormat/>
    <w:uiPriority w:val="0"/>
  </w:style>
  <w:style w:type="paragraph" w:customStyle="1" w:styleId="66">
    <w:name w:val="样式 正文文本 + 居中"/>
    <w:basedOn w:val="16"/>
    <w:qFormat/>
    <w:uiPriority w:val="0"/>
    <w:pPr>
      <w:autoSpaceDE w:val="0"/>
      <w:autoSpaceDN w:val="0"/>
      <w:adjustRightInd w:val="0"/>
      <w:spacing w:after="0"/>
      <w:jc w:val="center"/>
    </w:pPr>
    <w:rPr>
      <w:rFonts w:ascii="宋体" w:cs="宋体"/>
      <w:b/>
      <w:bCs/>
      <w:kern w:val="0"/>
      <w:sz w:val="18"/>
      <w:szCs w:val="20"/>
    </w:rPr>
  </w:style>
  <w:style w:type="paragraph" w:customStyle="1" w:styleId="67">
    <w:name w:val="表格内容"/>
    <w:basedOn w:val="16"/>
    <w:qFormat/>
    <w:uiPriority w:val="0"/>
    <w:pPr>
      <w:autoSpaceDE w:val="0"/>
      <w:autoSpaceDN w:val="0"/>
      <w:adjustRightInd w:val="0"/>
      <w:spacing w:after="0"/>
      <w:jc w:val="left"/>
    </w:pPr>
    <w:rPr>
      <w:rFonts w:ascii="宋体" w:hAnsi="宋体" w:cs="宋体"/>
      <w:bCs/>
      <w:kern w:val="0"/>
      <w:sz w:val="18"/>
      <w:szCs w:val="18"/>
    </w:rPr>
  </w:style>
  <w:style w:type="character" w:customStyle="1" w:styleId="68">
    <w:name w:val="正文文本 字符"/>
    <w:basedOn w:val="39"/>
    <w:link w:val="16"/>
    <w:qFormat/>
    <w:uiPriority w:val="0"/>
    <w:rPr>
      <w:rFonts w:ascii="Times New Roman" w:hAnsi="Times New Roman" w:eastAsia="宋体" w:cs="Times New Roman"/>
      <w:szCs w:val="24"/>
    </w:rPr>
  </w:style>
  <w:style w:type="paragraph" w:customStyle="1" w:styleId="69">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71">
    <w:name w:val="填写内容说明"/>
    <w:basedOn w:val="39"/>
    <w:qFormat/>
    <w:uiPriority w:val="0"/>
    <w:rPr>
      <w:i/>
      <w:iCs/>
      <w:color w:val="0000FF"/>
    </w:rPr>
  </w:style>
  <w:style w:type="paragraph" w:customStyle="1" w:styleId="72">
    <w:name w:val="Char Char Char Char"/>
    <w:basedOn w:val="1"/>
    <w:qFormat/>
    <w:uiPriority w:val="0"/>
  </w:style>
  <w:style w:type="character" w:customStyle="1" w:styleId="73">
    <w:name w:val="正文文本首行缩进 字符"/>
    <w:basedOn w:val="68"/>
    <w:link w:val="35"/>
    <w:qFormat/>
    <w:uiPriority w:val="0"/>
    <w:rPr>
      <w:rFonts w:ascii="Times New Roman" w:hAnsi="Times New Roman" w:eastAsia="宋体" w:cs="Times New Roman"/>
      <w:szCs w:val="24"/>
    </w:rPr>
  </w:style>
  <w:style w:type="paragraph" w:customStyle="1" w:styleId="74">
    <w:name w:val="表格题注"/>
    <w:next w:val="1"/>
    <w:qFormat/>
    <w:uiPriority w:val="0"/>
    <w:pPr>
      <w:keepLines/>
      <w:numPr>
        <w:ilvl w:val="8"/>
        <w:numId w:val="2"/>
      </w:numPr>
      <w:spacing w:beforeLines="100"/>
      <w:ind w:left="1089" w:hanging="369"/>
      <w:jc w:val="center"/>
    </w:pPr>
    <w:rPr>
      <w:rFonts w:ascii="Arial" w:hAnsi="Arial" w:eastAsia="宋体" w:cs="Times New Roman"/>
      <w:sz w:val="18"/>
      <w:szCs w:val="18"/>
      <w:lang w:val="en-US" w:eastAsia="zh-CN" w:bidi="ar-SA"/>
    </w:rPr>
  </w:style>
  <w:style w:type="paragraph" w:customStyle="1" w:styleId="75">
    <w:name w:val="插图题注"/>
    <w:next w:val="1"/>
    <w:qFormat/>
    <w:uiPriority w:val="0"/>
    <w:pPr>
      <w:numPr>
        <w:ilvl w:val="7"/>
        <w:numId w:val="2"/>
      </w:numPr>
      <w:spacing w:afterLines="100"/>
      <w:ind w:left="1089" w:hanging="369"/>
      <w:jc w:val="center"/>
    </w:pPr>
    <w:rPr>
      <w:rFonts w:ascii="Arial" w:hAnsi="Arial" w:eastAsia="宋体" w:cs="Times New Roman"/>
      <w:sz w:val="18"/>
      <w:szCs w:val="18"/>
      <w:lang w:val="en-US" w:eastAsia="zh-CN" w:bidi="ar-SA"/>
    </w:rPr>
  </w:style>
  <w:style w:type="paragraph" w:customStyle="1" w:styleId="76">
    <w:name w:val="图号"/>
    <w:basedOn w:val="1"/>
    <w:link w:val="77"/>
    <w:qFormat/>
    <w:uiPriority w:val="0"/>
    <w:pPr>
      <w:autoSpaceDE w:val="0"/>
      <w:autoSpaceDN w:val="0"/>
      <w:adjustRightInd w:val="0"/>
      <w:spacing w:before="105" w:line="360" w:lineRule="auto"/>
      <w:jc w:val="center"/>
    </w:pPr>
    <w:rPr>
      <w:rFonts w:ascii="Arial" w:hAnsi="Arial"/>
      <w:kern w:val="0"/>
      <w:sz w:val="18"/>
      <w:szCs w:val="18"/>
    </w:rPr>
  </w:style>
  <w:style w:type="character" w:customStyle="1" w:styleId="77">
    <w:name w:val="图号 Char"/>
    <w:basedOn w:val="39"/>
    <w:link w:val="76"/>
    <w:qFormat/>
    <w:uiPriority w:val="0"/>
    <w:rPr>
      <w:rFonts w:ascii="Arial" w:hAnsi="Arial"/>
      <w:sz w:val="18"/>
      <w:szCs w:val="18"/>
    </w:rPr>
  </w:style>
  <w:style w:type="character" w:customStyle="1" w:styleId="78">
    <w:name w:val="正文文本缩进 字符"/>
    <w:basedOn w:val="39"/>
    <w:link w:val="17"/>
    <w:semiHidden/>
    <w:qFormat/>
    <w:uiPriority w:val="99"/>
    <w:rPr>
      <w:rFonts w:ascii="Times New Roman" w:hAnsi="Times New Roman"/>
      <w:kern w:val="2"/>
      <w:sz w:val="21"/>
      <w:szCs w:val="24"/>
    </w:rPr>
  </w:style>
  <w:style w:type="character" w:customStyle="1" w:styleId="79">
    <w:name w:val="正文文本首行缩进 2 字符"/>
    <w:basedOn w:val="78"/>
    <w:link w:val="36"/>
    <w:semiHidden/>
    <w:qFormat/>
    <w:uiPriority w:val="99"/>
    <w:rPr>
      <w:rFonts w:ascii="Times New Roman" w:hAnsi="Times New Roman"/>
      <w:kern w:val="2"/>
      <w:sz w:val="21"/>
      <w:szCs w:val="24"/>
    </w:rPr>
  </w:style>
  <w:style w:type="character" w:customStyle="1" w:styleId="80">
    <w:name w:val="缺省文本 Char"/>
    <w:basedOn w:val="39"/>
    <w:link w:val="53"/>
    <w:qFormat/>
    <w:uiPriority w:val="0"/>
    <w:rPr>
      <w:rFonts w:ascii="Times New Roman" w:hAnsi="Times New Roman"/>
      <w:sz w:val="24"/>
      <w:szCs w:val="24"/>
    </w:rPr>
  </w:style>
  <w:style w:type="paragraph" w:customStyle="1" w:styleId="81">
    <w:name w:val="缺省文本:1"/>
    <w:basedOn w:val="1"/>
    <w:qFormat/>
    <w:uiPriority w:val="0"/>
    <w:pPr>
      <w:autoSpaceDE w:val="0"/>
      <w:autoSpaceDN w:val="0"/>
      <w:adjustRightInd w:val="0"/>
      <w:jc w:val="left"/>
    </w:pPr>
    <w:rPr>
      <w:kern w:val="0"/>
      <w:sz w:val="24"/>
    </w:rPr>
  </w:style>
  <w:style w:type="paragraph" w:customStyle="1" w:styleId="82">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83">
    <w:name w:val="表头文本"/>
    <w:qFormat/>
    <w:uiPriority w:val="0"/>
    <w:pPr>
      <w:jc w:val="center"/>
    </w:pPr>
    <w:rPr>
      <w:rFonts w:ascii="Arial" w:hAnsi="Arial" w:eastAsia="宋体" w:cs="Times New Roman"/>
      <w:b/>
      <w:sz w:val="21"/>
      <w:szCs w:val="21"/>
      <w:lang w:val="en-US" w:eastAsia="zh-CN" w:bidi="ar-SA"/>
    </w:rPr>
  </w:style>
  <w:style w:type="table" w:customStyle="1" w:styleId="84">
    <w:name w:val="表样式"/>
    <w:basedOn w:val="37"/>
    <w:qFormat/>
    <w:uiPriority w:val="0"/>
    <w:pPr>
      <w:jc w:val="both"/>
    </w:pPr>
    <w:rPr>
      <w:rFonts w:ascii="Times New Roman" w:hAnsi="Times New Roman"/>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85">
    <w:name w:val="图样式"/>
    <w:basedOn w:val="1"/>
    <w:qFormat/>
    <w:uiPriority w:val="0"/>
    <w:pPr>
      <w:keepNext/>
      <w:widowControl/>
      <w:autoSpaceDE w:val="0"/>
      <w:autoSpaceDN w:val="0"/>
      <w:adjustRightInd w:val="0"/>
      <w:spacing w:before="80" w:after="80"/>
      <w:jc w:val="center"/>
    </w:pPr>
    <w:rPr>
      <w:kern w:val="0"/>
      <w:sz w:val="20"/>
      <w:szCs w:val="20"/>
    </w:rPr>
  </w:style>
  <w:style w:type="paragraph" w:customStyle="1" w:styleId="86">
    <w:name w:val="文档标题"/>
    <w:basedOn w:val="1"/>
    <w:qFormat/>
    <w:uiPriority w:val="0"/>
    <w:pPr>
      <w:tabs>
        <w:tab w:val="left" w:pos="0"/>
      </w:tabs>
      <w:autoSpaceDE w:val="0"/>
      <w:autoSpaceDN w:val="0"/>
      <w:adjustRightInd w:val="0"/>
      <w:spacing w:before="300" w:after="300"/>
      <w:jc w:val="center"/>
    </w:pPr>
    <w:rPr>
      <w:rFonts w:ascii="Arial" w:hAnsi="Arial" w:eastAsia="黑体"/>
      <w:kern w:val="0"/>
      <w:sz w:val="36"/>
      <w:szCs w:val="36"/>
    </w:rPr>
  </w:style>
  <w:style w:type="paragraph" w:customStyle="1" w:styleId="87">
    <w:name w:val="正文（首行不缩进）"/>
    <w:basedOn w:val="1"/>
    <w:qFormat/>
    <w:uiPriority w:val="0"/>
    <w:pPr>
      <w:autoSpaceDE w:val="0"/>
      <w:autoSpaceDN w:val="0"/>
      <w:adjustRightInd w:val="0"/>
      <w:jc w:val="left"/>
    </w:pPr>
    <w:rPr>
      <w:kern w:val="0"/>
      <w:sz w:val="20"/>
      <w:szCs w:val="20"/>
    </w:rPr>
  </w:style>
  <w:style w:type="paragraph" w:customStyle="1" w:styleId="88">
    <w:name w:val="注示头"/>
    <w:basedOn w:val="1"/>
    <w:qFormat/>
    <w:uiPriority w:val="0"/>
    <w:pPr>
      <w:pBdr>
        <w:top w:val="single" w:color="000000" w:sz="4" w:space="1"/>
      </w:pBdr>
      <w:autoSpaceDE w:val="0"/>
      <w:autoSpaceDN w:val="0"/>
      <w:adjustRightInd w:val="0"/>
    </w:pPr>
    <w:rPr>
      <w:rFonts w:ascii="Arial" w:hAnsi="Arial" w:eastAsia="黑体"/>
      <w:kern w:val="0"/>
      <w:sz w:val="18"/>
      <w:szCs w:val="21"/>
    </w:rPr>
  </w:style>
  <w:style w:type="paragraph" w:customStyle="1" w:styleId="89">
    <w:name w:val="注示文本"/>
    <w:basedOn w:val="1"/>
    <w:qFormat/>
    <w:uiPriority w:val="0"/>
    <w:pPr>
      <w:pBdr>
        <w:bottom w:val="single" w:color="000000" w:sz="4" w:space="1"/>
      </w:pBdr>
      <w:autoSpaceDE w:val="0"/>
      <w:autoSpaceDN w:val="0"/>
      <w:adjustRightInd w:val="0"/>
      <w:ind w:firstLine="360"/>
    </w:pPr>
    <w:rPr>
      <w:rFonts w:ascii="Arial" w:hAnsi="Arial" w:eastAsia="楷体_GB2312"/>
      <w:kern w:val="0"/>
      <w:sz w:val="18"/>
      <w:szCs w:val="18"/>
    </w:rPr>
  </w:style>
  <w:style w:type="paragraph" w:customStyle="1" w:styleId="90">
    <w:name w:val="编写建议"/>
    <w:basedOn w:val="1"/>
    <w:qFormat/>
    <w:uiPriority w:val="0"/>
    <w:pPr>
      <w:autoSpaceDE w:val="0"/>
      <w:autoSpaceDN w:val="0"/>
      <w:adjustRightInd w:val="0"/>
      <w:ind w:firstLine="420"/>
      <w:jc w:val="left"/>
    </w:pPr>
    <w:rPr>
      <w:rFonts w:ascii="Arial" w:hAnsi="Arial" w:cs="Arial"/>
      <w:i/>
      <w:color w:val="0000FF"/>
      <w:kern w:val="0"/>
      <w:sz w:val="20"/>
      <w:szCs w:val="21"/>
    </w:rPr>
  </w:style>
  <w:style w:type="character" w:customStyle="1" w:styleId="91">
    <w:name w:val="样式一"/>
    <w:basedOn w:val="39"/>
    <w:qFormat/>
    <w:uiPriority w:val="0"/>
    <w:rPr>
      <w:rFonts w:ascii="宋体" w:hAnsi="宋体"/>
      <w:b/>
      <w:bCs/>
      <w:color w:val="000000"/>
      <w:sz w:val="36"/>
    </w:rPr>
  </w:style>
  <w:style w:type="character" w:customStyle="1" w:styleId="92">
    <w:name w:val="样式二"/>
    <w:basedOn w:val="91"/>
    <w:qFormat/>
    <w:uiPriority w:val="0"/>
    <w:rPr>
      <w:rFonts w:ascii="宋体" w:hAnsi="宋体"/>
      <w:color w:val="000000"/>
      <w:sz w:val="36"/>
    </w:rPr>
  </w:style>
  <w:style w:type="paragraph" w:customStyle="1" w:styleId="93">
    <w:name w:val="Char Char Char Char1"/>
    <w:basedOn w:val="1"/>
    <w:qFormat/>
    <w:uiPriority w:val="0"/>
  </w:style>
  <w:style w:type="paragraph" w:customStyle="1" w:styleId="94">
    <w:name w:val="Char Char"/>
    <w:basedOn w:val="1"/>
    <w:qFormat/>
    <w:uiPriority w:val="0"/>
  </w:style>
  <w:style w:type="paragraph" w:customStyle="1" w:styleId="95">
    <w:name w:val="Char"/>
    <w:basedOn w:val="1"/>
    <w:qFormat/>
    <w:uiPriority w:val="0"/>
  </w:style>
  <w:style w:type="paragraph" w:customStyle="1" w:styleId="96">
    <w:name w:val="标题2"/>
    <w:basedOn w:val="2"/>
    <w:qFormat/>
    <w:uiPriority w:val="0"/>
    <w:pPr>
      <w:widowControl w:val="0"/>
      <w:spacing w:after="120"/>
      <w:ind w:left="567" w:hanging="567"/>
    </w:pPr>
    <w:rPr>
      <w:rFonts w:ascii="Times New Roman" w:hAnsi="Times New Roman" w:eastAsia="宋体" w:cs="Arial"/>
      <w:b w:val="0"/>
      <w:bCs/>
      <w:kern w:val="44"/>
      <w:sz w:val="24"/>
      <w:szCs w:val="44"/>
    </w:rPr>
  </w:style>
  <w:style w:type="paragraph" w:customStyle="1" w:styleId="97">
    <w:name w:val="标题3"/>
    <w:basedOn w:val="96"/>
    <w:link w:val="98"/>
    <w:qFormat/>
    <w:uiPriority w:val="0"/>
    <w:pPr>
      <w:ind w:left="709" w:hanging="709"/>
    </w:pPr>
  </w:style>
  <w:style w:type="character" w:customStyle="1" w:styleId="98">
    <w:name w:val="标题3 Char"/>
    <w:basedOn w:val="39"/>
    <w:link w:val="97"/>
    <w:qFormat/>
    <w:uiPriority w:val="0"/>
    <w:rPr>
      <w:rFonts w:ascii="Times New Roman" w:hAnsi="Times New Roman" w:cs="Arial"/>
      <w:bCs/>
      <w:kern w:val="44"/>
      <w:sz w:val="24"/>
      <w:szCs w:val="44"/>
    </w:rPr>
  </w:style>
  <w:style w:type="paragraph" w:customStyle="1" w:styleId="99">
    <w:name w:val="缺省文本:2"/>
    <w:basedOn w:val="1"/>
    <w:qFormat/>
    <w:uiPriority w:val="0"/>
    <w:pPr>
      <w:autoSpaceDE w:val="0"/>
      <w:autoSpaceDN w:val="0"/>
      <w:adjustRightInd w:val="0"/>
      <w:jc w:val="left"/>
    </w:pPr>
    <w:rPr>
      <w:kern w:val="0"/>
      <w:sz w:val="24"/>
    </w:rPr>
  </w:style>
  <w:style w:type="character" w:customStyle="1" w:styleId="100">
    <w:name w:val="纯文本 字符"/>
    <w:basedOn w:val="39"/>
    <w:link w:val="20"/>
    <w:qFormat/>
    <w:uiPriority w:val="99"/>
    <w:rPr>
      <w:rFonts w:ascii="宋体" w:hAnsi="Times New Roman"/>
      <w:sz w:val="21"/>
    </w:rPr>
  </w:style>
  <w:style w:type="paragraph" w:customStyle="1" w:styleId="101">
    <w:name w:val="Char Char Char"/>
    <w:basedOn w:val="1"/>
    <w:qFormat/>
    <w:uiPriority w:val="0"/>
  </w:style>
  <w:style w:type="paragraph" w:customStyle="1" w:styleId="102">
    <w:name w:val="reader-word-layer"/>
    <w:basedOn w:val="1"/>
    <w:qFormat/>
    <w:uiPriority w:val="0"/>
    <w:pPr>
      <w:widowControl/>
      <w:spacing w:before="100" w:beforeAutospacing="1" w:after="100" w:afterAutospacing="1" w:line="240" w:lineRule="exact"/>
      <w:jc w:val="left"/>
    </w:pPr>
    <w:rPr>
      <w:rFonts w:ascii="宋体" w:hAnsi="宋体" w:cs="宋体"/>
      <w:kern w:val="0"/>
      <w:sz w:val="24"/>
    </w:rPr>
  </w:style>
  <w:style w:type="character" w:customStyle="1" w:styleId="103">
    <w:name w:val="正文文本缩进 3 字符"/>
    <w:basedOn w:val="39"/>
    <w:link w:val="29"/>
    <w:semiHidden/>
    <w:qFormat/>
    <w:uiPriority w:val="99"/>
    <w:rPr>
      <w:rFonts w:ascii="Times New Roman" w:hAnsi="Times New Roman"/>
      <w:kern w:val="2"/>
      <w:sz w:val="16"/>
      <w:szCs w:val="16"/>
    </w:rPr>
  </w:style>
  <w:style w:type="character" w:customStyle="1" w:styleId="104">
    <w:name w:val="批注文字 字符"/>
    <w:basedOn w:val="39"/>
    <w:link w:val="15"/>
    <w:qFormat/>
    <w:uiPriority w:val="0"/>
    <w:rPr>
      <w:rFonts w:ascii="Times New Roman" w:hAnsi="Times New Roman"/>
      <w:kern w:val="2"/>
      <w:sz w:val="21"/>
      <w:szCs w:val="24"/>
    </w:rPr>
  </w:style>
  <w:style w:type="character" w:customStyle="1" w:styleId="105">
    <w:name w:val="批注主题 字符"/>
    <w:basedOn w:val="104"/>
    <w:link w:val="34"/>
    <w:semiHidden/>
    <w:qFormat/>
    <w:uiPriority w:val="0"/>
    <w:rPr>
      <w:rFonts w:ascii="Times New Roman" w:hAnsi="Times New Roman"/>
      <w:b/>
      <w:bCs/>
      <w:kern w:val="2"/>
      <w:sz w:val="21"/>
      <w:szCs w:val="24"/>
    </w:rPr>
  </w:style>
  <w:style w:type="paragraph" w:customStyle="1" w:styleId="106">
    <w:name w:val="一层"/>
    <w:basedOn w:val="2"/>
    <w:link w:val="109"/>
    <w:qFormat/>
    <w:uiPriority w:val="0"/>
    <w:pPr>
      <w:numPr>
        <w:ilvl w:val="0"/>
        <w:numId w:val="3"/>
      </w:numPr>
    </w:pPr>
    <w:rPr>
      <w:rFonts w:ascii="黑体" w:hAnsi="黑体"/>
      <w:szCs w:val="21"/>
    </w:rPr>
  </w:style>
  <w:style w:type="paragraph" w:customStyle="1" w:styleId="107">
    <w:name w:val="二层"/>
    <w:basedOn w:val="3"/>
    <w:link w:val="111"/>
    <w:qFormat/>
    <w:uiPriority w:val="0"/>
    <w:pPr>
      <w:numPr>
        <w:ilvl w:val="1"/>
        <w:numId w:val="3"/>
      </w:numPr>
    </w:pPr>
    <w:rPr>
      <w:rFonts w:ascii="黑体" w:hAnsi="黑体" w:eastAsia="黑体"/>
      <w:sz w:val="21"/>
      <w:szCs w:val="21"/>
    </w:rPr>
  </w:style>
  <w:style w:type="character" w:customStyle="1" w:styleId="108">
    <w:name w:val="一级标题 Char"/>
    <w:basedOn w:val="80"/>
    <w:link w:val="55"/>
    <w:qFormat/>
    <w:uiPriority w:val="0"/>
    <w:rPr>
      <w:rFonts w:ascii="Times New Roman" w:hAnsi="Times New Roman"/>
      <w:b/>
      <w:sz w:val="24"/>
      <w:szCs w:val="24"/>
    </w:rPr>
  </w:style>
  <w:style w:type="character" w:customStyle="1" w:styleId="109">
    <w:name w:val="一层 Char"/>
    <w:basedOn w:val="108"/>
    <w:link w:val="106"/>
    <w:qFormat/>
    <w:uiPriority w:val="0"/>
    <w:rPr>
      <w:rFonts w:ascii="黑体" w:hAnsi="黑体" w:eastAsia="黑体"/>
      <w:sz w:val="21"/>
      <w:szCs w:val="21"/>
    </w:rPr>
  </w:style>
  <w:style w:type="paragraph" w:customStyle="1" w:styleId="110">
    <w:name w:val="三层"/>
    <w:basedOn w:val="55"/>
    <w:link w:val="113"/>
    <w:qFormat/>
    <w:uiPriority w:val="0"/>
    <w:pPr>
      <w:numPr>
        <w:ilvl w:val="2"/>
        <w:numId w:val="3"/>
      </w:numPr>
    </w:pPr>
    <w:rPr>
      <w:rFonts w:ascii="黑体" w:hAnsi="黑体" w:eastAsia="黑体"/>
      <w:b w:val="0"/>
      <w:sz w:val="18"/>
      <w:szCs w:val="18"/>
    </w:rPr>
  </w:style>
  <w:style w:type="character" w:customStyle="1" w:styleId="111">
    <w:name w:val="二层 Char"/>
    <w:basedOn w:val="108"/>
    <w:link w:val="107"/>
    <w:qFormat/>
    <w:uiPriority w:val="0"/>
    <w:rPr>
      <w:rFonts w:ascii="黑体" w:hAnsi="黑体" w:eastAsia="黑体"/>
      <w:bCs/>
      <w:kern w:val="2"/>
      <w:sz w:val="21"/>
      <w:szCs w:val="21"/>
    </w:rPr>
  </w:style>
  <w:style w:type="paragraph" w:customStyle="1" w:styleId="112">
    <w:name w:val="四层"/>
    <w:basedOn w:val="55"/>
    <w:link w:val="115"/>
    <w:qFormat/>
    <w:uiPriority w:val="0"/>
    <w:pPr>
      <w:numPr>
        <w:ilvl w:val="3"/>
        <w:numId w:val="3"/>
      </w:numPr>
    </w:pPr>
    <w:rPr>
      <w:rFonts w:ascii="黑体" w:hAnsi="黑体" w:eastAsia="黑体"/>
      <w:b w:val="0"/>
      <w:sz w:val="18"/>
      <w:szCs w:val="18"/>
    </w:rPr>
  </w:style>
  <w:style w:type="character" w:customStyle="1" w:styleId="113">
    <w:name w:val="三层 Char"/>
    <w:basedOn w:val="108"/>
    <w:link w:val="110"/>
    <w:qFormat/>
    <w:uiPriority w:val="0"/>
    <w:rPr>
      <w:rFonts w:ascii="黑体" w:hAnsi="黑体" w:eastAsia="黑体"/>
      <w:b w:val="0"/>
      <w:sz w:val="18"/>
      <w:szCs w:val="18"/>
    </w:rPr>
  </w:style>
  <w:style w:type="paragraph" w:customStyle="1" w:styleId="114">
    <w:name w:val="五层"/>
    <w:basedOn w:val="55"/>
    <w:link w:val="117"/>
    <w:qFormat/>
    <w:uiPriority w:val="0"/>
    <w:pPr>
      <w:numPr>
        <w:ilvl w:val="4"/>
        <w:numId w:val="3"/>
      </w:numPr>
    </w:pPr>
    <w:rPr>
      <w:rFonts w:ascii="黑体" w:hAnsi="黑体" w:eastAsia="黑体"/>
      <w:b w:val="0"/>
      <w:sz w:val="18"/>
      <w:szCs w:val="18"/>
    </w:rPr>
  </w:style>
  <w:style w:type="character" w:customStyle="1" w:styleId="115">
    <w:name w:val="四层 Char"/>
    <w:basedOn w:val="108"/>
    <w:link w:val="112"/>
    <w:qFormat/>
    <w:uiPriority w:val="0"/>
    <w:rPr>
      <w:rFonts w:ascii="黑体" w:hAnsi="黑体" w:eastAsia="黑体"/>
      <w:b w:val="0"/>
      <w:sz w:val="18"/>
      <w:szCs w:val="18"/>
    </w:rPr>
  </w:style>
  <w:style w:type="paragraph" w:customStyle="1" w:styleId="116">
    <w:name w:val="六层"/>
    <w:basedOn w:val="55"/>
    <w:link w:val="118"/>
    <w:qFormat/>
    <w:uiPriority w:val="0"/>
    <w:pPr>
      <w:numPr>
        <w:ilvl w:val="5"/>
        <w:numId w:val="3"/>
      </w:numPr>
    </w:pPr>
    <w:rPr>
      <w:rFonts w:ascii="黑体" w:hAnsi="黑体" w:eastAsia="黑体"/>
      <w:b w:val="0"/>
      <w:sz w:val="18"/>
      <w:szCs w:val="18"/>
    </w:rPr>
  </w:style>
  <w:style w:type="character" w:customStyle="1" w:styleId="117">
    <w:name w:val="五层 Char"/>
    <w:basedOn w:val="108"/>
    <w:link w:val="114"/>
    <w:qFormat/>
    <w:uiPriority w:val="0"/>
    <w:rPr>
      <w:rFonts w:ascii="黑体" w:hAnsi="黑体" w:eastAsia="黑体"/>
      <w:b w:val="0"/>
      <w:sz w:val="18"/>
      <w:szCs w:val="18"/>
    </w:rPr>
  </w:style>
  <w:style w:type="character" w:customStyle="1" w:styleId="118">
    <w:name w:val="六层 Char"/>
    <w:basedOn w:val="108"/>
    <w:link w:val="116"/>
    <w:qFormat/>
    <w:uiPriority w:val="0"/>
    <w:rPr>
      <w:rFonts w:ascii="黑体" w:hAnsi="黑体" w:eastAsia="黑体"/>
      <w:b w:val="0"/>
      <w:sz w:val="18"/>
      <w:szCs w:val="18"/>
    </w:rPr>
  </w:style>
  <w:style w:type="paragraph" w:customStyle="1" w:styleId="119">
    <w:name w:val="2层"/>
    <w:basedOn w:val="107"/>
    <w:link w:val="121"/>
    <w:qFormat/>
    <w:uiPriority w:val="0"/>
  </w:style>
  <w:style w:type="paragraph" w:customStyle="1" w:styleId="120">
    <w:name w:val="1层"/>
    <w:basedOn w:val="106"/>
    <w:link w:val="123"/>
    <w:qFormat/>
    <w:uiPriority w:val="0"/>
  </w:style>
  <w:style w:type="character" w:customStyle="1" w:styleId="121">
    <w:name w:val="2层 Char"/>
    <w:basedOn w:val="109"/>
    <w:link w:val="119"/>
    <w:qFormat/>
    <w:uiPriority w:val="0"/>
    <w:rPr>
      <w:rFonts w:ascii="黑体" w:hAnsi="黑体" w:eastAsia="黑体"/>
      <w:bCs/>
      <w:kern w:val="2"/>
      <w:sz w:val="21"/>
      <w:szCs w:val="21"/>
    </w:rPr>
  </w:style>
  <w:style w:type="paragraph" w:customStyle="1" w:styleId="122">
    <w:name w:val="3层"/>
    <w:basedOn w:val="110"/>
    <w:link w:val="124"/>
    <w:qFormat/>
    <w:uiPriority w:val="0"/>
    <w:rPr>
      <w:b/>
    </w:rPr>
  </w:style>
  <w:style w:type="character" w:customStyle="1" w:styleId="123">
    <w:name w:val="1层 Char"/>
    <w:basedOn w:val="109"/>
    <w:link w:val="120"/>
    <w:qFormat/>
    <w:uiPriority w:val="0"/>
    <w:rPr>
      <w:rFonts w:ascii="黑体" w:hAnsi="黑体" w:eastAsia="黑体"/>
      <w:sz w:val="21"/>
      <w:szCs w:val="21"/>
    </w:rPr>
  </w:style>
  <w:style w:type="character" w:customStyle="1" w:styleId="124">
    <w:name w:val="3层 Char"/>
    <w:basedOn w:val="111"/>
    <w:link w:val="122"/>
    <w:qFormat/>
    <w:uiPriority w:val="0"/>
    <w:rPr>
      <w:rFonts w:ascii="黑体" w:hAnsi="黑体" w:eastAsia="黑体"/>
      <w:bCs w:val="0"/>
      <w:kern w:val="2"/>
      <w:sz w:val="18"/>
      <w:szCs w:val="18"/>
    </w:rPr>
  </w:style>
  <w:style w:type="character" w:customStyle="1" w:styleId="125">
    <w:name w:val="文档结构图 字符"/>
    <w:basedOn w:val="39"/>
    <w:link w:val="14"/>
    <w:semiHidden/>
    <w:qFormat/>
    <w:uiPriority w:val="0"/>
    <w:rPr>
      <w:rFonts w:ascii="宋体" w:hAnsi="Times New Roman" w:eastAsia="黑体"/>
      <w:kern w:val="2"/>
      <w:sz w:val="18"/>
      <w:szCs w:val="18"/>
    </w:rPr>
  </w:style>
  <w:style w:type="paragraph" w:customStyle="1" w:styleId="126">
    <w:name w:val="1"/>
    <w:basedOn w:val="1"/>
    <w:qFormat/>
    <w:uiPriority w:val="0"/>
    <w:pPr>
      <w:widowControl/>
      <w:spacing w:line="360" w:lineRule="auto"/>
      <w:ind w:firstLine="480" w:firstLineChars="200"/>
      <w:jc w:val="left"/>
    </w:pPr>
    <w:rPr>
      <w:snapToGrid w:val="0"/>
      <w:kern w:val="0"/>
      <w:sz w:val="24"/>
    </w:rPr>
  </w:style>
  <w:style w:type="character" w:customStyle="1" w:styleId="127">
    <w:name w:val="grame"/>
    <w:basedOn w:val="39"/>
    <w:qFormat/>
    <w:uiPriority w:val="0"/>
  </w:style>
  <w:style w:type="paragraph" w:customStyle="1" w:styleId="128">
    <w:name w:val="A"/>
    <w:basedOn w:val="1"/>
    <w:qFormat/>
    <w:uiPriority w:val="0"/>
    <w:pPr>
      <w:widowControl/>
      <w:autoSpaceDE w:val="0"/>
      <w:autoSpaceDN w:val="0"/>
      <w:adjustRightInd w:val="0"/>
      <w:spacing w:line="600" w:lineRule="exact"/>
      <w:ind w:firstLine="1287" w:firstLineChars="200"/>
      <w:jc w:val="right"/>
    </w:pPr>
    <w:rPr>
      <w:b/>
      <w:bCs/>
      <w:kern w:val="0"/>
      <w:sz w:val="28"/>
      <w:szCs w:val="28"/>
    </w:rPr>
  </w:style>
  <w:style w:type="paragraph" w:customStyle="1" w:styleId="129">
    <w:name w:val="修订记录"/>
    <w:basedOn w:val="16"/>
    <w:qFormat/>
    <w:uiPriority w:val="0"/>
    <w:pPr>
      <w:widowControl/>
      <w:tabs>
        <w:tab w:val="left" w:pos="840"/>
      </w:tabs>
      <w:autoSpaceDE w:val="0"/>
      <w:autoSpaceDN w:val="0"/>
      <w:adjustRightInd w:val="0"/>
      <w:spacing w:after="0" w:line="360" w:lineRule="auto"/>
      <w:ind w:firstLine="181" w:firstLineChars="75"/>
    </w:pPr>
    <w:rPr>
      <w:b/>
      <w:kern w:val="0"/>
      <w:sz w:val="24"/>
      <w:szCs w:val="20"/>
    </w:rPr>
  </w:style>
  <w:style w:type="paragraph" w:customStyle="1" w:styleId="130">
    <w:name w:val="表头样式"/>
    <w:basedOn w:val="16"/>
    <w:qFormat/>
    <w:uiPriority w:val="0"/>
    <w:pPr>
      <w:widowControl/>
      <w:autoSpaceDE w:val="0"/>
      <w:autoSpaceDN w:val="0"/>
      <w:adjustRightInd w:val="0"/>
      <w:spacing w:after="0" w:line="360" w:lineRule="auto"/>
      <w:ind w:firstLine="480" w:firstLineChars="200"/>
      <w:jc w:val="center"/>
    </w:pPr>
    <w:rPr>
      <w:b/>
      <w:bCs/>
      <w:kern w:val="0"/>
      <w:sz w:val="24"/>
      <w:szCs w:val="20"/>
    </w:rPr>
  </w:style>
  <w:style w:type="character" w:customStyle="1" w:styleId="131">
    <w:name w:val="tw4winMark"/>
    <w:qFormat/>
    <w:uiPriority w:val="0"/>
    <w:rPr>
      <w:rFonts w:ascii="Courier New" w:hAnsi="Courier New" w:cs="Courier New"/>
      <w:vanish/>
      <w:color w:val="800080"/>
      <w:vertAlign w:val="subscript"/>
    </w:rPr>
  </w:style>
  <w:style w:type="paragraph" w:customStyle="1" w:styleId="132">
    <w:name w:val="IN Feature"/>
    <w:next w:val="133"/>
    <w:qFormat/>
    <w:uiPriority w:val="0"/>
    <w:pPr>
      <w:keepNext/>
      <w:keepLines/>
      <w:spacing w:before="240" w:after="240"/>
      <w:outlineLvl w:val="7"/>
    </w:pPr>
    <w:rPr>
      <w:rFonts w:ascii="Arial" w:hAnsi="Arial" w:eastAsia="黑体" w:cs="Arial"/>
      <w:b/>
      <w:bCs/>
      <w:kern w:val="2"/>
      <w:lang w:val="en-US" w:eastAsia="zh-CN" w:bidi="ar-SA"/>
    </w:rPr>
  </w:style>
  <w:style w:type="paragraph" w:customStyle="1" w:styleId="133">
    <w:name w:val="IN Step"/>
    <w:basedOn w:val="1"/>
    <w:qFormat/>
    <w:uiPriority w:val="0"/>
    <w:pPr>
      <w:keepLines/>
      <w:widowControl/>
      <w:tabs>
        <w:tab w:val="left" w:pos="1134"/>
      </w:tabs>
      <w:spacing w:before="80" w:after="80" w:line="440" w:lineRule="atLeast"/>
      <w:ind w:left="1134" w:hanging="850" w:firstLineChars="200"/>
      <w:outlineLvl w:val="8"/>
    </w:pPr>
    <w:rPr>
      <w:rFonts w:ascii="Arial" w:hAnsi="Arial" w:eastAsia="黑体" w:cs="Arial"/>
      <w:kern w:val="0"/>
      <w:sz w:val="20"/>
      <w:szCs w:val="20"/>
    </w:rPr>
  </w:style>
  <w:style w:type="paragraph" w:customStyle="1" w:styleId="134">
    <w:name w:val="Figure Text"/>
    <w:qFormat/>
    <w:uiPriority w:val="0"/>
    <w:pPr>
      <w:widowControl w:val="0"/>
      <w:autoSpaceDE w:val="0"/>
      <w:autoSpaceDN w:val="0"/>
      <w:adjustRightInd w:val="0"/>
    </w:pPr>
    <w:rPr>
      <w:rFonts w:ascii="Arial" w:hAnsi="Arial" w:eastAsia="宋体" w:cs="Arial Narrow"/>
      <w:sz w:val="18"/>
      <w:szCs w:val="18"/>
      <w:lang w:val="en-US" w:eastAsia="zh-CN" w:bidi="ar-SA"/>
    </w:rPr>
  </w:style>
  <w:style w:type="paragraph" w:customStyle="1" w:styleId="135">
    <w:name w:val="Table Description"/>
    <w:link w:val="136"/>
    <w:qFormat/>
    <w:uiPriority w:val="0"/>
    <w:pPr>
      <w:keepNext/>
      <w:spacing w:before="160" w:after="80"/>
      <w:jc w:val="center"/>
    </w:pPr>
    <w:rPr>
      <w:rFonts w:ascii="Arial" w:hAnsi="Arial" w:eastAsia="黑体" w:cs="Arial Narrow"/>
      <w:lang w:val="en-US" w:eastAsia="zh-CN" w:bidi="ar-SA"/>
    </w:rPr>
  </w:style>
  <w:style w:type="character" w:customStyle="1" w:styleId="136">
    <w:name w:val="Table Description Char"/>
    <w:basedOn w:val="39"/>
    <w:link w:val="135"/>
    <w:qFormat/>
    <w:uiPriority w:val="0"/>
    <w:rPr>
      <w:rFonts w:ascii="Arial" w:hAnsi="Arial" w:eastAsia="黑体" w:cs="Arial Narrow"/>
    </w:rPr>
  </w:style>
  <w:style w:type="paragraph" w:customStyle="1" w:styleId="137">
    <w:name w:val="Table Heading"/>
    <w:qFormat/>
    <w:uiPriority w:val="0"/>
    <w:pPr>
      <w:keepNext/>
      <w:spacing w:before="80" w:after="80"/>
      <w:jc w:val="center"/>
    </w:pPr>
    <w:rPr>
      <w:rFonts w:ascii="Arial" w:hAnsi="Arial" w:eastAsia="黑体" w:cs="Arial Narrow"/>
      <w:b/>
      <w:bCs/>
      <w:lang w:val="en-US" w:eastAsia="zh-CN" w:bidi="ar-SA"/>
    </w:rPr>
  </w:style>
  <w:style w:type="paragraph" w:customStyle="1" w:styleId="138">
    <w:name w:val="Table Text"/>
    <w:qFormat/>
    <w:uiPriority w:val="0"/>
    <w:pPr>
      <w:autoSpaceDE w:val="0"/>
      <w:autoSpaceDN w:val="0"/>
      <w:spacing w:before="80" w:after="80"/>
      <w:jc w:val="both"/>
      <w:textAlignment w:val="bottom"/>
    </w:pPr>
    <w:rPr>
      <w:rFonts w:ascii="Arial" w:hAnsi="Arial" w:eastAsia="宋体" w:cs="Arial Narrow"/>
      <w:lang w:val="en-US" w:eastAsia="zh-CN" w:bidi="ar-SA"/>
    </w:rPr>
  </w:style>
  <w:style w:type="paragraph" w:customStyle="1" w:styleId="139">
    <w:name w:val="Figure Description"/>
    <w:next w:val="1"/>
    <w:qFormat/>
    <w:uiPriority w:val="0"/>
    <w:pPr>
      <w:spacing w:before="80" w:after="320"/>
      <w:jc w:val="center"/>
    </w:pPr>
    <w:rPr>
      <w:rFonts w:ascii="Arial" w:hAnsi="Arial" w:eastAsia="宋体" w:cs="Arial Narrow"/>
      <w:lang w:val="en-US" w:eastAsia="zh-CN" w:bidi="ar-SA"/>
    </w:rPr>
  </w:style>
  <w:style w:type="paragraph" w:customStyle="1" w:styleId="140">
    <w:name w:val="TOC 标题1"/>
    <w:next w:val="1"/>
    <w:qFormat/>
    <w:uiPriority w:val="0"/>
    <w:pPr>
      <w:keepNext/>
      <w:spacing w:before="480" w:after="360"/>
      <w:jc w:val="center"/>
    </w:pPr>
    <w:rPr>
      <w:rFonts w:ascii="Arial" w:hAnsi="Arial" w:eastAsia="黑体" w:cs="Arial"/>
      <w:b/>
      <w:bCs/>
      <w:sz w:val="36"/>
      <w:szCs w:val="36"/>
      <w:lang w:val="en-US" w:eastAsia="zh-CN" w:bidi="ar-SA"/>
    </w:rPr>
  </w:style>
  <w:style w:type="paragraph" w:customStyle="1" w:styleId="141">
    <w:name w:val="Notes Heading"/>
    <w:next w:val="142"/>
    <w:qFormat/>
    <w:uiPriority w:val="0"/>
    <w:pPr>
      <w:keepNext/>
      <w:pBdr>
        <w:top w:val="single" w:color="auto" w:sz="8" w:space="5"/>
      </w:pBdr>
      <w:spacing w:before="80" w:after="80"/>
      <w:ind w:left="1134"/>
    </w:pPr>
    <w:rPr>
      <w:rFonts w:ascii="Arial" w:hAnsi="Arial" w:eastAsia="宋体" w:cs="Arial"/>
      <w:b/>
      <w:bCs/>
      <w:lang w:val="en-US" w:eastAsia="zh-CN" w:bidi="ar-SA"/>
    </w:rPr>
  </w:style>
  <w:style w:type="paragraph" w:customStyle="1" w:styleId="142">
    <w:name w:val="Notes Text"/>
    <w:qFormat/>
    <w:uiPriority w:val="0"/>
    <w:pPr>
      <w:keepLines/>
      <w:pBdr>
        <w:bottom w:val="single" w:color="auto" w:sz="8" w:space="10"/>
      </w:pBdr>
      <w:ind w:left="1134"/>
      <w:jc w:val="both"/>
    </w:pPr>
    <w:rPr>
      <w:rFonts w:ascii="Arial" w:hAnsi="Arial" w:eastAsia="楷体_GB2312" w:cs="Arial Narrow"/>
      <w:lang w:val="en-US" w:eastAsia="zh-CN" w:bidi="ar-SA"/>
    </w:rPr>
  </w:style>
  <w:style w:type="paragraph" w:customStyle="1" w:styleId="143">
    <w:name w:val="Item List"/>
    <w:qFormat/>
    <w:uiPriority w:val="0"/>
    <w:pPr>
      <w:tabs>
        <w:tab w:val="left" w:pos="425"/>
      </w:tabs>
      <w:spacing w:before="80" w:after="80"/>
      <w:ind w:left="425" w:hanging="425"/>
      <w:jc w:val="both"/>
    </w:pPr>
    <w:rPr>
      <w:rFonts w:ascii="Arial" w:hAnsi="Arial" w:eastAsia="宋体" w:cs="Arial"/>
      <w:lang w:val="en-US" w:eastAsia="zh-CN" w:bidi="ar-SA"/>
    </w:rPr>
  </w:style>
  <w:style w:type="paragraph" w:customStyle="1" w:styleId="144">
    <w:name w:val="Command"/>
    <w:qFormat/>
    <w:uiPriority w:val="0"/>
    <w:pPr>
      <w:keepNext/>
      <w:spacing w:before="160" w:after="160"/>
    </w:pPr>
    <w:rPr>
      <w:rFonts w:ascii="Arial" w:hAnsi="Arial" w:eastAsia="黑体" w:cs="Arial"/>
      <w:b/>
      <w:bCs/>
      <w:sz w:val="21"/>
      <w:szCs w:val="21"/>
      <w:lang w:val="en-US" w:eastAsia="zh-CN" w:bidi="ar-SA"/>
    </w:rPr>
  </w:style>
  <w:style w:type="paragraph" w:customStyle="1" w:styleId="145">
    <w:name w:val="Notes Text List"/>
    <w:qFormat/>
    <w:uiPriority w:val="0"/>
    <w:pPr>
      <w:keepNext/>
      <w:keepLines/>
      <w:pBdr>
        <w:bottom w:val="single" w:color="auto" w:sz="8" w:space="10"/>
      </w:pBdr>
      <w:tabs>
        <w:tab w:val="left" w:pos="1418"/>
      </w:tabs>
      <w:ind w:left="1418" w:hanging="284"/>
      <w:jc w:val="both"/>
    </w:pPr>
    <w:rPr>
      <w:rFonts w:ascii="Arial" w:hAnsi="Arial" w:eastAsia="楷体_GB2312" w:cs="Arial Narrow"/>
      <w:lang w:val="en-US" w:eastAsia="zh-CN" w:bidi="ar-SA"/>
    </w:rPr>
  </w:style>
  <w:style w:type="paragraph" w:customStyle="1" w:styleId="146">
    <w:name w:val="Terminal Display"/>
    <w:qFormat/>
    <w:uiPriority w:val="0"/>
    <w:pPr>
      <w:ind w:left="1134"/>
      <w:jc w:val="both"/>
    </w:pPr>
    <w:rPr>
      <w:rFonts w:ascii="Courier New" w:hAnsi="Courier New" w:eastAsia="宋体" w:cs="Courier New"/>
      <w:sz w:val="17"/>
      <w:szCs w:val="17"/>
      <w:lang w:val="en-US" w:eastAsia="zh-CN" w:bidi="ar-SA"/>
    </w:rPr>
  </w:style>
  <w:style w:type="paragraph" w:customStyle="1" w:styleId="147">
    <w:name w:val="Figure"/>
    <w:basedOn w:val="1"/>
    <w:next w:val="139"/>
    <w:qFormat/>
    <w:uiPriority w:val="0"/>
    <w:pPr>
      <w:keepNext/>
      <w:widowControl/>
      <w:spacing w:before="80" w:after="80" w:line="440" w:lineRule="atLeast"/>
      <w:ind w:firstLine="480" w:firstLineChars="200"/>
      <w:jc w:val="center"/>
    </w:pPr>
    <w:rPr>
      <w:rFonts w:ascii="Arial" w:hAnsi="Arial" w:cs="Arial"/>
      <w:kern w:val="0"/>
      <w:sz w:val="20"/>
      <w:szCs w:val="20"/>
    </w:rPr>
  </w:style>
  <w:style w:type="paragraph" w:customStyle="1" w:styleId="148">
    <w:name w:val="Command Description"/>
    <w:basedOn w:val="1"/>
    <w:qFormat/>
    <w:uiPriority w:val="0"/>
    <w:pPr>
      <w:widowControl/>
      <w:spacing w:before="80" w:after="80" w:line="440" w:lineRule="atLeast"/>
      <w:ind w:firstLine="480" w:firstLineChars="200"/>
    </w:pPr>
    <w:rPr>
      <w:rFonts w:ascii="Arial" w:hAnsi="Arial" w:cs="Arial"/>
      <w:b/>
      <w:bCs/>
      <w:kern w:val="0"/>
      <w:sz w:val="20"/>
      <w:szCs w:val="20"/>
    </w:rPr>
  </w:style>
  <w:style w:type="paragraph" w:customStyle="1" w:styleId="149">
    <w:name w:val="IN Voice"/>
    <w:qFormat/>
    <w:uiPriority w:val="0"/>
    <w:pPr>
      <w:spacing w:before="20" w:after="20"/>
    </w:pPr>
    <w:rPr>
      <w:rFonts w:ascii="Arial Narrow" w:hAnsi="Arial Narrow" w:eastAsia="宋体" w:cs="Arial"/>
      <w:bCs/>
      <w:sz w:val="15"/>
      <w:szCs w:val="15"/>
      <w:lang w:val="en-US" w:eastAsia="zh-CN" w:bidi="ar-SA"/>
    </w:rPr>
  </w:style>
  <w:style w:type="paragraph" w:customStyle="1" w:styleId="150">
    <w:name w:val="Item Step"/>
    <w:qFormat/>
    <w:uiPriority w:val="0"/>
    <w:pPr>
      <w:tabs>
        <w:tab w:val="left" w:pos="425"/>
      </w:tabs>
      <w:spacing w:before="80" w:after="80"/>
      <w:ind w:left="425" w:hanging="425"/>
      <w:jc w:val="both"/>
      <w:outlineLvl w:val="4"/>
    </w:pPr>
    <w:rPr>
      <w:rFonts w:ascii="Arial" w:hAnsi="Arial" w:eastAsia="宋体" w:cs="Arial"/>
      <w:lang w:val="en-US" w:eastAsia="zh-CN" w:bidi="ar-SA"/>
    </w:rPr>
  </w:style>
  <w:style w:type="paragraph" w:customStyle="1" w:styleId="151">
    <w:name w:val="Item List in Table"/>
    <w:basedOn w:val="143"/>
    <w:qFormat/>
    <w:uiPriority w:val="0"/>
    <w:pPr>
      <w:tabs>
        <w:tab w:val="left" w:pos="397"/>
        <w:tab w:val="clear" w:pos="425"/>
      </w:tabs>
      <w:spacing w:before="40" w:after="40"/>
      <w:ind w:left="397" w:hanging="397"/>
    </w:pPr>
  </w:style>
  <w:style w:type="paragraph" w:customStyle="1" w:styleId="152">
    <w:name w:val="Notes Heading in Table"/>
    <w:next w:val="153"/>
    <w:qFormat/>
    <w:uiPriority w:val="0"/>
    <w:pPr>
      <w:keepNext/>
      <w:spacing w:before="40" w:after="40"/>
    </w:pPr>
    <w:rPr>
      <w:rFonts w:ascii="Arial" w:hAnsi="Arial" w:eastAsia="黑体" w:cs="Arial"/>
      <w:b/>
      <w:i/>
      <w:lang w:val="en-US" w:eastAsia="zh-CN" w:bidi="ar-SA"/>
    </w:rPr>
  </w:style>
  <w:style w:type="paragraph" w:customStyle="1" w:styleId="153">
    <w:name w:val="Notes Text in Table"/>
    <w:qFormat/>
    <w:uiPriority w:val="0"/>
    <w:pPr>
      <w:spacing w:before="40" w:after="40"/>
      <w:jc w:val="both"/>
    </w:pPr>
    <w:rPr>
      <w:rFonts w:ascii="Arial" w:hAnsi="Arial" w:eastAsia="楷体_GB2312" w:cs="Arial Narrow"/>
      <w:i/>
      <w:lang w:val="en-US" w:eastAsia="zh-CN" w:bidi="ar-SA"/>
    </w:rPr>
  </w:style>
  <w:style w:type="paragraph" w:customStyle="1" w:styleId="154">
    <w:name w:val="Notes Text List in Table"/>
    <w:qFormat/>
    <w:uiPriority w:val="0"/>
    <w:pPr>
      <w:keepLines/>
      <w:tabs>
        <w:tab w:val="left" w:pos="284"/>
      </w:tabs>
      <w:spacing w:before="40" w:after="40"/>
      <w:ind w:left="284" w:hanging="284"/>
      <w:jc w:val="both"/>
    </w:pPr>
    <w:rPr>
      <w:rFonts w:ascii="Arial" w:hAnsi="Arial" w:eastAsia="楷体_GB2312" w:cs="Arial Narrow"/>
      <w:i/>
      <w:lang w:val="en-US" w:eastAsia="zh-CN" w:bidi="ar-SA"/>
    </w:rPr>
  </w:style>
  <w:style w:type="paragraph" w:customStyle="1" w:styleId="155">
    <w:name w:val="Item Step in Table"/>
    <w:qFormat/>
    <w:uiPriority w:val="0"/>
    <w:pPr>
      <w:tabs>
        <w:tab w:val="left" w:pos="397"/>
      </w:tabs>
      <w:spacing w:before="40" w:after="40"/>
      <w:ind w:left="397" w:hanging="397"/>
      <w:jc w:val="both"/>
    </w:pPr>
    <w:rPr>
      <w:rFonts w:ascii="Arial" w:hAnsi="Arial" w:eastAsia="宋体" w:cs="Arial"/>
      <w:lang w:val="en-US" w:eastAsia="zh-CN" w:bidi="ar-SA"/>
    </w:rPr>
  </w:style>
  <w:style w:type="paragraph" w:customStyle="1" w:styleId="156">
    <w:name w:val="Terminal Display in Table"/>
    <w:qFormat/>
    <w:uiPriority w:val="0"/>
    <w:pPr>
      <w:jc w:val="both"/>
    </w:pPr>
    <w:rPr>
      <w:rFonts w:ascii="Courier New" w:hAnsi="Courier New" w:eastAsia="宋体" w:cs="Courier New"/>
      <w:sz w:val="17"/>
      <w:szCs w:val="17"/>
      <w:lang w:val="en-US" w:eastAsia="zh-CN" w:bidi="ar-SA"/>
    </w:rPr>
  </w:style>
  <w:style w:type="paragraph" w:customStyle="1" w:styleId="157">
    <w:name w:val="目录"/>
    <w:basedOn w:val="1"/>
    <w:qFormat/>
    <w:uiPriority w:val="0"/>
    <w:pPr>
      <w:keepNext/>
      <w:pageBreakBefore/>
      <w:widowControl/>
      <w:spacing w:before="480" w:after="360" w:line="440" w:lineRule="atLeast"/>
      <w:ind w:firstLine="480" w:firstLineChars="200"/>
      <w:jc w:val="center"/>
    </w:pPr>
    <w:rPr>
      <w:rFonts w:ascii="Arial" w:hAnsi="Arial" w:eastAsia="黑体" w:cs="Arial"/>
      <w:kern w:val="0"/>
      <w:sz w:val="32"/>
      <w:szCs w:val="32"/>
    </w:rPr>
  </w:style>
  <w:style w:type="paragraph" w:customStyle="1" w:styleId="158">
    <w:name w:val="字元 字元"/>
    <w:basedOn w:val="1"/>
    <w:qFormat/>
    <w:uiPriority w:val="0"/>
    <w:pPr>
      <w:widowControl/>
      <w:spacing w:line="440" w:lineRule="atLeast"/>
      <w:ind w:firstLine="480" w:firstLineChars="200"/>
    </w:pPr>
    <w:rPr>
      <w:kern w:val="0"/>
      <w:sz w:val="24"/>
    </w:rPr>
  </w:style>
  <w:style w:type="paragraph" w:customStyle="1" w:styleId="159">
    <w:name w:val="Aufzählung"/>
    <w:basedOn w:val="1"/>
    <w:qFormat/>
    <w:uiPriority w:val="0"/>
    <w:pPr>
      <w:widowControl/>
      <w:numPr>
        <w:ilvl w:val="0"/>
        <w:numId w:val="4"/>
      </w:numPr>
      <w:tabs>
        <w:tab w:val="left" w:pos="360"/>
        <w:tab w:val="clear" w:pos="644"/>
      </w:tabs>
      <w:autoSpaceDE w:val="0"/>
      <w:autoSpaceDN w:val="0"/>
      <w:adjustRightInd w:val="0"/>
      <w:spacing w:before="60" w:after="60" w:line="240" w:lineRule="atLeast"/>
      <w:ind w:left="714" w:hanging="357" w:firstLineChars="200"/>
    </w:pPr>
    <w:rPr>
      <w:kern w:val="0"/>
      <w:sz w:val="20"/>
      <w:lang w:val="de-DE" w:eastAsia="de-DE"/>
    </w:rPr>
  </w:style>
  <w:style w:type="paragraph" w:customStyle="1" w:styleId="160">
    <w:name w:val="样式 正文首行缩进 + 五号 Char Char Char Char Char Char Char Char Char Char Char Char Char Char Char Char Char Char Char Char"/>
    <w:basedOn w:val="35"/>
    <w:link w:val="161"/>
    <w:qFormat/>
    <w:uiPriority w:val="0"/>
    <w:pPr>
      <w:widowControl/>
      <w:autoSpaceDE/>
      <w:autoSpaceDN/>
      <w:adjustRightInd/>
      <w:spacing w:after="0"/>
      <w:ind w:firstLine="482" w:firstLineChars="0"/>
      <w:jc w:val="both"/>
    </w:pPr>
    <w:rPr>
      <w:rFonts w:ascii="Arial" w:hAnsi="Arial"/>
      <w:kern w:val="2"/>
      <w:sz w:val="24"/>
    </w:rPr>
  </w:style>
  <w:style w:type="character" w:customStyle="1" w:styleId="161">
    <w:name w:val="样式 正文首行缩进 + 五号 Char Char Char Char Char Char Char Char Char Char Char Char Char Char Char Char Char Char Char Char Char"/>
    <w:basedOn w:val="73"/>
    <w:link w:val="160"/>
    <w:qFormat/>
    <w:uiPriority w:val="0"/>
    <w:rPr>
      <w:rFonts w:ascii="Arial" w:hAnsi="Arial" w:eastAsia="宋体" w:cs="Times New Roman"/>
      <w:kern w:val="2"/>
      <w:sz w:val="24"/>
      <w:szCs w:val="24"/>
    </w:rPr>
  </w:style>
  <w:style w:type="paragraph" w:customStyle="1" w:styleId="162">
    <w:name w:val="style1"/>
    <w:basedOn w:val="1"/>
    <w:qFormat/>
    <w:uiPriority w:val="0"/>
    <w:pPr>
      <w:widowControl/>
      <w:spacing w:before="100" w:beforeAutospacing="1" w:after="100" w:afterAutospacing="1" w:line="368" w:lineRule="atLeast"/>
      <w:ind w:firstLine="480" w:firstLineChars="200"/>
      <w:jc w:val="left"/>
    </w:pPr>
    <w:rPr>
      <w:rFonts w:ascii="宋体" w:hAnsi="宋体" w:cs="宋体"/>
      <w:b/>
      <w:bCs/>
      <w:kern w:val="0"/>
      <w:sz w:val="22"/>
    </w:rPr>
  </w:style>
  <w:style w:type="character" w:styleId="163">
    <w:name w:val="Placeholder Text"/>
    <w:basedOn w:val="39"/>
    <w:semiHidden/>
    <w:qFormat/>
    <w:uiPriority w:val="99"/>
    <w:rPr>
      <w:color w:val="808080"/>
    </w:rPr>
  </w:style>
  <w:style w:type="paragraph" w:customStyle="1" w:styleId="164">
    <w:name w:val="图表名"/>
    <w:basedOn w:val="1"/>
    <w:qFormat/>
    <w:uiPriority w:val="0"/>
    <w:pPr>
      <w:widowControl/>
      <w:spacing w:beforeLines="50" w:afterLines="50"/>
      <w:jc w:val="center"/>
    </w:pPr>
    <w:rPr>
      <w:rFonts w:ascii="宋体" w:hAnsi="宋体" w:eastAsia="黑体" w:cs="宋体"/>
      <w:bCs/>
      <w:kern w:val="0"/>
      <w:sz w:val="18"/>
    </w:rPr>
  </w:style>
  <w:style w:type="character" w:customStyle="1" w:styleId="165">
    <w:name w:val="bluetxt1"/>
    <w:basedOn w:val="39"/>
    <w:qFormat/>
    <w:uiPriority w:val="0"/>
  </w:style>
  <w:style w:type="character" w:customStyle="1" w:styleId="166">
    <w:name w:val="topic"/>
    <w:basedOn w:val="39"/>
    <w:qFormat/>
    <w:uiPriority w:val="0"/>
  </w:style>
  <w:style w:type="paragraph" w:customStyle="1" w:styleId="167">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68">
    <w:name w:val="fw2"/>
    <w:basedOn w:val="39"/>
    <w:qFormat/>
    <w:uiPriority w:val="0"/>
  </w:style>
  <w:style w:type="paragraph" w:customStyle="1" w:styleId="169">
    <w:name w:val="条"/>
    <w:basedOn w:val="1"/>
    <w:qFormat/>
    <w:uiPriority w:val="0"/>
    <w:pPr>
      <w:spacing w:line="360" w:lineRule="auto"/>
    </w:pPr>
    <w:rPr>
      <w:bCs/>
      <w:sz w:val="24"/>
    </w:rPr>
  </w:style>
  <w:style w:type="paragraph" w:customStyle="1" w:styleId="170">
    <w:name w:val="条缩进"/>
    <w:basedOn w:val="1"/>
    <w:qFormat/>
    <w:uiPriority w:val="0"/>
    <w:pPr>
      <w:spacing w:line="360" w:lineRule="auto"/>
      <w:ind w:firstLine="480" w:firstLineChars="200"/>
    </w:pPr>
    <w:rPr>
      <w:sz w:val="24"/>
    </w:rPr>
  </w:style>
  <w:style w:type="paragraph" w:customStyle="1" w:styleId="171">
    <w:name w:val="节"/>
    <w:basedOn w:val="1"/>
    <w:qFormat/>
    <w:uiPriority w:val="0"/>
    <w:pPr>
      <w:spacing w:before="156" w:beforeLines="50" w:after="156" w:afterLines="50"/>
      <w:jc w:val="center"/>
      <w:outlineLvl w:val="1"/>
    </w:pPr>
    <w:rPr>
      <w:b/>
      <w:bCs/>
      <w:sz w:val="24"/>
    </w:rPr>
  </w:style>
  <w:style w:type="paragraph" w:customStyle="1" w:styleId="172">
    <w:name w:val="款"/>
    <w:basedOn w:val="1"/>
    <w:qFormat/>
    <w:uiPriority w:val="0"/>
    <w:pPr>
      <w:spacing w:line="360" w:lineRule="auto"/>
      <w:ind w:firstLine="480" w:firstLineChars="200"/>
    </w:pPr>
    <w:rPr>
      <w:sz w:val="24"/>
    </w:rPr>
  </w:style>
  <w:style w:type="paragraph" w:customStyle="1" w:styleId="173">
    <w:name w:val="项"/>
    <w:basedOn w:val="1"/>
    <w:qFormat/>
    <w:uiPriority w:val="0"/>
    <w:pPr>
      <w:spacing w:line="360" w:lineRule="auto"/>
      <w:ind w:left="990" w:leftChars="300" w:hanging="360" w:hangingChars="150"/>
    </w:pPr>
    <w:rPr>
      <w:sz w:val="24"/>
    </w:rPr>
  </w:style>
  <w:style w:type="paragraph" w:customStyle="1" w:styleId="174">
    <w:name w:val="章"/>
    <w:basedOn w:val="1"/>
    <w:qFormat/>
    <w:uiPriority w:val="0"/>
    <w:pPr>
      <w:spacing w:before="624" w:beforeLines="200" w:after="624" w:afterLines="200"/>
      <w:jc w:val="center"/>
      <w:outlineLvl w:val="0"/>
    </w:pPr>
    <w:rPr>
      <w:b/>
      <w:bCs/>
      <w:sz w:val="28"/>
      <w:szCs w:val="28"/>
    </w:rPr>
  </w:style>
  <w:style w:type="character" w:customStyle="1" w:styleId="175">
    <w:name w:val="javascript"/>
    <w:basedOn w:val="39"/>
    <w:qFormat/>
    <w:uiPriority w:val="0"/>
  </w:style>
  <w:style w:type="paragraph" w:customStyle="1" w:styleId="17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77">
    <w:name w:val="Unresolved Mention"/>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26.wmf"/><Relationship Id="rId58" Type="http://schemas.openxmlformats.org/officeDocument/2006/relationships/oleObject" Target="embeddings/oleObject16.bin"/><Relationship Id="rId57" Type="http://schemas.openxmlformats.org/officeDocument/2006/relationships/image" Target="media/image25.wmf"/><Relationship Id="rId56" Type="http://schemas.openxmlformats.org/officeDocument/2006/relationships/oleObject" Target="embeddings/oleObject15.bin"/><Relationship Id="rId55" Type="http://schemas.openxmlformats.org/officeDocument/2006/relationships/image" Target="media/image24.wmf"/><Relationship Id="rId54" Type="http://schemas.openxmlformats.org/officeDocument/2006/relationships/oleObject" Target="embeddings/oleObject14.bin"/><Relationship Id="rId53" Type="http://schemas.openxmlformats.org/officeDocument/2006/relationships/image" Target="media/image23.wmf"/><Relationship Id="rId52" Type="http://schemas.openxmlformats.org/officeDocument/2006/relationships/oleObject" Target="embeddings/oleObject13.bin"/><Relationship Id="rId51" Type="http://schemas.openxmlformats.org/officeDocument/2006/relationships/image" Target="media/image22.wmf"/><Relationship Id="rId50" Type="http://schemas.openxmlformats.org/officeDocument/2006/relationships/oleObject" Target="embeddings/oleObject12.bin"/><Relationship Id="rId5" Type="http://schemas.openxmlformats.org/officeDocument/2006/relationships/footer" Target="footer2.xml"/><Relationship Id="rId49" Type="http://schemas.openxmlformats.org/officeDocument/2006/relationships/image" Target="media/image21.wmf"/><Relationship Id="rId48" Type="http://schemas.openxmlformats.org/officeDocument/2006/relationships/oleObject" Target="embeddings/oleObject11.bin"/><Relationship Id="rId47" Type="http://schemas.openxmlformats.org/officeDocument/2006/relationships/image" Target="media/image20.wmf"/><Relationship Id="rId46" Type="http://schemas.openxmlformats.org/officeDocument/2006/relationships/oleObject" Target="embeddings/oleObject10.bin"/><Relationship Id="rId45" Type="http://schemas.openxmlformats.org/officeDocument/2006/relationships/image" Target="media/image19.wmf"/><Relationship Id="rId44" Type="http://schemas.openxmlformats.org/officeDocument/2006/relationships/oleObject" Target="embeddings/oleObject9.bin"/><Relationship Id="rId43" Type="http://schemas.openxmlformats.org/officeDocument/2006/relationships/image" Target="media/image18.wmf"/><Relationship Id="rId42" Type="http://schemas.openxmlformats.org/officeDocument/2006/relationships/oleObject" Target="embeddings/oleObject8.bin"/><Relationship Id="rId41" Type="http://schemas.openxmlformats.org/officeDocument/2006/relationships/image" Target="media/image17.wmf"/><Relationship Id="rId40" Type="http://schemas.openxmlformats.org/officeDocument/2006/relationships/oleObject" Target="embeddings/oleObject7.bin"/><Relationship Id="rId4" Type="http://schemas.openxmlformats.org/officeDocument/2006/relationships/footer" Target="footer1.xml"/><Relationship Id="rId39" Type="http://schemas.openxmlformats.org/officeDocument/2006/relationships/image" Target="media/image16.wmf"/><Relationship Id="rId38" Type="http://schemas.openxmlformats.org/officeDocument/2006/relationships/oleObject" Target="embeddings/oleObject6.bin"/><Relationship Id="rId37" Type="http://schemas.openxmlformats.org/officeDocument/2006/relationships/image" Target="media/image15.wmf"/><Relationship Id="rId36" Type="http://schemas.openxmlformats.org/officeDocument/2006/relationships/oleObject" Target="embeddings/oleObject5.bin"/><Relationship Id="rId35" Type="http://schemas.openxmlformats.org/officeDocument/2006/relationships/image" Target="media/image14.wmf"/><Relationship Id="rId34" Type="http://schemas.openxmlformats.org/officeDocument/2006/relationships/oleObject" Target="embeddings/oleObject4.bin"/><Relationship Id="rId33" Type="http://schemas.openxmlformats.org/officeDocument/2006/relationships/image" Target="media/image13.wmf"/><Relationship Id="rId32" Type="http://schemas.openxmlformats.org/officeDocument/2006/relationships/oleObject" Target="embeddings/oleObject3.bin"/><Relationship Id="rId31" Type="http://schemas.openxmlformats.org/officeDocument/2006/relationships/image" Target="media/image12.w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1.bin"/><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cid:image001.png@01D92B5B.D6885EE0" TargetMode="Externa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33"/>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FC9CAA-0A13-456D-A03A-43285DDECE58}">
  <ds:schemaRefs/>
</ds:datastoreItem>
</file>

<file path=docProps/app.xml><?xml version="1.0" encoding="utf-8"?>
<Properties xmlns="http://schemas.openxmlformats.org/officeDocument/2006/extended-properties" xmlns:vt="http://schemas.openxmlformats.org/officeDocument/2006/docPropsVTypes">
  <Template>Normal</Template>
  <Pages>97</Pages>
  <Words>8814</Words>
  <Characters>9303</Characters>
  <Lines>560</Lines>
  <Paragraphs>157</Paragraphs>
  <TotalTime>7</TotalTime>
  <ScaleCrop>false</ScaleCrop>
  <LinksUpToDate>false</LinksUpToDate>
  <CharactersWithSpaces>9648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2023-06-20T08:11:00Z</dcterms:created>
  <dc:creator>c00397658</dc:creator>
  <cp:lastModifiedBy>何铭基</cp:lastModifiedBy>
  <cp:lastPrinted>2019-02-11T08:21:00Z</cp:lastPrinted>
  <dcterms:modified xsi:type="dcterms:W3CDTF">2025-10-24T04:50:25Z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(3)aLtJOCn3kdnTpzreTslzISvVfsEB+ftw+qx7xU8LeJRAmqi8kNIEoXYUudlTd21pppBvsQK3
bdjaKUy2QL3DkH35kU5IFp8tHDWfwRm3jakx1joy1udB+ZXhYqlqc8M8InGJatn6i/LsOzj6
j+IGONUgrKTxUYY/F63txbxEY97HTTeEwbjS43qeNZCZbrd2K+Ao2+cqjD58t3Dyf0L+asVv
l2GbHQQpVafOlEn3Td</vt:lpwstr>
  </property>
  <property fmtid="{D5CDD505-2E9C-101B-9397-08002B2CF9AE}" pid="3" name="_new_ms_pID_725431">
    <vt:lpwstr>3m+lPkJX1950E3xEg6ofrT4RlglqPNrXooPWoG9IOv1ieln0GlYwKr
Jz0lL/axxbyUJdaMHGdzlwAqyL5/7HmJ5le2G8HEvFXpPXALsdTPj2jp+yXtXv2o5Y0ViJoq
/stjwzDdWtJYLiLGIKpOJm+8NuIjfyBa+lq5tAa5zLuGl6B+A3kD7ixX8e7/V8+ihw0DA0lN
FGlWC9GxU7NaWPV/e3U0uOW3WHrvgP/R8VqQ</vt:lpwstr>
  </property>
  <property fmtid="{D5CDD505-2E9C-101B-9397-08002B2CF9AE}" pid="4" name="_new_ms_pID_725432">
    <vt:lpwstr>fst6fpaBP8bFLLy5NUxIH7LJqUVITYWUyipb
pzrR2MQPCB8g0Yykq5KU70Nv4ag2Iod3mVk5NpbTv2ehp+UEbT5msIfst9CP3o92+t/IoGda
+cpXKkykwztbbOP3+eIZqD3v/VCLf5iZpfENRLF7PDc=</vt:lpwstr>
  </property>
  <property fmtid="{D5CDD505-2E9C-101B-9397-08002B2CF9AE}" pid="5" name="_2015_ms_pID_725343">
    <vt:lpwstr>(3)7MF0jHtnmrsNkgNL/bhzQf823bVyKTer7YtP1K+7rt7q/WSdlvpOSLQfNrFJHlDho6kaSTY8
lgUl76TamZvY3x+3BidRVOqmf++Q3Ws7Uq4xQkkXJrXG3CVt7P+EmjVRNISXqX52naqh5hIW
whTPfhzdHkNoyfk8wdO3JY4uDMjdqJhiMxUcQf2CpgdW4CVQ54nuu0e5KbrVjhWTdZbJHOhQ
h3M+73pU7/QnIpKr+X</vt:lpwstr>
  </property>
  <property fmtid="{D5CDD505-2E9C-101B-9397-08002B2CF9AE}" pid="6" name="_2015_ms_pID_7253431">
    <vt:lpwstr>gluLgVBh9VjQ2uekhfZKkpYsEiJhnEZVfP6p8j7HxNk2yqgAQpnkK9
DBSGtGIErc1Uq2q7zYx0AmsxS1Y7CLxwEyCbekey8ovoJwbaixadpK9KdlTFQ0f+0mAY6zbu
f6SnCtt3j96sCqA2I4lPPOGLlvx1W/L1bGYyRcJylV5aQGqYXPcVpYOilz2CjrW6B6wwic1L
aD1wIUXLyOCfPt+4L4yLc+sU2XwEGRt4UfNI</vt:lpwstr>
  </property>
  <property fmtid="{D5CDD505-2E9C-101B-9397-08002B2CF9AE}" pid="7" name="_2015_ms_pID_7253432">
    <vt:lpwstr>Hw==</vt:lpwstr>
  </property>
  <property fmtid="{D5CDD505-2E9C-101B-9397-08002B2CF9AE}" pid="8" name="KSOProductBuildVer">
    <vt:lpwstr>2052-12.1.0.22529</vt:lpwstr>
  </property>
  <property fmtid="{D5CDD505-2E9C-101B-9397-08002B2CF9AE}" pid="9" name="ICV">
    <vt:lpwstr>12469993D7ED42A8BC716498D781AE96_13</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1761265269</vt:lpwstr>
  </property>
  <property fmtid="{D5CDD505-2E9C-101B-9397-08002B2CF9AE}" pid="14" name="KSOTemplateDocerSaveRecord">
    <vt:lpwstr>eyJoZGlkIjoiMTdhZmI1ZTUyNGQ2MmExMGQ1MzY3NzFlZTVjN2YwNzYiLCJ1c2VySWQiOiIxNDc0NTAzMTY4In0=</vt:lpwstr>
  </property>
</Properties>
</file>